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9.xml" ContentType="application/vnd.openxmlformats-officedocument.drawingml.chartshapes+xml"/>
  <Override PartName="/word/charts/chartEx1.xml" ContentType="application/vnd.ms-office.chartex+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Ex2.xml" ContentType="application/vnd.ms-office.chartex+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Ex3.xml" ContentType="application/vnd.ms-office.chartex+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C3CEC" w14:textId="0F9361E2" w:rsidR="00B301A9" w:rsidRPr="00241369" w:rsidRDefault="00B301A9" w:rsidP="003C117D"/>
    <w:p w14:paraId="1DEA0932" w14:textId="77777777" w:rsidR="00DD7E23" w:rsidRPr="008F33C8" w:rsidRDefault="00BC5250" w:rsidP="003C117D">
      <w:pPr>
        <w:jc w:val="center"/>
        <w:rPr>
          <w:rFonts w:ascii="Calibri" w:hAnsi="Calibri"/>
        </w:rPr>
      </w:pPr>
      <w:r w:rsidRPr="00DB0E05">
        <w:rPr>
          <w:rFonts w:ascii="Calibri" w:hAnsi="Calibri"/>
          <w:noProof/>
        </w:rPr>
        <w:object w:dxaOrig="16213" w:dyaOrig="6479" w14:anchorId="6703A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8.6pt;height:89.75pt;mso-width-percent:0;mso-height-percent:0;mso-width-percent:0;mso-height-percent:0" o:ole="">
            <v:imagedata r:id="rId11" o:title=""/>
          </v:shape>
          <o:OLEObject Type="Embed" ProgID="MSPhotoEd.3" ShapeID="_x0000_i1025" DrawAspect="Content" ObjectID="_1728714362" r:id="rId12"/>
        </w:object>
      </w:r>
    </w:p>
    <w:p w14:paraId="366F8660" w14:textId="77777777" w:rsidR="00DD7E23" w:rsidRPr="008F33C8" w:rsidRDefault="00DD7E23" w:rsidP="003C117D">
      <w:pPr>
        <w:rPr>
          <w:rFonts w:ascii="Calibri" w:hAnsi="Calibri"/>
        </w:rPr>
      </w:pPr>
    </w:p>
    <w:p w14:paraId="6083B1F2" w14:textId="77777777" w:rsidR="00DD7E23" w:rsidRPr="008F33C8" w:rsidRDefault="00DD7E23" w:rsidP="003C117D">
      <w:pPr>
        <w:jc w:val="center"/>
        <w:rPr>
          <w:rFonts w:ascii="Calibri" w:hAnsi="Calibri"/>
        </w:rPr>
      </w:pPr>
    </w:p>
    <w:p w14:paraId="5AA0CEE6" w14:textId="77777777" w:rsidR="00DD7E23" w:rsidRPr="008F33C8" w:rsidRDefault="00DD7E23" w:rsidP="003C117D">
      <w:pPr>
        <w:jc w:val="center"/>
        <w:rPr>
          <w:rFonts w:ascii="Calibri" w:hAnsi="Calibri"/>
        </w:rPr>
      </w:pPr>
    </w:p>
    <w:p w14:paraId="15DD8605" w14:textId="77777777" w:rsidR="00DD7E23" w:rsidRPr="006E3CD1" w:rsidRDefault="00DD7E23" w:rsidP="006E3CD1">
      <w:pPr>
        <w:jc w:val="center"/>
        <w:rPr>
          <w:rFonts w:ascii="Calibri" w:hAnsi="Calibri" w:cs="Arial"/>
          <w:b/>
          <w:bCs/>
          <w:sz w:val="36"/>
          <w:szCs w:val="36"/>
        </w:rPr>
      </w:pPr>
    </w:p>
    <w:p w14:paraId="6E6B1EBE" w14:textId="3433A012" w:rsidR="00DD7E23" w:rsidRPr="00792BDF" w:rsidRDefault="00DD7E23" w:rsidP="007B126F">
      <w:pPr>
        <w:jc w:val="center"/>
        <w:rPr>
          <w:b/>
          <w:bCs/>
          <w:sz w:val="44"/>
          <w:szCs w:val="44"/>
        </w:rPr>
      </w:pPr>
      <w:r w:rsidRPr="00792BDF">
        <w:rPr>
          <w:b/>
          <w:bCs/>
          <w:sz w:val="44"/>
          <w:szCs w:val="44"/>
        </w:rPr>
        <w:t xml:space="preserve">Prophylactic azithromycin in protracted bacterial bronchitis: </w:t>
      </w:r>
      <w:r w:rsidR="007B126F" w:rsidRPr="00792BDF">
        <w:rPr>
          <w:b/>
          <w:bCs/>
          <w:sz w:val="44"/>
          <w:szCs w:val="44"/>
        </w:rPr>
        <w:t>parental experience</w:t>
      </w:r>
      <w:r w:rsidR="007B126F">
        <w:rPr>
          <w:b/>
          <w:bCs/>
          <w:sz w:val="44"/>
          <w:szCs w:val="44"/>
        </w:rPr>
        <w:t xml:space="preserve"> and impact on bacterial r</w:t>
      </w:r>
      <w:r w:rsidRPr="00792BDF">
        <w:rPr>
          <w:b/>
          <w:bCs/>
          <w:sz w:val="44"/>
          <w:szCs w:val="44"/>
        </w:rPr>
        <w:t>esistance</w:t>
      </w:r>
      <w:r w:rsidR="007B126F">
        <w:rPr>
          <w:b/>
          <w:bCs/>
          <w:sz w:val="44"/>
          <w:szCs w:val="44"/>
        </w:rPr>
        <w:t xml:space="preserve"> </w:t>
      </w:r>
      <w:r w:rsidR="007B126F" w:rsidRPr="00792BDF">
        <w:rPr>
          <w:b/>
          <w:bCs/>
          <w:sz w:val="44"/>
          <w:szCs w:val="44"/>
        </w:rPr>
        <w:t xml:space="preserve">and </w:t>
      </w:r>
      <w:r w:rsidRPr="00792BDF">
        <w:rPr>
          <w:b/>
          <w:bCs/>
          <w:sz w:val="44"/>
          <w:szCs w:val="44"/>
        </w:rPr>
        <w:t>the microbiome.</w:t>
      </w:r>
    </w:p>
    <w:p w14:paraId="52561282" w14:textId="12A778EC" w:rsidR="003C117D" w:rsidRPr="00792BDF" w:rsidRDefault="003C117D" w:rsidP="003C117D">
      <w:pPr>
        <w:ind w:right="-334"/>
        <w:jc w:val="center"/>
        <w:rPr>
          <w:rFonts w:ascii="Calibri" w:hAnsi="Calibri" w:cs="Arial"/>
          <w:b/>
          <w:sz w:val="44"/>
          <w:szCs w:val="44"/>
        </w:rPr>
      </w:pPr>
    </w:p>
    <w:p w14:paraId="3DD6A9A9" w14:textId="77777777" w:rsidR="00792BDF" w:rsidRPr="00792BDF" w:rsidRDefault="00792BDF" w:rsidP="003C117D">
      <w:pPr>
        <w:ind w:right="-334"/>
        <w:jc w:val="center"/>
        <w:rPr>
          <w:rFonts w:ascii="Calibri" w:hAnsi="Calibri" w:cs="Arial"/>
          <w:b/>
          <w:sz w:val="48"/>
          <w:szCs w:val="48"/>
        </w:rPr>
      </w:pPr>
    </w:p>
    <w:p w14:paraId="33ABB019" w14:textId="64282DA8" w:rsidR="006E3CD1" w:rsidRPr="00792BDF" w:rsidRDefault="006E3CD1" w:rsidP="003C117D">
      <w:pPr>
        <w:ind w:right="-334"/>
        <w:jc w:val="center"/>
        <w:rPr>
          <w:rFonts w:ascii="Calibri" w:hAnsi="Calibri" w:cs="Arial"/>
          <w:bCs/>
          <w:sz w:val="40"/>
          <w:szCs w:val="40"/>
        </w:rPr>
      </w:pPr>
      <w:r w:rsidRPr="00792BDF">
        <w:rPr>
          <w:rFonts w:ascii="Calibri" w:hAnsi="Calibri" w:cs="Arial"/>
          <w:bCs/>
          <w:sz w:val="40"/>
          <w:szCs w:val="40"/>
        </w:rPr>
        <w:t>By Simon Jonathan Hardman</w:t>
      </w:r>
    </w:p>
    <w:p w14:paraId="746C6929" w14:textId="7E0B2FA5" w:rsidR="006E3CD1" w:rsidRDefault="006E3CD1" w:rsidP="003C117D">
      <w:pPr>
        <w:ind w:right="-334"/>
        <w:jc w:val="center"/>
        <w:rPr>
          <w:rFonts w:ascii="Calibri" w:hAnsi="Calibri" w:cs="Arial"/>
          <w:b/>
        </w:rPr>
      </w:pPr>
    </w:p>
    <w:p w14:paraId="0E2FC08F" w14:textId="58819A5A" w:rsidR="006E3CD1" w:rsidRDefault="006E3CD1" w:rsidP="003C117D">
      <w:pPr>
        <w:ind w:right="-334"/>
        <w:jc w:val="center"/>
        <w:rPr>
          <w:rFonts w:ascii="Calibri" w:hAnsi="Calibri" w:cs="Arial"/>
          <w:b/>
        </w:rPr>
      </w:pPr>
    </w:p>
    <w:p w14:paraId="7F0B58DD" w14:textId="77777777" w:rsidR="00792BDF" w:rsidRDefault="00792BDF" w:rsidP="003C117D">
      <w:pPr>
        <w:ind w:right="-334"/>
        <w:jc w:val="center"/>
        <w:rPr>
          <w:rFonts w:ascii="Calibri" w:hAnsi="Calibri" w:cs="Arial"/>
          <w:b/>
        </w:rPr>
      </w:pPr>
    </w:p>
    <w:p w14:paraId="2D39522A" w14:textId="6486F100" w:rsidR="006E3CD1" w:rsidRPr="00AA7F47" w:rsidRDefault="006E3CD1" w:rsidP="003C117D">
      <w:pPr>
        <w:ind w:right="-334"/>
        <w:jc w:val="center"/>
        <w:rPr>
          <w:sz w:val="32"/>
          <w:szCs w:val="32"/>
        </w:rPr>
      </w:pPr>
      <w:r w:rsidRPr="00AA7F47">
        <w:rPr>
          <w:sz w:val="32"/>
          <w:szCs w:val="32"/>
        </w:rPr>
        <w:t>A thesis submitted in fulfilment of the requirements for the degree of Doctor of Medicine</w:t>
      </w:r>
    </w:p>
    <w:p w14:paraId="27D86D96" w14:textId="34F0CC24" w:rsidR="00792BDF" w:rsidRDefault="00792BDF" w:rsidP="003C117D">
      <w:pPr>
        <w:ind w:right="-334"/>
        <w:jc w:val="center"/>
      </w:pPr>
    </w:p>
    <w:p w14:paraId="14D440D8" w14:textId="0056EE1E" w:rsidR="00792BDF" w:rsidRDefault="00792BDF" w:rsidP="003C117D">
      <w:pPr>
        <w:ind w:right="-334"/>
        <w:jc w:val="center"/>
      </w:pPr>
    </w:p>
    <w:p w14:paraId="21F9AB00" w14:textId="77777777" w:rsidR="00AA7F47" w:rsidRDefault="00AA7F47" w:rsidP="003C117D">
      <w:pPr>
        <w:ind w:right="-334"/>
        <w:jc w:val="center"/>
      </w:pPr>
    </w:p>
    <w:p w14:paraId="7C4C7C6E" w14:textId="1D4E93A1" w:rsidR="00792BDF" w:rsidRDefault="00792BDF" w:rsidP="003C117D">
      <w:pPr>
        <w:ind w:right="-334"/>
        <w:jc w:val="center"/>
      </w:pPr>
    </w:p>
    <w:p w14:paraId="25F7FA8E" w14:textId="77777777" w:rsidR="00792BDF" w:rsidRPr="00AA7F47" w:rsidRDefault="006E3CD1" w:rsidP="00792BDF">
      <w:pPr>
        <w:jc w:val="center"/>
        <w:rPr>
          <w:rFonts w:ascii="Calibri" w:hAnsi="Calibri" w:cs="Arial"/>
          <w:bCs/>
          <w:sz w:val="32"/>
          <w:szCs w:val="32"/>
        </w:rPr>
      </w:pPr>
      <w:r w:rsidRPr="00AA7F47">
        <w:rPr>
          <w:rFonts w:ascii="Calibri" w:hAnsi="Calibri" w:cs="Arial"/>
          <w:bCs/>
          <w:sz w:val="32"/>
          <w:szCs w:val="32"/>
        </w:rPr>
        <w:t>The University of Sheffield</w:t>
      </w:r>
    </w:p>
    <w:p w14:paraId="28B25900" w14:textId="5ACB424E" w:rsidR="00AA7F47" w:rsidRDefault="006E3CD1" w:rsidP="00AA7F47">
      <w:pPr>
        <w:jc w:val="center"/>
        <w:rPr>
          <w:rFonts w:ascii="Calibri" w:hAnsi="Calibri" w:cs="Arial"/>
          <w:bCs/>
          <w:sz w:val="32"/>
          <w:szCs w:val="32"/>
        </w:rPr>
      </w:pPr>
      <w:r w:rsidRPr="00AA7F47">
        <w:rPr>
          <w:rFonts w:ascii="Calibri" w:hAnsi="Calibri" w:cs="Arial"/>
          <w:bCs/>
          <w:sz w:val="32"/>
          <w:szCs w:val="32"/>
        </w:rPr>
        <w:t>Department of</w:t>
      </w:r>
    </w:p>
    <w:p w14:paraId="368B0226" w14:textId="484F63BE" w:rsidR="006E3CD1" w:rsidRPr="00AA7F47" w:rsidRDefault="006E3CD1" w:rsidP="00AA7F47">
      <w:pPr>
        <w:jc w:val="center"/>
        <w:rPr>
          <w:rFonts w:ascii="Calibri" w:hAnsi="Calibri" w:cs="Arial"/>
          <w:bCs/>
          <w:sz w:val="32"/>
          <w:szCs w:val="32"/>
        </w:rPr>
      </w:pPr>
      <w:r w:rsidRPr="00AA7F47">
        <w:rPr>
          <w:rFonts w:ascii="Calibri" w:hAnsi="Calibri" w:cs="Arial"/>
          <w:bCs/>
          <w:sz w:val="32"/>
          <w:szCs w:val="32"/>
        </w:rPr>
        <w:t>Infection, Immunity and Cardiovascular Disease</w:t>
      </w:r>
    </w:p>
    <w:p w14:paraId="38646F9D" w14:textId="77777777" w:rsidR="00AA7F47" w:rsidRPr="00AA7F47" w:rsidRDefault="00AA7F47" w:rsidP="00792BDF">
      <w:pPr>
        <w:jc w:val="center"/>
        <w:rPr>
          <w:rFonts w:ascii="Calibri" w:hAnsi="Calibri" w:cs="Arial"/>
          <w:bCs/>
          <w:sz w:val="32"/>
          <w:szCs w:val="32"/>
        </w:rPr>
      </w:pPr>
    </w:p>
    <w:p w14:paraId="06ECB257" w14:textId="77777777" w:rsidR="007B126F" w:rsidRDefault="007B126F" w:rsidP="00AA7F47">
      <w:pPr>
        <w:spacing w:line="360" w:lineRule="auto"/>
        <w:jc w:val="center"/>
        <w:rPr>
          <w:rFonts w:ascii="Calibri" w:hAnsi="Calibri" w:cs="Arial"/>
          <w:bCs/>
          <w:sz w:val="32"/>
          <w:szCs w:val="32"/>
        </w:rPr>
      </w:pPr>
    </w:p>
    <w:p w14:paraId="0C4B1297" w14:textId="08B0EFD0" w:rsidR="00C93C4B" w:rsidRPr="00AA7F47" w:rsidRDefault="00792BDF" w:rsidP="00AA7F47">
      <w:pPr>
        <w:spacing w:line="360" w:lineRule="auto"/>
        <w:jc w:val="center"/>
        <w:rPr>
          <w:rFonts w:ascii="Calibri" w:hAnsi="Calibri" w:cs="Arial"/>
          <w:bCs/>
          <w:sz w:val="32"/>
          <w:szCs w:val="32"/>
        </w:rPr>
      </w:pPr>
      <w:r w:rsidRPr="00AA7F47">
        <w:rPr>
          <w:rFonts w:ascii="Calibri" w:hAnsi="Calibri" w:cs="Arial"/>
          <w:bCs/>
          <w:sz w:val="32"/>
          <w:szCs w:val="32"/>
        </w:rPr>
        <w:t>June 2022</w:t>
      </w:r>
    </w:p>
    <w:p w14:paraId="3C677302" w14:textId="77777777" w:rsidR="00AD05F5" w:rsidRDefault="00AD05F5" w:rsidP="00AD05F5">
      <w:pPr>
        <w:pStyle w:val="Heading1"/>
        <w:numPr>
          <w:ilvl w:val="0"/>
          <w:numId w:val="0"/>
        </w:numPr>
        <w:ind w:left="432" w:hanging="432"/>
      </w:pPr>
      <w:bookmarkStart w:id="0" w:name="_Toc117765870"/>
      <w:r w:rsidRPr="00F21321">
        <w:lastRenderedPageBreak/>
        <w:t>Summary</w:t>
      </w:r>
      <w:bookmarkEnd w:id="0"/>
    </w:p>
    <w:p w14:paraId="67B3DB5B" w14:textId="77777777" w:rsidR="00AD05F5" w:rsidRPr="000C7755" w:rsidRDefault="00AD05F5" w:rsidP="00AD05F5"/>
    <w:p w14:paraId="79F324C5" w14:textId="77777777" w:rsidR="00AD05F5" w:rsidRDefault="00AD05F5" w:rsidP="00AD05F5">
      <w:pPr>
        <w:spacing w:line="360" w:lineRule="auto"/>
        <w:rPr>
          <w:b/>
        </w:rPr>
      </w:pPr>
      <w:r>
        <w:rPr>
          <w:b/>
        </w:rPr>
        <w:t>Introduction</w:t>
      </w:r>
    </w:p>
    <w:p w14:paraId="7FD69D49" w14:textId="77777777" w:rsidR="00AD05F5" w:rsidRDefault="00AD05F5" w:rsidP="00AD05F5">
      <w:pPr>
        <w:spacing w:line="360" w:lineRule="auto"/>
        <w:rPr>
          <w:rFonts w:cstheme="minorHAnsi"/>
          <w:color w:val="000000"/>
        </w:rPr>
      </w:pPr>
      <w:r w:rsidRPr="005C4356">
        <w:rPr>
          <w:rFonts w:cstheme="minorHAnsi"/>
          <w:color w:val="000000"/>
        </w:rPr>
        <w:t xml:space="preserve">Protracted bacterial bronchitis </w:t>
      </w:r>
      <w:r>
        <w:rPr>
          <w:rFonts w:cstheme="minorHAnsi"/>
          <w:color w:val="000000"/>
        </w:rPr>
        <w:t xml:space="preserve">(PBB) commonly underlies childhood chronic wet cough. Azithromycin </w:t>
      </w:r>
      <w:r w:rsidRPr="005C4356">
        <w:rPr>
          <w:rFonts w:cstheme="minorHAnsi"/>
          <w:color w:val="000000"/>
        </w:rPr>
        <w:t>prophylaxis is increasingly used to reduce exacerbations.</w:t>
      </w:r>
      <w:r>
        <w:rPr>
          <w:rFonts w:cstheme="minorHAnsi"/>
          <w:color w:val="000000"/>
        </w:rPr>
        <w:t xml:space="preserve"> We aimed to explore parental experience of having a child prescribed long-term antibiotics and investigate the impact of azithromycin prophylaxis on antimicrobial resistance and the nasopharyngeal microbiome. </w:t>
      </w:r>
    </w:p>
    <w:p w14:paraId="675D064F" w14:textId="77777777" w:rsidR="00AD05F5" w:rsidRPr="00BD799B" w:rsidRDefault="00AD05F5" w:rsidP="00AD05F5">
      <w:pPr>
        <w:spacing w:line="360" w:lineRule="auto"/>
        <w:rPr>
          <w:rFonts w:cstheme="minorHAnsi"/>
          <w:b/>
          <w:bCs/>
          <w:color w:val="000000"/>
        </w:rPr>
      </w:pPr>
      <w:r w:rsidRPr="00BD799B">
        <w:rPr>
          <w:rFonts w:cstheme="minorHAnsi"/>
          <w:b/>
          <w:bCs/>
          <w:color w:val="000000"/>
        </w:rPr>
        <w:t>Methods</w:t>
      </w:r>
    </w:p>
    <w:p w14:paraId="76C7EA39" w14:textId="77777777" w:rsidR="00AD05F5" w:rsidRDefault="00AD05F5" w:rsidP="00AD05F5">
      <w:pPr>
        <w:spacing w:line="360" w:lineRule="auto"/>
        <w:rPr>
          <w:rFonts w:cstheme="minorHAnsi"/>
          <w:color w:val="000000"/>
        </w:rPr>
      </w:pPr>
      <w:r>
        <w:rPr>
          <w:rFonts w:cstheme="minorHAnsi"/>
          <w:color w:val="000000"/>
        </w:rPr>
        <w:t xml:space="preserve">Fifteen parents of children prescribed prophylactic antibiotics for respiratory infections were interviewed. Thematic analysis was carried out. </w:t>
      </w:r>
    </w:p>
    <w:p w14:paraId="6E7191A1" w14:textId="5065E8EF" w:rsidR="00AD05F5" w:rsidRDefault="00AD05F5" w:rsidP="00AD05F5">
      <w:pPr>
        <w:spacing w:line="360" w:lineRule="auto"/>
        <w:rPr>
          <w:rFonts w:cstheme="minorHAnsi"/>
          <w:color w:val="000000"/>
        </w:rPr>
      </w:pPr>
      <w:r>
        <w:rPr>
          <w:rFonts w:cstheme="minorHAnsi"/>
          <w:color w:val="000000"/>
        </w:rPr>
        <w:t xml:space="preserve">Antimicrobial resistance and the microbiome were investigated by deep nasopharyngeal swabbing of children with PBB who were prescribed prophylactic azithromycin or not on clinical grounds. Protocols were optimised in an initial feasibility study.  In total, 50 children were enrolled - </w:t>
      </w:r>
      <w:r w:rsidR="001706A9">
        <w:rPr>
          <w:rFonts w:cstheme="minorHAnsi"/>
          <w:color w:val="000000"/>
        </w:rPr>
        <w:t>25 were</w:t>
      </w:r>
      <w:r>
        <w:rPr>
          <w:rFonts w:cstheme="minorHAnsi"/>
          <w:color w:val="000000"/>
        </w:rPr>
        <w:t xml:space="preserve"> planned to take azithromycin over the winter months and 25 were not. Serial nasopharyngeal swabs were collected over the study periods (12-20 months). Bacterial isolates were tested for antibiotic resistance and resistant isolates sequenced. 16s PCR was performed on a subset of samples.</w:t>
      </w:r>
    </w:p>
    <w:p w14:paraId="15ECB052" w14:textId="77777777" w:rsidR="00AD05F5" w:rsidRPr="00D220A4" w:rsidRDefault="00AD05F5" w:rsidP="00AD05F5">
      <w:pPr>
        <w:spacing w:line="360" w:lineRule="auto"/>
        <w:rPr>
          <w:rFonts w:cstheme="minorHAnsi"/>
          <w:b/>
          <w:bCs/>
          <w:color w:val="000000"/>
        </w:rPr>
      </w:pPr>
      <w:r w:rsidRPr="00D220A4">
        <w:rPr>
          <w:rFonts w:cstheme="minorHAnsi"/>
          <w:b/>
          <w:bCs/>
          <w:color w:val="000000"/>
        </w:rPr>
        <w:t>Results</w:t>
      </w:r>
    </w:p>
    <w:p w14:paraId="343503BF" w14:textId="77777777" w:rsidR="00AD05F5" w:rsidRDefault="00AD05F5" w:rsidP="00AD05F5">
      <w:pPr>
        <w:spacing w:line="360" w:lineRule="auto"/>
        <w:rPr>
          <w:rFonts w:cstheme="minorHAnsi"/>
          <w:color w:val="000000"/>
        </w:rPr>
      </w:pPr>
      <w:r>
        <w:rPr>
          <w:rFonts w:cstheme="minorHAnsi"/>
          <w:color w:val="000000"/>
        </w:rPr>
        <w:t>From parental interviews key themes emerged, and a behavioural model to explain the parental experience developed.</w:t>
      </w:r>
      <w:r w:rsidRPr="00DA674E">
        <w:rPr>
          <w:rFonts w:cstheme="minorHAnsi"/>
          <w:color w:val="000000"/>
        </w:rPr>
        <w:t xml:space="preserve"> </w:t>
      </w:r>
      <w:r>
        <w:rPr>
          <w:rFonts w:cstheme="minorHAnsi"/>
          <w:color w:val="000000"/>
        </w:rPr>
        <w:t xml:space="preserve">Parents desire their children to be well now, with antimicrobial resistance regarded as a possible future problem. </w:t>
      </w:r>
    </w:p>
    <w:p w14:paraId="70DD7493" w14:textId="5B8CEB34" w:rsidR="00AD05F5" w:rsidRDefault="00AD05F5" w:rsidP="00AD05F5">
      <w:pPr>
        <w:spacing w:line="360" w:lineRule="auto"/>
        <w:rPr>
          <w:rFonts w:cstheme="minorHAnsi"/>
          <w:color w:val="000000"/>
        </w:rPr>
      </w:pPr>
      <w:r>
        <w:rPr>
          <w:rFonts w:cstheme="minorHAnsi"/>
          <w:color w:val="000000"/>
        </w:rPr>
        <w:t xml:space="preserve">Higher than expected rates of azithromycin resistance were found in both PBB groups, although the resistance was mostly low level. Resistance was mostly driven by azithromycin-resistant </w:t>
      </w:r>
      <w:r w:rsidRPr="00B951E5">
        <w:rPr>
          <w:rFonts w:cstheme="minorHAnsi"/>
          <w:i/>
          <w:iCs/>
          <w:color w:val="000000"/>
        </w:rPr>
        <w:t xml:space="preserve">S. </w:t>
      </w:r>
      <w:r w:rsidR="001706A9" w:rsidRPr="00B951E5">
        <w:rPr>
          <w:rFonts w:cstheme="minorHAnsi"/>
          <w:i/>
          <w:iCs/>
          <w:color w:val="000000"/>
        </w:rPr>
        <w:t>pneumonia</w:t>
      </w:r>
      <w:r w:rsidR="001706A9">
        <w:rPr>
          <w:rFonts w:cstheme="minorHAnsi"/>
          <w:i/>
          <w:iCs/>
          <w:color w:val="000000"/>
        </w:rPr>
        <w:t>e,</w:t>
      </w:r>
      <w:r>
        <w:rPr>
          <w:rFonts w:cstheme="minorHAnsi"/>
          <w:i/>
          <w:iCs/>
          <w:color w:val="000000"/>
        </w:rPr>
        <w:t xml:space="preserve"> </w:t>
      </w:r>
      <w:r>
        <w:rPr>
          <w:rFonts w:cstheme="minorHAnsi"/>
          <w:color w:val="000000"/>
        </w:rPr>
        <w:t>yet these isolates were predominantly erythromycin susceptible. There was</w:t>
      </w:r>
      <w:r w:rsidRPr="005C4356">
        <w:rPr>
          <w:rFonts w:cstheme="minorHAnsi"/>
          <w:color w:val="000000"/>
        </w:rPr>
        <w:t xml:space="preserve"> a trend towards fewer resistant bacteria </w:t>
      </w:r>
      <w:r>
        <w:rPr>
          <w:rFonts w:cstheme="minorHAnsi"/>
          <w:color w:val="000000"/>
        </w:rPr>
        <w:t>in the azithromycin group</w:t>
      </w:r>
      <w:r w:rsidRPr="005C4356">
        <w:rPr>
          <w:rFonts w:cstheme="minorHAnsi"/>
          <w:color w:val="000000"/>
        </w:rPr>
        <w:t>, IRR</w:t>
      </w:r>
      <w:r>
        <w:rPr>
          <w:rFonts w:cstheme="minorHAnsi"/>
          <w:color w:val="000000"/>
        </w:rPr>
        <w:t xml:space="preserve"> </w:t>
      </w:r>
      <w:r w:rsidRPr="005C4356">
        <w:rPr>
          <w:rFonts w:cstheme="minorHAnsi"/>
          <w:color w:val="000000"/>
        </w:rPr>
        <w:t>0.63 (95%CI 0.37-1.06), p=0.083.</w:t>
      </w:r>
      <w:r>
        <w:rPr>
          <w:rFonts w:cstheme="minorHAnsi"/>
          <w:color w:val="000000"/>
        </w:rPr>
        <w:t xml:space="preserve"> </w:t>
      </w:r>
    </w:p>
    <w:p w14:paraId="7ACE2276" w14:textId="77777777" w:rsidR="00AD05F5" w:rsidRPr="005C4356" w:rsidRDefault="00AD05F5" w:rsidP="00AD05F5">
      <w:pPr>
        <w:spacing w:line="360" w:lineRule="auto"/>
        <w:rPr>
          <w:rFonts w:cstheme="minorHAnsi"/>
          <w:color w:val="000000"/>
        </w:rPr>
      </w:pPr>
      <w:r>
        <w:rPr>
          <w:rFonts w:cstheme="minorHAnsi"/>
          <w:color w:val="000000"/>
        </w:rPr>
        <w:t>A</w:t>
      </w:r>
      <w:r w:rsidRPr="005C4356">
        <w:rPr>
          <w:rFonts w:cstheme="minorHAnsi"/>
          <w:color w:val="000000"/>
        </w:rPr>
        <w:t>lpha diversity</w:t>
      </w:r>
      <w:r>
        <w:rPr>
          <w:rFonts w:cstheme="minorHAnsi"/>
          <w:color w:val="000000"/>
        </w:rPr>
        <w:t xml:space="preserve"> was reduced</w:t>
      </w:r>
      <w:r w:rsidRPr="005C4356">
        <w:rPr>
          <w:rFonts w:cstheme="minorHAnsi"/>
          <w:color w:val="000000"/>
        </w:rPr>
        <w:t xml:space="preserve"> in swabs from children taking azithromycin at the time of swab collection</w:t>
      </w:r>
      <w:r>
        <w:rPr>
          <w:rFonts w:cstheme="minorHAnsi"/>
          <w:color w:val="000000"/>
        </w:rPr>
        <w:t>,</w:t>
      </w:r>
      <w:r w:rsidRPr="005C4356">
        <w:rPr>
          <w:rFonts w:cstheme="minorHAnsi"/>
          <w:color w:val="000000"/>
        </w:rPr>
        <w:t xml:space="preserve"> p=0.02. Beta diversity was significantly different between the 2 groups at the </w:t>
      </w:r>
      <w:r>
        <w:rPr>
          <w:rFonts w:cstheme="minorHAnsi"/>
          <w:color w:val="000000"/>
        </w:rPr>
        <w:t>study end</w:t>
      </w:r>
      <w:r w:rsidRPr="005C4356">
        <w:rPr>
          <w:rFonts w:cstheme="minorHAnsi"/>
          <w:color w:val="000000"/>
        </w:rPr>
        <w:t xml:space="preserve">; </w:t>
      </w:r>
      <w:r w:rsidRPr="005C4356">
        <w:rPr>
          <w:rFonts w:cstheme="minorHAnsi"/>
          <w:bCs/>
        </w:rPr>
        <w:t>R2=0.14, p=0.0049.</w:t>
      </w:r>
    </w:p>
    <w:p w14:paraId="33190927" w14:textId="77777777" w:rsidR="006718A6" w:rsidRDefault="006718A6" w:rsidP="00AD05F5">
      <w:pPr>
        <w:spacing w:line="360" w:lineRule="auto"/>
        <w:rPr>
          <w:rFonts w:cstheme="minorHAnsi"/>
          <w:b/>
          <w:bCs/>
          <w:color w:val="000000"/>
        </w:rPr>
      </w:pPr>
    </w:p>
    <w:p w14:paraId="044C8A8C" w14:textId="77777777" w:rsidR="006718A6" w:rsidRDefault="006718A6" w:rsidP="00AD05F5">
      <w:pPr>
        <w:spacing w:line="360" w:lineRule="auto"/>
        <w:rPr>
          <w:rFonts w:cstheme="minorHAnsi"/>
          <w:b/>
          <w:bCs/>
          <w:color w:val="000000"/>
        </w:rPr>
      </w:pPr>
    </w:p>
    <w:p w14:paraId="510CFAD5" w14:textId="6280DA88" w:rsidR="00AD05F5" w:rsidRDefault="00AD05F5" w:rsidP="00AD05F5">
      <w:pPr>
        <w:spacing w:line="360" w:lineRule="auto"/>
        <w:rPr>
          <w:rFonts w:cstheme="minorHAnsi"/>
          <w:b/>
          <w:bCs/>
          <w:color w:val="000000"/>
        </w:rPr>
      </w:pPr>
      <w:r w:rsidRPr="00A257F0">
        <w:rPr>
          <w:rFonts w:cstheme="minorHAnsi"/>
          <w:b/>
          <w:bCs/>
          <w:color w:val="000000"/>
        </w:rPr>
        <w:lastRenderedPageBreak/>
        <w:t>Conclusion</w:t>
      </w:r>
      <w:r>
        <w:rPr>
          <w:rFonts w:cstheme="minorHAnsi"/>
          <w:b/>
          <w:bCs/>
          <w:color w:val="000000"/>
        </w:rPr>
        <w:t>s</w:t>
      </w:r>
    </w:p>
    <w:p w14:paraId="79FFA1DB" w14:textId="4A5F3198" w:rsidR="00AD05F5" w:rsidRPr="00522DF4" w:rsidRDefault="00AD05F5" w:rsidP="00AD05F5">
      <w:pPr>
        <w:spacing w:line="360" w:lineRule="auto"/>
        <w:rPr>
          <w:rFonts w:cstheme="minorHAnsi"/>
          <w:color w:val="000000"/>
        </w:rPr>
      </w:pPr>
      <w:r w:rsidRPr="00522DF4">
        <w:rPr>
          <w:rFonts w:cstheme="minorHAnsi"/>
          <w:color w:val="000000"/>
        </w:rPr>
        <w:t xml:space="preserve">A holistic approach </w:t>
      </w:r>
      <w:r>
        <w:rPr>
          <w:rFonts w:cstheme="minorHAnsi"/>
          <w:color w:val="000000"/>
        </w:rPr>
        <w:t>should</w:t>
      </w:r>
      <w:r w:rsidRPr="00522DF4">
        <w:rPr>
          <w:rFonts w:cstheme="minorHAnsi"/>
          <w:color w:val="000000"/>
        </w:rPr>
        <w:t xml:space="preserve"> be taken when prescribing long-term </w:t>
      </w:r>
      <w:r>
        <w:rPr>
          <w:rFonts w:cstheme="minorHAnsi"/>
          <w:color w:val="000000"/>
        </w:rPr>
        <w:t xml:space="preserve">antibiotics. Discrepancies between erythromycin and azithromycin susceptibility require further investigation. Azithromycin for PBB did not promote antimicrobial resistance </w:t>
      </w:r>
      <w:r w:rsidR="00C320B6">
        <w:rPr>
          <w:rFonts w:cstheme="minorHAnsi"/>
          <w:color w:val="000000"/>
        </w:rPr>
        <w:t xml:space="preserve">over the course of the study </w:t>
      </w:r>
      <w:r>
        <w:rPr>
          <w:rFonts w:cstheme="minorHAnsi"/>
          <w:color w:val="000000"/>
        </w:rPr>
        <w:t xml:space="preserve">but did perturb the microbiome. </w:t>
      </w:r>
    </w:p>
    <w:p w14:paraId="5EF13EA6" w14:textId="77777777" w:rsidR="00AD05F5" w:rsidRDefault="00AD05F5" w:rsidP="00AD05F5">
      <w:pPr>
        <w:spacing w:line="360" w:lineRule="auto"/>
        <w:rPr>
          <w:rFonts w:cstheme="minorHAnsi"/>
          <w:b/>
          <w:bCs/>
          <w:color w:val="000000"/>
        </w:rPr>
      </w:pPr>
    </w:p>
    <w:p w14:paraId="67FD5C51" w14:textId="77777777" w:rsidR="00AD05F5" w:rsidRDefault="00AD05F5" w:rsidP="00AD05F5">
      <w:pPr>
        <w:spacing w:line="360" w:lineRule="auto"/>
        <w:rPr>
          <w:rFonts w:cstheme="minorHAnsi"/>
          <w:b/>
          <w:bCs/>
          <w:color w:val="000000"/>
        </w:rPr>
      </w:pPr>
    </w:p>
    <w:p w14:paraId="7DCB6C7C" w14:textId="77777777" w:rsidR="00AD05F5" w:rsidRDefault="00AD05F5" w:rsidP="00AD05F5">
      <w:pPr>
        <w:spacing w:line="360" w:lineRule="auto"/>
        <w:rPr>
          <w:rFonts w:cstheme="minorHAnsi"/>
          <w:b/>
          <w:bCs/>
          <w:color w:val="000000"/>
        </w:rPr>
      </w:pPr>
    </w:p>
    <w:p w14:paraId="000DC1D1" w14:textId="77777777" w:rsidR="00AD05F5" w:rsidRDefault="00AD05F5" w:rsidP="00AD05F5">
      <w:pPr>
        <w:spacing w:line="360" w:lineRule="auto"/>
        <w:rPr>
          <w:rFonts w:cstheme="minorHAnsi"/>
          <w:b/>
          <w:bCs/>
          <w:color w:val="000000"/>
        </w:rPr>
      </w:pPr>
    </w:p>
    <w:p w14:paraId="2AD130A4" w14:textId="77777777" w:rsidR="00AD05F5" w:rsidRDefault="00AD05F5" w:rsidP="00AD05F5">
      <w:pPr>
        <w:spacing w:line="360" w:lineRule="auto"/>
        <w:rPr>
          <w:rFonts w:cstheme="minorHAnsi"/>
          <w:b/>
          <w:bCs/>
          <w:color w:val="000000"/>
        </w:rPr>
      </w:pPr>
    </w:p>
    <w:p w14:paraId="3643C285" w14:textId="77777777" w:rsidR="00AD05F5" w:rsidRDefault="00AD05F5" w:rsidP="00AD05F5">
      <w:pPr>
        <w:spacing w:line="360" w:lineRule="auto"/>
        <w:rPr>
          <w:rFonts w:cstheme="minorHAnsi"/>
          <w:b/>
          <w:bCs/>
          <w:color w:val="000000"/>
        </w:rPr>
      </w:pPr>
    </w:p>
    <w:p w14:paraId="608A3F9B" w14:textId="77777777" w:rsidR="00AD05F5" w:rsidRDefault="00AD05F5" w:rsidP="00AD05F5">
      <w:pPr>
        <w:spacing w:line="360" w:lineRule="auto"/>
        <w:rPr>
          <w:rFonts w:cstheme="minorHAnsi"/>
          <w:b/>
          <w:bCs/>
          <w:color w:val="000000"/>
        </w:rPr>
      </w:pPr>
    </w:p>
    <w:p w14:paraId="32B70E9A" w14:textId="77777777" w:rsidR="00AD05F5" w:rsidRDefault="00AD05F5" w:rsidP="00AD05F5">
      <w:pPr>
        <w:spacing w:line="360" w:lineRule="auto"/>
        <w:rPr>
          <w:rFonts w:cstheme="minorHAnsi"/>
          <w:b/>
          <w:bCs/>
          <w:color w:val="000000"/>
        </w:rPr>
      </w:pPr>
    </w:p>
    <w:p w14:paraId="33B7F600" w14:textId="77777777" w:rsidR="00AD05F5" w:rsidRDefault="00AD05F5" w:rsidP="00AD05F5">
      <w:pPr>
        <w:spacing w:line="360" w:lineRule="auto"/>
        <w:rPr>
          <w:rFonts w:cstheme="minorHAnsi"/>
          <w:b/>
          <w:bCs/>
          <w:color w:val="000000"/>
        </w:rPr>
      </w:pPr>
    </w:p>
    <w:p w14:paraId="33651F7D" w14:textId="77777777" w:rsidR="00AD05F5" w:rsidRDefault="00AD05F5" w:rsidP="00AD05F5">
      <w:pPr>
        <w:spacing w:line="360" w:lineRule="auto"/>
        <w:rPr>
          <w:rFonts w:cstheme="minorHAnsi"/>
          <w:b/>
          <w:bCs/>
          <w:color w:val="000000"/>
        </w:rPr>
      </w:pPr>
    </w:p>
    <w:p w14:paraId="4975CECF" w14:textId="77777777" w:rsidR="00AD05F5" w:rsidRDefault="00AD05F5" w:rsidP="00AD05F5">
      <w:pPr>
        <w:spacing w:line="360" w:lineRule="auto"/>
        <w:rPr>
          <w:rFonts w:cstheme="minorHAnsi"/>
          <w:b/>
          <w:bCs/>
          <w:color w:val="000000"/>
        </w:rPr>
      </w:pPr>
    </w:p>
    <w:p w14:paraId="478BB137" w14:textId="77777777" w:rsidR="00AD05F5" w:rsidRDefault="00AD05F5" w:rsidP="00AD05F5">
      <w:pPr>
        <w:spacing w:line="360" w:lineRule="auto"/>
        <w:rPr>
          <w:rFonts w:cstheme="minorHAnsi"/>
          <w:b/>
          <w:bCs/>
          <w:color w:val="000000"/>
        </w:rPr>
      </w:pPr>
    </w:p>
    <w:p w14:paraId="551A78E6" w14:textId="77777777" w:rsidR="00AD05F5" w:rsidRDefault="00AD05F5" w:rsidP="00AD05F5">
      <w:pPr>
        <w:spacing w:line="360" w:lineRule="auto"/>
        <w:rPr>
          <w:rFonts w:cstheme="minorHAnsi"/>
          <w:b/>
          <w:bCs/>
          <w:color w:val="000000"/>
        </w:rPr>
      </w:pPr>
    </w:p>
    <w:p w14:paraId="739CFB4C" w14:textId="77777777" w:rsidR="00AD05F5" w:rsidRDefault="00AD05F5" w:rsidP="00AD05F5">
      <w:pPr>
        <w:spacing w:line="360" w:lineRule="auto"/>
        <w:rPr>
          <w:rFonts w:cstheme="minorHAnsi"/>
          <w:b/>
          <w:bCs/>
          <w:color w:val="000000"/>
        </w:rPr>
      </w:pPr>
    </w:p>
    <w:p w14:paraId="68619A74" w14:textId="77777777" w:rsidR="00AD05F5" w:rsidRDefault="00AD05F5" w:rsidP="00AD05F5">
      <w:pPr>
        <w:spacing w:line="360" w:lineRule="auto"/>
        <w:rPr>
          <w:rFonts w:cstheme="minorHAnsi"/>
          <w:b/>
          <w:bCs/>
          <w:color w:val="000000"/>
        </w:rPr>
      </w:pPr>
    </w:p>
    <w:p w14:paraId="24499661" w14:textId="77777777" w:rsidR="00AD05F5" w:rsidRDefault="00AD05F5" w:rsidP="00AD05F5">
      <w:pPr>
        <w:rPr>
          <w:rFonts w:ascii="Cambria" w:hAnsi="Cambria"/>
          <w:color w:val="000000"/>
        </w:rPr>
      </w:pPr>
      <w:r>
        <w:rPr>
          <w:rFonts w:ascii="Cambria" w:hAnsi="Cambria"/>
          <w:color w:val="000000"/>
        </w:rPr>
        <w:br w:type="page"/>
      </w:r>
    </w:p>
    <w:p w14:paraId="78EE4B00" w14:textId="77777777" w:rsidR="00AD05F5" w:rsidRDefault="00AD05F5" w:rsidP="00AD05F5">
      <w:pPr>
        <w:pStyle w:val="Heading1"/>
        <w:numPr>
          <w:ilvl w:val="0"/>
          <w:numId w:val="0"/>
        </w:numPr>
        <w:spacing w:line="360" w:lineRule="auto"/>
        <w:rPr>
          <w:b/>
          <w:bCs/>
        </w:rPr>
      </w:pPr>
      <w:bookmarkStart w:id="1" w:name="_Toc117765871"/>
      <w:r w:rsidRPr="00241369">
        <w:rPr>
          <w:b/>
          <w:bCs/>
        </w:rPr>
        <w:lastRenderedPageBreak/>
        <w:t>A</w:t>
      </w:r>
      <w:r>
        <w:rPr>
          <w:b/>
          <w:bCs/>
        </w:rPr>
        <w:t>cknowledgments</w:t>
      </w:r>
      <w:bookmarkEnd w:id="1"/>
    </w:p>
    <w:p w14:paraId="68C034DC" w14:textId="53C26FF2" w:rsidR="00AD05F5" w:rsidRPr="007A5126" w:rsidRDefault="00AD05F5" w:rsidP="00AD05F5">
      <w:pPr>
        <w:spacing w:line="360" w:lineRule="auto"/>
        <w:rPr>
          <w:lang w:val="en-US"/>
        </w:rPr>
      </w:pPr>
      <w:r w:rsidRPr="007A5126">
        <w:rPr>
          <w:lang w:val="en-US"/>
        </w:rPr>
        <w:t>Without the support, advice and assistance of a great many people and their belief in me that this thesis could be submitted, I may not have reached th</w:t>
      </w:r>
      <w:r w:rsidR="00605603">
        <w:rPr>
          <w:lang w:val="en-US"/>
        </w:rPr>
        <w:t>e</w:t>
      </w:r>
      <w:r w:rsidRPr="007A5126">
        <w:rPr>
          <w:lang w:val="en-US"/>
        </w:rPr>
        <w:t xml:space="preserve"> final stage.</w:t>
      </w:r>
    </w:p>
    <w:p w14:paraId="30B8D17C" w14:textId="77777777" w:rsidR="00AD05F5" w:rsidRPr="007A5126" w:rsidRDefault="00AD05F5" w:rsidP="00AD05F5">
      <w:pPr>
        <w:spacing w:line="360" w:lineRule="auto"/>
        <w:rPr>
          <w:lang w:val="en-US"/>
        </w:rPr>
      </w:pPr>
      <w:r w:rsidRPr="007A5126">
        <w:rPr>
          <w:lang w:val="en-US"/>
        </w:rPr>
        <w:t xml:space="preserve">Firstly, to my supervisor Professor </w:t>
      </w:r>
      <w:proofErr w:type="spellStart"/>
      <w:r w:rsidRPr="007A5126">
        <w:rPr>
          <w:lang w:val="en-US"/>
        </w:rPr>
        <w:t>Condliffe</w:t>
      </w:r>
      <w:proofErr w:type="spellEnd"/>
      <w:r w:rsidRPr="007A5126">
        <w:rPr>
          <w:lang w:val="en-US"/>
        </w:rPr>
        <w:t xml:space="preserve"> who has guided me along this journey. Her great experience, advice and encouragement has motivated me to continue through the ups and downs of these studies confounded by a pandemic!  I am extremely grateful for her support. I am also incredibly grateful to Professor Lee whose expertise, thought provoking discussions and patience enabled me to carry out the qualitative research.</w:t>
      </w:r>
    </w:p>
    <w:p w14:paraId="3D495BA9" w14:textId="77777777" w:rsidR="00AD05F5" w:rsidRPr="007A5126" w:rsidRDefault="00AD05F5" w:rsidP="00AD05F5">
      <w:pPr>
        <w:spacing w:line="360" w:lineRule="auto"/>
        <w:rPr>
          <w:lang w:val="en-US"/>
        </w:rPr>
      </w:pPr>
      <w:r w:rsidRPr="007A5126">
        <w:rPr>
          <w:lang w:val="en-US"/>
        </w:rPr>
        <w:t xml:space="preserve">My thanks must extend to my clinical supervisors, Dr </w:t>
      </w:r>
      <w:proofErr w:type="spellStart"/>
      <w:r w:rsidRPr="007A5126">
        <w:rPr>
          <w:lang w:val="en-US"/>
        </w:rPr>
        <w:t>Shackley</w:t>
      </w:r>
      <w:proofErr w:type="spellEnd"/>
      <w:r w:rsidRPr="007A5126">
        <w:rPr>
          <w:lang w:val="en-US"/>
        </w:rPr>
        <w:t xml:space="preserve"> who changed the direction of my career with her enthusiasm and great ideas and Dr Ugonna whose support and pragmatism enabled me to carry out the projects. The respiratory nurses shared in the pain of recruitment and without their help and kindness, we may have stalled at the very beginning. The families and children who took part in this project require special thanks as they persisted with nasal swabs and interviews and made the studies possible.</w:t>
      </w:r>
    </w:p>
    <w:p w14:paraId="424E4586" w14:textId="5E1AB2FB" w:rsidR="00AD05F5" w:rsidRPr="007A5126" w:rsidRDefault="00AD05F5" w:rsidP="00AD05F5">
      <w:pPr>
        <w:spacing w:line="360" w:lineRule="auto"/>
        <w:rPr>
          <w:lang w:val="en-US"/>
        </w:rPr>
      </w:pPr>
      <w:r w:rsidRPr="007A5126">
        <w:rPr>
          <w:lang w:val="en-US"/>
        </w:rPr>
        <w:t xml:space="preserve">Dr </w:t>
      </w:r>
      <w:proofErr w:type="spellStart"/>
      <w:r w:rsidRPr="007A5126">
        <w:rPr>
          <w:lang w:val="en-US"/>
        </w:rPr>
        <w:t>Darton</w:t>
      </w:r>
      <w:proofErr w:type="spellEnd"/>
      <w:r w:rsidRPr="007A5126">
        <w:rPr>
          <w:lang w:val="en-US"/>
        </w:rPr>
        <w:t xml:space="preserve"> and Dr </w:t>
      </w:r>
      <w:proofErr w:type="spellStart"/>
      <w:r w:rsidRPr="007A5126">
        <w:rPr>
          <w:lang w:val="en-US"/>
        </w:rPr>
        <w:t>Suligoy</w:t>
      </w:r>
      <w:proofErr w:type="spellEnd"/>
      <w:r w:rsidRPr="007A5126">
        <w:rPr>
          <w:lang w:val="en-US"/>
        </w:rPr>
        <w:t xml:space="preserve">, I would like to thank for supporting me up a steep learning curve through </w:t>
      </w:r>
      <w:r>
        <w:rPr>
          <w:lang w:val="en-US"/>
        </w:rPr>
        <w:t>antimicrobial resistance</w:t>
      </w:r>
      <w:r w:rsidRPr="007A5126">
        <w:rPr>
          <w:lang w:val="en-US"/>
        </w:rPr>
        <w:t xml:space="preserve"> and </w:t>
      </w:r>
      <w:r w:rsidR="005D2ED1">
        <w:rPr>
          <w:lang w:val="en-US"/>
        </w:rPr>
        <w:t>sequencing interpretation</w:t>
      </w:r>
      <w:r w:rsidRPr="007A5126">
        <w:rPr>
          <w:lang w:val="en-US"/>
        </w:rPr>
        <w:t>. Rebecca Hull’s introduc</w:t>
      </w:r>
      <w:r w:rsidR="005D2ED1">
        <w:rPr>
          <w:lang w:val="en-US"/>
        </w:rPr>
        <w:t>tion</w:t>
      </w:r>
      <w:r w:rsidRPr="007A5126">
        <w:rPr>
          <w:lang w:val="en-US"/>
        </w:rPr>
        <w:t xml:space="preserve"> </w:t>
      </w:r>
      <w:r w:rsidR="005D2ED1">
        <w:rPr>
          <w:lang w:val="en-US"/>
        </w:rPr>
        <w:t xml:space="preserve">to working in a </w:t>
      </w:r>
      <w:r w:rsidRPr="007A5126">
        <w:rPr>
          <w:lang w:val="en-US"/>
        </w:rPr>
        <w:t xml:space="preserve">laboratory has been incredibly valuable and her </w:t>
      </w:r>
      <w:r>
        <w:rPr>
          <w:lang w:val="en-US"/>
        </w:rPr>
        <w:t xml:space="preserve">assistance </w:t>
      </w:r>
      <w:r w:rsidRPr="007A5126">
        <w:rPr>
          <w:lang w:val="en-US"/>
        </w:rPr>
        <w:t>with troubleshooting protocol issues has been amazing.</w:t>
      </w:r>
      <w:r>
        <w:rPr>
          <w:lang w:val="en-US"/>
        </w:rPr>
        <w:t xml:space="preserve"> Rachelle Macham and the microbiology laboratory team at STH have been incredibly helpful with culturing and susceptibility testing the bacterial isolates. </w:t>
      </w:r>
    </w:p>
    <w:p w14:paraId="4FCE0B6F" w14:textId="2EEB79E4" w:rsidR="00AD05F5" w:rsidRPr="007A5126" w:rsidRDefault="00AD05F5" w:rsidP="00AD05F5">
      <w:pPr>
        <w:spacing w:line="360" w:lineRule="auto"/>
        <w:rPr>
          <w:lang w:val="en-US"/>
        </w:rPr>
      </w:pPr>
      <w:r w:rsidRPr="007A5126">
        <w:rPr>
          <w:lang w:val="en-US"/>
        </w:rPr>
        <w:t xml:space="preserve">My thanks go also to the team at the Centre for Inflammation Research, University of Edinburgh, headed by Professor Bogaert who kindly collaborated with the project. </w:t>
      </w:r>
      <w:r w:rsidR="00C9585B">
        <w:rPr>
          <w:lang w:val="en-US"/>
        </w:rPr>
        <w:t xml:space="preserve">I am very grateful to Paula </w:t>
      </w:r>
      <w:proofErr w:type="spellStart"/>
      <w:r w:rsidR="00C9585B">
        <w:rPr>
          <w:lang w:val="en-US"/>
        </w:rPr>
        <w:t>Lusarreta</w:t>
      </w:r>
      <w:proofErr w:type="spellEnd"/>
      <w:r w:rsidR="00C9585B">
        <w:rPr>
          <w:lang w:val="en-US"/>
        </w:rPr>
        <w:t xml:space="preserve"> Parga who processed all the samples for sequencing. </w:t>
      </w:r>
      <w:r w:rsidRPr="007A5126">
        <w:rPr>
          <w:lang w:val="en-US"/>
        </w:rPr>
        <w:t xml:space="preserve">Dr Ruiz Rodriguez and Justyna </w:t>
      </w:r>
      <w:proofErr w:type="spellStart"/>
      <w:r w:rsidRPr="007A5126">
        <w:rPr>
          <w:lang w:val="en-US"/>
        </w:rPr>
        <w:t>Binkowska</w:t>
      </w:r>
      <w:r w:rsidR="00A03F38">
        <w:rPr>
          <w:lang w:val="en-US"/>
        </w:rPr>
        <w:t>’s</w:t>
      </w:r>
      <w:proofErr w:type="spellEnd"/>
      <w:r w:rsidR="00A03F38">
        <w:rPr>
          <w:lang w:val="en-US"/>
        </w:rPr>
        <w:t xml:space="preserve"> advice was </w:t>
      </w:r>
      <w:r w:rsidR="001706A9">
        <w:rPr>
          <w:lang w:val="en-US"/>
        </w:rPr>
        <w:t>excellent,</w:t>
      </w:r>
      <w:r w:rsidR="00A03F38">
        <w:rPr>
          <w:lang w:val="en-US"/>
        </w:rPr>
        <w:t xml:space="preserve"> </w:t>
      </w:r>
      <w:r w:rsidRPr="007A5126">
        <w:rPr>
          <w:lang w:val="en-US"/>
        </w:rPr>
        <w:t xml:space="preserve">and </w:t>
      </w:r>
      <w:r w:rsidR="00A03F38">
        <w:rPr>
          <w:lang w:val="en-US"/>
        </w:rPr>
        <w:t xml:space="preserve">they </w:t>
      </w:r>
      <w:r w:rsidRPr="007A5126">
        <w:rPr>
          <w:lang w:val="en-US"/>
        </w:rPr>
        <w:t xml:space="preserve">equipped me with the skills I needed to get me through the process of </w:t>
      </w:r>
      <w:proofErr w:type="spellStart"/>
      <w:r w:rsidRPr="007A5126">
        <w:rPr>
          <w:lang w:val="en-US"/>
        </w:rPr>
        <w:t>analysing</w:t>
      </w:r>
      <w:proofErr w:type="spellEnd"/>
      <w:r w:rsidRPr="007A5126">
        <w:rPr>
          <w:lang w:val="en-US"/>
        </w:rPr>
        <w:t xml:space="preserve"> the microbiome. I am extremely grateful to Professor Bishop who has championed the Bassetlaw fellowship </w:t>
      </w:r>
      <w:proofErr w:type="spellStart"/>
      <w:r w:rsidRPr="007A5126">
        <w:rPr>
          <w:lang w:val="en-US"/>
        </w:rPr>
        <w:t>programme</w:t>
      </w:r>
      <w:proofErr w:type="spellEnd"/>
      <w:r w:rsidR="001706A9">
        <w:rPr>
          <w:lang w:val="en-US"/>
        </w:rPr>
        <w:t>,</w:t>
      </w:r>
      <w:r w:rsidRPr="007A5126">
        <w:rPr>
          <w:lang w:val="en-US"/>
        </w:rPr>
        <w:t xml:space="preserve"> enabling me to have the opportunity to further my interest in </w:t>
      </w:r>
      <w:proofErr w:type="spellStart"/>
      <w:r w:rsidRPr="007A5126">
        <w:rPr>
          <w:lang w:val="en-US"/>
        </w:rPr>
        <w:t>paediatric</w:t>
      </w:r>
      <w:proofErr w:type="spellEnd"/>
      <w:r w:rsidRPr="007A5126">
        <w:rPr>
          <w:lang w:val="en-US"/>
        </w:rPr>
        <w:t xml:space="preserve"> research.</w:t>
      </w:r>
      <w:r w:rsidR="005D2ED1">
        <w:rPr>
          <w:lang w:val="en-US"/>
        </w:rPr>
        <w:t xml:space="preserve"> </w:t>
      </w:r>
      <w:proofErr w:type="spellStart"/>
      <w:r w:rsidR="001720B6">
        <w:rPr>
          <w:lang w:val="en-US"/>
        </w:rPr>
        <w:t>Samya</w:t>
      </w:r>
      <w:proofErr w:type="spellEnd"/>
      <w:r w:rsidR="001720B6">
        <w:rPr>
          <w:lang w:val="en-US"/>
        </w:rPr>
        <w:t xml:space="preserve"> </w:t>
      </w:r>
      <w:proofErr w:type="spellStart"/>
      <w:r w:rsidR="001720B6">
        <w:rPr>
          <w:lang w:val="en-US"/>
        </w:rPr>
        <w:t>Armoush’s</w:t>
      </w:r>
      <w:proofErr w:type="spellEnd"/>
      <w:r w:rsidR="001720B6">
        <w:rPr>
          <w:lang w:val="en-US"/>
        </w:rPr>
        <w:t xml:space="preserve"> </w:t>
      </w:r>
      <w:r w:rsidR="00533B35">
        <w:rPr>
          <w:lang w:val="en-US"/>
        </w:rPr>
        <w:t xml:space="preserve">expertise have been incredible with </w:t>
      </w:r>
      <w:r w:rsidR="001720B6">
        <w:rPr>
          <w:lang w:val="en-US"/>
        </w:rPr>
        <w:t xml:space="preserve">registering the studies and </w:t>
      </w:r>
      <w:r w:rsidR="00533B35">
        <w:rPr>
          <w:lang w:val="en-US"/>
        </w:rPr>
        <w:t xml:space="preserve">helping </w:t>
      </w:r>
      <w:r w:rsidR="001720B6">
        <w:rPr>
          <w:lang w:val="en-US"/>
        </w:rPr>
        <w:t>apply for ethical approval</w:t>
      </w:r>
      <w:r w:rsidR="00533B35">
        <w:rPr>
          <w:lang w:val="en-US"/>
        </w:rPr>
        <w:t xml:space="preserve">. </w:t>
      </w:r>
      <w:r w:rsidR="00605603">
        <w:rPr>
          <w:lang w:val="en-US"/>
        </w:rPr>
        <w:t xml:space="preserve">Further thanks go to the charity </w:t>
      </w:r>
      <w:r w:rsidR="005D2ED1">
        <w:rPr>
          <w:lang w:val="en-US"/>
        </w:rPr>
        <w:t xml:space="preserve">ANTRUK, the Sir Halley Stewart Trust and the Florey institute, </w:t>
      </w:r>
      <w:r w:rsidR="00605603">
        <w:rPr>
          <w:lang w:val="en-US"/>
        </w:rPr>
        <w:t>whose funding enabled us to carry out these projects.</w:t>
      </w:r>
    </w:p>
    <w:p w14:paraId="2E996E6D" w14:textId="32D9EE9C" w:rsidR="00605603" w:rsidRDefault="00AD05F5" w:rsidP="00AD05F5">
      <w:pPr>
        <w:spacing w:line="360" w:lineRule="auto"/>
      </w:pPr>
      <w:r w:rsidRPr="007A5126">
        <w:t xml:space="preserve">I must now thank my family who have all been through this with me. Their endless belief, support and sacrifices have been invaluable throughout this process. My wife Sam, has taken one </w:t>
      </w:r>
      <w:r w:rsidRPr="007A5126">
        <w:lastRenderedPageBreak/>
        <w:t>for the team, kept life going enabling me the time to complete this and believed that we would all get there in the end. Thank you.</w:t>
      </w:r>
    </w:p>
    <w:p w14:paraId="07506907" w14:textId="36ABD5EF" w:rsidR="00AD05F5" w:rsidRPr="0031532D" w:rsidRDefault="00605603" w:rsidP="00EE1578">
      <w:r>
        <w:br w:type="page"/>
      </w:r>
    </w:p>
    <w:bookmarkStart w:id="2" w:name="_Toc117765872" w:displacedByCustomXml="next"/>
    <w:sdt>
      <w:sdtPr>
        <w:rPr>
          <w:rFonts w:asciiTheme="minorHAnsi" w:eastAsiaTheme="minorHAnsi" w:hAnsiTheme="minorHAnsi" w:cstheme="minorBidi"/>
          <w:color w:val="auto"/>
          <w:sz w:val="24"/>
          <w:szCs w:val="24"/>
          <w:lang w:eastAsia="en-GB"/>
        </w:rPr>
        <w:id w:val="-653905456"/>
        <w:docPartObj>
          <w:docPartGallery w:val="Table of Contents"/>
          <w:docPartUnique/>
        </w:docPartObj>
      </w:sdtPr>
      <w:sdtEndPr>
        <w:rPr>
          <w:b/>
          <w:bCs/>
          <w:noProof/>
          <w:sz w:val="22"/>
          <w:szCs w:val="22"/>
          <w:lang w:eastAsia="en-US"/>
        </w:rPr>
      </w:sdtEndPr>
      <w:sdtContent>
        <w:p w14:paraId="3714F52F" w14:textId="77777777" w:rsidR="00C93C4B" w:rsidRPr="00B42561" w:rsidRDefault="00C93C4B" w:rsidP="00EA769B">
          <w:pPr>
            <w:pStyle w:val="Heading1"/>
            <w:numPr>
              <w:ilvl w:val="0"/>
              <w:numId w:val="0"/>
            </w:numPr>
            <w:ind w:left="432" w:hanging="432"/>
            <w:rPr>
              <w:sz w:val="24"/>
              <w:szCs w:val="24"/>
            </w:rPr>
          </w:pPr>
          <w:r w:rsidRPr="00B42561">
            <w:rPr>
              <w:sz w:val="24"/>
              <w:szCs w:val="24"/>
            </w:rPr>
            <w:t>Table of Contents</w:t>
          </w:r>
          <w:bookmarkEnd w:id="2"/>
        </w:p>
        <w:p w14:paraId="2D4DC293" w14:textId="2787B71D" w:rsidR="00892868" w:rsidRDefault="00C93C4B">
          <w:pPr>
            <w:pStyle w:val="TOC1"/>
            <w:rPr>
              <w:rFonts w:eastAsiaTheme="minorEastAsia"/>
              <w:noProof/>
              <w:lang w:eastAsia="en-GB"/>
            </w:rPr>
          </w:pPr>
          <w:r w:rsidRPr="00B42561">
            <w:rPr>
              <w:sz w:val="24"/>
              <w:szCs w:val="24"/>
            </w:rPr>
            <w:fldChar w:fldCharType="begin"/>
          </w:r>
          <w:r w:rsidRPr="00B42561">
            <w:rPr>
              <w:sz w:val="24"/>
              <w:szCs w:val="24"/>
            </w:rPr>
            <w:instrText xml:space="preserve"> TOC \o "1-3" \h \z \u </w:instrText>
          </w:r>
          <w:r w:rsidRPr="00B42561">
            <w:rPr>
              <w:sz w:val="24"/>
              <w:szCs w:val="24"/>
            </w:rPr>
            <w:fldChar w:fldCharType="separate"/>
          </w:r>
          <w:hyperlink w:anchor="_Toc117765870" w:history="1">
            <w:r w:rsidR="00892868" w:rsidRPr="00E9064B">
              <w:rPr>
                <w:rStyle w:val="Hyperlink"/>
                <w:noProof/>
              </w:rPr>
              <w:t>Summary</w:t>
            </w:r>
            <w:r w:rsidR="00892868">
              <w:rPr>
                <w:noProof/>
                <w:webHidden/>
              </w:rPr>
              <w:tab/>
            </w:r>
            <w:r w:rsidR="00892868">
              <w:rPr>
                <w:noProof/>
                <w:webHidden/>
              </w:rPr>
              <w:fldChar w:fldCharType="begin"/>
            </w:r>
            <w:r w:rsidR="00892868">
              <w:rPr>
                <w:noProof/>
                <w:webHidden/>
              </w:rPr>
              <w:instrText xml:space="preserve"> PAGEREF _Toc117765870 \h </w:instrText>
            </w:r>
            <w:r w:rsidR="00892868">
              <w:rPr>
                <w:noProof/>
                <w:webHidden/>
              </w:rPr>
            </w:r>
            <w:r w:rsidR="00892868">
              <w:rPr>
                <w:noProof/>
                <w:webHidden/>
              </w:rPr>
              <w:fldChar w:fldCharType="separate"/>
            </w:r>
            <w:r w:rsidR="00892868">
              <w:rPr>
                <w:noProof/>
                <w:webHidden/>
              </w:rPr>
              <w:t>2</w:t>
            </w:r>
            <w:r w:rsidR="00892868">
              <w:rPr>
                <w:noProof/>
                <w:webHidden/>
              </w:rPr>
              <w:fldChar w:fldCharType="end"/>
            </w:r>
          </w:hyperlink>
        </w:p>
        <w:p w14:paraId="1B2E4A03" w14:textId="3EE6ADAF" w:rsidR="00892868" w:rsidRDefault="00000000">
          <w:pPr>
            <w:pStyle w:val="TOC1"/>
            <w:rPr>
              <w:rFonts w:eastAsiaTheme="minorEastAsia"/>
              <w:noProof/>
              <w:lang w:eastAsia="en-GB"/>
            </w:rPr>
          </w:pPr>
          <w:hyperlink w:anchor="_Toc117765871" w:history="1">
            <w:r w:rsidR="00892868" w:rsidRPr="00E9064B">
              <w:rPr>
                <w:rStyle w:val="Hyperlink"/>
                <w:b/>
                <w:bCs/>
                <w:noProof/>
              </w:rPr>
              <w:t>Acknowledgments</w:t>
            </w:r>
            <w:r w:rsidR="00892868">
              <w:rPr>
                <w:noProof/>
                <w:webHidden/>
              </w:rPr>
              <w:tab/>
            </w:r>
            <w:r w:rsidR="00892868">
              <w:rPr>
                <w:noProof/>
                <w:webHidden/>
              </w:rPr>
              <w:fldChar w:fldCharType="begin"/>
            </w:r>
            <w:r w:rsidR="00892868">
              <w:rPr>
                <w:noProof/>
                <w:webHidden/>
              </w:rPr>
              <w:instrText xml:space="preserve"> PAGEREF _Toc117765871 \h </w:instrText>
            </w:r>
            <w:r w:rsidR="00892868">
              <w:rPr>
                <w:noProof/>
                <w:webHidden/>
              </w:rPr>
            </w:r>
            <w:r w:rsidR="00892868">
              <w:rPr>
                <w:noProof/>
                <w:webHidden/>
              </w:rPr>
              <w:fldChar w:fldCharType="separate"/>
            </w:r>
            <w:r w:rsidR="00892868">
              <w:rPr>
                <w:noProof/>
                <w:webHidden/>
              </w:rPr>
              <w:t>4</w:t>
            </w:r>
            <w:r w:rsidR="00892868">
              <w:rPr>
                <w:noProof/>
                <w:webHidden/>
              </w:rPr>
              <w:fldChar w:fldCharType="end"/>
            </w:r>
          </w:hyperlink>
        </w:p>
        <w:p w14:paraId="59DA08F0" w14:textId="32C2612D" w:rsidR="00892868" w:rsidRDefault="00000000">
          <w:pPr>
            <w:pStyle w:val="TOC1"/>
            <w:rPr>
              <w:rFonts w:eastAsiaTheme="minorEastAsia"/>
              <w:noProof/>
              <w:lang w:eastAsia="en-GB"/>
            </w:rPr>
          </w:pPr>
          <w:hyperlink w:anchor="_Toc117765872" w:history="1">
            <w:r w:rsidR="00892868" w:rsidRPr="00E9064B">
              <w:rPr>
                <w:rStyle w:val="Hyperlink"/>
                <w:noProof/>
              </w:rPr>
              <w:t>Table of Contents</w:t>
            </w:r>
            <w:r w:rsidR="00892868">
              <w:rPr>
                <w:noProof/>
                <w:webHidden/>
              </w:rPr>
              <w:tab/>
            </w:r>
            <w:r w:rsidR="00892868">
              <w:rPr>
                <w:noProof/>
                <w:webHidden/>
              </w:rPr>
              <w:fldChar w:fldCharType="begin"/>
            </w:r>
            <w:r w:rsidR="00892868">
              <w:rPr>
                <w:noProof/>
                <w:webHidden/>
              </w:rPr>
              <w:instrText xml:space="preserve"> PAGEREF _Toc117765872 \h </w:instrText>
            </w:r>
            <w:r w:rsidR="00892868">
              <w:rPr>
                <w:noProof/>
                <w:webHidden/>
              </w:rPr>
            </w:r>
            <w:r w:rsidR="00892868">
              <w:rPr>
                <w:noProof/>
                <w:webHidden/>
              </w:rPr>
              <w:fldChar w:fldCharType="separate"/>
            </w:r>
            <w:r w:rsidR="00892868">
              <w:rPr>
                <w:noProof/>
                <w:webHidden/>
              </w:rPr>
              <w:t>6</w:t>
            </w:r>
            <w:r w:rsidR="00892868">
              <w:rPr>
                <w:noProof/>
                <w:webHidden/>
              </w:rPr>
              <w:fldChar w:fldCharType="end"/>
            </w:r>
          </w:hyperlink>
        </w:p>
        <w:p w14:paraId="1C95D3B4" w14:textId="57490323" w:rsidR="00892868" w:rsidRDefault="00000000">
          <w:pPr>
            <w:pStyle w:val="TOC1"/>
            <w:rPr>
              <w:rFonts w:eastAsiaTheme="minorEastAsia"/>
              <w:noProof/>
              <w:lang w:eastAsia="en-GB"/>
            </w:rPr>
          </w:pPr>
          <w:hyperlink w:anchor="_Toc117765873" w:history="1">
            <w:r w:rsidR="00892868" w:rsidRPr="00E9064B">
              <w:rPr>
                <w:rStyle w:val="Hyperlink"/>
                <w:noProof/>
              </w:rPr>
              <w:t>List of figures</w:t>
            </w:r>
            <w:r w:rsidR="00892868">
              <w:rPr>
                <w:noProof/>
                <w:webHidden/>
              </w:rPr>
              <w:tab/>
            </w:r>
            <w:r w:rsidR="00892868">
              <w:rPr>
                <w:noProof/>
                <w:webHidden/>
              </w:rPr>
              <w:fldChar w:fldCharType="begin"/>
            </w:r>
            <w:r w:rsidR="00892868">
              <w:rPr>
                <w:noProof/>
                <w:webHidden/>
              </w:rPr>
              <w:instrText xml:space="preserve"> PAGEREF _Toc117765873 \h </w:instrText>
            </w:r>
            <w:r w:rsidR="00892868">
              <w:rPr>
                <w:noProof/>
                <w:webHidden/>
              </w:rPr>
            </w:r>
            <w:r w:rsidR="00892868">
              <w:rPr>
                <w:noProof/>
                <w:webHidden/>
              </w:rPr>
              <w:fldChar w:fldCharType="separate"/>
            </w:r>
            <w:r w:rsidR="00892868">
              <w:rPr>
                <w:noProof/>
                <w:webHidden/>
              </w:rPr>
              <w:t>11</w:t>
            </w:r>
            <w:r w:rsidR="00892868">
              <w:rPr>
                <w:noProof/>
                <w:webHidden/>
              </w:rPr>
              <w:fldChar w:fldCharType="end"/>
            </w:r>
          </w:hyperlink>
        </w:p>
        <w:p w14:paraId="3AE7652D" w14:textId="6C33B25E" w:rsidR="00892868" w:rsidRDefault="00000000">
          <w:pPr>
            <w:pStyle w:val="TOC1"/>
            <w:rPr>
              <w:rFonts w:eastAsiaTheme="minorEastAsia"/>
              <w:noProof/>
              <w:lang w:eastAsia="en-GB"/>
            </w:rPr>
          </w:pPr>
          <w:hyperlink w:anchor="_Toc117765874" w:history="1">
            <w:r w:rsidR="00892868" w:rsidRPr="00E9064B">
              <w:rPr>
                <w:rStyle w:val="Hyperlink"/>
                <w:noProof/>
              </w:rPr>
              <w:t>List of Tables</w:t>
            </w:r>
            <w:r w:rsidR="00892868">
              <w:rPr>
                <w:noProof/>
                <w:webHidden/>
              </w:rPr>
              <w:tab/>
            </w:r>
            <w:r w:rsidR="00892868">
              <w:rPr>
                <w:noProof/>
                <w:webHidden/>
              </w:rPr>
              <w:fldChar w:fldCharType="begin"/>
            </w:r>
            <w:r w:rsidR="00892868">
              <w:rPr>
                <w:noProof/>
                <w:webHidden/>
              </w:rPr>
              <w:instrText xml:space="preserve"> PAGEREF _Toc117765874 \h </w:instrText>
            </w:r>
            <w:r w:rsidR="00892868">
              <w:rPr>
                <w:noProof/>
                <w:webHidden/>
              </w:rPr>
            </w:r>
            <w:r w:rsidR="00892868">
              <w:rPr>
                <w:noProof/>
                <w:webHidden/>
              </w:rPr>
              <w:fldChar w:fldCharType="separate"/>
            </w:r>
            <w:r w:rsidR="00892868">
              <w:rPr>
                <w:noProof/>
                <w:webHidden/>
              </w:rPr>
              <w:t>12</w:t>
            </w:r>
            <w:r w:rsidR="00892868">
              <w:rPr>
                <w:noProof/>
                <w:webHidden/>
              </w:rPr>
              <w:fldChar w:fldCharType="end"/>
            </w:r>
          </w:hyperlink>
        </w:p>
        <w:p w14:paraId="5A213F72" w14:textId="768FD7EC" w:rsidR="00892868" w:rsidRDefault="00000000">
          <w:pPr>
            <w:pStyle w:val="TOC1"/>
            <w:rPr>
              <w:rFonts w:eastAsiaTheme="minorEastAsia"/>
              <w:noProof/>
              <w:lang w:eastAsia="en-GB"/>
            </w:rPr>
          </w:pPr>
          <w:hyperlink w:anchor="_Toc117765875" w:history="1">
            <w:r w:rsidR="00892868" w:rsidRPr="00E9064B">
              <w:rPr>
                <w:rStyle w:val="Hyperlink"/>
                <w:noProof/>
              </w:rPr>
              <w:t>Abbreviations</w:t>
            </w:r>
            <w:r w:rsidR="00892868">
              <w:rPr>
                <w:noProof/>
                <w:webHidden/>
              </w:rPr>
              <w:tab/>
            </w:r>
            <w:r w:rsidR="00892868">
              <w:rPr>
                <w:noProof/>
                <w:webHidden/>
              </w:rPr>
              <w:fldChar w:fldCharType="begin"/>
            </w:r>
            <w:r w:rsidR="00892868">
              <w:rPr>
                <w:noProof/>
                <w:webHidden/>
              </w:rPr>
              <w:instrText xml:space="preserve"> PAGEREF _Toc117765875 \h </w:instrText>
            </w:r>
            <w:r w:rsidR="00892868">
              <w:rPr>
                <w:noProof/>
                <w:webHidden/>
              </w:rPr>
            </w:r>
            <w:r w:rsidR="00892868">
              <w:rPr>
                <w:noProof/>
                <w:webHidden/>
              </w:rPr>
              <w:fldChar w:fldCharType="separate"/>
            </w:r>
            <w:r w:rsidR="00892868">
              <w:rPr>
                <w:noProof/>
                <w:webHidden/>
              </w:rPr>
              <w:t>13</w:t>
            </w:r>
            <w:r w:rsidR="00892868">
              <w:rPr>
                <w:noProof/>
                <w:webHidden/>
              </w:rPr>
              <w:fldChar w:fldCharType="end"/>
            </w:r>
          </w:hyperlink>
        </w:p>
        <w:p w14:paraId="488BD8EC" w14:textId="5DC19966" w:rsidR="00892868" w:rsidRDefault="00000000">
          <w:pPr>
            <w:pStyle w:val="TOC1"/>
            <w:rPr>
              <w:rFonts w:eastAsiaTheme="minorEastAsia"/>
              <w:noProof/>
              <w:lang w:eastAsia="en-GB"/>
            </w:rPr>
          </w:pPr>
          <w:hyperlink w:anchor="_Toc117765876" w:history="1">
            <w:r w:rsidR="00892868" w:rsidRPr="00E9064B">
              <w:rPr>
                <w:rStyle w:val="Hyperlink"/>
                <w:noProof/>
              </w:rPr>
              <w:t>Glossary</w:t>
            </w:r>
            <w:r w:rsidR="00892868">
              <w:rPr>
                <w:noProof/>
                <w:webHidden/>
              </w:rPr>
              <w:tab/>
            </w:r>
            <w:r w:rsidR="00892868">
              <w:rPr>
                <w:noProof/>
                <w:webHidden/>
              </w:rPr>
              <w:fldChar w:fldCharType="begin"/>
            </w:r>
            <w:r w:rsidR="00892868">
              <w:rPr>
                <w:noProof/>
                <w:webHidden/>
              </w:rPr>
              <w:instrText xml:space="preserve"> PAGEREF _Toc117765876 \h </w:instrText>
            </w:r>
            <w:r w:rsidR="00892868">
              <w:rPr>
                <w:noProof/>
                <w:webHidden/>
              </w:rPr>
            </w:r>
            <w:r w:rsidR="00892868">
              <w:rPr>
                <w:noProof/>
                <w:webHidden/>
              </w:rPr>
              <w:fldChar w:fldCharType="separate"/>
            </w:r>
            <w:r w:rsidR="00892868">
              <w:rPr>
                <w:noProof/>
                <w:webHidden/>
              </w:rPr>
              <w:t>15</w:t>
            </w:r>
            <w:r w:rsidR="00892868">
              <w:rPr>
                <w:noProof/>
                <w:webHidden/>
              </w:rPr>
              <w:fldChar w:fldCharType="end"/>
            </w:r>
          </w:hyperlink>
        </w:p>
        <w:p w14:paraId="380DADC7" w14:textId="4C72481C" w:rsidR="00892868" w:rsidRDefault="00000000">
          <w:pPr>
            <w:pStyle w:val="TOC1"/>
            <w:tabs>
              <w:tab w:val="left" w:pos="440"/>
            </w:tabs>
            <w:rPr>
              <w:rFonts w:eastAsiaTheme="minorEastAsia"/>
              <w:noProof/>
              <w:lang w:eastAsia="en-GB"/>
            </w:rPr>
          </w:pPr>
          <w:hyperlink w:anchor="_Toc117765877" w:history="1">
            <w:r w:rsidR="00892868" w:rsidRPr="00E9064B">
              <w:rPr>
                <w:rStyle w:val="Hyperlink"/>
                <w:rFonts w:cstheme="majorHAnsi"/>
                <w:b/>
                <w:noProof/>
              </w:rPr>
              <w:t>1</w:t>
            </w:r>
            <w:r w:rsidR="00892868">
              <w:rPr>
                <w:rFonts w:eastAsiaTheme="minorEastAsia"/>
                <w:noProof/>
                <w:lang w:eastAsia="en-GB"/>
              </w:rPr>
              <w:tab/>
            </w:r>
            <w:r w:rsidR="00892868" w:rsidRPr="00E9064B">
              <w:rPr>
                <w:rStyle w:val="Hyperlink"/>
                <w:rFonts w:cstheme="majorHAnsi"/>
                <w:b/>
                <w:noProof/>
              </w:rPr>
              <w:t>Chapter 1. Introduction</w:t>
            </w:r>
            <w:r w:rsidR="00892868">
              <w:rPr>
                <w:noProof/>
                <w:webHidden/>
              </w:rPr>
              <w:tab/>
            </w:r>
            <w:r w:rsidR="00892868">
              <w:rPr>
                <w:noProof/>
                <w:webHidden/>
              </w:rPr>
              <w:fldChar w:fldCharType="begin"/>
            </w:r>
            <w:r w:rsidR="00892868">
              <w:rPr>
                <w:noProof/>
                <w:webHidden/>
              </w:rPr>
              <w:instrText xml:space="preserve"> PAGEREF _Toc117765877 \h </w:instrText>
            </w:r>
            <w:r w:rsidR="00892868">
              <w:rPr>
                <w:noProof/>
                <w:webHidden/>
              </w:rPr>
            </w:r>
            <w:r w:rsidR="00892868">
              <w:rPr>
                <w:noProof/>
                <w:webHidden/>
              </w:rPr>
              <w:fldChar w:fldCharType="separate"/>
            </w:r>
            <w:r w:rsidR="00892868">
              <w:rPr>
                <w:noProof/>
                <w:webHidden/>
              </w:rPr>
              <w:t>17</w:t>
            </w:r>
            <w:r w:rsidR="00892868">
              <w:rPr>
                <w:noProof/>
                <w:webHidden/>
              </w:rPr>
              <w:fldChar w:fldCharType="end"/>
            </w:r>
          </w:hyperlink>
        </w:p>
        <w:p w14:paraId="7FD06F2D" w14:textId="3CD7C111" w:rsidR="00892868" w:rsidRDefault="00000000">
          <w:pPr>
            <w:pStyle w:val="TOC2"/>
            <w:tabs>
              <w:tab w:val="left" w:pos="880"/>
            </w:tabs>
            <w:rPr>
              <w:rFonts w:eastAsiaTheme="minorEastAsia"/>
              <w:noProof/>
              <w:lang w:eastAsia="en-GB"/>
            </w:rPr>
          </w:pPr>
          <w:hyperlink w:anchor="_Toc117765878" w:history="1">
            <w:r w:rsidR="00892868" w:rsidRPr="00E9064B">
              <w:rPr>
                <w:rStyle w:val="Hyperlink"/>
                <w:noProof/>
              </w:rPr>
              <w:t>1.1</w:t>
            </w:r>
            <w:r w:rsidR="00892868">
              <w:rPr>
                <w:rFonts w:eastAsiaTheme="minorEastAsia"/>
                <w:noProof/>
                <w:lang w:eastAsia="en-GB"/>
              </w:rPr>
              <w:tab/>
            </w:r>
            <w:r w:rsidR="00892868" w:rsidRPr="00E9064B">
              <w:rPr>
                <w:rStyle w:val="Hyperlink"/>
                <w:noProof/>
              </w:rPr>
              <w:t>Chronic cough in children</w:t>
            </w:r>
            <w:r w:rsidR="00892868">
              <w:rPr>
                <w:noProof/>
                <w:webHidden/>
              </w:rPr>
              <w:tab/>
            </w:r>
            <w:r w:rsidR="00892868">
              <w:rPr>
                <w:noProof/>
                <w:webHidden/>
              </w:rPr>
              <w:fldChar w:fldCharType="begin"/>
            </w:r>
            <w:r w:rsidR="00892868">
              <w:rPr>
                <w:noProof/>
                <w:webHidden/>
              </w:rPr>
              <w:instrText xml:space="preserve"> PAGEREF _Toc117765878 \h </w:instrText>
            </w:r>
            <w:r w:rsidR="00892868">
              <w:rPr>
                <w:noProof/>
                <w:webHidden/>
              </w:rPr>
            </w:r>
            <w:r w:rsidR="00892868">
              <w:rPr>
                <w:noProof/>
                <w:webHidden/>
              </w:rPr>
              <w:fldChar w:fldCharType="separate"/>
            </w:r>
            <w:r w:rsidR="00892868">
              <w:rPr>
                <w:noProof/>
                <w:webHidden/>
              </w:rPr>
              <w:t>17</w:t>
            </w:r>
            <w:r w:rsidR="00892868">
              <w:rPr>
                <w:noProof/>
                <w:webHidden/>
              </w:rPr>
              <w:fldChar w:fldCharType="end"/>
            </w:r>
          </w:hyperlink>
        </w:p>
        <w:p w14:paraId="7A4600EA" w14:textId="7B5B0D95" w:rsidR="00892868" w:rsidRDefault="00000000">
          <w:pPr>
            <w:pStyle w:val="TOC2"/>
            <w:tabs>
              <w:tab w:val="left" w:pos="880"/>
            </w:tabs>
            <w:rPr>
              <w:rFonts w:eastAsiaTheme="minorEastAsia"/>
              <w:noProof/>
              <w:lang w:eastAsia="en-GB"/>
            </w:rPr>
          </w:pPr>
          <w:hyperlink w:anchor="_Toc117765879" w:history="1">
            <w:r w:rsidR="00892868" w:rsidRPr="00E9064B">
              <w:rPr>
                <w:rStyle w:val="Hyperlink"/>
                <w:noProof/>
              </w:rPr>
              <w:t>1.2</w:t>
            </w:r>
            <w:r w:rsidR="00892868">
              <w:rPr>
                <w:rFonts w:eastAsiaTheme="minorEastAsia"/>
                <w:noProof/>
                <w:lang w:eastAsia="en-GB"/>
              </w:rPr>
              <w:tab/>
            </w:r>
            <w:r w:rsidR="00892868" w:rsidRPr="00E9064B">
              <w:rPr>
                <w:rStyle w:val="Hyperlink"/>
                <w:noProof/>
              </w:rPr>
              <w:t>Protracted bacterial bronchitis</w:t>
            </w:r>
            <w:r w:rsidR="00892868">
              <w:rPr>
                <w:noProof/>
                <w:webHidden/>
              </w:rPr>
              <w:tab/>
            </w:r>
            <w:r w:rsidR="00892868">
              <w:rPr>
                <w:noProof/>
                <w:webHidden/>
              </w:rPr>
              <w:fldChar w:fldCharType="begin"/>
            </w:r>
            <w:r w:rsidR="00892868">
              <w:rPr>
                <w:noProof/>
                <w:webHidden/>
              </w:rPr>
              <w:instrText xml:space="preserve"> PAGEREF _Toc117765879 \h </w:instrText>
            </w:r>
            <w:r w:rsidR="00892868">
              <w:rPr>
                <w:noProof/>
                <w:webHidden/>
              </w:rPr>
            </w:r>
            <w:r w:rsidR="00892868">
              <w:rPr>
                <w:noProof/>
                <w:webHidden/>
              </w:rPr>
              <w:fldChar w:fldCharType="separate"/>
            </w:r>
            <w:r w:rsidR="00892868">
              <w:rPr>
                <w:noProof/>
                <w:webHidden/>
              </w:rPr>
              <w:t>17</w:t>
            </w:r>
            <w:r w:rsidR="00892868">
              <w:rPr>
                <w:noProof/>
                <w:webHidden/>
              </w:rPr>
              <w:fldChar w:fldCharType="end"/>
            </w:r>
          </w:hyperlink>
        </w:p>
        <w:p w14:paraId="6A9DFCAD" w14:textId="44007C56" w:rsidR="00892868" w:rsidRDefault="00000000">
          <w:pPr>
            <w:pStyle w:val="TOC2"/>
            <w:tabs>
              <w:tab w:val="left" w:pos="880"/>
            </w:tabs>
            <w:rPr>
              <w:rFonts w:eastAsiaTheme="minorEastAsia"/>
              <w:noProof/>
              <w:lang w:eastAsia="en-GB"/>
            </w:rPr>
          </w:pPr>
          <w:hyperlink w:anchor="_Toc117765880" w:history="1">
            <w:r w:rsidR="00892868" w:rsidRPr="00E9064B">
              <w:rPr>
                <w:rStyle w:val="Hyperlink"/>
                <w:noProof/>
              </w:rPr>
              <w:t>1.3</w:t>
            </w:r>
            <w:r w:rsidR="00892868">
              <w:rPr>
                <w:rFonts w:eastAsiaTheme="minorEastAsia"/>
                <w:noProof/>
                <w:lang w:eastAsia="en-GB"/>
              </w:rPr>
              <w:tab/>
            </w:r>
            <w:r w:rsidR="00892868" w:rsidRPr="00E9064B">
              <w:rPr>
                <w:rStyle w:val="Hyperlink"/>
                <w:noProof/>
              </w:rPr>
              <w:t>Antibiotics</w:t>
            </w:r>
            <w:r w:rsidR="00892868">
              <w:rPr>
                <w:noProof/>
                <w:webHidden/>
              </w:rPr>
              <w:tab/>
            </w:r>
            <w:r w:rsidR="00892868">
              <w:rPr>
                <w:noProof/>
                <w:webHidden/>
              </w:rPr>
              <w:fldChar w:fldCharType="begin"/>
            </w:r>
            <w:r w:rsidR="00892868">
              <w:rPr>
                <w:noProof/>
                <w:webHidden/>
              </w:rPr>
              <w:instrText xml:space="preserve"> PAGEREF _Toc117765880 \h </w:instrText>
            </w:r>
            <w:r w:rsidR="00892868">
              <w:rPr>
                <w:noProof/>
                <w:webHidden/>
              </w:rPr>
            </w:r>
            <w:r w:rsidR="00892868">
              <w:rPr>
                <w:noProof/>
                <w:webHidden/>
              </w:rPr>
              <w:fldChar w:fldCharType="separate"/>
            </w:r>
            <w:r w:rsidR="00892868">
              <w:rPr>
                <w:noProof/>
                <w:webHidden/>
              </w:rPr>
              <w:t>22</w:t>
            </w:r>
            <w:r w:rsidR="00892868">
              <w:rPr>
                <w:noProof/>
                <w:webHidden/>
              </w:rPr>
              <w:fldChar w:fldCharType="end"/>
            </w:r>
          </w:hyperlink>
        </w:p>
        <w:p w14:paraId="49F379CD" w14:textId="21440349" w:rsidR="00892868" w:rsidRDefault="00000000">
          <w:pPr>
            <w:pStyle w:val="TOC2"/>
            <w:tabs>
              <w:tab w:val="left" w:pos="880"/>
            </w:tabs>
            <w:rPr>
              <w:rFonts w:eastAsiaTheme="minorEastAsia"/>
              <w:noProof/>
              <w:lang w:eastAsia="en-GB"/>
            </w:rPr>
          </w:pPr>
          <w:hyperlink w:anchor="_Toc117765881" w:history="1">
            <w:r w:rsidR="00892868" w:rsidRPr="00E9064B">
              <w:rPr>
                <w:rStyle w:val="Hyperlink"/>
                <w:noProof/>
              </w:rPr>
              <w:t>1.4</w:t>
            </w:r>
            <w:r w:rsidR="00892868">
              <w:rPr>
                <w:rFonts w:eastAsiaTheme="minorEastAsia"/>
                <w:noProof/>
                <w:lang w:eastAsia="en-GB"/>
              </w:rPr>
              <w:tab/>
            </w:r>
            <w:r w:rsidR="00892868" w:rsidRPr="00E9064B">
              <w:rPr>
                <w:rStyle w:val="Hyperlink"/>
                <w:noProof/>
              </w:rPr>
              <w:t>Antibiotic resistance</w:t>
            </w:r>
            <w:r w:rsidR="00892868">
              <w:rPr>
                <w:noProof/>
                <w:webHidden/>
              </w:rPr>
              <w:tab/>
            </w:r>
            <w:r w:rsidR="00892868">
              <w:rPr>
                <w:noProof/>
                <w:webHidden/>
              </w:rPr>
              <w:fldChar w:fldCharType="begin"/>
            </w:r>
            <w:r w:rsidR="00892868">
              <w:rPr>
                <w:noProof/>
                <w:webHidden/>
              </w:rPr>
              <w:instrText xml:space="preserve"> PAGEREF _Toc117765881 \h </w:instrText>
            </w:r>
            <w:r w:rsidR="00892868">
              <w:rPr>
                <w:noProof/>
                <w:webHidden/>
              </w:rPr>
            </w:r>
            <w:r w:rsidR="00892868">
              <w:rPr>
                <w:noProof/>
                <w:webHidden/>
              </w:rPr>
              <w:fldChar w:fldCharType="separate"/>
            </w:r>
            <w:r w:rsidR="00892868">
              <w:rPr>
                <w:noProof/>
                <w:webHidden/>
              </w:rPr>
              <w:t>23</w:t>
            </w:r>
            <w:r w:rsidR="00892868">
              <w:rPr>
                <w:noProof/>
                <w:webHidden/>
              </w:rPr>
              <w:fldChar w:fldCharType="end"/>
            </w:r>
          </w:hyperlink>
        </w:p>
        <w:p w14:paraId="1C94781B" w14:textId="31132134" w:rsidR="00892868" w:rsidRDefault="00000000">
          <w:pPr>
            <w:pStyle w:val="TOC2"/>
            <w:tabs>
              <w:tab w:val="left" w:pos="880"/>
            </w:tabs>
            <w:rPr>
              <w:rFonts w:eastAsiaTheme="minorEastAsia"/>
              <w:noProof/>
              <w:lang w:eastAsia="en-GB"/>
            </w:rPr>
          </w:pPr>
          <w:hyperlink w:anchor="_Toc117765882" w:history="1">
            <w:r w:rsidR="00892868" w:rsidRPr="00E9064B">
              <w:rPr>
                <w:rStyle w:val="Hyperlink"/>
                <w:noProof/>
              </w:rPr>
              <w:t>1.5</w:t>
            </w:r>
            <w:r w:rsidR="00892868">
              <w:rPr>
                <w:rFonts w:eastAsiaTheme="minorEastAsia"/>
                <w:noProof/>
                <w:lang w:eastAsia="en-GB"/>
              </w:rPr>
              <w:tab/>
            </w:r>
            <w:r w:rsidR="00892868" w:rsidRPr="00E9064B">
              <w:rPr>
                <w:rStyle w:val="Hyperlink"/>
                <w:noProof/>
              </w:rPr>
              <w:t>Macrolide resistance</w:t>
            </w:r>
            <w:r w:rsidR="00892868">
              <w:rPr>
                <w:noProof/>
                <w:webHidden/>
              </w:rPr>
              <w:tab/>
            </w:r>
            <w:r w:rsidR="00892868">
              <w:rPr>
                <w:noProof/>
                <w:webHidden/>
              </w:rPr>
              <w:fldChar w:fldCharType="begin"/>
            </w:r>
            <w:r w:rsidR="00892868">
              <w:rPr>
                <w:noProof/>
                <w:webHidden/>
              </w:rPr>
              <w:instrText xml:space="preserve"> PAGEREF _Toc117765882 \h </w:instrText>
            </w:r>
            <w:r w:rsidR="00892868">
              <w:rPr>
                <w:noProof/>
                <w:webHidden/>
              </w:rPr>
            </w:r>
            <w:r w:rsidR="00892868">
              <w:rPr>
                <w:noProof/>
                <w:webHidden/>
              </w:rPr>
              <w:fldChar w:fldCharType="separate"/>
            </w:r>
            <w:r w:rsidR="00892868">
              <w:rPr>
                <w:noProof/>
                <w:webHidden/>
              </w:rPr>
              <w:t>26</w:t>
            </w:r>
            <w:r w:rsidR="00892868">
              <w:rPr>
                <w:noProof/>
                <w:webHidden/>
              </w:rPr>
              <w:fldChar w:fldCharType="end"/>
            </w:r>
          </w:hyperlink>
        </w:p>
        <w:p w14:paraId="06D053FE" w14:textId="7F0487AB" w:rsidR="00892868" w:rsidRDefault="00000000">
          <w:pPr>
            <w:pStyle w:val="TOC3"/>
            <w:rPr>
              <w:rFonts w:eastAsiaTheme="minorEastAsia"/>
              <w:noProof/>
              <w:lang w:eastAsia="en-GB"/>
            </w:rPr>
          </w:pPr>
          <w:hyperlink w:anchor="_Toc117765883" w:history="1">
            <w:r w:rsidR="00892868" w:rsidRPr="00E9064B">
              <w:rPr>
                <w:rStyle w:val="Hyperlink"/>
                <w:noProof/>
              </w:rPr>
              <w:t>1.5.1</w:t>
            </w:r>
            <w:r w:rsidR="00892868">
              <w:rPr>
                <w:rFonts w:eastAsiaTheme="minorEastAsia"/>
                <w:noProof/>
                <w:lang w:eastAsia="en-GB"/>
              </w:rPr>
              <w:tab/>
            </w:r>
            <w:r w:rsidR="00892868" w:rsidRPr="00E9064B">
              <w:rPr>
                <w:rStyle w:val="Hyperlink"/>
                <w:noProof/>
              </w:rPr>
              <w:t>Macrolide resistance mechanisms</w:t>
            </w:r>
            <w:r w:rsidR="00892868">
              <w:rPr>
                <w:noProof/>
                <w:webHidden/>
              </w:rPr>
              <w:tab/>
            </w:r>
            <w:r w:rsidR="00892868">
              <w:rPr>
                <w:noProof/>
                <w:webHidden/>
              </w:rPr>
              <w:fldChar w:fldCharType="begin"/>
            </w:r>
            <w:r w:rsidR="00892868">
              <w:rPr>
                <w:noProof/>
                <w:webHidden/>
              </w:rPr>
              <w:instrText xml:space="preserve"> PAGEREF _Toc117765883 \h </w:instrText>
            </w:r>
            <w:r w:rsidR="00892868">
              <w:rPr>
                <w:noProof/>
                <w:webHidden/>
              </w:rPr>
            </w:r>
            <w:r w:rsidR="00892868">
              <w:rPr>
                <w:noProof/>
                <w:webHidden/>
              </w:rPr>
              <w:fldChar w:fldCharType="separate"/>
            </w:r>
            <w:r w:rsidR="00892868">
              <w:rPr>
                <w:noProof/>
                <w:webHidden/>
              </w:rPr>
              <w:t>26</w:t>
            </w:r>
            <w:r w:rsidR="00892868">
              <w:rPr>
                <w:noProof/>
                <w:webHidden/>
              </w:rPr>
              <w:fldChar w:fldCharType="end"/>
            </w:r>
          </w:hyperlink>
        </w:p>
        <w:p w14:paraId="0132E2E3" w14:textId="7BFA0FC2" w:rsidR="00892868" w:rsidRDefault="00000000">
          <w:pPr>
            <w:pStyle w:val="TOC3"/>
            <w:rPr>
              <w:rFonts w:eastAsiaTheme="minorEastAsia"/>
              <w:noProof/>
              <w:lang w:eastAsia="en-GB"/>
            </w:rPr>
          </w:pPr>
          <w:hyperlink w:anchor="_Toc117765884" w:history="1">
            <w:r w:rsidR="00892868" w:rsidRPr="00E9064B">
              <w:rPr>
                <w:rStyle w:val="Hyperlink"/>
                <w:noProof/>
              </w:rPr>
              <w:t>1.5.2</w:t>
            </w:r>
            <w:r w:rsidR="00892868">
              <w:rPr>
                <w:rFonts w:eastAsiaTheme="minorEastAsia"/>
                <w:noProof/>
                <w:lang w:eastAsia="en-GB"/>
              </w:rPr>
              <w:tab/>
            </w:r>
            <w:r w:rsidR="00892868" w:rsidRPr="00E9064B">
              <w:rPr>
                <w:rStyle w:val="Hyperlink"/>
                <w:noProof/>
              </w:rPr>
              <w:t>The magnitude of macrolide resistance</w:t>
            </w:r>
            <w:r w:rsidR="00892868">
              <w:rPr>
                <w:noProof/>
                <w:webHidden/>
              </w:rPr>
              <w:tab/>
            </w:r>
            <w:r w:rsidR="00892868">
              <w:rPr>
                <w:noProof/>
                <w:webHidden/>
              </w:rPr>
              <w:fldChar w:fldCharType="begin"/>
            </w:r>
            <w:r w:rsidR="00892868">
              <w:rPr>
                <w:noProof/>
                <w:webHidden/>
              </w:rPr>
              <w:instrText xml:space="preserve"> PAGEREF _Toc117765884 \h </w:instrText>
            </w:r>
            <w:r w:rsidR="00892868">
              <w:rPr>
                <w:noProof/>
                <w:webHidden/>
              </w:rPr>
            </w:r>
            <w:r w:rsidR="00892868">
              <w:rPr>
                <w:noProof/>
                <w:webHidden/>
              </w:rPr>
              <w:fldChar w:fldCharType="separate"/>
            </w:r>
            <w:r w:rsidR="00892868">
              <w:rPr>
                <w:noProof/>
                <w:webHidden/>
              </w:rPr>
              <w:t>26</w:t>
            </w:r>
            <w:r w:rsidR="00892868">
              <w:rPr>
                <w:noProof/>
                <w:webHidden/>
              </w:rPr>
              <w:fldChar w:fldCharType="end"/>
            </w:r>
          </w:hyperlink>
        </w:p>
        <w:p w14:paraId="1836C701" w14:textId="12B62CBD" w:rsidR="00892868" w:rsidRDefault="00000000">
          <w:pPr>
            <w:pStyle w:val="TOC2"/>
            <w:tabs>
              <w:tab w:val="left" w:pos="880"/>
            </w:tabs>
            <w:rPr>
              <w:rFonts w:eastAsiaTheme="minorEastAsia"/>
              <w:noProof/>
              <w:lang w:eastAsia="en-GB"/>
            </w:rPr>
          </w:pPr>
          <w:hyperlink w:anchor="_Toc117765885" w:history="1">
            <w:r w:rsidR="00892868" w:rsidRPr="00E9064B">
              <w:rPr>
                <w:rStyle w:val="Hyperlink"/>
                <w:noProof/>
              </w:rPr>
              <w:t>1.6</w:t>
            </w:r>
            <w:r w:rsidR="00892868">
              <w:rPr>
                <w:rFonts w:eastAsiaTheme="minorEastAsia"/>
                <w:noProof/>
                <w:lang w:eastAsia="en-GB"/>
              </w:rPr>
              <w:tab/>
            </w:r>
            <w:r w:rsidR="00892868" w:rsidRPr="00E9064B">
              <w:rPr>
                <w:rStyle w:val="Hyperlink"/>
                <w:noProof/>
              </w:rPr>
              <w:t>Antibiotic prophylaxis</w:t>
            </w:r>
            <w:r w:rsidR="00892868">
              <w:rPr>
                <w:noProof/>
                <w:webHidden/>
              </w:rPr>
              <w:tab/>
            </w:r>
            <w:r w:rsidR="00892868">
              <w:rPr>
                <w:noProof/>
                <w:webHidden/>
              </w:rPr>
              <w:fldChar w:fldCharType="begin"/>
            </w:r>
            <w:r w:rsidR="00892868">
              <w:rPr>
                <w:noProof/>
                <w:webHidden/>
              </w:rPr>
              <w:instrText xml:space="preserve"> PAGEREF _Toc117765885 \h </w:instrText>
            </w:r>
            <w:r w:rsidR="00892868">
              <w:rPr>
                <w:noProof/>
                <w:webHidden/>
              </w:rPr>
            </w:r>
            <w:r w:rsidR="00892868">
              <w:rPr>
                <w:noProof/>
                <w:webHidden/>
              </w:rPr>
              <w:fldChar w:fldCharType="separate"/>
            </w:r>
            <w:r w:rsidR="00892868">
              <w:rPr>
                <w:noProof/>
                <w:webHidden/>
              </w:rPr>
              <w:t>30</w:t>
            </w:r>
            <w:r w:rsidR="00892868">
              <w:rPr>
                <w:noProof/>
                <w:webHidden/>
              </w:rPr>
              <w:fldChar w:fldCharType="end"/>
            </w:r>
          </w:hyperlink>
        </w:p>
        <w:p w14:paraId="087D2F1C" w14:textId="01CA3230" w:rsidR="00892868" w:rsidRDefault="00000000">
          <w:pPr>
            <w:pStyle w:val="TOC2"/>
            <w:tabs>
              <w:tab w:val="left" w:pos="880"/>
            </w:tabs>
            <w:rPr>
              <w:rFonts w:eastAsiaTheme="minorEastAsia"/>
              <w:noProof/>
              <w:lang w:eastAsia="en-GB"/>
            </w:rPr>
          </w:pPr>
          <w:hyperlink w:anchor="_Toc117765886" w:history="1">
            <w:r w:rsidR="00892868" w:rsidRPr="00E9064B">
              <w:rPr>
                <w:rStyle w:val="Hyperlink"/>
                <w:noProof/>
              </w:rPr>
              <w:t>1.7</w:t>
            </w:r>
            <w:r w:rsidR="00892868">
              <w:rPr>
                <w:rFonts w:eastAsiaTheme="minorEastAsia"/>
                <w:noProof/>
                <w:lang w:eastAsia="en-GB"/>
              </w:rPr>
              <w:tab/>
            </w:r>
            <w:r w:rsidR="00892868" w:rsidRPr="00E9064B">
              <w:rPr>
                <w:rStyle w:val="Hyperlink"/>
                <w:noProof/>
              </w:rPr>
              <w:t>Prophylactic macrolide use in paediatric respiratory disease</w:t>
            </w:r>
            <w:r w:rsidR="00892868">
              <w:rPr>
                <w:noProof/>
                <w:webHidden/>
              </w:rPr>
              <w:tab/>
            </w:r>
            <w:r w:rsidR="00892868">
              <w:rPr>
                <w:noProof/>
                <w:webHidden/>
              </w:rPr>
              <w:fldChar w:fldCharType="begin"/>
            </w:r>
            <w:r w:rsidR="00892868">
              <w:rPr>
                <w:noProof/>
                <w:webHidden/>
              </w:rPr>
              <w:instrText xml:space="preserve"> PAGEREF _Toc117765886 \h </w:instrText>
            </w:r>
            <w:r w:rsidR="00892868">
              <w:rPr>
                <w:noProof/>
                <w:webHidden/>
              </w:rPr>
            </w:r>
            <w:r w:rsidR="00892868">
              <w:rPr>
                <w:noProof/>
                <w:webHidden/>
              </w:rPr>
              <w:fldChar w:fldCharType="separate"/>
            </w:r>
            <w:r w:rsidR="00892868">
              <w:rPr>
                <w:noProof/>
                <w:webHidden/>
              </w:rPr>
              <w:t>34</w:t>
            </w:r>
            <w:r w:rsidR="00892868">
              <w:rPr>
                <w:noProof/>
                <w:webHidden/>
              </w:rPr>
              <w:fldChar w:fldCharType="end"/>
            </w:r>
          </w:hyperlink>
        </w:p>
        <w:p w14:paraId="4584F790" w14:textId="589ACE49" w:rsidR="00892868" w:rsidRDefault="00000000">
          <w:pPr>
            <w:pStyle w:val="TOC3"/>
            <w:rPr>
              <w:rFonts w:eastAsiaTheme="minorEastAsia"/>
              <w:noProof/>
              <w:lang w:eastAsia="en-GB"/>
            </w:rPr>
          </w:pPr>
          <w:hyperlink w:anchor="_Toc117765887" w:history="1">
            <w:r w:rsidR="00892868" w:rsidRPr="00E9064B">
              <w:rPr>
                <w:rStyle w:val="Hyperlink"/>
                <w:noProof/>
              </w:rPr>
              <w:t>1.7.1</w:t>
            </w:r>
            <w:r w:rsidR="00892868">
              <w:rPr>
                <w:rFonts w:eastAsiaTheme="minorEastAsia"/>
                <w:noProof/>
                <w:lang w:eastAsia="en-GB"/>
              </w:rPr>
              <w:tab/>
            </w:r>
            <w:r w:rsidR="00892868" w:rsidRPr="00E9064B">
              <w:rPr>
                <w:rStyle w:val="Hyperlink"/>
                <w:noProof/>
              </w:rPr>
              <w:t>Cystic fibrosis</w:t>
            </w:r>
            <w:r w:rsidR="00892868">
              <w:rPr>
                <w:noProof/>
                <w:webHidden/>
              </w:rPr>
              <w:tab/>
            </w:r>
            <w:r w:rsidR="00892868">
              <w:rPr>
                <w:noProof/>
                <w:webHidden/>
              </w:rPr>
              <w:fldChar w:fldCharType="begin"/>
            </w:r>
            <w:r w:rsidR="00892868">
              <w:rPr>
                <w:noProof/>
                <w:webHidden/>
              </w:rPr>
              <w:instrText xml:space="preserve"> PAGEREF _Toc117765887 \h </w:instrText>
            </w:r>
            <w:r w:rsidR="00892868">
              <w:rPr>
                <w:noProof/>
                <w:webHidden/>
              </w:rPr>
            </w:r>
            <w:r w:rsidR="00892868">
              <w:rPr>
                <w:noProof/>
                <w:webHidden/>
              </w:rPr>
              <w:fldChar w:fldCharType="separate"/>
            </w:r>
            <w:r w:rsidR="00892868">
              <w:rPr>
                <w:noProof/>
                <w:webHidden/>
              </w:rPr>
              <w:t>35</w:t>
            </w:r>
            <w:r w:rsidR="00892868">
              <w:rPr>
                <w:noProof/>
                <w:webHidden/>
              </w:rPr>
              <w:fldChar w:fldCharType="end"/>
            </w:r>
          </w:hyperlink>
        </w:p>
        <w:p w14:paraId="191A1BDB" w14:textId="0F7010E9" w:rsidR="00892868" w:rsidRDefault="00000000">
          <w:pPr>
            <w:pStyle w:val="TOC3"/>
            <w:rPr>
              <w:rFonts w:eastAsiaTheme="minorEastAsia"/>
              <w:noProof/>
              <w:lang w:eastAsia="en-GB"/>
            </w:rPr>
          </w:pPr>
          <w:hyperlink w:anchor="_Toc117765888" w:history="1">
            <w:r w:rsidR="00892868" w:rsidRPr="00E9064B">
              <w:rPr>
                <w:rStyle w:val="Hyperlink"/>
                <w:noProof/>
              </w:rPr>
              <w:t>1.7.2</w:t>
            </w:r>
            <w:r w:rsidR="00892868">
              <w:rPr>
                <w:rFonts w:eastAsiaTheme="minorEastAsia"/>
                <w:noProof/>
                <w:lang w:eastAsia="en-GB"/>
              </w:rPr>
              <w:tab/>
            </w:r>
            <w:r w:rsidR="00892868" w:rsidRPr="00E9064B">
              <w:rPr>
                <w:rStyle w:val="Hyperlink"/>
                <w:noProof/>
              </w:rPr>
              <w:t>Non-cystic fibrosis bronchiectasis</w:t>
            </w:r>
            <w:r w:rsidR="00892868">
              <w:rPr>
                <w:noProof/>
                <w:webHidden/>
              </w:rPr>
              <w:tab/>
            </w:r>
            <w:r w:rsidR="00892868">
              <w:rPr>
                <w:noProof/>
                <w:webHidden/>
              </w:rPr>
              <w:fldChar w:fldCharType="begin"/>
            </w:r>
            <w:r w:rsidR="00892868">
              <w:rPr>
                <w:noProof/>
                <w:webHidden/>
              </w:rPr>
              <w:instrText xml:space="preserve"> PAGEREF _Toc117765888 \h </w:instrText>
            </w:r>
            <w:r w:rsidR="00892868">
              <w:rPr>
                <w:noProof/>
                <w:webHidden/>
              </w:rPr>
            </w:r>
            <w:r w:rsidR="00892868">
              <w:rPr>
                <w:noProof/>
                <w:webHidden/>
              </w:rPr>
              <w:fldChar w:fldCharType="separate"/>
            </w:r>
            <w:r w:rsidR="00892868">
              <w:rPr>
                <w:noProof/>
                <w:webHidden/>
              </w:rPr>
              <w:t>37</w:t>
            </w:r>
            <w:r w:rsidR="00892868">
              <w:rPr>
                <w:noProof/>
                <w:webHidden/>
              </w:rPr>
              <w:fldChar w:fldCharType="end"/>
            </w:r>
          </w:hyperlink>
        </w:p>
        <w:p w14:paraId="19AB55C3" w14:textId="4595D3E5" w:rsidR="00892868" w:rsidRDefault="00000000">
          <w:pPr>
            <w:pStyle w:val="TOC3"/>
            <w:rPr>
              <w:rFonts w:eastAsiaTheme="minorEastAsia"/>
              <w:noProof/>
              <w:lang w:eastAsia="en-GB"/>
            </w:rPr>
          </w:pPr>
          <w:hyperlink w:anchor="_Toc117765889" w:history="1">
            <w:r w:rsidR="00892868" w:rsidRPr="00E9064B">
              <w:rPr>
                <w:rStyle w:val="Hyperlink"/>
                <w:noProof/>
              </w:rPr>
              <w:t>1.7.3</w:t>
            </w:r>
            <w:r w:rsidR="00892868">
              <w:rPr>
                <w:rFonts w:eastAsiaTheme="minorEastAsia"/>
                <w:noProof/>
                <w:lang w:eastAsia="en-GB"/>
              </w:rPr>
              <w:tab/>
            </w:r>
            <w:r w:rsidR="00892868" w:rsidRPr="00E9064B">
              <w:rPr>
                <w:rStyle w:val="Hyperlink"/>
                <w:noProof/>
              </w:rPr>
              <w:t>Long term macrolides in chronic cough</w:t>
            </w:r>
            <w:r w:rsidR="00892868">
              <w:rPr>
                <w:noProof/>
                <w:webHidden/>
              </w:rPr>
              <w:tab/>
            </w:r>
            <w:r w:rsidR="00892868">
              <w:rPr>
                <w:noProof/>
                <w:webHidden/>
              </w:rPr>
              <w:fldChar w:fldCharType="begin"/>
            </w:r>
            <w:r w:rsidR="00892868">
              <w:rPr>
                <w:noProof/>
                <w:webHidden/>
              </w:rPr>
              <w:instrText xml:space="preserve"> PAGEREF _Toc117765889 \h </w:instrText>
            </w:r>
            <w:r w:rsidR="00892868">
              <w:rPr>
                <w:noProof/>
                <w:webHidden/>
              </w:rPr>
            </w:r>
            <w:r w:rsidR="00892868">
              <w:rPr>
                <w:noProof/>
                <w:webHidden/>
              </w:rPr>
              <w:fldChar w:fldCharType="separate"/>
            </w:r>
            <w:r w:rsidR="00892868">
              <w:rPr>
                <w:noProof/>
                <w:webHidden/>
              </w:rPr>
              <w:t>39</w:t>
            </w:r>
            <w:r w:rsidR="00892868">
              <w:rPr>
                <w:noProof/>
                <w:webHidden/>
              </w:rPr>
              <w:fldChar w:fldCharType="end"/>
            </w:r>
          </w:hyperlink>
        </w:p>
        <w:p w14:paraId="5D05CBF7" w14:textId="10883453" w:rsidR="00892868" w:rsidRDefault="00000000">
          <w:pPr>
            <w:pStyle w:val="TOC3"/>
            <w:rPr>
              <w:rFonts w:eastAsiaTheme="minorEastAsia"/>
              <w:noProof/>
              <w:lang w:eastAsia="en-GB"/>
            </w:rPr>
          </w:pPr>
          <w:hyperlink w:anchor="_Toc117765890" w:history="1">
            <w:r w:rsidR="00892868" w:rsidRPr="00E9064B">
              <w:rPr>
                <w:rStyle w:val="Hyperlink"/>
                <w:noProof/>
              </w:rPr>
              <w:t>1.7.4</w:t>
            </w:r>
            <w:r w:rsidR="00892868">
              <w:rPr>
                <w:rFonts w:eastAsiaTheme="minorEastAsia"/>
                <w:noProof/>
                <w:lang w:eastAsia="en-GB"/>
              </w:rPr>
              <w:tab/>
            </w:r>
            <w:r w:rsidR="00892868" w:rsidRPr="00E9064B">
              <w:rPr>
                <w:rStyle w:val="Hyperlink"/>
                <w:noProof/>
              </w:rPr>
              <w:t>Long-term azithromycin and AMR</w:t>
            </w:r>
            <w:r w:rsidR="00892868">
              <w:rPr>
                <w:noProof/>
                <w:webHidden/>
              </w:rPr>
              <w:tab/>
            </w:r>
            <w:r w:rsidR="00892868">
              <w:rPr>
                <w:noProof/>
                <w:webHidden/>
              </w:rPr>
              <w:fldChar w:fldCharType="begin"/>
            </w:r>
            <w:r w:rsidR="00892868">
              <w:rPr>
                <w:noProof/>
                <w:webHidden/>
              </w:rPr>
              <w:instrText xml:space="preserve"> PAGEREF _Toc117765890 \h </w:instrText>
            </w:r>
            <w:r w:rsidR="00892868">
              <w:rPr>
                <w:noProof/>
                <w:webHidden/>
              </w:rPr>
            </w:r>
            <w:r w:rsidR="00892868">
              <w:rPr>
                <w:noProof/>
                <w:webHidden/>
              </w:rPr>
              <w:fldChar w:fldCharType="separate"/>
            </w:r>
            <w:r w:rsidR="00892868">
              <w:rPr>
                <w:noProof/>
                <w:webHidden/>
              </w:rPr>
              <w:t>40</w:t>
            </w:r>
            <w:r w:rsidR="00892868">
              <w:rPr>
                <w:noProof/>
                <w:webHidden/>
              </w:rPr>
              <w:fldChar w:fldCharType="end"/>
            </w:r>
          </w:hyperlink>
        </w:p>
        <w:p w14:paraId="426EB06D" w14:textId="6D29F2E8" w:rsidR="00892868" w:rsidRDefault="00000000">
          <w:pPr>
            <w:pStyle w:val="TOC2"/>
            <w:tabs>
              <w:tab w:val="left" w:pos="880"/>
            </w:tabs>
            <w:rPr>
              <w:rFonts w:eastAsiaTheme="minorEastAsia"/>
              <w:noProof/>
              <w:lang w:eastAsia="en-GB"/>
            </w:rPr>
          </w:pPr>
          <w:hyperlink w:anchor="_Toc117765891" w:history="1">
            <w:r w:rsidR="00892868" w:rsidRPr="00E9064B">
              <w:rPr>
                <w:rStyle w:val="Hyperlink"/>
                <w:noProof/>
              </w:rPr>
              <w:t>1.8</w:t>
            </w:r>
            <w:r w:rsidR="00892868">
              <w:rPr>
                <w:rFonts w:eastAsiaTheme="minorEastAsia"/>
                <w:noProof/>
                <w:lang w:eastAsia="en-GB"/>
              </w:rPr>
              <w:tab/>
            </w:r>
            <w:r w:rsidR="00892868" w:rsidRPr="00E9064B">
              <w:rPr>
                <w:rStyle w:val="Hyperlink"/>
                <w:noProof/>
              </w:rPr>
              <w:t>Microbiome and microbiota</w:t>
            </w:r>
            <w:r w:rsidR="00892868">
              <w:rPr>
                <w:noProof/>
                <w:webHidden/>
              </w:rPr>
              <w:tab/>
            </w:r>
            <w:r w:rsidR="00892868">
              <w:rPr>
                <w:noProof/>
                <w:webHidden/>
              </w:rPr>
              <w:fldChar w:fldCharType="begin"/>
            </w:r>
            <w:r w:rsidR="00892868">
              <w:rPr>
                <w:noProof/>
                <w:webHidden/>
              </w:rPr>
              <w:instrText xml:space="preserve"> PAGEREF _Toc117765891 \h </w:instrText>
            </w:r>
            <w:r w:rsidR="00892868">
              <w:rPr>
                <w:noProof/>
                <w:webHidden/>
              </w:rPr>
            </w:r>
            <w:r w:rsidR="00892868">
              <w:rPr>
                <w:noProof/>
                <w:webHidden/>
              </w:rPr>
              <w:fldChar w:fldCharType="separate"/>
            </w:r>
            <w:r w:rsidR="00892868">
              <w:rPr>
                <w:noProof/>
                <w:webHidden/>
              </w:rPr>
              <w:t>42</w:t>
            </w:r>
            <w:r w:rsidR="00892868">
              <w:rPr>
                <w:noProof/>
                <w:webHidden/>
              </w:rPr>
              <w:fldChar w:fldCharType="end"/>
            </w:r>
          </w:hyperlink>
        </w:p>
        <w:p w14:paraId="2B731C71" w14:textId="23ED2F52" w:rsidR="00892868" w:rsidRDefault="00000000">
          <w:pPr>
            <w:pStyle w:val="TOC3"/>
            <w:rPr>
              <w:rFonts w:eastAsiaTheme="minorEastAsia"/>
              <w:noProof/>
              <w:lang w:eastAsia="en-GB"/>
            </w:rPr>
          </w:pPr>
          <w:hyperlink w:anchor="_Toc117765892" w:history="1">
            <w:r w:rsidR="00892868" w:rsidRPr="00E9064B">
              <w:rPr>
                <w:rStyle w:val="Hyperlink"/>
                <w:noProof/>
              </w:rPr>
              <w:t>1.8.1</w:t>
            </w:r>
            <w:r w:rsidR="00892868">
              <w:rPr>
                <w:rFonts w:eastAsiaTheme="minorEastAsia"/>
                <w:noProof/>
                <w:lang w:eastAsia="en-GB"/>
              </w:rPr>
              <w:tab/>
            </w:r>
            <w:r w:rsidR="00892868" w:rsidRPr="00E9064B">
              <w:rPr>
                <w:rStyle w:val="Hyperlink"/>
                <w:noProof/>
              </w:rPr>
              <w:t>The upper respiratory microbiome</w:t>
            </w:r>
            <w:r w:rsidR="00892868">
              <w:rPr>
                <w:noProof/>
                <w:webHidden/>
              </w:rPr>
              <w:tab/>
            </w:r>
            <w:r w:rsidR="00892868">
              <w:rPr>
                <w:noProof/>
                <w:webHidden/>
              </w:rPr>
              <w:fldChar w:fldCharType="begin"/>
            </w:r>
            <w:r w:rsidR="00892868">
              <w:rPr>
                <w:noProof/>
                <w:webHidden/>
              </w:rPr>
              <w:instrText xml:space="preserve"> PAGEREF _Toc117765892 \h </w:instrText>
            </w:r>
            <w:r w:rsidR="00892868">
              <w:rPr>
                <w:noProof/>
                <w:webHidden/>
              </w:rPr>
            </w:r>
            <w:r w:rsidR="00892868">
              <w:rPr>
                <w:noProof/>
                <w:webHidden/>
              </w:rPr>
              <w:fldChar w:fldCharType="separate"/>
            </w:r>
            <w:r w:rsidR="00892868">
              <w:rPr>
                <w:noProof/>
                <w:webHidden/>
              </w:rPr>
              <w:t>45</w:t>
            </w:r>
            <w:r w:rsidR="00892868">
              <w:rPr>
                <w:noProof/>
                <w:webHidden/>
              </w:rPr>
              <w:fldChar w:fldCharType="end"/>
            </w:r>
          </w:hyperlink>
        </w:p>
        <w:p w14:paraId="7A16E287" w14:textId="19F71459" w:rsidR="00892868" w:rsidRDefault="00000000">
          <w:pPr>
            <w:pStyle w:val="TOC3"/>
            <w:rPr>
              <w:rFonts w:eastAsiaTheme="minorEastAsia"/>
              <w:noProof/>
              <w:lang w:eastAsia="en-GB"/>
            </w:rPr>
          </w:pPr>
          <w:hyperlink w:anchor="_Toc117765893" w:history="1">
            <w:r w:rsidR="00892868" w:rsidRPr="00E9064B">
              <w:rPr>
                <w:rStyle w:val="Hyperlink"/>
                <w:noProof/>
              </w:rPr>
              <w:t>1.8.2</w:t>
            </w:r>
            <w:r w:rsidR="00892868">
              <w:rPr>
                <w:rFonts w:eastAsiaTheme="minorEastAsia"/>
                <w:noProof/>
                <w:lang w:eastAsia="en-GB"/>
              </w:rPr>
              <w:tab/>
            </w:r>
            <w:r w:rsidR="00892868" w:rsidRPr="00E9064B">
              <w:rPr>
                <w:rStyle w:val="Hyperlink"/>
                <w:noProof/>
              </w:rPr>
              <w:t>The lower respiratory microbiome.</w:t>
            </w:r>
            <w:r w:rsidR="00892868">
              <w:rPr>
                <w:noProof/>
                <w:webHidden/>
              </w:rPr>
              <w:tab/>
            </w:r>
            <w:r w:rsidR="00892868">
              <w:rPr>
                <w:noProof/>
                <w:webHidden/>
              </w:rPr>
              <w:fldChar w:fldCharType="begin"/>
            </w:r>
            <w:r w:rsidR="00892868">
              <w:rPr>
                <w:noProof/>
                <w:webHidden/>
              </w:rPr>
              <w:instrText xml:space="preserve"> PAGEREF _Toc117765893 \h </w:instrText>
            </w:r>
            <w:r w:rsidR="00892868">
              <w:rPr>
                <w:noProof/>
                <w:webHidden/>
              </w:rPr>
            </w:r>
            <w:r w:rsidR="00892868">
              <w:rPr>
                <w:noProof/>
                <w:webHidden/>
              </w:rPr>
              <w:fldChar w:fldCharType="separate"/>
            </w:r>
            <w:r w:rsidR="00892868">
              <w:rPr>
                <w:noProof/>
                <w:webHidden/>
              </w:rPr>
              <w:t>46</w:t>
            </w:r>
            <w:r w:rsidR="00892868">
              <w:rPr>
                <w:noProof/>
                <w:webHidden/>
              </w:rPr>
              <w:fldChar w:fldCharType="end"/>
            </w:r>
          </w:hyperlink>
        </w:p>
        <w:p w14:paraId="5AFD602F" w14:textId="21D41F2D" w:rsidR="00892868" w:rsidRDefault="00000000">
          <w:pPr>
            <w:pStyle w:val="TOC3"/>
            <w:rPr>
              <w:rFonts w:eastAsiaTheme="minorEastAsia"/>
              <w:noProof/>
              <w:lang w:eastAsia="en-GB"/>
            </w:rPr>
          </w:pPr>
          <w:hyperlink w:anchor="_Toc117765894" w:history="1">
            <w:r w:rsidR="00892868" w:rsidRPr="00E9064B">
              <w:rPr>
                <w:rStyle w:val="Hyperlink"/>
                <w:noProof/>
              </w:rPr>
              <w:t>1.8.3</w:t>
            </w:r>
            <w:r w:rsidR="00892868">
              <w:rPr>
                <w:rFonts w:eastAsiaTheme="minorEastAsia"/>
                <w:noProof/>
                <w:lang w:eastAsia="en-GB"/>
              </w:rPr>
              <w:tab/>
            </w:r>
            <w:r w:rsidR="00892868" w:rsidRPr="00E9064B">
              <w:rPr>
                <w:rStyle w:val="Hyperlink"/>
                <w:noProof/>
              </w:rPr>
              <w:t>The lung microbiome in protracted bacterial bronchitis</w:t>
            </w:r>
            <w:r w:rsidR="00892868">
              <w:rPr>
                <w:noProof/>
                <w:webHidden/>
              </w:rPr>
              <w:tab/>
            </w:r>
            <w:r w:rsidR="00892868">
              <w:rPr>
                <w:noProof/>
                <w:webHidden/>
              </w:rPr>
              <w:fldChar w:fldCharType="begin"/>
            </w:r>
            <w:r w:rsidR="00892868">
              <w:rPr>
                <w:noProof/>
                <w:webHidden/>
              </w:rPr>
              <w:instrText xml:space="preserve"> PAGEREF _Toc117765894 \h </w:instrText>
            </w:r>
            <w:r w:rsidR="00892868">
              <w:rPr>
                <w:noProof/>
                <w:webHidden/>
              </w:rPr>
            </w:r>
            <w:r w:rsidR="00892868">
              <w:rPr>
                <w:noProof/>
                <w:webHidden/>
              </w:rPr>
              <w:fldChar w:fldCharType="separate"/>
            </w:r>
            <w:r w:rsidR="00892868">
              <w:rPr>
                <w:noProof/>
                <w:webHidden/>
              </w:rPr>
              <w:t>48</w:t>
            </w:r>
            <w:r w:rsidR="00892868">
              <w:rPr>
                <w:noProof/>
                <w:webHidden/>
              </w:rPr>
              <w:fldChar w:fldCharType="end"/>
            </w:r>
          </w:hyperlink>
        </w:p>
        <w:p w14:paraId="455FD0C0" w14:textId="454CFDD3" w:rsidR="00892868" w:rsidRDefault="00000000">
          <w:pPr>
            <w:pStyle w:val="TOC3"/>
            <w:rPr>
              <w:rFonts w:eastAsiaTheme="minorEastAsia"/>
              <w:noProof/>
              <w:lang w:eastAsia="en-GB"/>
            </w:rPr>
          </w:pPr>
          <w:hyperlink w:anchor="_Toc117765895" w:history="1">
            <w:r w:rsidR="00892868" w:rsidRPr="00E9064B">
              <w:rPr>
                <w:rStyle w:val="Hyperlink"/>
                <w:noProof/>
              </w:rPr>
              <w:t>1.8.4</w:t>
            </w:r>
            <w:r w:rsidR="00892868">
              <w:rPr>
                <w:rFonts w:eastAsiaTheme="minorEastAsia"/>
                <w:noProof/>
                <w:lang w:eastAsia="en-GB"/>
              </w:rPr>
              <w:tab/>
            </w:r>
            <w:r w:rsidR="00892868" w:rsidRPr="00E9064B">
              <w:rPr>
                <w:rStyle w:val="Hyperlink"/>
                <w:noProof/>
              </w:rPr>
              <w:t>The impact of macrolides on the microbiome</w:t>
            </w:r>
            <w:r w:rsidR="00892868">
              <w:rPr>
                <w:noProof/>
                <w:webHidden/>
              </w:rPr>
              <w:tab/>
            </w:r>
            <w:r w:rsidR="00892868">
              <w:rPr>
                <w:noProof/>
                <w:webHidden/>
              </w:rPr>
              <w:fldChar w:fldCharType="begin"/>
            </w:r>
            <w:r w:rsidR="00892868">
              <w:rPr>
                <w:noProof/>
                <w:webHidden/>
              </w:rPr>
              <w:instrText xml:space="preserve"> PAGEREF _Toc117765895 \h </w:instrText>
            </w:r>
            <w:r w:rsidR="00892868">
              <w:rPr>
                <w:noProof/>
                <w:webHidden/>
              </w:rPr>
            </w:r>
            <w:r w:rsidR="00892868">
              <w:rPr>
                <w:noProof/>
                <w:webHidden/>
              </w:rPr>
              <w:fldChar w:fldCharType="separate"/>
            </w:r>
            <w:r w:rsidR="00892868">
              <w:rPr>
                <w:noProof/>
                <w:webHidden/>
              </w:rPr>
              <w:t>49</w:t>
            </w:r>
            <w:r w:rsidR="00892868">
              <w:rPr>
                <w:noProof/>
                <w:webHidden/>
              </w:rPr>
              <w:fldChar w:fldCharType="end"/>
            </w:r>
          </w:hyperlink>
        </w:p>
        <w:p w14:paraId="07D84240" w14:textId="4C89B4FB" w:rsidR="00892868" w:rsidRDefault="00000000">
          <w:pPr>
            <w:pStyle w:val="TOC2"/>
            <w:tabs>
              <w:tab w:val="left" w:pos="880"/>
            </w:tabs>
            <w:rPr>
              <w:rFonts w:eastAsiaTheme="minorEastAsia"/>
              <w:noProof/>
              <w:lang w:eastAsia="en-GB"/>
            </w:rPr>
          </w:pPr>
          <w:hyperlink w:anchor="_Toc117765905" w:history="1">
            <w:r w:rsidR="00892868" w:rsidRPr="00E9064B">
              <w:rPr>
                <w:rStyle w:val="Hyperlink"/>
                <w:noProof/>
              </w:rPr>
              <w:t>1.9</w:t>
            </w:r>
            <w:r w:rsidR="00892868">
              <w:rPr>
                <w:rFonts w:eastAsiaTheme="minorEastAsia"/>
                <w:noProof/>
                <w:lang w:eastAsia="en-GB"/>
              </w:rPr>
              <w:tab/>
            </w:r>
            <w:r w:rsidR="00892868" w:rsidRPr="00E9064B">
              <w:rPr>
                <w:rStyle w:val="Hyperlink"/>
                <w:noProof/>
              </w:rPr>
              <w:t>Qualitative research to explore parental perceptions</w:t>
            </w:r>
            <w:r w:rsidR="00892868">
              <w:rPr>
                <w:noProof/>
                <w:webHidden/>
              </w:rPr>
              <w:tab/>
            </w:r>
            <w:r w:rsidR="00892868">
              <w:rPr>
                <w:noProof/>
                <w:webHidden/>
              </w:rPr>
              <w:fldChar w:fldCharType="begin"/>
            </w:r>
            <w:r w:rsidR="00892868">
              <w:rPr>
                <w:noProof/>
                <w:webHidden/>
              </w:rPr>
              <w:instrText xml:space="preserve"> PAGEREF _Toc117765905 \h </w:instrText>
            </w:r>
            <w:r w:rsidR="00892868">
              <w:rPr>
                <w:noProof/>
                <w:webHidden/>
              </w:rPr>
            </w:r>
            <w:r w:rsidR="00892868">
              <w:rPr>
                <w:noProof/>
                <w:webHidden/>
              </w:rPr>
              <w:fldChar w:fldCharType="separate"/>
            </w:r>
            <w:r w:rsidR="00892868">
              <w:rPr>
                <w:noProof/>
                <w:webHidden/>
              </w:rPr>
              <w:t>50</w:t>
            </w:r>
            <w:r w:rsidR="00892868">
              <w:rPr>
                <w:noProof/>
                <w:webHidden/>
              </w:rPr>
              <w:fldChar w:fldCharType="end"/>
            </w:r>
          </w:hyperlink>
        </w:p>
        <w:p w14:paraId="0E724554" w14:textId="320227DF" w:rsidR="00892868" w:rsidRDefault="00000000">
          <w:pPr>
            <w:pStyle w:val="TOC3"/>
            <w:rPr>
              <w:rFonts w:eastAsiaTheme="minorEastAsia"/>
              <w:noProof/>
              <w:lang w:eastAsia="en-GB"/>
            </w:rPr>
          </w:pPr>
          <w:hyperlink w:anchor="_Toc117765906" w:history="1">
            <w:r w:rsidR="00892868" w:rsidRPr="00E9064B">
              <w:rPr>
                <w:rStyle w:val="Hyperlink"/>
                <w:noProof/>
              </w:rPr>
              <w:t>1.9.1</w:t>
            </w:r>
            <w:r w:rsidR="00892868">
              <w:rPr>
                <w:rFonts w:eastAsiaTheme="minorEastAsia"/>
                <w:noProof/>
                <w:lang w:eastAsia="en-GB"/>
              </w:rPr>
              <w:tab/>
            </w:r>
            <w:r w:rsidR="00892868" w:rsidRPr="00E9064B">
              <w:rPr>
                <w:rStyle w:val="Hyperlink"/>
                <w:noProof/>
              </w:rPr>
              <w:t>The role of the parent in paediatric medicine.</w:t>
            </w:r>
            <w:r w:rsidR="00892868">
              <w:rPr>
                <w:noProof/>
                <w:webHidden/>
              </w:rPr>
              <w:tab/>
            </w:r>
            <w:r w:rsidR="00892868">
              <w:rPr>
                <w:noProof/>
                <w:webHidden/>
              </w:rPr>
              <w:fldChar w:fldCharType="begin"/>
            </w:r>
            <w:r w:rsidR="00892868">
              <w:rPr>
                <w:noProof/>
                <w:webHidden/>
              </w:rPr>
              <w:instrText xml:space="preserve"> PAGEREF _Toc117765906 \h </w:instrText>
            </w:r>
            <w:r w:rsidR="00892868">
              <w:rPr>
                <w:noProof/>
                <w:webHidden/>
              </w:rPr>
            </w:r>
            <w:r w:rsidR="00892868">
              <w:rPr>
                <w:noProof/>
                <w:webHidden/>
              </w:rPr>
              <w:fldChar w:fldCharType="separate"/>
            </w:r>
            <w:r w:rsidR="00892868">
              <w:rPr>
                <w:noProof/>
                <w:webHidden/>
              </w:rPr>
              <w:t>51</w:t>
            </w:r>
            <w:r w:rsidR="00892868">
              <w:rPr>
                <w:noProof/>
                <w:webHidden/>
              </w:rPr>
              <w:fldChar w:fldCharType="end"/>
            </w:r>
          </w:hyperlink>
        </w:p>
        <w:p w14:paraId="50DA6435" w14:textId="31ADC797" w:rsidR="00892868" w:rsidRDefault="00000000">
          <w:pPr>
            <w:pStyle w:val="TOC3"/>
            <w:rPr>
              <w:rFonts w:eastAsiaTheme="minorEastAsia"/>
              <w:noProof/>
              <w:lang w:eastAsia="en-GB"/>
            </w:rPr>
          </w:pPr>
          <w:hyperlink w:anchor="_Toc117765907" w:history="1">
            <w:r w:rsidR="00892868" w:rsidRPr="00E9064B">
              <w:rPr>
                <w:rStyle w:val="Hyperlink"/>
                <w:noProof/>
              </w:rPr>
              <w:t>1.9.2</w:t>
            </w:r>
            <w:r w:rsidR="00892868">
              <w:rPr>
                <w:rFonts w:eastAsiaTheme="minorEastAsia"/>
                <w:noProof/>
                <w:lang w:eastAsia="en-GB"/>
              </w:rPr>
              <w:tab/>
            </w:r>
            <w:r w:rsidR="00892868" w:rsidRPr="00E9064B">
              <w:rPr>
                <w:rStyle w:val="Hyperlink"/>
                <w:noProof/>
              </w:rPr>
              <w:t>Parental perceptions of antibiotics in respiratory disease</w:t>
            </w:r>
            <w:r w:rsidR="00892868">
              <w:rPr>
                <w:noProof/>
                <w:webHidden/>
              </w:rPr>
              <w:tab/>
            </w:r>
            <w:r w:rsidR="00892868">
              <w:rPr>
                <w:noProof/>
                <w:webHidden/>
              </w:rPr>
              <w:fldChar w:fldCharType="begin"/>
            </w:r>
            <w:r w:rsidR="00892868">
              <w:rPr>
                <w:noProof/>
                <w:webHidden/>
              </w:rPr>
              <w:instrText xml:space="preserve"> PAGEREF _Toc117765907 \h </w:instrText>
            </w:r>
            <w:r w:rsidR="00892868">
              <w:rPr>
                <w:noProof/>
                <w:webHidden/>
              </w:rPr>
            </w:r>
            <w:r w:rsidR="00892868">
              <w:rPr>
                <w:noProof/>
                <w:webHidden/>
              </w:rPr>
              <w:fldChar w:fldCharType="separate"/>
            </w:r>
            <w:r w:rsidR="00892868">
              <w:rPr>
                <w:noProof/>
                <w:webHidden/>
              </w:rPr>
              <w:t>52</w:t>
            </w:r>
            <w:r w:rsidR="00892868">
              <w:rPr>
                <w:noProof/>
                <w:webHidden/>
              </w:rPr>
              <w:fldChar w:fldCharType="end"/>
            </w:r>
          </w:hyperlink>
        </w:p>
        <w:p w14:paraId="65432409" w14:textId="1DCEAE4C" w:rsidR="00892868" w:rsidRDefault="00000000">
          <w:pPr>
            <w:pStyle w:val="TOC3"/>
            <w:rPr>
              <w:rFonts w:eastAsiaTheme="minorEastAsia"/>
              <w:noProof/>
              <w:lang w:eastAsia="en-GB"/>
            </w:rPr>
          </w:pPr>
          <w:hyperlink w:anchor="_Toc117765908" w:history="1">
            <w:r w:rsidR="00892868" w:rsidRPr="00E9064B">
              <w:rPr>
                <w:rStyle w:val="Hyperlink"/>
                <w:noProof/>
              </w:rPr>
              <w:t>1.9.3</w:t>
            </w:r>
            <w:r w:rsidR="00892868">
              <w:rPr>
                <w:rFonts w:eastAsiaTheme="minorEastAsia"/>
                <w:noProof/>
                <w:lang w:eastAsia="en-GB"/>
              </w:rPr>
              <w:tab/>
            </w:r>
            <w:r w:rsidR="00892868" w:rsidRPr="00E9064B">
              <w:rPr>
                <w:rStyle w:val="Hyperlink"/>
                <w:noProof/>
              </w:rPr>
              <w:t>Literature on parental views with regards to preventative antimicrobials</w:t>
            </w:r>
            <w:r w:rsidR="00892868">
              <w:rPr>
                <w:noProof/>
                <w:webHidden/>
              </w:rPr>
              <w:tab/>
            </w:r>
            <w:r w:rsidR="00892868">
              <w:rPr>
                <w:noProof/>
                <w:webHidden/>
              </w:rPr>
              <w:fldChar w:fldCharType="begin"/>
            </w:r>
            <w:r w:rsidR="00892868">
              <w:rPr>
                <w:noProof/>
                <w:webHidden/>
              </w:rPr>
              <w:instrText xml:space="preserve"> PAGEREF _Toc117765908 \h </w:instrText>
            </w:r>
            <w:r w:rsidR="00892868">
              <w:rPr>
                <w:noProof/>
                <w:webHidden/>
              </w:rPr>
            </w:r>
            <w:r w:rsidR="00892868">
              <w:rPr>
                <w:noProof/>
                <w:webHidden/>
              </w:rPr>
              <w:fldChar w:fldCharType="separate"/>
            </w:r>
            <w:r w:rsidR="00892868">
              <w:rPr>
                <w:noProof/>
                <w:webHidden/>
              </w:rPr>
              <w:t>53</w:t>
            </w:r>
            <w:r w:rsidR="00892868">
              <w:rPr>
                <w:noProof/>
                <w:webHidden/>
              </w:rPr>
              <w:fldChar w:fldCharType="end"/>
            </w:r>
          </w:hyperlink>
        </w:p>
        <w:p w14:paraId="5BCA64DB" w14:textId="3FD05975" w:rsidR="00892868" w:rsidRDefault="00000000">
          <w:pPr>
            <w:pStyle w:val="TOC2"/>
            <w:tabs>
              <w:tab w:val="left" w:pos="880"/>
            </w:tabs>
            <w:rPr>
              <w:rFonts w:eastAsiaTheme="minorEastAsia"/>
              <w:noProof/>
              <w:lang w:eastAsia="en-GB"/>
            </w:rPr>
          </w:pPr>
          <w:hyperlink w:anchor="_Toc117765909" w:history="1">
            <w:r w:rsidR="00892868" w:rsidRPr="00E9064B">
              <w:rPr>
                <w:rStyle w:val="Hyperlink"/>
                <w:noProof/>
              </w:rPr>
              <w:t>1.10</w:t>
            </w:r>
            <w:r w:rsidR="00892868">
              <w:rPr>
                <w:rFonts w:eastAsiaTheme="minorEastAsia"/>
                <w:noProof/>
                <w:lang w:eastAsia="en-GB"/>
              </w:rPr>
              <w:tab/>
            </w:r>
            <w:r w:rsidR="00892868" w:rsidRPr="00E9064B">
              <w:rPr>
                <w:rStyle w:val="Hyperlink"/>
                <w:noProof/>
              </w:rPr>
              <w:t>Knowledge gap</w:t>
            </w:r>
            <w:r w:rsidR="00892868">
              <w:rPr>
                <w:noProof/>
                <w:webHidden/>
              </w:rPr>
              <w:tab/>
            </w:r>
            <w:r w:rsidR="00892868">
              <w:rPr>
                <w:noProof/>
                <w:webHidden/>
              </w:rPr>
              <w:fldChar w:fldCharType="begin"/>
            </w:r>
            <w:r w:rsidR="00892868">
              <w:rPr>
                <w:noProof/>
                <w:webHidden/>
              </w:rPr>
              <w:instrText xml:space="preserve"> PAGEREF _Toc117765909 \h </w:instrText>
            </w:r>
            <w:r w:rsidR="00892868">
              <w:rPr>
                <w:noProof/>
                <w:webHidden/>
              </w:rPr>
            </w:r>
            <w:r w:rsidR="00892868">
              <w:rPr>
                <w:noProof/>
                <w:webHidden/>
              </w:rPr>
              <w:fldChar w:fldCharType="separate"/>
            </w:r>
            <w:r w:rsidR="00892868">
              <w:rPr>
                <w:noProof/>
                <w:webHidden/>
              </w:rPr>
              <w:t>54</w:t>
            </w:r>
            <w:r w:rsidR="00892868">
              <w:rPr>
                <w:noProof/>
                <w:webHidden/>
              </w:rPr>
              <w:fldChar w:fldCharType="end"/>
            </w:r>
          </w:hyperlink>
        </w:p>
        <w:p w14:paraId="7E8BFB7F" w14:textId="27AFC780" w:rsidR="00892868" w:rsidRDefault="00000000">
          <w:pPr>
            <w:pStyle w:val="TOC2"/>
            <w:tabs>
              <w:tab w:val="left" w:pos="880"/>
            </w:tabs>
            <w:rPr>
              <w:rFonts w:eastAsiaTheme="minorEastAsia"/>
              <w:noProof/>
              <w:lang w:eastAsia="en-GB"/>
            </w:rPr>
          </w:pPr>
          <w:hyperlink w:anchor="_Toc117765910" w:history="1">
            <w:r w:rsidR="00892868" w:rsidRPr="00E9064B">
              <w:rPr>
                <w:rStyle w:val="Hyperlink"/>
                <w:noProof/>
              </w:rPr>
              <w:t>1.11</w:t>
            </w:r>
            <w:r w:rsidR="00892868">
              <w:rPr>
                <w:rFonts w:eastAsiaTheme="minorEastAsia"/>
                <w:noProof/>
                <w:lang w:eastAsia="en-GB"/>
              </w:rPr>
              <w:tab/>
            </w:r>
            <w:r w:rsidR="00892868" w:rsidRPr="00E9064B">
              <w:rPr>
                <w:rStyle w:val="Hyperlink"/>
                <w:noProof/>
              </w:rPr>
              <w:t>Hypotheses and aims</w:t>
            </w:r>
            <w:r w:rsidR="00892868">
              <w:rPr>
                <w:noProof/>
                <w:webHidden/>
              </w:rPr>
              <w:tab/>
            </w:r>
            <w:r w:rsidR="00892868">
              <w:rPr>
                <w:noProof/>
                <w:webHidden/>
              </w:rPr>
              <w:fldChar w:fldCharType="begin"/>
            </w:r>
            <w:r w:rsidR="00892868">
              <w:rPr>
                <w:noProof/>
                <w:webHidden/>
              </w:rPr>
              <w:instrText xml:space="preserve"> PAGEREF _Toc117765910 \h </w:instrText>
            </w:r>
            <w:r w:rsidR="00892868">
              <w:rPr>
                <w:noProof/>
                <w:webHidden/>
              </w:rPr>
            </w:r>
            <w:r w:rsidR="00892868">
              <w:rPr>
                <w:noProof/>
                <w:webHidden/>
              </w:rPr>
              <w:fldChar w:fldCharType="separate"/>
            </w:r>
            <w:r w:rsidR="00892868">
              <w:rPr>
                <w:noProof/>
                <w:webHidden/>
              </w:rPr>
              <w:t>54</w:t>
            </w:r>
            <w:r w:rsidR="00892868">
              <w:rPr>
                <w:noProof/>
                <w:webHidden/>
              </w:rPr>
              <w:fldChar w:fldCharType="end"/>
            </w:r>
          </w:hyperlink>
        </w:p>
        <w:p w14:paraId="5B3C4473" w14:textId="5F5DC36A" w:rsidR="00892868" w:rsidRDefault="00000000">
          <w:pPr>
            <w:pStyle w:val="TOC3"/>
            <w:rPr>
              <w:rFonts w:eastAsiaTheme="minorEastAsia"/>
              <w:noProof/>
              <w:lang w:eastAsia="en-GB"/>
            </w:rPr>
          </w:pPr>
          <w:hyperlink w:anchor="_Toc117765911" w:history="1">
            <w:r w:rsidR="00892868" w:rsidRPr="00E9064B">
              <w:rPr>
                <w:rStyle w:val="Hyperlink"/>
                <w:noProof/>
              </w:rPr>
              <w:t>1.11.1 Hypothesis 1</w:t>
            </w:r>
            <w:r w:rsidR="00892868">
              <w:rPr>
                <w:noProof/>
                <w:webHidden/>
              </w:rPr>
              <w:tab/>
            </w:r>
            <w:r w:rsidR="00892868">
              <w:rPr>
                <w:noProof/>
                <w:webHidden/>
              </w:rPr>
              <w:fldChar w:fldCharType="begin"/>
            </w:r>
            <w:r w:rsidR="00892868">
              <w:rPr>
                <w:noProof/>
                <w:webHidden/>
              </w:rPr>
              <w:instrText xml:space="preserve"> PAGEREF _Toc117765911 \h </w:instrText>
            </w:r>
            <w:r w:rsidR="00892868">
              <w:rPr>
                <w:noProof/>
                <w:webHidden/>
              </w:rPr>
            </w:r>
            <w:r w:rsidR="00892868">
              <w:rPr>
                <w:noProof/>
                <w:webHidden/>
              </w:rPr>
              <w:fldChar w:fldCharType="separate"/>
            </w:r>
            <w:r w:rsidR="00892868">
              <w:rPr>
                <w:noProof/>
                <w:webHidden/>
              </w:rPr>
              <w:t>54</w:t>
            </w:r>
            <w:r w:rsidR="00892868">
              <w:rPr>
                <w:noProof/>
                <w:webHidden/>
              </w:rPr>
              <w:fldChar w:fldCharType="end"/>
            </w:r>
          </w:hyperlink>
        </w:p>
        <w:p w14:paraId="321ADFCC" w14:textId="23E78248" w:rsidR="00892868" w:rsidRDefault="00000000">
          <w:pPr>
            <w:pStyle w:val="TOC3"/>
            <w:rPr>
              <w:rFonts w:eastAsiaTheme="minorEastAsia"/>
              <w:noProof/>
              <w:lang w:eastAsia="en-GB"/>
            </w:rPr>
          </w:pPr>
          <w:hyperlink w:anchor="_Toc117765912" w:history="1">
            <w:r w:rsidR="00892868" w:rsidRPr="00E9064B">
              <w:rPr>
                <w:rStyle w:val="Hyperlink"/>
                <w:noProof/>
              </w:rPr>
              <w:t>1.11.1</w:t>
            </w:r>
            <w:r w:rsidR="00892868">
              <w:rPr>
                <w:rFonts w:eastAsiaTheme="minorEastAsia"/>
                <w:noProof/>
                <w:lang w:eastAsia="en-GB"/>
              </w:rPr>
              <w:tab/>
            </w:r>
            <w:r w:rsidR="00892868" w:rsidRPr="00E9064B">
              <w:rPr>
                <w:rStyle w:val="Hyperlink"/>
                <w:noProof/>
              </w:rPr>
              <w:t>Hypothesis 2</w:t>
            </w:r>
            <w:r w:rsidR="00892868">
              <w:rPr>
                <w:noProof/>
                <w:webHidden/>
              </w:rPr>
              <w:tab/>
            </w:r>
            <w:r w:rsidR="00892868">
              <w:rPr>
                <w:noProof/>
                <w:webHidden/>
              </w:rPr>
              <w:fldChar w:fldCharType="begin"/>
            </w:r>
            <w:r w:rsidR="00892868">
              <w:rPr>
                <w:noProof/>
                <w:webHidden/>
              </w:rPr>
              <w:instrText xml:space="preserve"> PAGEREF _Toc117765912 \h </w:instrText>
            </w:r>
            <w:r w:rsidR="00892868">
              <w:rPr>
                <w:noProof/>
                <w:webHidden/>
              </w:rPr>
            </w:r>
            <w:r w:rsidR="00892868">
              <w:rPr>
                <w:noProof/>
                <w:webHidden/>
              </w:rPr>
              <w:fldChar w:fldCharType="separate"/>
            </w:r>
            <w:r w:rsidR="00892868">
              <w:rPr>
                <w:noProof/>
                <w:webHidden/>
              </w:rPr>
              <w:t>55</w:t>
            </w:r>
            <w:r w:rsidR="00892868">
              <w:rPr>
                <w:noProof/>
                <w:webHidden/>
              </w:rPr>
              <w:fldChar w:fldCharType="end"/>
            </w:r>
          </w:hyperlink>
        </w:p>
        <w:p w14:paraId="4C085DCA" w14:textId="6739301B" w:rsidR="00892868" w:rsidRDefault="00000000">
          <w:pPr>
            <w:pStyle w:val="TOC3"/>
            <w:rPr>
              <w:rFonts w:eastAsiaTheme="minorEastAsia"/>
              <w:noProof/>
              <w:lang w:eastAsia="en-GB"/>
            </w:rPr>
          </w:pPr>
          <w:hyperlink w:anchor="_Toc117765913" w:history="1">
            <w:r w:rsidR="00892868" w:rsidRPr="00E9064B">
              <w:rPr>
                <w:rStyle w:val="Hyperlink"/>
                <w:noProof/>
              </w:rPr>
              <w:t>1.11.2</w:t>
            </w:r>
            <w:r w:rsidR="00892868">
              <w:rPr>
                <w:rFonts w:eastAsiaTheme="minorEastAsia"/>
                <w:noProof/>
                <w:lang w:eastAsia="en-GB"/>
              </w:rPr>
              <w:tab/>
            </w:r>
            <w:r w:rsidR="00892868" w:rsidRPr="00E9064B">
              <w:rPr>
                <w:rStyle w:val="Hyperlink"/>
                <w:noProof/>
              </w:rPr>
              <w:t>Hypothesis 3</w:t>
            </w:r>
            <w:r w:rsidR="00892868">
              <w:rPr>
                <w:noProof/>
                <w:webHidden/>
              </w:rPr>
              <w:tab/>
            </w:r>
            <w:r w:rsidR="00892868">
              <w:rPr>
                <w:noProof/>
                <w:webHidden/>
              </w:rPr>
              <w:fldChar w:fldCharType="begin"/>
            </w:r>
            <w:r w:rsidR="00892868">
              <w:rPr>
                <w:noProof/>
                <w:webHidden/>
              </w:rPr>
              <w:instrText xml:space="preserve"> PAGEREF _Toc117765913 \h </w:instrText>
            </w:r>
            <w:r w:rsidR="00892868">
              <w:rPr>
                <w:noProof/>
                <w:webHidden/>
              </w:rPr>
            </w:r>
            <w:r w:rsidR="00892868">
              <w:rPr>
                <w:noProof/>
                <w:webHidden/>
              </w:rPr>
              <w:fldChar w:fldCharType="separate"/>
            </w:r>
            <w:r w:rsidR="00892868">
              <w:rPr>
                <w:noProof/>
                <w:webHidden/>
              </w:rPr>
              <w:t>56</w:t>
            </w:r>
            <w:r w:rsidR="00892868">
              <w:rPr>
                <w:noProof/>
                <w:webHidden/>
              </w:rPr>
              <w:fldChar w:fldCharType="end"/>
            </w:r>
          </w:hyperlink>
        </w:p>
        <w:p w14:paraId="7802EF90" w14:textId="00027C9C" w:rsidR="00892868" w:rsidRDefault="00000000">
          <w:pPr>
            <w:pStyle w:val="TOC1"/>
            <w:tabs>
              <w:tab w:val="left" w:pos="1320"/>
            </w:tabs>
            <w:rPr>
              <w:rFonts w:eastAsiaTheme="minorEastAsia"/>
              <w:noProof/>
              <w:lang w:eastAsia="en-GB"/>
            </w:rPr>
          </w:pPr>
          <w:hyperlink w:anchor="_Toc117765914" w:history="1">
            <w:r w:rsidR="00892868" w:rsidRPr="00E9064B">
              <w:rPr>
                <w:rStyle w:val="Hyperlink"/>
                <w:b/>
                <w:bCs/>
                <w:noProof/>
              </w:rPr>
              <w:t>Chapter 2.</w:t>
            </w:r>
            <w:r w:rsidR="00892868">
              <w:rPr>
                <w:rFonts w:eastAsiaTheme="minorEastAsia"/>
                <w:noProof/>
                <w:lang w:eastAsia="en-GB"/>
              </w:rPr>
              <w:tab/>
            </w:r>
            <w:r w:rsidR="00892868" w:rsidRPr="00E9064B">
              <w:rPr>
                <w:rStyle w:val="Hyperlink"/>
                <w:b/>
                <w:bCs/>
                <w:noProof/>
              </w:rPr>
              <w:t xml:space="preserve"> Methodology</w:t>
            </w:r>
            <w:r w:rsidR="00892868">
              <w:rPr>
                <w:noProof/>
                <w:webHidden/>
              </w:rPr>
              <w:tab/>
            </w:r>
            <w:r w:rsidR="00892868">
              <w:rPr>
                <w:noProof/>
                <w:webHidden/>
              </w:rPr>
              <w:fldChar w:fldCharType="begin"/>
            </w:r>
            <w:r w:rsidR="00892868">
              <w:rPr>
                <w:noProof/>
                <w:webHidden/>
              </w:rPr>
              <w:instrText xml:space="preserve"> PAGEREF _Toc117765914 \h </w:instrText>
            </w:r>
            <w:r w:rsidR="00892868">
              <w:rPr>
                <w:noProof/>
                <w:webHidden/>
              </w:rPr>
            </w:r>
            <w:r w:rsidR="00892868">
              <w:rPr>
                <w:noProof/>
                <w:webHidden/>
              </w:rPr>
              <w:fldChar w:fldCharType="separate"/>
            </w:r>
            <w:r w:rsidR="00892868">
              <w:rPr>
                <w:noProof/>
                <w:webHidden/>
              </w:rPr>
              <w:t>57</w:t>
            </w:r>
            <w:r w:rsidR="00892868">
              <w:rPr>
                <w:noProof/>
                <w:webHidden/>
              </w:rPr>
              <w:fldChar w:fldCharType="end"/>
            </w:r>
          </w:hyperlink>
        </w:p>
        <w:p w14:paraId="23AD57B5" w14:textId="73723113" w:rsidR="00892868" w:rsidRDefault="00000000">
          <w:pPr>
            <w:pStyle w:val="TOC2"/>
            <w:tabs>
              <w:tab w:val="left" w:pos="880"/>
            </w:tabs>
            <w:rPr>
              <w:rFonts w:eastAsiaTheme="minorEastAsia"/>
              <w:noProof/>
              <w:lang w:eastAsia="en-GB"/>
            </w:rPr>
          </w:pPr>
          <w:hyperlink w:anchor="_Toc117765916" w:history="1">
            <w:r w:rsidR="00892868" w:rsidRPr="00E9064B">
              <w:rPr>
                <w:rStyle w:val="Hyperlink"/>
                <w:noProof/>
              </w:rPr>
              <w:t>2.1</w:t>
            </w:r>
            <w:r w:rsidR="00892868">
              <w:rPr>
                <w:rFonts w:eastAsiaTheme="minorEastAsia"/>
                <w:noProof/>
                <w:lang w:eastAsia="en-GB"/>
              </w:rPr>
              <w:tab/>
            </w:r>
            <w:r w:rsidR="00892868" w:rsidRPr="00E9064B">
              <w:rPr>
                <w:rStyle w:val="Hyperlink"/>
                <w:noProof/>
              </w:rPr>
              <w:t>Methods: The parental experience of having a child prescribed prophylactic antibiotics.</w:t>
            </w:r>
            <w:r w:rsidR="00892868">
              <w:rPr>
                <w:noProof/>
                <w:webHidden/>
              </w:rPr>
              <w:tab/>
            </w:r>
            <w:r w:rsidR="00892868">
              <w:rPr>
                <w:noProof/>
                <w:webHidden/>
              </w:rPr>
              <w:fldChar w:fldCharType="begin"/>
            </w:r>
            <w:r w:rsidR="00892868">
              <w:rPr>
                <w:noProof/>
                <w:webHidden/>
              </w:rPr>
              <w:instrText xml:space="preserve"> PAGEREF _Toc117765916 \h </w:instrText>
            </w:r>
            <w:r w:rsidR="00892868">
              <w:rPr>
                <w:noProof/>
                <w:webHidden/>
              </w:rPr>
            </w:r>
            <w:r w:rsidR="00892868">
              <w:rPr>
                <w:noProof/>
                <w:webHidden/>
              </w:rPr>
              <w:fldChar w:fldCharType="separate"/>
            </w:r>
            <w:r w:rsidR="00892868">
              <w:rPr>
                <w:noProof/>
                <w:webHidden/>
              </w:rPr>
              <w:t>57</w:t>
            </w:r>
            <w:r w:rsidR="00892868">
              <w:rPr>
                <w:noProof/>
                <w:webHidden/>
              </w:rPr>
              <w:fldChar w:fldCharType="end"/>
            </w:r>
          </w:hyperlink>
        </w:p>
        <w:p w14:paraId="4C0A7FEA" w14:textId="1BFC380F" w:rsidR="00892868" w:rsidRDefault="00000000">
          <w:pPr>
            <w:pStyle w:val="TOC3"/>
            <w:rPr>
              <w:rFonts w:eastAsiaTheme="minorEastAsia"/>
              <w:noProof/>
              <w:lang w:eastAsia="en-GB"/>
            </w:rPr>
          </w:pPr>
          <w:hyperlink w:anchor="_Toc117765917" w:history="1">
            <w:r w:rsidR="00892868" w:rsidRPr="00E9064B">
              <w:rPr>
                <w:rStyle w:val="Hyperlink"/>
                <w:noProof/>
              </w:rPr>
              <w:t>2.1.1</w:t>
            </w:r>
            <w:r w:rsidR="00892868">
              <w:rPr>
                <w:rFonts w:eastAsiaTheme="minorEastAsia"/>
                <w:noProof/>
                <w:lang w:eastAsia="en-GB"/>
              </w:rPr>
              <w:tab/>
            </w:r>
            <w:r w:rsidR="00892868" w:rsidRPr="00E9064B">
              <w:rPr>
                <w:rStyle w:val="Hyperlink"/>
                <w:noProof/>
              </w:rPr>
              <w:t>Study conduct</w:t>
            </w:r>
            <w:r w:rsidR="00892868">
              <w:rPr>
                <w:noProof/>
                <w:webHidden/>
              </w:rPr>
              <w:tab/>
            </w:r>
            <w:r w:rsidR="00892868">
              <w:rPr>
                <w:noProof/>
                <w:webHidden/>
              </w:rPr>
              <w:fldChar w:fldCharType="begin"/>
            </w:r>
            <w:r w:rsidR="00892868">
              <w:rPr>
                <w:noProof/>
                <w:webHidden/>
              </w:rPr>
              <w:instrText xml:space="preserve"> PAGEREF _Toc117765917 \h </w:instrText>
            </w:r>
            <w:r w:rsidR="00892868">
              <w:rPr>
                <w:noProof/>
                <w:webHidden/>
              </w:rPr>
            </w:r>
            <w:r w:rsidR="00892868">
              <w:rPr>
                <w:noProof/>
                <w:webHidden/>
              </w:rPr>
              <w:fldChar w:fldCharType="separate"/>
            </w:r>
            <w:r w:rsidR="00892868">
              <w:rPr>
                <w:noProof/>
                <w:webHidden/>
              </w:rPr>
              <w:t>57</w:t>
            </w:r>
            <w:r w:rsidR="00892868">
              <w:rPr>
                <w:noProof/>
                <w:webHidden/>
              </w:rPr>
              <w:fldChar w:fldCharType="end"/>
            </w:r>
          </w:hyperlink>
        </w:p>
        <w:p w14:paraId="49DA0096" w14:textId="01DAA591" w:rsidR="00892868" w:rsidRDefault="00000000">
          <w:pPr>
            <w:pStyle w:val="TOC3"/>
            <w:rPr>
              <w:rFonts w:eastAsiaTheme="minorEastAsia"/>
              <w:noProof/>
              <w:lang w:eastAsia="en-GB"/>
            </w:rPr>
          </w:pPr>
          <w:hyperlink w:anchor="_Toc117765918" w:history="1">
            <w:r w:rsidR="00892868" w:rsidRPr="00E9064B">
              <w:rPr>
                <w:rStyle w:val="Hyperlink"/>
                <w:noProof/>
              </w:rPr>
              <w:t>2.1.2</w:t>
            </w:r>
            <w:r w:rsidR="00892868">
              <w:rPr>
                <w:rFonts w:eastAsiaTheme="minorEastAsia"/>
                <w:noProof/>
                <w:lang w:eastAsia="en-GB"/>
              </w:rPr>
              <w:tab/>
            </w:r>
            <w:r w:rsidR="00892868" w:rsidRPr="00E9064B">
              <w:rPr>
                <w:rStyle w:val="Hyperlink"/>
                <w:noProof/>
              </w:rPr>
              <w:t>Study design</w:t>
            </w:r>
            <w:r w:rsidR="00892868">
              <w:rPr>
                <w:noProof/>
                <w:webHidden/>
              </w:rPr>
              <w:tab/>
            </w:r>
            <w:r w:rsidR="00892868">
              <w:rPr>
                <w:noProof/>
                <w:webHidden/>
              </w:rPr>
              <w:fldChar w:fldCharType="begin"/>
            </w:r>
            <w:r w:rsidR="00892868">
              <w:rPr>
                <w:noProof/>
                <w:webHidden/>
              </w:rPr>
              <w:instrText xml:space="preserve"> PAGEREF _Toc117765918 \h </w:instrText>
            </w:r>
            <w:r w:rsidR="00892868">
              <w:rPr>
                <w:noProof/>
                <w:webHidden/>
              </w:rPr>
            </w:r>
            <w:r w:rsidR="00892868">
              <w:rPr>
                <w:noProof/>
                <w:webHidden/>
              </w:rPr>
              <w:fldChar w:fldCharType="separate"/>
            </w:r>
            <w:r w:rsidR="00892868">
              <w:rPr>
                <w:noProof/>
                <w:webHidden/>
              </w:rPr>
              <w:t>57</w:t>
            </w:r>
            <w:r w:rsidR="00892868">
              <w:rPr>
                <w:noProof/>
                <w:webHidden/>
              </w:rPr>
              <w:fldChar w:fldCharType="end"/>
            </w:r>
          </w:hyperlink>
        </w:p>
        <w:p w14:paraId="4B554665" w14:textId="5DBDBBEA" w:rsidR="00892868" w:rsidRDefault="00000000">
          <w:pPr>
            <w:pStyle w:val="TOC3"/>
            <w:rPr>
              <w:rFonts w:eastAsiaTheme="minorEastAsia"/>
              <w:noProof/>
              <w:lang w:eastAsia="en-GB"/>
            </w:rPr>
          </w:pPr>
          <w:hyperlink w:anchor="_Toc117765919" w:history="1">
            <w:r w:rsidR="00892868" w:rsidRPr="00E9064B">
              <w:rPr>
                <w:rStyle w:val="Hyperlink"/>
                <w:noProof/>
              </w:rPr>
              <w:t>2.1.3</w:t>
            </w:r>
            <w:r w:rsidR="00892868">
              <w:rPr>
                <w:rFonts w:eastAsiaTheme="minorEastAsia"/>
                <w:noProof/>
                <w:lang w:eastAsia="en-GB"/>
              </w:rPr>
              <w:tab/>
            </w:r>
            <w:r w:rsidR="00892868" w:rsidRPr="00E9064B">
              <w:rPr>
                <w:rStyle w:val="Hyperlink"/>
                <w:noProof/>
              </w:rPr>
              <w:t>Participant selection and recruitment</w:t>
            </w:r>
            <w:r w:rsidR="00892868">
              <w:rPr>
                <w:noProof/>
                <w:webHidden/>
              </w:rPr>
              <w:tab/>
            </w:r>
            <w:r w:rsidR="00892868">
              <w:rPr>
                <w:noProof/>
                <w:webHidden/>
              </w:rPr>
              <w:fldChar w:fldCharType="begin"/>
            </w:r>
            <w:r w:rsidR="00892868">
              <w:rPr>
                <w:noProof/>
                <w:webHidden/>
              </w:rPr>
              <w:instrText xml:space="preserve"> PAGEREF _Toc117765919 \h </w:instrText>
            </w:r>
            <w:r w:rsidR="00892868">
              <w:rPr>
                <w:noProof/>
                <w:webHidden/>
              </w:rPr>
            </w:r>
            <w:r w:rsidR="00892868">
              <w:rPr>
                <w:noProof/>
                <w:webHidden/>
              </w:rPr>
              <w:fldChar w:fldCharType="separate"/>
            </w:r>
            <w:r w:rsidR="00892868">
              <w:rPr>
                <w:noProof/>
                <w:webHidden/>
              </w:rPr>
              <w:t>57</w:t>
            </w:r>
            <w:r w:rsidR="00892868">
              <w:rPr>
                <w:noProof/>
                <w:webHidden/>
              </w:rPr>
              <w:fldChar w:fldCharType="end"/>
            </w:r>
          </w:hyperlink>
        </w:p>
        <w:p w14:paraId="217A6A9C" w14:textId="5777E5EF" w:rsidR="00892868" w:rsidRDefault="00000000">
          <w:pPr>
            <w:pStyle w:val="TOC3"/>
            <w:rPr>
              <w:rFonts w:eastAsiaTheme="minorEastAsia"/>
              <w:noProof/>
              <w:lang w:eastAsia="en-GB"/>
            </w:rPr>
          </w:pPr>
          <w:hyperlink w:anchor="_Toc117765920" w:history="1">
            <w:r w:rsidR="00892868" w:rsidRPr="00E9064B">
              <w:rPr>
                <w:rStyle w:val="Hyperlink"/>
                <w:noProof/>
              </w:rPr>
              <w:t>2.1.4</w:t>
            </w:r>
            <w:r w:rsidR="00892868">
              <w:rPr>
                <w:rFonts w:eastAsiaTheme="minorEastAsia"/>
                <w:noProof/>
                <w:lang w:eastAsia="en-GB"/>
              </w:rPr>
              <w:tab/>
            </w:r>
            <w:r w:rsidR="00892868" w:rsidRPr="00E9064B">
              <w:rPr>
                <w:rStyle w:val="Hyperlink"/>
                <w:noProof/>
              </w:rPr>
              <w:t>Participant recruitment</w:t>
            </w:r>
            <w:r w:rsidR="00892868">
              <w:rPr>
                <w:noProof/>
                <w:webHidden/>
              </w:rPr>
              <w:tab/>
            </w:r>
            <w:r w:rsidR="00892868">
              <w:rPr>
                <w:noProof/>
                <w:webHidden/>
              </w:rPr>
              <w:fldChar w:fldCharType="begin"/>
            </w:r>
            <w:r w:rsidR="00892868">
              <w:rPr>
                <w:noProof/>
                <w:webHidden/>
              </w:rPr>
              <w:instrText xml:space="preserve"> PAGEREF _Toc117765920 \h </w:instrText>
            </w:r>
            <w:r w:rsidR="00892868">
              <w:rPr>
                <w:noProof/>
                <w:webHidden/>
              </w:rPr>
            </w:r>
            <w:r w:rsidR="00892868">
              <w:rPr>
                <w:noProof/>
                <w:webHidden/>
              </w:rPr>
              <w:fldChar w:fldCharType="separate"/>
            </w:r>
            <w:r w:rsidR="00892868">
              <w:rPr>
                <w:noProof/>
                <w:webHidden/>
              </w:rPr>
              <w:t>58</w:t>
            </w:r>
            <w:r w:rsidR="00892868">
              <w:rPr>
                <w:noProof/>
                <w:webHidden/>
              </w:rPr>
              <w:fldChar w:fldCharType="end"/>
            </w:r>
          </w:hyperlink>
        </w:p>
        <w:p w14:paraId="705894F2" w14:textId="2E250A7D" w:rsidR="00892868" w:rsidRDefault="00000000">
          <w:pPr>
            <w:pStyle w:val="TOC3"/>
            <w:rPr>
              <w:rFonts w:eastAsiaTheme="minorEastAsia"/>
              <w:noProof/>
              <w:lang w:eastAsia="en-GB"/>
            </w:rPr>
          </w:pPr>
          <w:hyperlink w:anchor="_Toc117765921" w:history="1">
            <w:r w:rsidR="00892868" w:rsidRPr="00E9064B">
              <w:rPr>
                <w:rStyle w:val="Hyperlink"/>
                <w:noProof/>
              </w:rPr>
              <w:t>2.1.5</w:t>
            </w:r>
            <w:r w:rsidR="00892868">
              <w:rPr>
                <w:rFonts w:eastAsiaTheme="minorEastAsia"/>
                <w:noProof/>
                <w:lang w:eastAsia="en-GB"/>
              </w:rPr>
              <w:tab/>
            </w:r>
            <w:r w:rsidR="00892868" w:rsidRPr="00E9064B">
              <w:rPr>
                <w:rStyle w:val="Hyperlink"/>
                <w:noProof/>
              </w:rPr>
              <w:t>Interviews</w:t>
            </w:r>
            <w:r w:rsidR="00892868">
              <w:rPr>
                <w:noProof/>
                <w:webHidden/>
              </w:rPr>
              <w:tab/>
            </w:r>
            <w:r w:rsidR="00892868">
              <w:rPr>
                <w:noProof/>
                <w:webHidden/>
              </w:rPr>
              <w:fldChar w:fldCharType="begin"/>
            </w:r>
            <w:r w:rsidR="00892868">
              <w:rPr>
                <w:noProof/>
                <w:webHidden/>
              </w:rPr>
              <w:instrText xml:space="preserve"> PAGEREF _Toc117765921 \h </w:instrText>
            </w:r>
            <w:r w:rsidR="00892868">
              <w:rPr>
                <w:noProof/>
                <w:webHidden/>
              </w:rPr>
            </w:r>
            <w:r w:rsidR="00892868">
              <w:rPr>
                <w:noProof/>
                <w:webHidden/>
              </w:rPr>
              <w:fldChar w:fldCharType="separate"/>
            </w:r>
            <w:r w:rsidR="00892868">
              <w:rPr>
                <w:noProof/>
                <w:webHidden/>
              </w:rPr>
              <w:t>58</w:t>
            </w:r>
            <w:r w:rsidR="00892868">
              <w:rPr>
                <w:noProof/>
                <w:webHidden/>
              </w:rPr>
              <w:fldChar w:fldCharType="end"/>
            </w:r>
          </w:hyperlink>
        </w:p>
        <w:p w14:paraId="1157038D" w14:textId="2F9086C3" w:rsidR="00892868" w:rsidRDefault="00000000">
          <w:pPr>
            <w:pStyle w:val="TOC3"/>
            <w:rPr>
              <w:rFonts w:eastAsiaTheme="minorEastAsia"/>
              <w:noProof/>
              <w:lang w:eastAsia="en-GB"/>
            </w:rPr>
          </w:pPr>
          <w:hyperlink w:anchor="_Toc117765922" w:history="1">
            <w:r w:rsidR="00892868" w:rsidRPr="00E9064B">
              <w:rPr>
                <w:rStyle w:val="Hyperlink"/>
                <w:noProof/>
              </w:rPr>
              <w:t>2.1.6</w:t>
            </w:r>
            <w:r w:rsidR="00892868">
              <w:rPr>
                <w:rFonts w:eastAsiaTheme="minorEastAsia"/>
                <w:noProof/>
                <w:lang w:eastAsia="en-GB"/>
              </w:rPr>
              <w:tab/>
            </w:r>
            <w:r w:rsidR="00892868" w:rsidRPr="00E9064B">
              <w:rPr>
                <w:rStyle w:val="Hyperlink"/>
                <w:noProof/>
              </w:rPr>
              <w:t>Data handling</w:t>
            </w:r>
            <w:r w:rsidR="00892868">
              <w:rPr>
                <w:noProof/>
                <w:webHidden/>
              </w:rPr>
              <w:tab/>
            </w:r>
            <w:r w:rsidR="00892868">
              <w:rPr>
                <w:noProof/>
                <w:webHidden/>
              </w:rPr>
              <w:fldChar w:fldCharType="begin"/>
            </w:r>
            <w:r w:rsidR="00892868">
              <w:rPr>
                <w:noProof/>
                <w:webHidden/>
              </w:rPr>
              <w:instrText xml:space="preserve"> PAGEREF _Toc117765922 \h </w:instrText>
            </w:r>
            <w:r w:rsidR="00892868">
              <w:rPr>
                <w:noProof/>
                <w:webHidden/>
              </w:rPr>
            </w:r>
            <w:r w:rsidR="00892868">
              <w:rPr>
                <w:noProof/>
                <w:webHidden/>
              </w:rPr>
              <w:fldChar w:fldCharType="separate"/>
            </w:r>
            <w:r w:rsidR="00892868">
              <w:rPr>
                <w:noProof/>
                <w:webHidden/>
              </w:rPr>
              <w:t>59</w:t>
            </w:r>
            <w:r w:rsidR="00892868">
              <w:rPr>
                <w:noProof/>
                <w:webHidden/>
              </w:rPr>
              <w:fldChar w:fldCharType="end"/>
            </w:r>
          </w:hyperlink>
        </w:p>
        <w:p w14:paraId="522FE09C" w14:textId="31C7A540" w:rsidR="00892868" w:rsidRDefault="00000000">
          <w:pPr>
            <w:pStyle w:val="TOC3"/>
            <w:rPr>
              <w:rFonts w:eastAsiaTheme="minorEastAsia"/>
              <w:noProof/>
              <w:lang w:eastAsia="en-GB"/>
            </w:rPr>
          </w:pPr>
          <w:hyperlink w:anchor="_Toc117765923" w:history="1">
            <w:r w:rsidR="00892868" w:rsidRPr="00E9064B">
              <w:rPr>
                <w:rStyle w:val="Hyperlink"/>
                <w:noProof/>
              </w:rPr>
              <w:t>2.1.7</w:t>
            </w:r>
            <w:r w:rsidR="00892868">
              <w:rPr>
                <w:rFonts w:eastAsiaTheme="minorEastAsia"/>
                <w:noProof/>
                <w:lang w:eastAsia="en-GB"/>
              </w:rPr>
              <w:tab/>
            </w:r>
            <w:r w:rsidR="00892868" w:rsidRPr="00E9064B">
              <w:rPr>
                <w:rStyle w:val="Hyperlink"/>
                <w:noProof/>
              </w:rPr>
              <w:t>Analysis</w:t>
            </w:r>
            <w:r w:rsidR="00892868">
              <w:rPr>
                <w:noProof/>
                <w:webHidden/>
              </w:rPr>
              <w:tab/>
            </w:r>
            <w:r w:rsidR="00892868">
              <w:rPr>
                <w:noProof/>
                <w:webHidden/>
              </w:rPr>
              <w:fldChar w:fldCharType="begin"/>
            </w:r>
            <w:r w:rsidR="00892868">
              <w:rPr>
                <w:noProof/>
                <w:webHidden/>
              </w:rPr>
              <w:instrText xml:space="preserve"> PAGEREF _Toc117765923 \h </w:instrText>
            </w:r>
            <w:r w:rsidR="00892868">
              <w:rPr>
                <w:noProof/>
                <w:webHidden/>
              </w:rPr>
            </w:r>
            <w:r w:rsidR="00892868">
              <w:rPr>
                <w:noProof/>
                <w:webHidden/>
              </w:rPr>
              <w:fldChar w:fldCharType="separate"/>
            </w:r>
            <w:r w:rsidR="00892868">
              <w:rPr>
                <w:noProof/>
                <w:webHidden/>
              </w:rPr>
              <w:t>59</w:t>
            </w:r>
            <w:r w:rsidR="00892868">
              <w:rPr>
                <w:noProof/>
                <w:webHidden/>
              </w:rPr>
              <w:fldChar w:fldCharType="end"/>
            </w:r>
          </w:hyperlink>
        </w:p>
        <w:p w14:paraId="11C896D8" w14:textId="770773DD" w:rsidR="00892868" w:rsidRDefault="00000000">
          <w:pPr>
            <w:pStyle w:val="TOC2"/>
            <w:tabs>
              <w:tab w:val="left" w:pos="880"/>
            </w:tabs>
            <w:rPr>
              <w:rFonts w:eastAsiaTheme="minorEastAsia"/>
              <w:noProof/>
              <w:lang w:eastAsia="en-GB"/>
            </w:rPr>
          </w:pPr>
          <w:hyperlink w:anchor="_Toc117765924" w:history="1">
            <w:r w:rsidR="00892868" w:rsidRPr="00E9064B">
              <w:rPr>
                <w:rStyle w:val="Hyperlink"/>
                <w:noProof/>
              </w:rPr>
              <w:t>2.2</w:t>
            </w:r>
            <w:r w:rsidR="00892868">
              <w:rPr>
                <w:rFonts w:eastAsiaTheme="minorEastAsia"/>
                <w:noProof/>
                <w:lang w:eastAsia="en-GB"/>
              </w:rPr>
              <w:tab/>
            </w:r>
            <w:r w:rsidR="00892868" w:rsidRPr="00E9064B">
              <w:rPr>
                <w:rStyle w:val="Hyperlink"/>
                <w:noProof/>
              </w:rPr>
              <w:t>Methods: PBB study 1 – Pilot study of azithromycin and nasopharyngeal flora AMR</w:t>
            </w:r>
            <w:r w:rsidR="00892868">
              <w:rPr>
                <w:noProof/>
                <w:webHidden/>
              </w:rPr>
              <w:tab/>
            </w:r>
            <w:r w:rsidR="00892868">
              <w:rPr>
                <w:noProof/>
                <w:webHidden/>
              </w:rPr>
              <w:fldChar w:fldCharType="begin"/>
            </w:r>
            <w:r w:rsidR="00892868">
              <w:rPr>
                <w:noProof/>
                <w:webHidden/>
              </w:rPr>
              <w:instrText xml:space="preserve"> PAGEREF _Toc117765924 \h </w:instrText>
            </w:r>
            <w:r w:rsidR="00892868">
              <w:rPr>
                <w:noProof/>
                <w:webHidden/>
              </w:rPr>
            </w:r>
            <w:r w:rsidR="00892868">
              <w:rPr>
                <w:noProof/>
                <w:webHidden/>
              </w:rPr>
              <w:fldChar w:fldCharType="separate"/>
            </w:r>
            <w:r w:rsidR="00892868">
              <w:rPr>
                <w:noProof/>
                <w:webHidden/>
              </w:rPr>
              <w:t>60</w:t>
            </w:r>
            <w:r w:rsidR="00892868">
              <w:rPr>
                <w:noProof/>
                <w:webHidden/>
              </w:rPr>
              <w:fldChar w:fldCharType="end"/>
            </w:r>
          </w:hyperlink>
        </w:p>
        <w:p w14:paraId="574F8B99" w14:textId="5406C28A" w:rsidR="00892868" w:rsidRDefault="00000000">
          <w:pPr>
            <w:pStyle w:val="TOC3"/>
            <w:rPr>
              <w:rFonts w:eastAsiaTheme="minorEastAsia"/>
              <w:noProof/>
              <w:lang w:eastAsia="en-GB"/>
            </w:rPr>
          </w:pPr>
          <w:hyperlink w:anchor="_Toc117765925" w:history="1">
            <w:r w:rsidR="00892868" w:rsidRPr="00E9064B">
              <w:rPr>
                <w:rStyle w:val="Hyperlink"/>
                <w:noProof/>
              </w:rPr>
              <w:t>2.2.1</w:t>
            </w:r>
            <w:r w:rsidR="00892868">
              <w:rPr>
                <w:rFonts w:eastAsiaTheme="minorEastAsia"/>
                <w:noProof/>
                <w:lang w:eastAsia="en-GB"/>
              </w:rPr>
              <w:tab/>
            </w:r>
            <w:r w:rsidR="00892868" w:rsidRPr="00E9064B">
              <w:rPr>
                <w:rStyle w:val="Hyperlink"/>
                <w:noProof/>
              </w:rPr>
              <w:t>Study conduct and funding</w:t>
            </w:r>
            <w:r w:rsidR="00892868">
              <w:rPr>
                <w:noProof/>
                <w:webHidden/>
              </w:rPr>
              <w:tab/>
            </w:r>
            <w:r w:rsidR="00892868">
              <w:rPr>
                <w:noProof/>
                <w:webHidden/>
              </w:rPr>
              <w:fldChar w:fldCharType="begin"/>
            </w:r>
            <w:r w:rsidR="00892868">
              <w:rPr>
                <w:noProof/>
                <w:webHidden/>
              </w:rPr>
              <w:instrText xml:space="preserve"> PAGEREF _Toc117765925 \h </w:instrText>
            </w:r>
            <w:r w:rsidR="00892868">
              <w:rPr>
                <w:noProof/>
                <w:webHidden/>
              </w:rPr>
            </w:r>
            <w:r w:rsidR="00892868">
              <w:rPr>
                <w:noProof/>
                <w:webHidden/>
              </w:rPr>
              <w:fldChar w:fldCharType="separate"/>
            </w:r>
            <w:r w:rsidR="00892868">
              <w:rPr>
                <w:noProof/>
                <w:webHidden/>
              </w:rPr>
              <w:t>60</w:t>
            </w:r>
            <w:r w:rsidR="00892868">
              <w:rPr>
                <w:noProof/>
                <w:webHidden/>
              </w:rPr>
              <w:fldChar w:fldCharType="end"/>
            </w:r>
          </w:hyperlink>
        </w:p>
        <w:p w14:paraId="21AB5017" w14:textId="45D7FA51" w:rsidR="00892868" w:rsidRDefault="00000000">
          <w:pPr>
            <w:pStyle w:val="TOC3"/>
            <w:rPr>
              <w:rFonts w:eastAsiaTheme="minorEastAsia"/>
              <w:noProof/>
              <w:lang w:eastAsia="en-GB"/>
            </w:rPr>
          </w:pPr>
          <w:hyperlink w:anchor="_Toc117765926" w:history="1">
            <w:r w:rsidR="00892868" w:rsidRPr="00E9064B">
              <w:rPr>
                <w:rStyle w:val="Hyperlink"/>
                <w:noProof/>
              </w:rPr>
              <w:t>2.2.2</w:t>
            </w:r>
            <w:r w:rsidR="00892868">
              <w:rPr>
                <w:rFonts w:eastAsiaTheme="minorEastAsia"/>
                <w:noProof/>
                <w:lang w:eastAsia="en-GB"/>
              </w:rPr>
              <w:tab/>
            </w:r>
            <w:r w:rsidR="00892868" w:rsidRPr="00E9064B">
              <w:rPr>
                <w:rStyle w:val="Hyperlink"/>
                <w:noProof/>
              </w:rPr>
              <w:t>Study design</w:t>
            </w:r>
            <w:r w:rsidR="00892868">
              <w:rPr>
                <w:noProof/>
                <w:webHidden/>
              </w:rPr>
              <w:tab/>
            </w:r>
            <w:r w:rsidR="00892868">
              <w:rPr>
                <w:noProof/>
                <w:webHidden/>
              </w:rPr>
              <w:fldChar w:fldCharType="begin"/>
            </w:r>
            <w:r w:rsidR="00892868">
              <w:rPr>
                <w:noProof/>
                <w:webHidden/>
              </w:rPr>
              <w:instrText xml:space="preserve"> PAGEREF _Toc117765926 \h </w:instrText>
            </w:r>
            <w:r w:rsidR="00892868">
              <w:rPr>
                <w:noProof/>
                <w:webHidden/>
              </w:rPr>
            </w:r>
            <w:r w:rsidR="00892868">
              <w:rPr>
                <w:noProof/>
                <w:webHidden/>
              </w:rPr>
              <w:fldChar w:fldCharType="separate"/>
            </w:r>
            <w:r w:rsidR="00892868">
              <w:rPr>
                <w:noProof/>
                <w:webHidden/>
              </w:rPr>
              <w:t>61</w:t>
            </w:r>
            <w:r w:rsidR="00892868">
              <w:rPr>
                <w:noProof/>
                <w:webHidden/>
              </w:rPr>
              <w:fldChar w:fldCharType="end"/>
            </w:r>
          </w:hyperlink>
        </w:p>
        <w:p w14:paraId="442C3E39" w14:textId="4833BD57" w:rsidR="00892868" w:rsidRDefault="00000000">
          <w:pPr>
            <w:pStyle w:val="TOC3"/>
            <w:rPr>
              <w:rFonts w:eastAsiaTheme="minorEastAsia"/>
              <w:noProof/>
              <w:lang w:eastAsia="en-GB"/>
            </w:rPr>
          </w:pPr>
          <w:hyperlink w:anchor="_Toc117765927" w:history="1">
            <w:r w:rsidR="00892868" w:rsidRPr="00E9064B">
              <w:rPr>
                <w:rStyle w:val="Hyperlink"/>
                <w:noProof/>
              </w:rPr>
              <w:t>2.2.3</w:t>
            </w:r>
            <w:r w:rsidR="00892868">
              <w:rPr>
                <w:rFonts w:eastAsiaTheme="minorEastAsia"/>
                <w:noProof/>
                <w:lang w:eastAsia="en-GB"/>
              </w:rPr>
              <w:tab/>
            </w:r>
            <w:r w:rsidR="00892868" w:rsidRPr="00E9064B">
              <w:rPr>
                <w:rStyle w:val="Hyperlink"/>
                <w:noProof/>
              </w:rPr>
              <w:t>Participant selection</w:t>
            </w:r>
            <w:r w:rsidR="00892868">
              <w:rPr>
                <w:noProof/>
                <w:webHidden/>
              </w:rPr>
              <w:tab/>
            </w:r>
            <w:r w:rsidR="00892868">
              <w:rPr>
                <w:noProof/>
                <w:webHidden/>
              </w:rPr>
              <w:fldChar w:fldCharType="begin"/>
            </w:r>
            <w:r w:rsidR="00892868">
              <w:rPr>
                <w:noProof/>
                <w:webHidden/>
              </w:rPr>
              <w:instrText xml:space="preserve"> PAGEREF _Toc117765927 \h </w:instrText>
            </w:r>
            <w:r w:rsidR="00892868">
              <w:rPr>
                <w:noProof/>
                <w:webHidden/>
              </w:rPr>
            </w:r>
            <w:r w:rsidR="00892868">
              <w:rPr>
                <w:noProof/>
                <w:webHidden/>
              </w:rPr>
              <w:fldChar w:fldCharType="separate"/>
            </w:r>
            <w:r w:rsidR="00892868">
              <w:rPr>
                <w:noProof/>
                <w:webHidden/>
              </w:rPr>
              <w:t>61</w:t>
            </w:r>
            <w:r w:rsidR="00892868">
              <w:rPr>
                <w:noProof/>
                <w:webHidden/>
              </w:rPr>
              <w:fldChar w:fldCharType="end"/>
            </w:r>
          </w:hyperlink>
        </w:p>
        <w:p w14:paraId="705BEF90" w14:textId="47FE282B" w:rsidR="00892868" w:rsidRDefault="00000000">
          <w:pPr>
            <w:pStyle w:val="TOC3"/>
            <w:rPr>
              <w:rFonts w:eastAsiaTheme="minorEastAsia"/>
              <w:noProof/>
              <w:lang w:eastAsia="en-GB"/>
            </w:rPr>
          </w:pPr>
          <w:hyperlink w:anchor="_Toc117765928" w:history="1">
            <w:r w:rsidR="00892868" w:rsidRPr="00E9064B">
              <w:rPr>
                <w:rStyle w:val="Hyperlink"/>
                <w:noProof/>
              </w:rPr>
              <w:t>2.2.4</w:t>
            </w:r>
            <w:r w:rsidR="00892868">
              <w:rPr>
                <w:rFonts w:eastAsiaTheme="minorEastAsia"/>
                <w:noProof/>
                <w:lang w:eastAsia="en-GB"/>
              </w:rPr>
              <w:tab/>
            </w:r>
            <w:r w:rsidR="00892868" w:rsidRPr="00E9064B">
              <w:rPr>
                <w:rStyle w:val="Hyperlink"/>
                <w:noProof/>
              </w:rPr>
              <w:t>Participant recruitment</w:t>
            </w:r>
            <w:r w:rsidR="00892868">
              <w:rPr>
                <w:noProof/>
                <w:webHidden/>
              </w:rPr>
              <w:tab/>
            </w:r>
            <w:r w:rsidR="00892868">
              <w:rPr>
                <w:noProof/>
                <w:webHidden/>
              </w:rPr>
              <w:fldChar w:fldCharType="begin"/>
            </w:r>
            <w:r w:rsidR="00892868">
              <w:rPr>
                <w:noProof/>
                <w:webHidden/>
              </w:rPr>
              <w:instrText xml:space="preserve"> PAGEREF _Toc117765928 \h </w:instrText>
            </w:r>
            <w:r w:rsidR="00892868">
              <w:rPr>
                <w:noProof/>
                <w:webHidden/>
              </w:rPr>
            </w:r>
            <w:r w:rsidR="00892868">
              <w:rPr>
                <w:noProof/>
                <w:webHidden/>
              </w:rPr>
              <w:fldChar w:fldCharType="separate"/>
            </w:r>
            <w:r w:rsidR="00892868">
              <w:rPr>
                <w:noProof/>
                <w:webHidden/>
              </w:rPr>
              <w:t>62</w:t>
            </w:r>
            <w:r w:rsidR="00892868">
              <w:rPr>
                <w:noProof/>
                <w:webHidden/>
              </w:rPr>
              <w:fldChar w:fldCharType="end"/>
            </w:r>
          </w:hyperlink>
        </w:p>
        <w:p w14:paraId="120265DF" w14:textId="01C9FB42" w:rsidR="00892868" w:rsidRDefault="00000000">
          <w:pPr>
            <w:pStyle w:val="TOC3"/>
            <w:rPr>
              <w:rFonts w:eastAsiaTheme="minorEastAsia"/>
              <w:noProof/>
              <w:lang w:eastAsia="en-GB"/>
            </w:rPr>
          </w:pPr>
          <w:hyperlink w:anchor="_Toc117765929" w:history="1">
            <w:r w:rsidR="00892868" w:rsidRPr="00E9064B">
              <w:rPr>
                <w:rStyle w:val="Hyperlink"/>
                <w:noProof/>
              </w:rPr>
              <w:t>2.2.5</w:t>
            </w:r>
            <w:r w:rsidR="00892868">
              <w:rPr>
                <w:rFonts w:eastAsiaTheme="minorEastAsia"/>
                <w:noProof/>
                <w:lang w:eastAsia="en-GB"/>
              </w:rPr>
              <w:tab/>
            </w:r>
            <w:r w:rsidR="00892868" w:rsidRPr="00E9064B">
              <w:rPr>
                <w:rStyle w:val="Hyperlink"/>
                <w:noProof/>
              </w:rPr>
              <w:t>Interventions and sample processing</w:t>
            </w:r>
            <w:r w:rsidR="00892868">
              <w:rPr>
                <w:noProof/>
                <w:webHidden/>
              </w:rPr>
              <w:tab/>
            </w:r>
            <w:r w:rsidR="00892868">
              <w:rPr>
                <w:noProof/>
                <w:webHidden/>
              </w:rPr>
              <w:fldChar w:fldCharType="begin"/>
            </w:r>
            <w:r w:rsidR="00892868">
              <w:rPr>
                <w:noProof/>
                <w:webHidden/>
              </w:rPr>
              <w:instrText xml:space="preserve"> PAGEREF _Toc117765929 \h </w:instrText>
            </w:r>
            <w:r w:rsidR="00892868">
              <w:rPr>
                <w:noProof/>
                <w:webHidden/>
              </w:rPr>
            </w:r>
            <w:r w:rsidR="00892868">
              <w:rPr>
                <w:noProof/>
                <w:webHidden/>
              </w:rPr>
              <w:fldChar w:fldCharType="separate"/>
            </w:r>
            <w:r w:rsidR="00892868">
              <w:rPr>
                <w:noProof/>
                <w:webHidden/>
              </w:rPr>
              <w:t>63</w:t>
            </w:r>
            <w:r w:rsidR="00892868">
              <w:rPr>
                <w:noProof/>
                <w:webHidden/>
              </w:rPr>
              <w:fldChar w:fldCharType="end"/>
            </w:r>
          </w:hyperlink>
        </w:p>
        <w:p w14:paraId="010AC78D" w14:textId="34E996A1" w:rsidR="00892868" w:rsidRDefault="00000000">
          <w:pPr>
            <w:pStyle w:val="TOC3"/>
            <w:rPr>
              <w:rFonts w:eastAsiaTheme="minorEastAsia"/>
              <w:noProof/>
              <w:lang w:eastAsia="en-GB"/>
            </w:rPr>
          </w:pPr>
          <w:hyperlink w:anchor="_Toc117765930" w:history="1">
            <w:r w:rsidR="00892868" w:rsidRPr="00E9064B">
              <w:rPr>
                <w:rStyle w:val="Hyperlink"/>
                <w:noProof/>
              </w:rPr>
              <w:t>2.2.6</w:t>
            </w:r>
            <w:r w:rsidR="00892868">
              <w:rPr>
                <w:rFonts w:eastAsiaTheme="minorEastAsia"/>
                <w:noProof/>
                <w:lang w:eastAsia="en-GB"/>
              </w:rPr>
              <w:tab/>
            </w:r>
            <w:r w:rsidR="00892868" w:rsidRPr="00E9064B">
              <w:rPr>
                <w:rStyle w:val="Hyperlink"/>
                <w:noProof/>
              </w:rPr>
              <w:t>Data handling</w:t>
            </w:r>
            <w:r w:rsidR="00892868">
              <w:rPr>
                <w:noProof/>
                <w:webHidden/>
              </w:rPr>
              <w:tab/>
            </w:r>
            <w:r w:rsidR="00892868">
              <w:rPr>
                <w:noProof/>
                <w:webHidden/>
              </w:rPr>
              <w:fldChar w:fldCharType="begin"/>
            </w:r>
            <w:r w:rsidR="00892868">
              <w:rPr>
                <w:noProof/>
                <w:webHidden/>
              </w:rPr>
              <w:instrText xml:space="preserve"> PAGEREF _Toc117765930 \h </w:instrText>
            </w:r>
            <w:r w:rsidR="00892868">
              <w:rPr>
                <w:noProof/>
                <w:webHidden/>
              </w:rPr>
            </w:r>
            <w:r w:rsidR="00892868">
              <w:rPr>
                <w:noProof/>
                <w:webHidden/>
              </w:rPr>
              <w:fldChar w:fldCharType="separate"/>
            </w:r>
            <w:r w:rsidR="00892868">
              <w:rPr>
                <w:noProof/>
                <w:webHidden/>
              </w:rPr>
              <w:t>67</w:t>
            </w:r>
            <w:r w:rsidR="00892868">
              <w:rPr>
                <w:noProof/>
                <w:webHidden/>
              </w:rPr>
              <w:fldChar w:fldCharType="end"/>
            </w:r>
          </w:hyperlink>
        </w:p>
        <w:p w14:paraId="15960DCB" w14:textId="5864DC11" w:rsidR="00892868" w:rsidRDefault="00000000">
          <w:pPr>
            <w:pStyle w:val="TOC3"/>
            <w:rPr>
              <w:rFonts w:eastAsiaTheme="minorEastAsia"/>
              <w:noProof/>
              <w:lang w:eastAsia="en-GB"/>
            </w:rPr>
          </w:pPr>
          <w:hyperlink w:anchor="_Toc117765931" w:history="1">
            <w:r w:rsidR="00892868" w:rsidRPr="00E9064B">
              <w:rPr>
                <w:rStyle w:val="Hyperlink"/>
                <w:noProof/>
              </w:rPr>
              <w:t>2.2.7</w:t>
            </w:r>
            <w:r w:rsidR="00892868">
              <w:rPr>
                <w:rFonts w:eastAsiaTheme="minorEastAsia"/>
                <w:noProof/>
                <w:lang w:eastAsia="en-GB"/>
              </w:rPr>
              <w:tab/>
            </w:r>
            <w:r w:rsidR="00892868" w:rsidRPr="00E9064B">
              <w:rPr>
                <w:rStyle w:val="Hyperlink"/>
                <w:noProof/>
              </w:rPr>
              <w:t>Statistical Analysis</w:t>
            </w:r>
            <w:r w:rsidR="00892868">
              <w:rPr>
                <w:noProof/>
                <w:webHidden/>
              </w:rPr>
              <w:tab/>
            </w:r>
            <w:r w:rsidR="00892868">
              <w:rPr>
                <w:noProof/>
                <w:webHidden/>
              </w:rPr>
              <w:fldChar w:fldCharType="begin"/>
            </w:r>
            <w:r w:rsidR="00892868">
              <w:rPr>
                <w:noProof/>
                <w:webHidden/>
              </w:rPr>
              <w:instrText xml:space="preserve"> PAGEREF _Toc117765931 \h </w:instrText>
            </w:r>
            <w:r w:rsidR="00892868">
              <w:rPr>
                <w:noProof/>
                <w:webHidden/>
              </w:rPr>
            </w:r>
            <w:r w:rsidR="00892868">
              <w:rPr>
                <w:noProof/>
                <w:webHidden/>
              </w:rPr>
              <w:fldChar w:fldCharType="separate"/>
            </w:r>
            <w:r w:rsidR="00892868">
              <w:rPr>
                <w:noProof/>
                <w:webHidden/>
              </w:rPr>
              <w:t>67</w:t>
            </w:r>
            <w:r w:rsidR="00892868">
              <w:rPr>
                <w:noProof/>
                <w:webHidden/>
              </w:rPr>
              <w:fldChar w:fldCharType="end"/>
            </w:r>
          </w:hyperlink>
        </w:p>
        <w:p w14:paraId="389BE69C" w14:textId="7B150994" w:rsidR="00892868" w:rsidRDefault="00000000">
          <w:pPr>
            <w:pStyle w:val="TOC2"/>
            <w:tabs>
              <w:tab w:val="left" w:pos="880"/>
            </w:tabs>
            <w:rPr>
              <w:rFonts w:eastAsiaTheme="minorEastAsia"/>
              <w:noProof/>
              <w:lang w:eastAsia="en-GB"/>
            </w:rPr>
          </w:pPr>
          <w:hyperlink w:anchor="_Toc117765932" w:history="1">
            <w:r w:rsidR="00892868" w:rsidRPr="00E9064B">
              <w:rPr>
                <w:rStyle w:val="Hyperlink"/>
                <w:noProof/>
              </w:rPr>
              <w:t>2.3</w:t>
            </w:r>
            <w:r w:rsidR="00892868">
              <w:rPr>
                <w:rFonts w:eastAsiaTheme="minorEastAsia"/>
                <w:noProof/>
                <w:lang w:eastAsia="en-GB"/>
              </w:rPr>
              <w:tab/>
            </w:r>
            <w:r w:rsidR="00892868" w:rsidRPr="00E9064B">
              <w:rPr>
                <w:rStyle w:val="Hyperlink"/>
                <w:noProof/>
              </w:rPr>
              <w:t>Methods: PBB Study 2 - Azithromycin and the nasopharyngeal microbiome</w:t>
            </w:r>
            <w:r w:rsidR="00892868">
              <w:rPr>
                <w:noProof/>
                <w:webHidden/>
              </w:rPr>
              <w:tab/>
            </w:r>
            <w:r w:rsidR="00892868">
              <w:rPr>
                <w:noProof/>
                <w:webHidden/>
              </w:rPr>
              <w:fldChar w:fldCharType="begin"/>
            </w:r>
            <w:r w:rsidR="00892868">
              <w:rPr>
                <w:noProof/>
                <w:webHidden/>
              </w:rPr>
              <w:instrText xml:space="preserve"> PAGEREF _Toc117765932 \h </w:instrText>
            </w:r>
            <w:r w:rsidR="00892868">
              <w:rPr>
                <w:noProof/>
                <w:webHidden/>
              </w:rPr>
            </w:r>
            <w:r w:rsidR="00892868">
              <w:rPr>
                <w:noProof/>
                <w:webHidden/>
              </w:rPr>
              <w:fldChar w:fldCharType="separate"/>
            </w:r>
            <w:r w:rsidR="00892868">
              <w:rPr>
                <w:noProof/>
                <w:webHidden/>
              </w:rPr>
              <w:t>68</w:t>
            </w:r>
            <w:r w:rsidR="00892868">
              <w:rPr>
                <w:noProof/>
                <w:webHidden/>
              </w:rPr>
              <w:fldChar w:fldCharType="end"/>
            </w:r>
          </w:hyperlink>
        </w:p>
        <w:p w14:paraId="4FEAC70D" w14:textId="0AA7F60E" w:rsidR="00892868" w:rsidRDefault="00000000">
          <w:pPr>
            <w:pStyle w:val="TOC3"/>
            <w:rPr>
              <w:rFonts w:eastAsiaTheme="minorEastAsia"/>
              <w:noProof/>
              <w:lang w:eastAsia="en-GB"/>
            </w:rPr>
          </w:pPr>
          <w:hyperlink w:anchor="_Toc117765933" w:history="1">
            <w:r w:rsidR="00892868" w:rsidRPr="00E9064B">
              <w:rPr>
                <w:rStyle w:val="Hyperlink"/>
                <w:noProof/>
              </w:rPr>
              <w:t>2.3.1</w:t>
            </w:r>
            <w:r w:rsidR="00892868">
              <w:rPr>
                <w:rFonts w:eastAsiaTheme="minorEastAsia"/>
                <w:noProof/>
                <w:lang w:eastAsia="en-GB"/>
              </w:rPr>
              <w:tab/>
            </w:r>
            <w:r w:rsidR="00892868" w:rsidRPr="00E9064B">
              <w:rPr>
                <w:rStyle w:val="Hyperlink"/>
                <w:noProof/>
              </w:rPr>
              <w:t>Study conduct and ethical approvals</w:t>
            </w:r>
            <w:r w:rsidR="00892868">
              <w:rPr>
                <w:noProof/>
                <w:webHidden/>
              </w:rPr>
              <w:tab/>
            </w:r>
            <w:r w:rsidR="00892868">
              <w:rPr>
                <w:noProof/>
                <w:webHidden/>
              </w:rPr>
              <w:fldChar w:fldCharType="begin"/>
            </w:r>
            <w:r w:rsidR="00892868">
              <w:rPr>
                <w:noProof/>
                <w:webHidden/>
              </w:rPr>
              <w:instrText xml:space="preserve"> PAGEREF _Toc117765933 \h </w:instrText>
            </w:r>
            <w:r w:rsidR="00892868">
              <w:rPr>
                <w:noProof/>
                <w:webHidden/>
              </w:rPr>
            </w:r>
            <w:r w:rsidR="00892868">
              <w:rPr>
                <w:noProof/>
                <w:webHidden/>
              </w:rPr>
              <w:fldChar w:fldCharType="separate"/>
            </w:r>
            <w:r w:rsidR="00892868">
              <w:rPr>
                <w:noProof/>
                <w:webHidden/>
              </w:rPr>
              <w:t>68</w:t>
            </w:r>
            <w:r w:rsidR="00892868">
              <w:rPr>
                <w:noProof/>
                <w:webHidden/>
              </w:rPr>
              <w:fldChar w:fldCharType="end"/>
            </w:r>
          </w:hyperlink>
        </w:p>
        <w:p w14:paraId="7CE30DBE" w14:textId="109167B5" w:rsidR="00892868" w:rsidRDefault="00000000">
          <w:pPr>
            <w:pStyle w:val="TOC3"/>
            <w:rPr>
              <w:rFonts w:eastAsiaTheme="minorEastAsia"/>
              <w:noProof/>
              <w:lang w:eastAsia="en-GB"/>
            </w:rPr>
          </w:pPr>
          <w:hyperlink w:anchor="_Toc117765934" w:history="1">
            <w:r w:rsidR="00892868" w:rsidRPr="00E9064B">
              <w:rPr>
                <w:rStyle w:val="Hyperlink"/>
                <w:noProof/>
              </w:rPr>
              <w:t>2.3.2</w:t>
            </w:r>
            <w:r w:rsidR="00892868">
              <w:rPr>
                <w:rFonts w:eastAsiaTheme="minorEastAsia"/>
                <w:noProof/>
                <w:lang w:eastAsia="en-GB"/>
              </w:rPr>
              <w:tab/>
            </w:r>
            <w:r w:rsidR="00892868" w:rsidRPr="00E9064B">
              <w:rPr>
                <w:rStyle w:val="Hyperlink"/>
                <w:noProof/>
              </w:rPr>
              <w:t>Study design</w:t>
            </w:r>
            <w:r w:rsidR="00892868">
              <w:rPr>
                <w:noProof/>
                <w:webHidden/>
              </w:rPr>
              <w:tab/>
            </w:r>
            <w:r w:rsidR="00892868">
              <w:rPr>
                <w:noProof/>
                <w:webHidden/>
              </w:rPr>
              <w:fldChar w:fldCharType="begin"/>
            </w:r>
            <w:r w:rsidR="00892868">
              <w:rPr>
                <w:noProof/>
                <w:webHidden/>
              </w:rPr>
              <w:instrText xml:space="preserve"> PAGEREF _Toc117765934 \h </w:instrText>
            </w:r>
            <w:r w:rsidR="00892868">
              <w:rPr>
                <w:noProof/>
                <w:webHidden/>
              </w:rPr>
            </w:r>
            <w:r w:rsidR="00892868">
              <w:rPr>
                <w:noProof/>
                <w:webHidden/>
              </w:rPr>
              <w:fldChar w:fldCharType="separate"/>
            </w:r>
            <w:r w:rsidR="00892868">
              <w:rPr>
                <w:noProof/>
                <w:webHidden/>
              </w:rPr>
              <w:t>69</w:t>
            </w:r>
            <w:r w:rsidR="00892868">
              <w:rPr>
                <w:noProof/>
                <w:webHidden/>
              </w:rPr>
              <w:fldChar w:fldCharType="end"/>
            </w:r>
          </w:hyperlink>
        </w:p>
        <w:p w14:paraId="2D9331ED" w14:textId="64E247CA" w:rsidR="00892868" w:rsidRDefault="00000000">
          <w:pPr>
            <w:pStyle w:val="TOC3"/>
            <w:rPr>
              <w:rFonts w:eastAsiaTheme="minorEastAsia"/>
              <w:noProof/>
              <w:lang w:eastAsia="en-GB"/>
            </w:rPr>
          </w:pPr>
          <w:hyperlink w:anchor="_Toc117765935" w:history="1">
            <w:r w:rsidR="00892868" w:rsidRPr="00E9064B">
              <w:rPr>
                <w:rStyle w:val="Hyperlink"/>
                <w:noProof/>
              </w:rPr>
              <w:t>2.3.3</w:t>
            </w:r>
            <w:r w:rsidR="00892868">
              <w:rPr>
                <w:rFonts w:eastAsiaTheme="minorEastAsia"/>
                <w:noProof/>
                <w:lang w:eastAsia="en-GB"/>
              </w:rPr>
              <w:tab/>
            </w:r>
            <w:r w:rsidR="00892868" w:rsidRPr="00E9064B">
              <w:rPr>
                <w:rStyle w:val="Hyperlink"/>
                <w:noProof/>
              </w:rPr>
              <w:t>Participant selection and recruitment</w:t>
            </w:r>
            <w:r w:rsidR="00892868">
              <w:rPr>
                <w:noProof/>
                <w:webHidden/>
              </w:rPr>
              <w:tab/>
            </w:r>
            <w:r w:rsidR="00892868">
              <w:rPr>
                <w:noProof/>
                <w:webHidden/>
              </w:rPr>
              <w:fldChar w:fldCharType="begin"/>
            </w:r>
            <w:r w:rsidR="00892868">
              <w:rPr>
                <w:noProof/>
                <w:webHidden/>
              </w:rPr>
              <w:instrText xml:space="preserve"> PAGEREF _Toc117765935 \h </w:instrText>
            </w:r>
            <w:r w:rsidR="00892868">
              <w:rPr>
                <w:noProof/>
                <w:webHidden/>
              </w:rPr>
            </w:r>
            <w:r w:rsidR="00892868">
              <w:rPr>
                <w:noProof/>
                <w:webHidden/>
              </w:rPr>
              <w:fldChar w:fldCharType="separate"/>
            </w:r>
            <w:r w:rsidR="00892868">
              <w:rPr>
                <w:noProof/>
                <w:webHidden/>
              </w:rPr>
              <w:t>69</w:t>
            </w:r>
            <w:r w:rsidR="00892868">
              <w:rPr>
                <w:noProof/>
                <w:webHidden/>
              </w:rPr>
              <w:fldChar w:fldCharType="end"/>
            </w:r>
          </w:hyperlink>
        </w:p>
        <w:p w14:paraId="02EF2D57" w14:textId="482AB887" w:rsidR="00892868" w:rsidRDefault="00000000">
          <w:pPr>
            <w:pStyle w:val="TOC3"/>
            <w:rPr>
              <w:rFonts w:eastAsiaTheme="minorEastAsia"/>
              <w:noProof/>
              <w:lang w:eastAsia="en-GB"/>
            </w:rPr>
          </w:pPr>
          <w:hyperlink w:anchor="_Toc117765936" w:history="1">
            <w:r w:rsidR="00892868" w:rsidRPr="00E9064B">
              <w:rPr>
                <w:rStyle w:val="Hyperlink"/>
                <w:noProof/>
              </w:rPr>
              <w:t>2.3.4</w:t>
            </w:r>
            <w:r w:rsidR="00892868">
              <w:rPr>
                <w:rFonts w:eastAsiaTheme="minorEastAsia"/>
                <w:noProof/>
                <w:lang w:eastAsia="en-GB"/>
              </w:rPr>
              <w:tab/>
            </w:r>
            <w:r w:rsidR="00892868" w:rsidRPr="00E9064B">
              <w:rPr>
                <w:rStyle w:val="Hyperlink"/>
                <w:noProof/>
              </w:rPr>
              <w:t>Participant recruitment</w:t>
            </w:r>
            <w:r w:rsidR="00892868">
              <w:rPr>
                <w:noProof/>
                <w:webHidden/>
              </w:rPr>
              <w:tab/>
            </w:r>
            <w:r w:rsidR="00892868">
              <w:rPr>
                <w:noProof/>
                <w:webHidden/>
              </w:rPr>
              <w:fldChar w:fldCharType="begin"/>
            </w:r>
            <w:r w:rsidR="00892868">
              <w:rPr>
                <w:noProof/>
                <w:webHidden/>
              </w:rPr>
              <w:instrText xml:space="preserve"> PAGEREF _Toc117765936 \h </w:instrText>
            </w:r>
            <w:r w:rsidR="00892868">
              <w:rPr>
                <w:noProof/>
                <w:webHidden/>
              </w:rPr>
            </w:r>
            <w:r w:rsidR="00892868">
              <w:rPr>
                <w:noProof/>
                <w:webHidden/>
              </w:rPr>
              <w:fldChar w:fldCharType="separate"/>
            </w:r>
            <w:r w:rsidR="00892868">
              <w:rPr>
                <w:noProof/>
                <w:webHidden/>
              </w:rPr>
              <w:t>69</w:t>
            </w:r>
            <w:r w:rsidR="00892868">
              <w:rPr>
                <w:noProof/>
                <w:webHidden/>
              </w:rPr>
              <w:fldChar w:fldCharType="end"/>
            </w:r>
          </w:hyperlink>
        </w:p>
        <w:p w14:paraId="2CAB06B9" w14:textId="02A4C4DD" w:rsidR="00892868" w:rsidRDefault="00000000">
          <w:pPr>
            <w:pStyle w:val="TOC3"/>
            <w:rPr>
              <w:rFonts w:eastAsiaTheme="minorEastAsia"/>
              <w:noProof/>
              <w:lang w:eastAsia="en-GB"/>
            </w:rPr>
          </w:pPr>
          <w:hyperlink w:anchor="_Toc117765937" w:history="1">
            <w:r w:rsidR="00892868" w:rsidRPr="00E9064B">
              <w:rPr>
                <w:rStyle w:val="Hyperlink"/>
                <w:noProof/>
              </w:rPr>
              <w:t>2.3.5</w:t>
            </w:r>
            <w:r w:rsidR="00892868">
              <w:rPr>
                <w:rFonts w:eastAsiaTheme="minorEastAsia"/>
                <w:noProof/>
                <w:lang w:eastAsia="en-GB"/>
              </w:rPr>
              <w:tab/>
            </w:r>
            <w:r w:rsidR="00892868" w:rsidRPr="00E9064B">
              <w:rPr>
                <w:rStyle w:val="Hyperlink"/>
                <w:noProof/>
              </w:rPr>
              <w:t>Interventions and sample processing</w:t>
            </w:r>
            <w:r w:rsidR="00892868">
              <w:rPr>
                <w:noProof/>
                <w:webHidden/>
              </w:rPr>
              <w:tab/>
            </w:r>
            <w:r w:rsidR="00892868">
              <w:rPr>
                <w:noProof/>
                <w:webHidden/>
              </w:rPr>
              <w:fldChar w:fldCharType="begin"/>
            </w:r>
            <w:r w:rsidR="00892868">
              <w:rPr>
                <w:noProof/>
                <w:webHidden/>
              </w:rPr>
              <w:instrText xml:space="preserve"> PAGEREF _Toc117765937 \h </w:instrText>
            </w:r>
            <w:r w:rsidR="00892868">
              <w:rPr>
                <w:noProof/>
                <w:webHidden/>
              </w:rPr>
            </w:r>
            <w:r w:rsidR="00892868">
              <w:rPr>
                <w:noProof/>
                <w:webHidden/>
              </w:rPr>
              <w:fldChar w:fldCharType="separate"/>
            </w:r>
            <w:r w:rsidR="00892868">
              <w:rPr>
                <w:noProof/>
                <w:webHidden/>
              </w:rPr>
              <w:t>70</w:t>
            </w:r>
            <w:r w:rsidR="00892868">
              <w:rPr>
                <w:noProof/>
                <w:webHidden/>
              </w:rPr>
              <w:fldChar w:fldCharType="end"/>
            </w:r>
          </w:hyperlink>
        </w:p>
        <w:p w14:paraId="382DAFD1" w14:textId="42CD6307" w:rsidR="00892868" w:rsidRDefault="00000000">
          <w:pPr>
            <w:pStyle w:val="TOC3"/>
            <w:rPr>
              <w:rFonts w:eastAsiaTheme="minorEastAsia"/>
              <w:noProof/>
              <w:lang w:eastAsia="en-GB"/>
            </w:rPr>
          </w:pPr>
          <w:hyperlink w:anchor="_Toc117765938" w:history="1">
            <w:r w:rsidR="00892868" w:rsidRPr="00E9064B">
              <w:rPr>
                <w:rStyle w:val="Hyperlink"/>
                <w:noProof/>
              </w:rPr>
              <w:t>2.3.6</w:t>
            </w:r>
            <w:r w:rsidR="00892868">
              <w:rPr>
                <w:rFonts w:eastAsiaTheme="minorEastAsia"/>
                <w:noProof/>
                <w:lang w:eastAsia="en-GB"/>
              </w:rPr>
              <w:tab/>
            </w:r>
            <w:r w:rsidR="00892868" w:rsidRPr="00E9064B">
              <w:rPr>
                <w:rStyle w:val="Hyperlink"/>
                <w:noProof/>
              </w:rPr>
              <w:t>Changes in methodology due to the COVID-19 pandemic</w:t>
            </w:r>
            <w:r w:rsidR="00892868">
              <w:rPr>
                <w:noProof/>
                <w:webHidden/>
              </w:rPr>
              <w:tab/>
            </w:r>
            <w:r w:rsidR="00892868">
              <w:rPr>
                <w:noProof/>
                <w:webHidden/>
              </w:rPr>
              <w:fldChar w:fldCharType="begin"/>
            </w:r>
            <w:r w:rsidR="00892868">
              <w:rPr>
                <w:noProof/>
                <w:webHidden/>
              </w:rPr>
              <w:instrText xml:space="preserve"> PAGEREF _Toc117765938 \h </w:instrText>
            </w:r>
            <w:r w:rsidR="00892868">
              <w:rPr>
                <w:noProof/>
                <w:webHidden/>
              </w:rPr>
            </w:r>
            <w:r w:rsidR="00892868">
              <w:rPr>
                <w:noProof/>
                <w:webHidden/>
              </w:rPr>
              <w:fldChar w:fldCharType="separate"/>
            </w:r>
            <w:r w:rsidR="00892868">
              <w:rPr>
                <w:noProof/>
                <w:webHidden/>
              </w:rPr>
              <w:t>70</w:t>
            </w:r>
            <w:r w:rsidR="00892868">
              <w:rPr>
                <w:noProof/>
                <w:webHidden/>
              </w:rPr>
              <w:fldChar w:fldCharType="end"/>
            </w:r>
          </w:hyperlink>
        </w:p>
        <w:p w14:paraId="4BBEAFC7" w14:textId="7D38590D" w:rsidR="00892868" w:rsidRDefault="00000000">
          <w:pPr>
            <w:pStyle w:val="TOC3"/>
            <w:rPr>
              <w:rFonts w:eastAsiaTheme="minorEastAsia"/>
              <w:noProof/>
              <w:lang w:eastAsia="en-GB"/>
            </w:rPr>
          </w:pPr>
          <w:hyperlink w:anchor="_Toc117765939" w:history="1">
            <w:r w:rsidR="00892868" w:rsidRPr="00E9064B">
              <w:rPr>
                <w:rStyle w:val="Hyperlink"/>
                <w:noProof/>
              </w:rPr>
              <w:t>2.3.7</w:t>
            </w:r>
            <w:r w:rsidR="00892868">
              <w:rPr>
                <w:rFonts w:eastAsiaTheme="minorEastAsia"/>
                <w:noProof/>
                <w:lang w:eastAsia="en-GB"/>
              </w:rPr>
              <w:tab/>
            </w:r>
            <w:r w:rsidR="00892868" w:rsidRPr="00E9064B">
              <w:rPr>
                <w:rStyle w:val="Hyperlink"/>
                <w:noProof/>
              </w:rPr>
              <w:t>Compliance</w:t>
            </w:r>
            <w:r w:rsidR="00892868">
              <w:rPr>
                <w:noProof/>
                <w:webHidden/>
              </w:rPr>
              <w:tab/>
            </w:r>
            <w:r w:rsidR="00892868">
              <w:rPr>
                <w:noProof/>
                <w:webHidden/>
              </w:rPr>
              <w:fldChar w:fldCharType="begin"/>
            </w:r>
            <w:r w:rsidR="00892868">
              <w:rPr>
                <w:noProof/>
                <w:webHidden/>
              </w:rPr>
              <w:instrText xml:space="preserve"> PAGEREF _Toc117765939 \h </w:instrText>
            </w:r>
            <w:r w:rsidR="00892868">
              <w:rPr>
                <w:noProof/>
                <w:webHidden/>
              </w:rPr>
            </w:r>
            <w:r w:rsidR="00892868">
              <w:rPr>
                <w:noProof/>
                <w:webHidden/>
              </w:rPr>
              <w:fldChar w:fldCharType="separate"/>
            </w:r>
            <w:r w:rsidR="00892868">
              <w:rPr>
                <w:noProof/>
                <w:webHidden/>
              </w:rPr>
              <w:t>71</w:t>
            </w:r>
            <w:r w:rsidR="00892868">
              <w:rPr>
                <w:noProof/>
                <w:webHidden/>
              </w:rPr>
              <w:fldChar w:fldCharType="end"/>
            </w:r>
          </w:hyperlink>
        </w:p>
        <w:p w14:paraId="6D6A50BD" w14:textId="0C6FA9E8" w:rsidR="00892868" w:rsidRDefault="00000000">
          <w:pPr>
            <w:pStyle w:val="TOC3"/>
            <w:rPr>
              <w:rFonts w:eastAsiaTheme="minorEastAsia"/>
              <w:noProof/>
              <w:lang w:eastAsia="en-GB"/>
            </w:rPr>
          </w:pPr>
          <w:hyperlink w:anchor="_Toc117765940" w:history="1">
            <w:r w:rsidR="00892868" w:rsidRPr="00E9064B">
              <w:rPr>
                <w:rStyle w:val="Hyperlink"/>
                <w:noProof/>
              </w:rPr>
              <w:t>2.3.8</w:t>
            </w:r>
            <w:r w:rsidR="00892868">
              <w:rPr>
                <w:rFonts w:eastAsiaTheme="minorEastAsia"/>
                <w:noProof/>
                <w:lang w:eastAsia="en-GB"/>
              </w:rPr>
              <w:tab/>
            </w:r>
            <w:r w:rsidR="00892868" w:rsidRPr="00E9064B">
              <w:rPr>
                <w:rStyle w:val="Hyperlink"/>
                <w:noProof/>
              </w:rPr>
              <w:t>Deep nasopharyngeal swab sampling</w:t>
            </w:r>
            <w:r w:rsidR="00892868">
              <w:rPr>
                <w:noProof/>
                <w:webHidden/>
              </w:rPr>
              <w:tab/>
            </w:r>
            <w:r w:rsidR="00892868">
              <w:rPr>
                <w:noProof/>
                <w:webHidden/>
              </w:rPr>
              <w:fldChar w:fldCharType="begin"/>
            </w:r>
            <w:r w:rsidR="00892868">
              <w:rPr>
                <w:noProof/>
                <w:webHidden/>
              </w:rPr>
              <w:instrText xml:space="preserve"> PAGEREF _Toc117765940 \h </w:instrText>
            </w:r>
            <w:r w:rsidR="00892868">
              <w:rPr>
                <w:noProof/>
                <w:webHidden/>
              </w:rPr>
            </w:r>
            <w:r w:rsidR="00892868">
              <w:rPr>
                <w:noProof/>
                <w:webHidden/>
              </w:rPr>
              <w:fldChar w:fldCharType="separate"/>
            </w:r>
            <w:r w:rsidR="00892868">
              <w:rPr>
                <w:noProof/>
                <w:webHidden/>
              </w:rPr>
              <w:t>71</w:t>
            </w:r>
            <w:r w:rsidR="00892868">
              <w:rPr>
                <w:noProof/>
                <w:webHidden/>
              </w:rPr>
              <w:fldChar w:fldCharType="end"/>
            </w:r>
          </w:hyperlink>
        </w:p>
        <w:p w14:paraId="22A84EA2" w14:textId="3609CF6C" w:rsidR="00892868" w:rsidRDefault="00000000">
          <w:pPr>
            <w:pStyle w:val="TOC3"/>
            <w:rPr>
              <w:rFonts w:eastAsiaTheme="minorEastAsia"/>
              <w:noProof/>
              <w:lang w:eastAsia="en-GB"/>
            </w:rPr>
          </w:pPr>
          <w:hyperlink w:anchor="_Toc117765941" w:history="1">
            <w:r w:rsidR="00892868" w:rsidRPr="00E9064B">
              <w:rPr>
                <w:rStyle w:val="Hyperlink"/>
                <w:noProof/>
                <w:lang w:eastAsia="en-GB"/>
              </w:rPr>
              <w:t>2.3.9</w:t>
            </w:r>
            <w:r w:rsidR="00892868">
              <w:rPr>
                <w:rFonts w:eastAsiaTheme="minorEastAsia"/>
                <w:noProof/>
                <w:lang w:eastAsia="en-GB"/>
              </w:rPr>
              <w:tab/>
            </w:r>
            <w:r w:rsidR="00892868" w:rsidRPr="00E9064B">
              <w:rPr>
                <w:rStyle w:val="Hyperlink"/>
                <w:noProof/>
                <w:lang w:eastAsia="en-GB"/>
              </w:rPr>
              <w:t>Bacterial culture</w:t>
            </w:r>
            <w:r w:rsidR="00892868">
              <w:rPr>
                <w:noProof/>
                <w:webHidden/>
              </w:rPr>
              <w:tab/>
            </w:r>
            <w:r w:rsidR="00892868">
              <w:rPr>
                <w:noProof/>
                <w:webHidden/>
              </w:rPr>
              <w:fldChar w:fldCharType="begin"/>
            </w:r>
            <w:r w:rsidR="00892868">
              <w:rPr>
                <w:noProof/>
                <w:webHidden/>
              </w:rPr>
              <w:instrText xml:space="preserve"> PAGEREF _Toc117765941 \h </w:instrText>
            </w:r>
            <w:r w:rsidR="00892868">
              <w:rPr>
                <w:noProof/>
                <w:webHidden/>
              </w:rPr>
            </w:r>
            <w:r w:rsidR="00892868">
              <w:rPr>
                <w:noProof/>
                <w:webHidden/>
              </w:rPr>
              <w:fldChar w:fldCharType="separate"/>
            </w:r>
            <w:r w:rsidR="00892868">
              <w:rPr>
                <w:noProof/>
                <w:webHidden/>
              </w:rPr>
              <w:t>71</w:t>
            </w:r>
            <w:r w:rsidR="00892868">
              <w:rPr>
                <w:noProof/>
                <w:webHidden/>
              </w:rPr>
              <w:fldChar w:fldCharType="end"/>
            </w:r>
          </w:hyperlink>
        </w:p>
        <w:p w14:paraId="2DDD6CF4" w14:textId="1F407CEC" w:rsidR="00892868" w:rsidRDefault="00000000">
          <w:pPr>
            <w:pStyle w:val="TOC3"/>
            <w:rPr>
              <w:rFonts w:eastAsiaTheme="minorEastAsia"/>
              <w:noProof/>
              <w:lang w:eastAsia="en-GB"/>
            </w:rPr>
          </w:pPr>
          <w:hyperlink w:anchor="_Toc117765942" w:history="1">
            <w:r w:rsidR="00892868" w:rsidRPr="00E9064B">
              <w:rPr>
                <w:rStyle w:val="Hyperlink"/>
                <w:noProof/>
              </w:rPr>
              <w:t>2.3.10</w:t>
            </w:r>
            <w:r w:rsidR="00892868">
              <w:rPr>
                <w:rFonts w:eastAsiaTheme="minorEastAsia"/>
                <w:noProof/>
                <w:lang w:eastAsia="en-GB"/>
              </w:rPr>
              <w:tab/>
            </w:r>
            <w:r w:rsidR="00892868" w:rsidRPr="00E9064B">
              <w:rPr>
                <w:rStyle w:val="Hyperlink"/>
                <w:noProof/>
              </w:rPr>
              <w:t>Virology sampling and studies</w:t>
            </w:r>
            <w:r w:rsidR="00892868">
              <w:rPr>
                <w:noProof/>
                <w:webHidden/>
              </w:rPr>
              <w:tab/>
            </w:r>
            <w:r w:rsidR="00892868">
              <w:rPr>
                <w:noProof/>
                <w:webHidden/>
              </w:rPr>
              <w:fldChar w:fldCharType="begin"/>
            </w:r>
            <w:r w:rsidR="00892868">
              <w:rPr>
                <w:noProof/>
                <w:webHidden/>
              </w:rPr>
              <w:instrText xml:space="preserve"> PAGEREF _Toc117765942 \h </w:instrText>
            </w:r>
            <w:r w:rsidR="00892868">
              <w:rPr>
                <w:noProof/>
                <w:webHidden/>
              </w:rPr>
            </w:r>
            <w:r w:rsidR="00892868">
              <w:rPr>
                <w:noProof/>
                <w:webHidden/>
              </w:rPr>
              <w:fldChar w:fldCharType="separate"/>
            </w:r>
            <w:r w:rsidR="00892868">
              <w:rPr>
                <w:noProof/>
                <w:webHidden/>
              </w:rPr>
              <w:t>71</w:t>
            </w:r>
            <w:r w:rsidR="00892868">
              <w:rPr>
                <w:noProof/>
                <w:webHidden/>
              </w:rPr>
              <w:fldChar w:fldCharType="end"/>
            </w:r>
          </w:hyperlink>
        </w:p>
        <w:p w14:paraId="22A986C9" w14:textId="57AE5086" w:rsidR="00892868" w:rsidRDefault="00000000">
          <w:pPr>
            <w:pStyle w:val="TOC3"/>
            <w:rPr>
              <w:rFonts w:eastAsiaTheme="minorEastAsia"/>
              <w:noProof/>
              <w:lang w:eastAsia="en-GB"/>
            </w:rPr>
          </w:pPr>
          <w:hyperlink w:anchor="_Toc117765943" w:history="1">
            <w:r w:rsidR="00892868" w:rsidRPr="00E9064B">
              <w:rPr>
                <w:rStyle w:val="Hyperlink"/>
                <w:noProof/>
                <w:lang w:eastAsia="en-GB"/>
              </w:rPr>
              <w:t>2.3.11</w:t>
            </w:r>
            <w:r w:rsidR="00892868">
              <w:rPr>
                <w:rFonts w:eastAsiaTheme="minorEastAsia"/>
                <w:noProof/>
                <w:lang w:eastAsia="en-GB"/>
              </w:rPr>
              <w:tab/>
            </w:r>
            <w:r w:rsidR="00892868" w:rsidRPr="00E9064B">
              <w:rPr>
                <w:rStyle w:val="Hyperlink"/>
                <w:noProof/>
                <w:lang w:eastAsia="en-GB"/>
              </w:rPr>
              <w:t>DNA extraction and 16s rRNA gene sequencing</w:t>
            </w:r>
            <w:r w:rsidR="00892868">
              <w:rPr>
                <w:noProof/>
                <w:webHidden/>
              </w:rPr>
              <w:tab/>
            </w:r>
            <w:r w:rsidR="00892868">
              <w:rPr>
                <w:noProof/>
                <w:webHidden/>
              </w:rPr>
              <w:fldChar w:fldCharType="begin"/>
            </w:r>
            <w:r w:rsidR="00892868">
              <w:rPr>
                <w:noProof/>
                <w:webHidden/>
              </w:rPr>
              <w:instrText xml:space="preserve"> PAGEREF _Toc117765943 \h </w:instrText>
            </w:r>
            <w:r w:rsidR="00892868">
              <w:rPr>
                <w:noProof/>
                <w:webHidden/>
              </w:rPr>
            </w:r>
            <w:r w:rsidR="00892868">
              <w:rPr>
                <w:noProof/>
                <w:webHidden/>
              </w:rPr>
              <w:fldChar w:fldCharType="separate"/>
            </w:r>
            <w:r w:rsidR="00892868">
              <w:rPr>
                <w:noProof/>
                <w:webHidden/>
              </w:rPr>
              <w:t>72</w:t>
            </w:r>
            <w:r w:rsidR="00892868">
              <w:rPr>
                <w:noProof/>
                <w:webHidden/>
              </w:rPr>
              <w:fldChar w:fldCharType="end"/>
            </w:r>
          </w:hyperlink>
        </w:p>
        <w:p w14:paraId="5CA4A50F" w14:textId="23D1027A" w:rsidR="00892868" w:rsidRDefault="00000000">
          <w:pPr>
            <w:pStyle w:val="TOC3"/>
            <w:rPr>
              <w:rFonts w:eastAsiaTheme="minorEastAsia"/>
              <w:noProof/>
              <w:lang w:eastAsia="en-GB"/>
            </w:rPr>
          </w:pPr>
          <w:hyperlink w:anchor="_Toc117765944" w:history="1">
            <w:r w:rsidR="00892868" w:rsidRPr="00E9064B">
              <w:rPr>
                <w:rStyle w:val="Hyperlink"/>
                <w:noProof/>
              </w:rPr>
              <w:t>2.3.12</w:t>
            </w:r>
            <w:r w:rsidR="00892868">
              <w:rPr>
                <w:rFonts w:eastAsiaTheme="minorEastAsia"/>
                <w:noProof/>
                <w:lang w:eastAsia="en-GB"/>
              </w:rPr>
              <w:tab/>
            </w:r>
            <w:r w:rsidR="00892868" w:rsidRPr="00E9064B">
              <w:rPr>
                <w:rStyle w:val="Hyperlink"/>
                <w:noProof/>
              </w:rPr>
              <w:t>Steps taken to reduce contamination</w:t>
            </w:r>
            <w:r w:rsidR="00892868">
              <w:rPr>
                <w:noProof/>
                <w:webHidden/>
              </w:rPr>
              <w:tab/>
            </w:r>
            <w:r w:rsidR="00892868">
              <w:rPr>
                <w:noProof/>
                <w:webHidden/>
              </w:rPr>
              <w:fldChar w:fldCharType="begin"/>
            </w:r>
            <w:r w:rsidR="00892868">
              <w:rPr>
                <w:noProof/>
                <w:webHidden/>
              </w:rPr>
              <w:instrText xml:space="preserve"> PAGEREF _Toc117765944 \h </w:instrText>
            </w:r>
            <w:r w:rsidR="00892868">
              <w:rPr>
                <w:noProof/>
                <w:webHidden/>
              </w:rPr>
            </w:r>
            <w:r w:rsidR="00892868">
              <w:rPr>
                <w:noProof/>
                <w:webHidden/>
              </w:rPr>
              <w:fldChar w:fldCharType="separate"/>
            </w:r>
            <w:r w:rsidR="00892868">
              <w:rPr>
                <w:noProof/>
                <w:webHidden/>
              </w:rPr>
              <w:t>73</w:t>
            </w:r>
            <w:r w:rsidR="00892868">
              <w:rPr>
                <w:noProof/>
                <w:webHidden/>
              </w:rPr>
              <w:fldChar w:fldCharType="end"/>
            </w:r>
          </w:hyperlink>
        </w:p>
        <w:p w14:paraId="335D1AB3" w14:textId="5DCF412D" w:rsidR="00892868" w:rsidRDefault="00000000">
          <w:pPr>
            <w:pStyle w:val="TOC3"/>
            <w:rPr>
              <w:rFonts w:eastAsiaTheme="minorEastAsia"/>
              <w:noProof/>
              <w:lang w:eastAsia="en-GB"/>
            </w:rPr>
          </w:pPr>
          <w:hyperlink w:anchor="_Toc117765945" w:history="1">
            <w:r w:rsidR="00892868" w:rsidRPr="00E9064B">
              <w:rPr>
                <w:rStyle w:val="Hyperlink"/>
                <w:noProof/>
              </w:rPr>
              <w:t>2.3.13</w:t>
            </w:r>
            <w:r w:rsidR="00892868">
              <w:rPr>
                <w:rFonts w:eastAsiaTheme="minorEastAsia"/>
                <w:noProof/>
                <w:lang w:eastAsia="en-GB"/>
              </w:rPr>
              <w:tab/>
            </w:r>
            <w:r w:rsidR="00892868" w:rsidRPr="00E9064B">
              <w:rPr>
                <w:rStyle w:val="Hyperlink"/>
                <w:noProof/>
              </w:rPr>
              <w:t>Data security</w:t>
            </w:r>
            <w:r w:rsidR="00892868">
              <w:rPr>
                <w:noProof/>
                <w:webHidden/>
              </w:rPr>
              <w:tab/>
            </w:r>
            <w:r w:rsidR="00892868">
              <w:rPr>
                <w:noProof/>
                <w:webHidden/>
              </w:rPr>
              <w:fldChar w:fldCharType="begin"/>
            </w:r>
            <w:r w:rsidR="00892868">
              <w:rPr>
                <w:noProof/>
                <w:webHidden/>
              </w:rPr>
              <w:instrText xml:space="preserve"> PAGEREF _Toc117765945 \h </w:instrText>
            </w:r>
            <w:r w:rsidR="00892868">
              <w:rPr>
                <w:noProof/>
                <w:webHidden/>
              </w:rPr>
            </w:r>
            <w:r w:rsidR="00892868">
              <w:rPr>
                <w:noProof/>
                <w:webHidden/>
              </w:rPr>
              <w:fldChar w:fldCharType="separate"/>
            </w:r>
            <w:r w:rsidR="00892868">
              <w:rPr>
                <w:noProof/>
                <w:webHidden/>
              </w:rPr>
              <w:t>74</w:t>
            </w:r>
            <w:r w:rsidR="00892868">
              <w:rPr>
                <w:noProof/>
                <w:webHidden/>
              </w:rPr>
              <w:fldChar w:fldCharType="end"/>
            </w:r>
          </w:hyperlink>
        </w:p>
        <w:p w14:paraId="15D60E3C" w14:textId="65391F92" w:rsidR="00892868" w:rsidRDefault="00000000">
          <w:pPr>
            <w:pStyle w:val="TOC3"/>
            <w:rPr>
              <w:rFonts w:eastAsiaTheme="minorEastAsia"/>
              <w:noProof/>
              <w:lang w:eastAsia="en-GB"/>
            </w:rPr>
          </w:pPr>
          <w:hyperlink w:anchor="_Toc117765946" w:history="1">
            <w:r w:rsidR="00892868" w:rsidRPr="00E9064B">
              <w:rPr>
                <w:rStyle w:val="Hyperlink"/>
                <w:rFonts w:ascii="Times New Roman" w:hAnsi="Times New Roman" w:cs="Times New Roman"/>
                <w:noProof/>
              </w:rPr>
              <w:t>2.3.14</w:t>
            </w:r>
            <w:r w:rsidR="00892868">
              <w:rPr>
                <w:rFonts w:eastAsiaTheme="minorEastAsia"/>
                <w:noProof/>
                <w:lang w:eastAsia="en-GB"/>
              </w:rPr>
              <w:tab/>
            </w:r>
            <w:r w:rsidR="00892868" w:rsidRPr="00E9064B">
              <w:rPr>
                <w:rStyle w:val="Hyperlink"/>
                <w:rFonts w:ascii="Times New Roman" w:hAnsi="Times New Roman" w:cs="Times New Roman"/>
                <w:noProof/>
              </w:rPr>
              <w:t>Bioinformatics and statistical analysis</w:t>
            </w:r>
            <w:r w:rsidR="00892868">
              <w:rPr>
                <w:noProof/>
                <w:webHidden/>
              </w:rPr>
              <w:tab/>
            </w:r>
            <w:r w:rsidR="00892868">
              <w:rPr>
                <w:noProof/>
                <w:webHidden/>
              </w:rPr>
              <w:fldChar w:fldCharType="begin"/>
            </w:r>
            <w:r w:rsidR="00892868">
              <w:rPr>
                <w:noProof/>
                <w:webHidden/>
              </w:rPr>
              <w:instrText xml:space="preserve"> PAGEREF _Toc117765946 \h </w:instrText>
            </w:r>
            <w:r w:rsidR="00892868">
              <w:rPr>
                <w:noProof/>
                <w:webHidden/>
              </w:rPr>
            </w:r>
            <w:r w:rsidR="00892868">
              <w:rPr>
                <w:noProof/>
                <w:webHidden/>
              </w:rPr>
              <w:fldChar w:fldCharType="separate"/>
            </w:r>
            <w:r w:rsidR="00892868">
              <w:rPr>
                <w:noProof/>
                <w:webHidden/>
              </w:rPr>
              <w:t>74</w:t>
            </w:r>
            <w:r w:rsidR="00892868">
              <w:rPr>
                <w:noProof/>
                <w:webHidden/>
              </w:rPr>
              <w:fldChar w:fldCharType="end"/>
            </w:r>
          </w:hyperlink>
        </w:p>
        <w:p w14:paraId="4FECD908" w14:textId="5E85E1E0" w:rsidR="00892868" w:rsidRDefault="00000000">
          <w:pPr>
            <w:pStyle w:val="TOC3"/>
            <w:rPr>
              <w:rFonts w:eastAsiaTheme="minorEastAsia"/>
              <w:noProof/>
              <w:lang w:eastAsia="en-GB"/>
            </w:rPr>
          </w:pPr>
          <w:hyperlink w:anchor="_Toc117765947" w:history="1">
            <w:r w:rsidR="00892868" w:rsidRPr="00E9064B">
              <w:rPr>
                <w:rStyle w:val="Hyperlink"/>
                <w:noProof/>
              </w:rPr>
              <w:t>2.3.15</w:t>
            </w:r>
            <w:r w:rsidR="00892868">
              <w:rPr>
                <w:rFonts w:eastAsiaTheme="minorEastAsia"/>
                <w:noProof/>
                <w:lang w:eastAsia="en-GB"/>
              </w:rPr>
              <w:tab/>
            </w:r>
            <w:r w:rsidR="00892868" w:rsidRPr="00E9064B">
              <w:rPr>
                <w:rStyle w:val="Hyperlink"/>
                <w:noProof/>
              </w:rPr>
              <w:t>Analysis</w:t>
            </w:r>
            <w:r w:rsidR="00892868">
              <w:rPr>
                <w:noProof/>
                <w:webHidden/>
              </w:rPr>
              <w:tab/>
            </w:r>
            <w:r w:rsidR="00892868">
              <w:rPr>
                <w:noProof/>
                <w:webHidden/>
              </w:rPr>
              <w:fldChar w:fldCharType="begin"/>
            </w:r>
            <w:r w:rsidR="00892868">
              <w:rPr>
                <w:noProof/>
                <w:webHidden/>
              </w:rPr>
              <w:instrText xml:space="preserve"> PAGEREF _Toc117765947 \h </w:instrText>
            </w:r>
            <w:r w:rsidR="00892868">
              <w:rPr>
                <w:noProof/>
                <w:webHidden/>
              </w:rPr>
            </w:r>
            <w:r w:rsidR="00892868">
              <w:rPr>
                <w:noProof/>
                <w:webHidden/>
              </w:rPr>
              <w:fldChar w:fldCharType="separate"/>
            </w:r>
            <w:r w:rsidR="00892868">
              <w:rPr>
                <w:noProof/>
                <w:webHidden/>
              </w:rPr>
              <w:t>76</w:t>
            </w:r>
            <w:r w:rsidR="00892868">
              <w:rPr>
                <w:noProof/>
                <w:webHidden/>
              </w:rPr>
              <w:fldChar w:fldCharType="end"/>
            </w:r>
          </w:hyperlink>
        </w:p>
        <w:p w14:paraId="4C4EDB73" w14:textId="0CD1A721" w:rsidR="00892868" w:rsidRDefault="00000000">
          <w:pPr>
            <w:pStyle w:val="TOC2"/>
            <w:tabs>
              <w:tab w:val="left" w:pos="880"/>
            </w:tabs>
            <w:rPr>
              <w:rFonts w:eastAsiaTheme="minorEastAsia"/>
              <w:noProof/>
              <w:lang w:eastAsia="en-GB"/>
            </w:rPr>
          </w:pPr>
          <w:hyperlink w:anchor="_Toc117765948" w:history="1">
            <w:r w:rsidR="00892868" w:rsidRPr="00E9064B">
              <w:rPr>
                <w:rStyle w:val="Hyperlink"/>
                <w:noProof/>
                <w:lang w:eastAsia="en-GB"/>
              </w:rPr>
              <w:t>2.4</w:t>
            </w:r>
            <w:r w:rsidR="00892868">
              <w:rPr>
                <w:rFonts w:eastAsiaTheme="minorEastAsia"/>
                <w:noProof/>
                <w:lang w:eastAsia="en-GB"/>
              </w:rPr>
              <w:tab/>
            </w:r>
            <w:r w:rsidR="00892868" w:rsidRPr="00E9064B">
              <w:rPr>
                <w:rStyle w:val="Hyperlink"/>
                <w:noProof/>
                <w:lang w:eastAsia="en-GB"/>
              </w:rPr>
              <w:t>Methods: PBB Study 3 – Antibiotic resistance patterns of nasopharyngeal bacteria</w:t>
            </w:r>
            <w:r w:rsidR="00892868">
              <w:rPr>
                <w:noProof/>
                <w:webHidden/>
              </w:rPr>
              <w:tab/>
            </w:r>
            <w:r w:rsidR="00892868">
              <w:rPr>
                <w:noProof/>
                <w:webHidden/>
              </w:rPr>
              <w:fldChar w:fldCharType="begin"/>
            </w:r>
            <w:r w:rsidR="00892868">
              <w:rPr>
                <w:noProof/>
                <w:webHidden/>
              </w:rPr>
              <w:instrText xml:space="preserve"> PAGEREF _Toc117765948 \h </w:instrText>
            </w:r>
            <w:r w:rsidR="00892868">
              <w:rPr>
                <w:noProof/>
                <w:webHidden/>
              </w:rPr>
            </w:r>
            <w:r w:rsidR="00892868">
              <w:rPr>
                <w:noProof/>
                <w:webHidden/>
              </w:rPr>
              <w:fldChar w:fldCharType="separate"/>
            </w:r>
            <w:r w:rsidR="00892868">
              <w:rPr>
                <w:noProof/>
                <w:webHidden/>
              </w:rPr>
              <w:t>76</w:t>
            </w:r>
            <w:r w:rsidR="00892868">
              <w:rPr>
                <w:noProof/>
                <w:webHidden/>
              </w:rPr>
              <w:fldChar w:fldCharType="end"/>
            </w:r>
          </w:hyperlink>
        </w:p>
        <w:p w14:paraId="0845B8ED" w14:textId="336D2F30" w:rsidR="00892868" w:rsidRDefault="00000000">
          <w:pPr>
            <w:pStyle w:val="TOC3"/>
            <w:rPr>
              <w:rFonts w:eastAsiaTheme="minorEastAsia"/>
              <w:noProof/>
              <w:lang w:eastAsia="en-GB"/>
            </w:rPr>
          </w:pPr>
          <w:hyperlink w:anchor="_Toc117765949" w:history="1">
            <w:r w:rsidR="00892868" w:rsidRPr="00E9064B">
              <w:rPr>
                <w:rStyle w:val="Hyperlink"/>
                <w:noProof/>
                <w:lang w:eastAsia="en-GB"/>
              </w:rPr>
              <w:t>2.4.1</w:t>
            </w:r>
            <w:r w:rsidR="00892868">
              <w:rPr>
                <w:rFonts w:eastAsiaTheme="minorEastAsia"/>
                <w:noProof/>
                <w:lang w:eastAsia="en-GB"/>
              </w:rPr>
              <w:tab/>
            </w:r>
            <w:r w:rsidR="00892868" w:rsidRPr="00E9064B">
              <w:rPr>
                <w:rStyle w:val="Hyperlink"/>
                <w:noProof/>
                <w:lang w:eastAsia="en-GB"/>
              </w:rPr>
              <w:t>Study conduct and funding</w:t>
            </w:r>
            <w:r w:rsidR="00892868">
              <w:rPr>
                <w:noProof/>
                <w:webHidden/>
              </w:rPr>
              <w:tab/>
            </w:r>
            <w:r w:rsidR="00892868">
              <w:rPr>
                <w:noProof/>
                <w:webHidden/>
              </w:rPr>
              <w:fldChar w:fldCharType="begin"/>
            </w:r>
            <w:r w:rsidR="00892868">
              <w:rPr>
                <w:noProof/>
                <w:webHidden/>
              </w:rPr>
              <w:instrText xml:space="preserve"> PAGEREF _Toc117765949 \h </w:instrText>
            </w:r>
            <w:r w:rsidR="00892868">
              <w:rPr>
                <w:noProof/>
                <w:webHidden/>
              </w:rPr>
            </w:r>
            <w:r w:rsidR="00892868">
              <w:rPr>
                <w:noProof/>
                <w:webHidden/>
              </w:rPr>
              <w:fldChar w:fldCharType="separate"/>
            </w:r>
            <w:r w:rsidR="00892868">
              <w:rPr>
                <w:noProof/>
                <w:webHidden/>
              </w:rPr>
              <w:t>77</w:t>
            </w:r>
            <w:r w:rsidR="00892868">
              <w:rPr>
                <w:noProof/>
                <w:webHidden/>
              </w:rPr>
              <w:fldChar w:fldCharType="end"/>
            </w:r>
          </w:hyperlink>
        </w:p>
        <w:p w14:paraId="75D41005" w14:textId="647FAF55" w:rsidR="00892868" w:rsidRDefault="00000000">
          <w:pPr>
            <w:pStyle w:val="TOC3"/>
            <w:rPr>
              <w:rFonts w:eastAsiaTheme="minorEastAsia"/>
              <w:noProof/>
              <w:lang w:eastAsia="en-GB"/>
            </w:rPr>
          </w:pPr>
          <w:hyperlink w:anchor="_Toc117765950" w:history="1">
            <w:r w:rsidR="00892868" w:rsidRPr="00E9064B">
              <w:rPr>
                <w:rStyle w:val="Hyperlink"/>
                <w:noProof/>
                <w:lang w:eastAsia="en-GB"/>
              </w:rPr>
              <w:t>2.4.2</w:t>
            </w:r>
            <w:r w:rsidR="00892868">
              <w:rPr>
                <w:rFonts w:eastAsiaTheme="minorEastAsia"/>
                <w:noProof/>
                <w:lang w:eastAsia="en-GB"/>
              </w:rPr>
              <w:tab/>
            </w:r>
            <w:r w:rsidR="00892868" w:rsidRPr="00E9064B">
              <w:rPr>
                <w:rStyle w:val="Hyperlink"/>
                <w:noProof/>
                <w:lang w:eastAsia="en-GB"/>
              </w:rPr>
              <w:t>Study design</w:t>
            </w:r>
            <w:r w:rsidR="00892868">
              <w:rPr>
                <w:noProof/>
                <w:webHidden/>
              </w:rPr>
              <w:tab/>
            </w:r>
            <w:r w:rsidR="00892868">
              <w:rPr>
                <w:noProof/>
                <w:webHidden/>
              </w:rPr>
              <w:fldChar w:fldCharType="begin"/>
            </w:r>
            <w:r w:rsidR="00892868">
              <w:rPr>
                <w:noProof/>
                <w:webHidden/>
              </w:rPr>
              <w:instrText xml:space="preserve"> PAGEREF _Toc117765950 \h </w:instrText>
            </w:r>
            <w:r w:rsidR="00892868">
              <w:rPr>
                <w:noProof/>
                <w:webHidden/>
              </w:rPr>
            </w:r>
            <w:r w:rsidR="00892868">
              <w:rPr>
                <w:noProof/>
                <w:webHidden/>
              </w:rPr>
              <w:fldChar w:fldCharType="separate"/>
            </w:r>
            <w:r w:rsidR="00892868">
              <w:rPr>
                <w:noProof/>
                <w:webHidden/>
              </w:rPr>
              <w:t>77</w:t>
            </w:r>
            <w:r w:rsidR="00892868">
              <w:rPr>
                <w:noProof/>
                <w:webHidden/>
              </w:rPr>
              <w:fldChar w:fldCharType="end"/>
            </w:r>
          </w:hyperlink>
        </w:p>
        <w:p w14:paraId="63778B4C" w14:textId="7B60F8CB" w:rsidR="00892868" w:rsidRDefault="00000000">
          <w:pPr>
            <w:pStyle w:val="TOC3"/>
            <w:rPr>
              <w:rFonts w:eastAsiaTheme="minorEastAsia"/>
              <w:noProof/>
              <w:lang w:eastAsia="en-GB"/>
            </w:rPr>
          </w:pPr>
          <w:hyperlink w:anchor="_Toc117765951" w:history="1">
            <w:r w:rsidR="00892868" w:rsidRPr="00E9064B">
              <w:rPr>
                <w:rStyle w:val="Hyperlink"/>
                <w:noProof/>
                <w:lang w:eastAsia="en-GB"/>
              </w:rPr>
              <w:t>2.4.3</w:t>
            </w:r>
            <w:r w:rsidR="00892868">
              <w:rPr>
                <w:rFonts w:eastAsiaTheme="minorEastAsia"/>
                <w:noProof/>
                <w:lang w:eastAsia="en-GB"/>
              </w:rPr>
              <w:tab/>
            </w:r>
            <w:r w:rsidR="00892868" w:rsidRPr="00E9064B">
              <w:rPr>
                <w:rStyle w:val="Hyperlink"/>
                <w:noProof/>
                <w:lang w:eastAsia="en-GB"/>
              </w:rPr>
              <w:t>Phenotypic resistance</w:t>
            </w:r>
            <w:r w:rsidR="00892868">
              <w:rPr>
                <w:noProof/>
                <w:webHidden/>
              </w:rPr>
              <w:tab/>
            </w:r>
            <w:r w:rsidR="00892868">
              <w:rPr>
                <w:noProof/>
                <w:webHidden/>
              </w:rPr>
              <w:fldChar w:fldCharType="begin"/>
            </w:r>
            <w:r w:rsidR="00892868">
              <w:rPr>
                <w:noProof/>
                <w:webHidden/>
              </w:rPr>
              <w:instrText xml:space="preserve"> PAGEREF _Toc117765951 \h </w:instrText>
            </w:r>
            <w:r w:rsidR="00892868">
              <w:rPr>
                <w:noProof/>
                <w:webHidden/>
              </w:rPr>
            </w:r>
            <w:r w:rsidR="00892868">
              <w:rPr>
                <w:noProof/>
                <w:webHidden/>
              </w:rPr>
              <w:fldChar w:fldCharType="separate"/>
            </w:r>
            <w:r w:rsidR="00892868">
              <w:rPr>
                <w:noProof/>
                <w:webHidden/>
              </w:rPr>
              <w:t>77</w:t>
            </w:r>
            <w:r w:rsidR="00892868">
              <w:rPr>
                <w:noProof/>
                <w:webHidden/>
              </w:rPr>
              <w:fldChar w:fldCharType="end"/>
            </w:r>
          </w:hyperlink>
        </w:p>
        <w:p w14:paraId="7C27C9A2" w14:textId="09A2D2B3" w:rsidR="00892868" w:rsidRDefault="00000000">
          <w:pPr>
            <w:pStyle w:val="TOC3"/>
            <w:rPr>
              <w:rFonts w:eastAsiaTheme="minorEastAsia"/>
              <w:noProof/>
              <w:lang w:eastAsia="en-GB"/>
            </w:rPr>
          </w:pPr>
          <w:hyperlink w:anchor="_Toc117765952" w:history="1">
            <w:r w:rsidR="00892868" w:rsidRPr="00E9064B">
              <w:rPr>
                <w:rStyle w:val="Hyperlink"/>
                <w:noProof/>
              </w:rPr>
              <w:t>2.4.4</w:t>
            </w:r>
            <w:r w:rsidR="00892868">
              <w:rPr>
                <w:rFonts w:eastAsiaTheme="minorEastAsia"/>
                <w:noProof/>
                <w:lang w:eastAsia="en-GB"/>
              </w:rPr>
              <w:tab/>
            </w:r>
            <w:r w:rsidR="00892868" w:rsidRPr="00E9064B">
              <w:rPr>
                <w:rStyle w:val="Hyperlink"/>
                <w:noProof/>
              </w:rPr>
              <w:t>Genotypic resistance</w:t>
            </w:r>
            <w:r w:rsidR="00892868">
              <w:rPr>
                <w:noProof/>
                <w:webHidden/>
              </w:rPr>
              <w:tab/>
            </w:r>
            <w:r w:rsidR="00892868">
              <w:rPr>
                <w:noProof/>
                <w:webHidden/>
              </w:rPr>
              <w:fldChar w:fldCharType="begin"/>
            </w:r>
            <w:r w:rsidR="00892868">
              <w:rPr>
                <w:noProof/>
                <w:webHidden/>
              </w:rPr>
              <w:instrText xml:space="preserve"> PAGEREF _Toc117765952 \h </w:instrText>
            </w:r>
            <w:r w:rsidR="00892868">
              <w:rPr>
                <w:noProof/>
                <w:webHidden/>
              </w:rPr>
            </w:r>
            <w:r w:rsidR="00892868">
              <w:rPr>
                <w:noProof/>
                <w:webHidden/>
              </w:rPr>
              <w:fldChar w:fldCharType="separate"/>
            </w:r>
            <w:r w:rsidR="00892868">
              <w:rPr>
                <w:noProof/>
                <w:webHidden/>
              </w:rPr>
              <w:t>81</w:t>
            </w:r>
            <w:r w:rsidR="00892868">
              <w:rPr>
                <w:noProof/>
                <w:webHidden/>
              </w:rPr>
              <w:fldChar w:fldCharType="end"/>
            </w:r>
          </w:hyperlink>
        </w:p>
        <w:p w14:paraId="1D6F42B1" w14:textId="6A7A9852" w:rsidR="00892868" w:rsidRDefault="00000000">
          <w:pPr>
            <w:pStyle w:val="TOC3"/>
            <w:rPr>
              <w:rFonts w:eastAsiaTheme="minorEastAsia"/>
              <w:noProof/>
              <w:lang w:eastAsia="en-GB"/>
            </w:rPr>
          </w:pPr>
          <w:hyperlink w:anchor="_Toc117765953" w:history="1">
            <w:r w:rsidR="00892868" w:rsidRPr="00E9064B">
              <w:rPr>
                <w:rStyle w:val="Hyperlink"/>
                <w:noProof/>
              </w:rPr>
              <w:t>2.4.5</w:t>
            </w:r>
            <w:r w:rsidR="00892868">
              <w:rPr>
                <w:rFonts w:eastAsiaTheme="minorEastAsia"/>
                <w:noProof/>
                <w:lang w:eastAsia="en-GB"/>
              </w:rPr>
              <w:tab/>
            </w:r>
            <w:r w:rsidR="00892868" w:rsidRPr="00E9064B">
              <w:rPr>
                <w:rStyle w:val="Hyperlink"/>
                <w:noProof/>
              </w:rPr>
              <w:t>Whole genome sequencing at MicrobesNG</w:t>
            </w:r>
            <w:r w:rsidR="00892868">
              <w:rPr>
                <w:noProof/>
                <w:webHidden/>
              </w:rPr>
              <w:tab/>
            </w:r>
            <w:r w:rsidR="00892868">
              <w:rPr>
                <w:noProof/>
                <w:webHidden/>
              </w:rPr>
              <w:fldChar w:fldCharType="begin"/>
            </w:r>
            <w:r w:rsidR="00892868">
              <w:rPr>
                <w:noProof/>
                <w:webHidden/>
              </w:rPr>
              <w:instrText xml:space="preserve"> PAGEREF _Toc117765953 \h </w:instrText>
            </w:r>
            <w:r w:rsidR="00892868">
              <w:rPr>
                <w:noProof/>
                <w:webHidden/>
              </w:rPr>
            </w:r>
            <w:r w:rsidR="00892868">
              <w:rPr>
                <w:noProof/>
                <w:webHidden/>
              </w:rPr>
              <w:fldChar w:fldCharType="separate"/>
            </w:r>
            <w:r w:rsidR="00892868">
              <w:rPr>
                <w:noProof/>
                <w:webHidden/>
              </w:rPr>
              <w:t>82</w:t>
            </w:r>
            <w:r w:rsidR="00892868">
              <w:rPr>
                <w:noProof/>
                <w:webHidden/>
              </w:rPr>
              <w:fldChar w:fldCharType="end"/>
            </w:r>
          </w:hyperlink>
        </w:p>
        <w:p w14:paraId="505E3713" w14:textId="6ABDA90A" w:rsidR="00892868" w:rsidRDefault="00000000">
          <w:pPr>
            <w:pStyle w:val="TOC3"/>
            <w:rPr>
              <w:rFonts w:eastAsiaTheme="minorEastAsia"/>
              <w:noProof/>
              <w:lang w:eastAsia="en-GB"/>
            </w:rPr>
          </w:pPr>
          <w:hyperlink w:anchor="_Toc117765954" w:history="1">
            <w:r w:rsidR="00892868" w:rsidRPr="00E9064B">
              <w:rPr>
                <w:rStyle w:val="Hyperlink"/>
                <w:noProof/>
              </w:rPr>
              <w:t>2.4.6</w:t>
            </w:r>
            <w:r w:rsidR="00892868">
              <w:rPr>
                <w:rFonts w:eastAsiaTheme="minorEastAsia"/>
                <w:noProof/>
                <w:lang w:eastAsia="en-GB"/>
              </w:rPr>
              <w:tab/>
            </w:r>
            <w:r w:rsidR="00892868" w:rsidRPr="00E9064B">
              <w:rPr>
                <w:rStyle w:val="Hyperlink"/>
                <w:noProof/>
              </w:rPr>
              <w:t>Bioinformatics</w:t>
            </w:r>
            <w:r w:rsidR="00892868">
              <w:rPr>
                <w:noProof/>
                <w:webHidden/>
              </w:rPr>
              <w:tab/>
            </w:r>
            <w:r w:rsidR="00892868">
              <w:rPr>
                <w:noProof/>
                <w:webHidden/>
              </w:rPr>
              <w:fldChar w:fldCharType="begin"/>
            </w:r>
            <w:r w:rsidR="00892868">
              <w:rPr>
                <w:noProof/>
                <w:webHidden/>
              </w:rPr>
              <w:instrText xml:space="preserve"> PAGEREF _Toc117765954 \h </w:instrText>
            </w:r>
            <w:r w:rsidR="00892868">
              <w:rPr>
                <w:noProof/>
                <w:webHidden/>
              </w:rPr>
            </w:r>
            <w:r w:rsidR="00892868">
              <w:rPr>
                <w:noProof/>
                <w:webHidden/>
              </w:rPr>
              <w:fldChar w:fldCharType="separate"/>
            </w:r>
            <w:r w:rsidR="00892868">
              <w:rPr>
                <w:noProof/>
                <w:webHidden/>
              </w:rPr>
              <w:t>82</w:t>
            </w:r>
            <w:r w:rsidR="00892868">
              <w:rPr>
                <w:noProof/>
                <w:webHidden/>
              </w:rPr>
              <w:fldChar w:fldCharType="end"/>
            </w:r>
          </w:hyperlink>
        </w:p>
        <w:p w14:paraId="4973A546" w14:textId="1FC05AA4" w:rsidR="00892868" w:rsidRDefault="00000000">
          <w:pPr>
            <w:pStyle w:val="TOC1"/>
            <w:tabs>
              <w:tab w:val="left" w:pos="440"/>
            </w:tabs>
            <w:rPr>
              <w:rFonts w:eastAsiaTheme="minorEastAsia"/>
              <w:noProof/>
              <w:lang w:eastAsia="en-GB"/>
            </w:rPr>
          </w:pPr>
          <w:hyperlink w:anchor="_Toc117765955" w:history="1">
            <w:r w:rsidR="00892868" w:rsidRPr="00E9064B">
              <w:rPr>
                <w:rStyle w:val="Hyperlink"/>
                <w:b/>
                <w:bCs/>
                <w:noProof/>
              </w:rPr>
              <w:t>3</w:t>
            </w:r>
            <w:r w:rsidR="00892868">
              <w:rPr>
                <w:rFonts w:eastAsiaTheme="minorEastAsia"/>
                <w:noProof/>
                <w:lang w:eastAsia="en-GB"/>
              </w:rPr>
              <w:tab/>
            </w:r>
            <w:r w:rsidR="00892868" w:rsidRPr="00E9064B">
              <w:rPr>
                <w:rStyle w:val="Hyperlink"/>
                <w:b/>
                <w:bCs/>
                <w:noProof/>
              </w:rPr>
              <w:t>Chapter 3. Results - The parental experience of having a child prescribed prophylactic antibiotics</w:t>
            </w:r>
            <w:r w:rsidR="00892868">
              <w:rPr>
                <w:noProof/>
                <w:webHidden/>
              </w:rPr>
              <w:tab/>
            </w:r>
            <w:r w:rsidR="00892868">
              <w:rPr>
                <w:noProof/>
                <w:webHidden/>
              </w:rPr>
              <w:fldChar w:fldCharType="begin"/>
            </w:r>
            <w:r w:rsidR="00892868">
              <w:rPr>
                <w:noProof/>
                <w:webHidden/>
              </w:rPr>
              <w:instrText xml:space="preserve"> PAGEREF _Toc117765955 \h </w:instrText>
            </w:r>
            <w:r w:rsidR="00892868">
              <w:rPr>
                <w:noProof/>
                <w:webHidden/>
              </w:rPr>
            </w:r>
            <w:r w:rsidR="00892868">
              <w:rPr>
                <w:noProof/>
                <w:webHidden/>
              </w:rPr>
              <w:fldChar w:fldCharType="separate"/>
            </w:r>
            <w:r w:rsidR="00892868">
              <w:rPr>
                <w:noProof/>
                <w:webHidden/>
              </w:rPr>
              <w:t>84</w:t>
            </w:r>
            <w:r w:rsidR="00892868">
              <w:rPr>
                <w:noProof/>
                <w:webHidden/>
              </w:rPr>
              <w:fldChar w:fldCharType="end"/>
            </w:r>
          </w:hyperlink>
        </w:p>
        <w:p w14:paraId="7498524E" w14:textId="05BB2CB4" w:rsidR="00892868" w:rsidRDefault="00000000">
          <w:pPr>
            <w:pStyle w:val="TOC2"/>
            <w:tabs>
              <w:tab w:val="left" w:pos="880"/>
            </w:tabs>
            <w:rPr>
              <w:rFonts w:eastAsiaTheme="minorEastAsia"/>
              <w:noProof/>
              <w:lang w:eastAsia="en-GB"/>
            </w:rPr>
          </w:pPr>
          <w:hyperlink w:anchor="_Toc117765956" w:history="1">
            <w:r w:rsidR="00892868" w:rsidRPr="00E9064B">
              <w:rPr>
                <w:rStyle w:val="Hyperlink"/>
                <w:noProof/>
              </w:rPr>
              <w:t>3.1</w:t>
            </w:r>
            <w:r w:rsidR="00892868">
              <w:rPr>
                <w:rFonts w:eastAsiaTheme="minorEastAsia"/>
                <w:noProof/>
                <w:lang w:eastAsia="en-GB"/>
              </w:rPr>
              <w:tab/>
            </w:r>
            <w:r w:rsidR="00892868" w:rsidRPr="00E9064B">
              <w:rPr>
                <w:rStyle w:val="Hyperlink"/>
                <w:noProof/>
              </w:rPr>
              <w:t>Introduction</w:t>
            </w:r>
            <w:r w:rsidR="00892868">
              <w:rPr>
                <w:noProof/>
                <w:webHidden/>
              </w:rPr>
              <w:tab/>
            </w:r>
            <w:r w:rsidR="00892868">
              <w:rPr>
                <w:noProof/>
                <w:webHidden/>
              </w:rPr>
              <w:fldChar w:fldCharType="begin"/>
            </w:r>
            <w:r w:rsidR="00892868">
              <w:rPr>
                <w:noProof/>
                <w:webHidden/>
              </w:rPr>
              <w:instrText xml:space="preserve"> PAGEREF _Toc117765956 \h </w:instrText>
            </w:r>
            <w:r w:rsidR="00892868">
              <w:rPr>
                <w:noProof/>
                <w:webHidden/>
              </w:rPr>
            </w:r>
            <w:r w:rsidR="00892868">
              <w:rPr>
                <w:noProof/>
                <w:webHidden/>
              </w:rPr>
              <w:fldChar w:fldCharType="separate"/>
            </w:r>
            <w:r w:rsidR="00892868">
              <w:rPr>
                <w:noProof/>
                <w:webHidden/>
              </w:rPr>
              <w:t>84</w:t>
            </w:r>
            <w:r w:rsidR="00892868">
              <w:rPr>
                <w:noProof/>
                <w:webHidden/>
              </w:rPr>
              <w:fldChar w:fldCharType="end"/>
            </w:r>
          </w:hyperlink>
        </w:p>
        <w:p w14:paraId="129A7F69" w14:textId="52E814B2" w:rsidR="00892868" w:rsidRDefault="00000000">
          <w:pPr>
            <w:pStyle w:val="TOC2"/>
            <w:tabs>
              <w:tab w:val="left" w:pos="880"/>
            </w:tabs>
            <w:rPr>
              <w:rFonts w:eastAsiaTheme="minorEastAsia"/>
              <w:noProof/>
              <w:lang w:eastAsia="en-GB"/>
            </w:rPr>
          </w:pPr>
          <w:hyperlink w:anchor="_Toc117765957" w:history="1">
            <w:r w:rsidR="00892868" w:rsidRPr="00E9064B">
              <w:rPr>
                <w:rStyle w:val="Hyperlink"/>
                <w:noProof/>
              </w:rPr>
              <w:t>3.2</w:t>
            </w:r>
            <w:r w:rsidR="00892868">
              <w:rPr>
                <w:rFonts w:eastAsiaTheme="minorEastAsia"/>
                <w:noProof/>
                <w:lang w:eastAsia="en-GB"/>
              </w:rPr>
              <w:tab/>
            </w:r>
            <w:r w:rsidR="00892868" w:rsidRPr="00E9064B">
              <w:rPr>
                <w:rStyle w:val="Hyperlink"/>
                <w:noProof/>
              </w:rPr>
              <w:t>Results</w:t>
            </w:r>
            <w:r w:rsidR="00892868">
              <w:rPr>
                <w:noProof/>
                <w:webHidden/>
              </w:rPr>
              <w:tab/>
            </w:r>
            <w:r w:rsidR="00892868">
              <w:rPr>
                <w:noProof/>
                <w:webHidden/>
              </w:rPr>
              <w:fldChar w:fldCharType="begin"/>
            </w:r>
            <w:r w:rsidR="00892868">
              <w:rPr>
                <w:noProof/>
                <w:webHidden/>
              </w:rPr>
              <w:instrText xml:space="preserve"> PAGEREF _Toc117765957 \h </w:instrText>
            </w:r>
            <w:r w:rsidR="00892868">
              <w:rPr>
                <w:noProof/>
                <w:webHidden/>
              </w:rPr>
            </w:r>
            <w:r w:rsidR="00892868">
              <w:rPr>
                <w:noProof/>
                <w:webHidden/>
              </w:rPr>
              <w:fldChar w:fldCharType="separate"/>
            </w:r>
            <w:r w:rsidR="00892868">
              <w:rPr>
                <w:noProof/>
                <w:webHidden/>
              </w:rPr>
              <w:t>85</w:t>
            </w:r>
            <w:r w:rsidR="00892868">
              <w:rPr>
                <w:noProof/>
                <w:webHidden/>
              </w:rPr>
              <w:fldChar w:fldCharType="end"/>
            </w:r>
          </w:hyperlink>
        </w:p>
        <w:p w14:paraId="4C16A966" w14:textId="76AF9E70" w:rsidR="00892868" w:rsidRDefault="00000000">
          <w:pPr>
            <w:pStyle w:val="TOC3"/>
            <w:rPr>
              <w:rFonts w:eastAsiaTheme="minorEastAsia"/>
              <w:noProof/>
              <w:lang w:eastAsia="en-GB"/>
            </w:rPr>
          </w:pPr>
          <w:hyperlink w:anchor="_Toc117765958" w:history="1">
            <w:r w:rsidR="00892868" w:rsidRPr="00E9064B">
              <w:rPr>
                <w:rStyle w:val="Hyperlink"/>
                <w:noProof/>
              </w:rPr>
              <w:t>3.2.1</w:t>
            </w:r>
            <w:r w:rsidR="00892868">
              <w:rPr>
                <w:rFonts w:eastAsiaTheme="minorEastAsia"/>
                <w:noProof/>
                <w:lang w:eastAsia="en-GB"/>
              </w:rPr>
              <w:tab/>
            </w:r>
            <w:r w:rsidR="00892868" w:rsidRPr="00E9064B">
              <w:rPr>
                <w:rStyle w:val="Hyperlink"/>
                <w:noProof/>
              </w:rPr>
              <w:t>Recruitment and participants</w:t>
            </w:r>
            <w:r w:rsidR="00892868">
              <w:rPr>
                <w:noProof/>
                <w:webHidden/>
              </w:rPr>
              <w:tab/>
            </w:r>
            <w:r w:rsidR="00892868">
              <w:rPr>
                <w:noProof/>
                <w:webHidden/>
              </w:rPr>
              <w:fldChar w:fldCharType="begin"/>
            </w:r>
            <w:r w:rsidR="00892868">
              <w:rPr>
                <w:noProof/>
                <w:webHidden/>
              </w:rPr>
              <w:instrText xml:space="preserve"> PAGEREF _Toc117765958 \h </w:instrText>
            </w:r>
            <w:r w:rsidR="00892868">
              <w:rPr>
                <w:noProof/>
                <w:webHidden/>
              </w:rPr>
            </w:r>
            <w:r w:rsidR="00892868">
              <w:rPr>
                <w:noProof/>
                <w:webHidden/>
              </w:rPr>
              <w:fldChar w:fldCharType="separate"/>
            </w:r>
            <w:r w:rsidR="00892868">
              <w:rPr>
                <w:noProof/>
                <w:webHidden/>
              </w:rPr>
              <w:t>85</w:t>
            </w:r>
            <w:r w:rsidR="00892868">
              <w:rPr>
                <w:noProof/>
                <w:webHidden/>
              </w:rPr>
              <w:fldChar w:fldCharType="end"/>
            </w:r>
          </w:hyperlink>
        </w:p>
        <w:p w14:paraId="1C6D881F" w14:textId="1D062869" w:rsidR="00892868" w:rsidRDefault="00000000">
          <w:pPr>
            <w:pStyle w:val="TOC3"/>
            <w:rPr>
              <w:rFonts w:eastAsiaTheme="minorEastAsia"/>
              <w:noProof/>
              <w:lang w:eastAsia="en-GB"/>
            </w:rPr>
          </w:pPr>
          <w:hyperlink w:anchor="_Toc117765959" w:history="1">
            <w:r w:rsidR="00892868" w:rsidRPr="00E9064B">
              <w:rPr>
                <w:rStyle w:val="Hyperlink"/>
                <w:noProof/>
              </w:rPr>
              <w:t>3.2.2</w:t>
            </w:r>
            <w:r w:rsidR="00892868">
              <w:rPr>
                <w:rFonts w:eastAsiaTheme="minorEastAsia"/>
                <w:noProof/>
                <w:lang w:eastAsia="en-GB"/>
              </w:rPr>
              <w:tab/>
            </w:r>
            <w:r w:rsidR="00892868" w:rsidRPr="00E9064B">
              <w:rPr>
                <w:rStyle w:val="Hyperlink"/>
                <w:noProof/>
              </w:rPr>
              <w:t>Interviews</w:t>
            </w:r>
            <w:r w:rsidR="00892868">
              <w:rPr>
                <w:noProof/>
                <w:webHidden/>
              </w:rPr>
              <w:tab/>
            </w:r>
            <w:r w:rsidR="00892868">
              <w:rPr>
                <w:noProof/>
                <w:webHidden/>
              </w:rPr>
              <w:fldChar w:fldCharType="begin"/>
            </w:r>
            <w:r w:rsidR="00892868">
              <w:rPr>
                <w:noProof/>
                <w:webHidden/>
              </w:rPr>
              <w:instrText xml:space="preserve"> PAGEREF _Toc117765959 \h </w:instrText>
            </w:r>
            <w:r w:rsidR="00892868">
              <w:rPr>
                <w:noProof/>
                <w:webHidden/>
              </w:rPr>
            </w:r>
            <w:r w:rsidR="00892868">
              <w:rPr>
                <w:noProof/>
                <w:webHidden/>
              </w:rPr>
              <w:fldChar w:fldCharType="separate"/>
            </w:r>
            <w:r w:rsidR="00892868">
              <w:rPr>
                <w:noProof/>
                <w:webHidden/>
              </w:rPr>
              <w:t>87</w:t>
            </w:r>
            <w:r w:rsidR="00892868">
              <w:rPr>
                <w:noProof/>
                <w:webHidden/>
              </w:rPr>
              <w:fldChar w:fldCharType="end"/>
            </w:r>
          </w:hyperlink>
        </w:p>
        <w:p w14:paraId="310BCD7A" w14:textId="6768EF86" w:rsidR="00892868" w:rsidRDefault="00000000">
          <w:pPr>
            <w:pStyle w:val="TOC3"/>
            <w:rPr>
              <w:rFonts w:eastAsiaTheme="minorEastAsia"/>
              <w:noProof/>
              <w:lang w:eastAsia="en-GB"/>
            </w:rPr>
          </w:pPr>
          <w:hyperlink w:anchor="_Toc117765960" w:history="1">
            <w:r w:rsidR="00892868" w:rsidRPr="00E9064B">
              <w:rPr>
                <w:rStyle w:val="Hyperlink"/>
                <w:noProof/>
              </w:rPr>
              <w:t>3.2.3</w:t>
            </w:r>
            <w:r w:rsidR="00892868">
              <w:rPr>
                <w:rFonts w:eastAsiaTheme="minorEastAsia"/>
                <w:noProof/>
                <w:lang w:eastAsia="en-GB"/>
              </w:rPr>
              <w:tab/>
            </w:r>
            <w:r w:rsidR="00892868" w:rsidRPr="00E9064B">
              <w:rPr>
                <w:rStyle w:val="Hyperlink"/>
                <w:noProof/>
              </w:rPr>
              <w:t>Findings</w:t>
            </w:r>
            <w:r w:rsidR="00892868">
              <w:rPr>
                <w:noProof/>
                <w:webHidden/>
              </w:rPr>
              <w:tab/>
            </w:r>
            <w:r w:rsidR="00892868">
              <w:rPr>
                <w:noProof/>
                <w:webHidden/>
              </w:rPr>
              <w:fldChar w:fldCharType="begin"/>
            </w:r>
            <w:r w:rsidR="00892868">
              <w:rPr>
                <w:noProof/>
                <w:webHidden/>
              </w:rPr>
              <w:instrText xml:space="preserve"> PAGEREF _Toc117765960 \h </w:instrText>
            </w:r>
            <w:r w:rsidR="00892868">
              <w:rPr>
                <w:noProof/>
                <w:webHidden/>
              </w:rPr>
            </w:r>
            <w:r w:rsidR="00892868">
              <w:rPr>
                <w:noProof/>
                <w:webHidden/>
              </w:rPr>
              <w:fldChar w:fldCharType="separate"/>
            </w:r>
            <w:r w:rsidR="00892868">
              <w:rPr>
                <w:noProof/>
                <w:webHidden/>
              </w:rPr>
              <w:t>88</w:t>
            </w:r>
            <w:r w:rsidR="00892868">
              <w:rPr>
                <w:noProof/>
                <w:webHidden/>
              </w:rPr>
              <w:fldChar w:fldCharType="end"/>
            </w:r>
          </w:hyperlink>
        </w:p>
        <w:p w14:paraId="2CD68E59" w14:textId="7F20E08B" w:rsidR="00892868" w:rsidRDefault="00000000">
          <w:pPr>
            <w:pStyle w:val="TOC2"/>
            <w:tabs>
              <w:tab w:val="left" w:pos="880"/>
            </w:tabs>
            <w:rPr>
              <w:rFonts w:eastAsiaTheme="minorEastAsia"/>
              <w:noProof/>
              <w:lang w:eastAsia="en-GB"/>
            </w:rPr>
          </w:pPr>
          <w:hyperlink w:anchor="_Toc117765961" w:history="1">
            <w:r w:rsidR="00892868" w:rsidRPr="00E9064B">
              <w:rPr>
                <w:rStyle w:val="Hyperlink"/>
                <w:noProof/>
              </w:rPr>
              <w:t>3.3</w:t>
            </w:r>
            <w:r w:rsidR="00892868">
              <w:rPr>
                <w:rFonts w:eastAsiaTheme="minorEastAsia"/>
                <w:noProof/>
                <w:lang w:eastAsia="en-GB"/>
              </w:rPr>
              <w:tab/>
            </w:r>
            <w:r w:rsidR="00892868" w:rsidRPr="00E9064B">
              <w:rPr>
                <w:rStyle w:val="Hyperlink"/>
                <w:noProof/>
              </w:rPr>
              <w:t>Discussion</w:t>
            </w:r>
            <w:r w:rsidR="00892868">
              <w:rPr>
                <w:noProof/>
                <w:webHidden/>
              </w:rPr>
              <w:tab/>
            </w:r>
            <w:r w:rsidR="00892868">
              <w:rPr>
                <w:noProof/>
                <w:webHidden/>
              </w:rPr>
              <w:fldChar w:fldCharType="begin"/>
            </w:r>
            <w:r w:rsidR="00892868">
              <w:rPr>
                <w:noProof/>
                <w:webHidden/>
              </w:rPr>
              <w:instrText xml:space="preserve"> PAGEREF _Toc117765961 \h </w:instrText>
            </w:r>
            <w:r w:rsidR="00892868">
              <w:rPr>
                <w:noProof/>
                <w:webHidden/>
              </w:rPr>
            </w:r>
            <w:r w:rsidR="00892868">
              <w:rPr>
                <w:noProof/>
                <w:webHidden/>
              </w:rPr>
              <w:fldChar w:fldCharType="separate"/>
            </w:r>
            <w:r w:rsidR="00892868">
              <w:rPr>
                <w:noProof/>
                <w:webHidden/>
              </w:rPr>
              <w:t>101</w:t>
            </w:r>
            <w:r w:rsidR="00892868">
              <w:rPr>
                <w:noProof/>
                <w:webHidden/>
              </w:rPr>
              <w:fldChar w:fldCharType="end"/>
            </w:r>
          </w:hyperlink>
        </w:p>
        <w:p w14:paraId="3E1FBBAE" w14:textId="7162938D" w:rsidR="00892868" w:rsidRDefault="00000000">
          <w:pPr>
            <w:pStyle w:val="TOC3"/>
            <w:rPr>
              <w:rFonts w:eastAsiaTheme="minorEastAsia"/>
              <w:noProof/>
              <w:lang w:eastAsia="en-GB"/>
            </w:rPr>
          </w:pPr>
          <w:hyperlink w:anchor="_Toc117765962" w:history="1">
            <w:r w:rsidR="00892868" w:rsidRPr="00E9064B">
              <w:rPr>
                <w:rStyle w:val="Hyperlink"/>
                <w:noProof/>
              </w:rPr>
              <w:t>3.3.1</w:t>
            </w:r>
            <w:r w:rsidR="00892868">
              <w:rPr>
                <w:rFonts w:eastAsiaTheme="minorEastAsia"/>
                <w:noProof/>
                <w:lang w:eastAsia="en-GB"/>
              </w:rPr>
              <w:tab/>
            </w:r>
            <w:r w:rsidR="00892868" w:rsidRPr="00E9064B">
              <w:rPr>
                <w:rStyle w:val="Hyperlink"/>
                <w:noProof/>
              </w:rPr>
              <w:t>Main findings</w:t>
            </w:r>
            <w:r w:rsidR="00892868">
              <w:rPr>
                <w:noProof/>
                <w:webHidden/>
              </w:rPr>
              <w:tab/>
            </w:r>
            <w:r w:rsidR="00892868">
              <w:rPr>
                <w:noProof/>
                <w:webHidden/>
              </w:rPr>
              <w:fldChar w:fldCharType="begin"/>
            </w:r>
            <w:r w:rsidR="00892868">
              <w:rPr>
                <w:noProof/>
                <w:webHidden/>
              </w:rPr>
              <w:instrText xml:space="preserve"> PAGEREF _Toc117765962 \h </w:instrText>
            </w:r>
            <w:r w:rsidR="00892868">
              <w:rPr>
                <w:noProof/>
                <w:webHidden/>
              </w:rPr>
            </w:r>
            <w:r w:rsidR="00892868">
              <w:rPr>
                <w:noProof/>
                <w:webHidden/>
              </w:rPr>
              <w:fldChar w:fldCharType="separate"/>
            </w:r>
            <w:r w:rsidR="00892868">
              <w:rPr>
                <w:noProof/>
                <w:webHidden/>
              </w:rPr>
              <w:t>101</w:t>
            </w:r>
            <w:r w:rsidR="00892868">
              <w:rPr>
                <w:noProof/>
                <w:webHidden/>
              </w:rPr>
              <w:fldChar w:fldCharType="end"/>
            </w:r>
          </w:hyperlink>
        </w:p>
        <w:p w14:paraId="626FE9C3" w14:textId="28064C0D" w:rsidR="00892868" w:rsidRDefault="00000000">
          <w:pPr>
            <w:pStyle w:val="TOC3"/>
            <w:rPr>
              <w:rFonts w:eastAsiaTheme="minorEastAsia"/>
              <w:noProof/>
              <w:lang w:eastAsia="en-GB"/>
            </w:rPr>
          </w:pPr>
          <w:hyperlink w:anchor="_Toc117765963" w:history="1">
            <w:r w:rsidR="00892868" w:rsidRPr="00E9064B">
              <w:rPr>
                <w:rStyle w:val="Hyperlink"/>
                <w:noProof/>
                <w:lang w:val="en-US"/>
              </w:rPr>
              <w:t>3.3.2</w:t>
            </w:r>
            <w:r w:rsidR="00892868">
              <w:rPr>
                <w:rFonts w:eastAsiaTheme="minorEastAsia"/>
                <w:noProof/>
                <w:lang w:eastAsia="en-GB"/>
              </w:rPr>
              <w:tab/>
            </w:r>
            <w:r w:rsidR="00892868" w:rsidRPr="00E9064B">
              <w:rPr>
                <w:rStyle w:val="Hyperlink"/>
                <w:noProof/>
                <w:lang w:val="en-US"/>
              </w:rPr>
              <w:t>Findings of the parental experience in relation to current literature</w:t>
            </w:r>
            <w:r w:rsidR="00892868">
              <w:rPr>
                <w:noProof/>
                <w:webHidden/>
              </w:rPr>
              <w:tab/>
            </w:r>
            <w:r w:rsidR="00892868">
              <w:rPr>
                <w:noProof/>
                <w:webHidden/>
              </w:rPr>
              <w:fldChar w:fldCharType="begin"/>
            </w:r>
            <w:r w:rsidR="00892868">
              <w:rPr>
                <w:noProof/>
                <w:webHidden/>
              </w:rPr>
              <w:instrText xml:space="preserve"> PAGEREF _Toc117765963 \h </w:instrText>
            </w:r>
            <w:r w:rsidR="00892868">
              <w:rPr>
                <w:noProof/>
                <w:webHidden/>
              </w:rPr>
            </w:r>
            <w:r w:rsidR="00892868">
              <w:rPr>
                <w:noProof/>
                <w:webHidden/>
              </w:rPr>
              <w:fldChar w:fldCharType="separate"/>
            </w:r>
            <w:r w:rsidR="00892868">
              <w:rPr>
                <w:noProof/>
                <w:webHidden/>
              </w:rPr>
              <w:t>103</w:t>
            </w:r>
            <w:r w:rsidR="00892868">
              <w:rPr>
                <w:noProof/>
                <w:webHidden/>
              </w:rPr>
              <w:fldChar w:fldCharType="end"/>
            </w:r>
          </w:hyperlink>
        </w:p>
        <w:p w14:paraId="7A67B8BA" w14:textId="6E38968B" w:rsidR="00892868" w:rsidRDefault="00000000">
          <w:pPr>
            <w:pStyle w:val="TOC3"/>
            <w:rPr>
              <w:rFonts w:eastAsiaTheme="minorEastAsia"/>
              <w:noProof/>
              <w:lang w:eastAsia="en-GB"/>
            </w:rPr>
          </w:pPr>
          <w:hyperlink w:anchor="_Toc117765964" w:history="1">
            <w:r w:rsidR="00892868" w:rsidRPr="00E9064B">
              <w:rPr>
                <w:rStyle w:val="Hyperlink"/>
                <w:noProof/>
              </w:rPr>
              <w:t>3.3.3</w:t>
            </w:r>
            <w:r w:rsidR="00892868">
              <w:rPr>
                <w:rFonts w:eastAsiaTheme="minorEastAsia"/>
                <w:noProof/>
                <w:lang w:eastAsia="en-GB"/>
              </w:rPr>
              <w:tab/>
            </w:r>
            <w:r w:rsidR="00892868" w:rsidRPr="00E9064B">
              <w:rPr>
                <w:rStyle w:val="Hyperlink"/>
                <w:noProof/>
              </w:rPr>
              <w:t>Implications for clinical practice</w:t>
            </w:r>
            <w:r w:rsidR="00892868">
              <w:rPr>
                <w:noProof/>
                <w:webHidden/>
              </w:rPr>
              <w:tab/>
            </w:r>
            <w:r w:rsidR="00892868">
              <w:rPr>
                <w:noProof/>
                <w:webHidden/>
              </w:rPr>
              <w:fldChar w:fldCharType="begin"/>
            </w:r>
            <w:r w:rsidR="00892868">
              <w:rPr>
                <w:noProof/>
                <w:webHidden/>
              </w:rPr>
              <w:instrText xml:space="preserve"> PAGEREF _Toc117765964 \h </w:instrText>
            </w:r>
            <w:r w:rsidR="00892868">
              <w:rPr>
                <w:noProof/>
                <w:webHidden/>
              </w:rPr>
            </w:r>
            <w:r w:rsidR="00892868">
              <w:rPr>
                <w:noProof/>
                <w:webHidden/>
              </w:rPr>
              <w:fldChar w:fldCharType="separate"/>
            </w:r>
            <w:r w:rsidR="00892868">
              <w:rPr>
                <w:noProof/>
                <w:webHidden/>
              </w:rPr>
              <w:t>107</w:t>
            </w:r>
            <w:r w:rsidR="00892868">
              <w:rPr>
                <w:noProof/>
                <w:webHidden/>
              </w:rPr>
              <w:fldChar w:fldCharType="end"/>
            </w:r>
          </w:hyperlink>
        </w:p>
        <w:p w14:paraId="78269E12" w14:textId="377C87A0" w:rsidR="00892868" w:rsidRDefault="00000000">
          <w:pPr>
            <w:pStyle w:val="TOC3"/>
            <w:rPr>
              <w:rFonts w:eastAsiaTheme="minorEastAsia"/>
              <w:noProof/>
              <w:lang w:eastAsia="en-GB"/>
            </w:rPr>
          </w:pPr>
          <w:hyperlink w:anchor="_Toc117765965" w:history="1">
            <w:r w:rsidR="00892868" w:rsidRPr="00E9064B">
              <w:rPr>
                <w:rStyle w:val="Hyperlink"/>
                <w:noProof/>
              </w:rPr>
              <w:t>3.3.4</w:t>
            </w:r>
            <w:r w:rsidR="00892868">
              <w:rPr>
                <w:rFonts w:eastAsiaTheme="minorEastAsia"/>
                <w:noProof/>
                <w:lang w:eastAsia="en-GB"/>
              </w:rPr>
              <w:tab/>
            </w:r>
            <w:r w:rsidR="00892868" w:rsidRPr="00E9064B">
              <w:rPr>
                <w:rStyle w:val="Hyperlink"/>
                <w:noProof/>
              </w:rPr>
              <w:t>Limitations and strengths</w:t>
            </w:r>
            <w:r w:rsidR="00892868">
              <w:rPr>
                <w:noProof/>
                <w:webHidden/>
              </w:rPr>
              <w:tab/>
            </w:r>
            <w:r w:rsidR="00892868">
              <w:rPr>
                <w:noProof/>
                <w:webHidden/>
              </w:rPr>
              <w:fldChar w:fldCharType="begin"/>
            </w:r>
            <w:r w:rsidR="00892868">
              <w:rPr>
                <w:noProof/>
                <w:webHidden/>
              </w:rPr>
              <w:instrText xml:space="preserve"> PAGEREF _Toc117765965 \h </w:instrText>
            </w:r>
            <w:r w:rsidR="00892868">
              <w:rPr>
                <w:noProof/>
                <w:webHidden/>
              </w:rPr>
            </w:r>
            <w:r w:rsidR="00892868">
              <w:rPr>
                <w:noProof/>
                <w:webHidden/>
              </w:rPr>
              <w:fldChar w:fldCharType="separate"/>
            </w:r>
            <w:r w:rsidR="00892868">
              <w:rPr>
                <w:noProof/>
                <w:webHidden/>
              </w:rPr>
              <w:t>108</w:t>
            </w:r>
            <w:r w:rsidR="00892868">
              <w:rPr>
                <w:noProof/>
                <w:webHidden/>
              </w:rPr>
              <w:fldChar w:fldCharType="end"/>
            </w:r>
          </w:hyperlink>
        </w:p>
        <w:p w14:paraId="7C8B04F5" w14:textId="1590C6F7" w:rsidR="00892868" w:rsidRDefault="00000000">
          <w:pPr>
            <w:pStyle w:val="TOC1"/>
            <w:tabs>
              <w:tab w:val="left" w:pos="440"/>
            </w:tabs>
            <w:rPr>
              <w:rFonts w:eastAsiaTheme="minorEastAsia"/>
              <w:noProof/>
              <w:lang w:eastAsia="en-GB"/>
            </w:rPr>
          </w:pPr>
          <w:hyperlink w:anchor="_Toc117765966" w:history="1">
            <w:r w:rsidR="00892868" w:rsidRPr="00E9064B">
              <w:rPr>
                <w:rStyle w:val="Hyperlink"/>
                <w:b/>
                <w:bCs/>
                <w:noProof/>
              </w:rPr>
              <w:t>4</w:t>
            </w:r>
            <w:r w:rsidR="00892868">
              <w:rPr>
                <w:rFonts w:eastAsiaTheme="minorEastAsia"/>
                <w:noProof/>
                <w:lang w:eastAsia="en-GB"/>
              </w:rPr>
              <w:tab/>
            </w:r>
            <w:r w:rsidR="00892868" w:rsidRPr="00E9064B">
              <w:rPr>
                <w:rStyle w:val="Hyperlink"/>
                <w:b/>
                <w:bCs/>
                <w:noProof/>
              </w:rPr>
              <w:t>Chapter 4. Bacterial isolates and antibacterial resistance in protracted bacterial bronchitis.</w:t>
            </w:r>
            <w:r w:rsidR="00892868">
              <w:rPr>
                <w:noProof/>
                <w:webHidden/>
              </w:rPr>
              <w:tab/>
            </w:r>
            <w:r w:rsidR="00892868">
              <w:rPr>
                <w:noProof/>
                <w:webHidden/>
              </w:rPr>
              <w:fldChar w:fldCharType="begin"/>
            </w:r>
            <w:r w:rsidR="00892868">
              <w:rPr>
                <w:noProof/>
                <w:webHidden/>
              </w:rPr>
              <w:instrText xml:space="preserve"> PAGEREF _Toc117765966 \h </w:instrText>
            </w:r>
            <w:r w:rsidR="00892868">
              <w:rPr>
                <w:noProof/>
                <w:webHidden/>
              </w:rPr>
            </w:r>
            <w:r w:rsidR="00892868">
              <w:rPr>
                <w:noProof/>
                <w:webHidden/>
              </w:rPr>
              <w:fldChar w:fldCharType="separate"/>
            </w:r>
            <w:r w:rsidR="00892868">
              <w:rPr>
                <w:noProof/>
                <w:webHidden/>
              </w:rPr>
              <w:t>111</w:t>
            </w:r>
            <w:r w:rsidR="00892868">
              <w:rPr>
                <w:noProof/>
                <w:webHidden/>
              </w:rPr>
              <w:fldChar w:fldCharType="end"/>
            </w:r>
          </w:hyperlink>
        </w:p>
        <w:p w14:paraId="7C4A24E9" w14:textId="32B052D3" w:rsidR="00892868" w:rsidRDefault="00000000">
          <w:pPr>
            <w:pStyle w:val="TOC2"/>
            <w:tabs>
              <w:tab w:val="left" w:pos="880"/>
            </w:tabs>
            <w:rPr>
              <w:rFonts w:eastAsiaTheme="minorEastAsia"/>
              <w:noProof/>
              <w:lang w:eastAsia="en-GB"/>
            </w:rPr>
          </w:pPr>
          <w:hyperlink w:anchor="_Toc117765967" w:history="1">
            <w:r w:rsidR="00892868" w:rsidRPr="00E9064B">
              <w:rPr>
                <w:rStyle w:val="Hyperlink"/>
                <w:noProof/>
              </w:rPr>
              <w:t>4.1</w:t>
            </w:r>
            <w:r w:rsidR="00892868">
              <w:rPr>
                <w:rFonts w:eastAsiaTheme="minorEastAsia"/>
                <w:noProof/>
                <w:lang w:eastAsia="en-GB"/>
              </w:rPr>
              <w:tab/>
            </w:r>
            <w:r w:rsidR="00892868" w:rsidRPr="00E9064B">
              <w:rPr>
                <w:rStyle w:val="Hyperlink"/>
                <w:noProof/>
              </w:rPr>
              <w:t>Introduction</w:t>
            </w:r>
            <w:r w:rsidR="00892868">
              <w:rPr>
                <w:noProof/>
                <w:webHidden/>
              </w:rPr>
              <w:tab/>
            </w:r>
            <w:r w:rsidR="00892868">
              <w:rPr>
                <w:noProof/>
                <w:webHidden/>
              </w:rPr>
              <w:fldChar w:fldCharType="begin"/>
            </w:r>
            <w:r w:rsidR="00892868">
              <w:rPr>
                <w:noProof/>
                <w:webHidden/>
              </w:rPr>
              <w:instrText xml:space="preserve"> PAGEREF _Toc117765967 \h </w:instrText>
            </w:r>
            <w:r w:rsidR="00892868">
              <w:rPr>
                <w:noProof/>
                <w:webHidden/>
              </w:rPr>
            </w:r>
            <w:r w:rsidR="00892868">
              <w:rPr>
                <w:noProof/>
                <w:webHidden/>
              </w:rPr>
              <w:fldChar w:fldCharType="separate"/>
            </w:r>
            <w:r w:rsidR="00892868">
              <w:rPr>
                <w:noProof/>
                <w:webHidden/>
              </w:rPr>
              <w:t>111</w:t>
            </w:r>
            <w:r w:rsidR="00892868">
              <w:rPr>
                <w:noProof/>
                <w:webHidden/>
              </w:rPr>
              <w:fldChar w:fldCharType="end"/>
            </w:r>
          </w:hyperlink>
        </w:p>
        <w:p w14:paraId="4376ECDD" w14:textId="609B91DC" w:rsidR="00892868" w:rsidRDefault="00000000">
          <w:pPr>
            <w:pStyle w:val="TOC2"/>
            <w:tabs>
              <w:tab w:val="left" w:pos="880"/>
            </w:tabs>
            <w:rPr>
              <w:rFonts w:eastAsiaTheme="minorEastAsia"/>
              <w:noProof/>
              <w:lang w:eastAsia="en-GB"/>
            </w:rPr>
          </w:pPr>
          <w:hyperlink w:anchor="_Toc117765968" w:history="1">
            <w:r w:rsidR="00892868" w:rsidRPr="00E9064B">
              <w:rPr>
                <w:rStyle w:val="Hyperlink"/>
                <w:noProof/>
              </w:rPr>
              <w:t>4.2</w:t>
            </w:r>
            <w:r w:rsidR="00892868">
              <w:rPr>
                <w:rFonts w:eastAsiaTheme="minorEastAsia"/>
                <w:noProof/>
                <w:lang w:eastAsia="en-GB"/>
              </w:rPr>
              <w:tab/>
            </w:r>
            <w:r w:rsidR="00892868" w:rsidRPr="00E9064B">
              <w:rPr>
                <w:rStyle w:val="Hyperlink"/>
                <w:noProof/>
              </w:rPr>
              <w:t>Protracted Bacterial Bronchitis (PBB) Study 1 (Pilot/Feasibility Study)</w:t>
            </w:r>
            <w:r w:rsidR="00892868">
              <w:rPr>
                <w:noProof/>
                <w:webHidden/>
              </w:rPr>
              <w:tab/>
            </w:r>
            <w:r w:rsidR="00892868">
              <w:rPr>
                <w:noProof/>
                <w:webHidden/>
              </w:rPr>
              <w:fldChar w:fldCharType="begin"/>
            </w:r>
            <w:r w:rsidR="00892868">
              <w:rPr>
                <w:noProof/>
                <w:webHidden/>
              </w:rPr>
              <w:instrText xml:space="preserve"> PAGEREF _Toc117765968 \h </w:instrText>
            </w:r>
            <w:r w:rsidR="00892868">
              <w:rPr>
                <w:noProof/>
                <w:webHidden/>
              </w:rPr>
            </w:r>
            <w:r w:rsidR="00892868">
              <w:rPr>
                <w:noProof/>
                <w:webHidden/>
              </w:rPr>
              <w:fldChar w:fldCharType="separate"/>
            </w:r>
            <w:r w:rsidR="00892868">
              <w:rPr>
                <w:noProof/>
                <w:webHidden/>
              </w:rPr>
              <w:t>112</w:t>
            </w:r>
            <w:r w:rsidR="00892868">
              <w:rPr>
                <w:noProof/>
                <w:webHidden/>
              </w:rPr>
              <w:fldChar w:fldCharType="end"/>
            </w:r>
          </w:hyperlink>
        </w:p>
        <w:p w14:paraId="4469BB9E" w14:textId="0AFD1584" w:rsidR="00892868" w:rsidRDefault="00000000">
          <w:pPr>
            <w:pStyle w:val="TOC3"/>
            <w:rPr>
              <w:rFonts w:eastAsiaTheme="minorEastAsia"/>
              <w:noProof/>
              <w:lang w:eastAsia="en-GB"/>
            </w:rPr>
          </w:pPr>
          <w:hyperlink w:anchor="_Toc117765969" w:history="1">
            <w:r w:rsidR="00892868" w:rsidRPr="00E9064B">
              <w:rPr>
                <w:rStyle w:val="Hyperlink"/>
                <w:noProof/>
              </w:rPr>
              <w:t>4.2.1</w:t>
            </w:r>
            <w:r w:rsidR="00892868">
              <w:rPr>
                <w:rFonts w:eastAsiaTheme="minorEastAsia"/>
                <w:noProof/>
                <w:lang w:eastAsia="en-GB"/>
              </w:rPr>
              <w:tab/>
            </w:r>
            <w:r w:rsidR="00892868" w:rsidRPr="00E9064B">
              <w:rPr>
                <w:rStyle w:val="Hyperlink"/>
                <w:noProof/>
              </w:rPr>
              <w:t>Recruitment and retention</w:t>
            </w:r>
            <w:r w:rsidR="00892868">
              <w:rPr>
                <w:noProof/>
                <w:webHidden/>
              </w:rPr>
              <w:tab/>
            </w:r>
            <w:r w:rsidR="00892868">
              <w:rPr>
                <w:noProof/>
                <w:webHidden/>
              </w:rPr>
              <w:fldChar w:fldCharType="begin"/>
            </w:r>
            <w:r w:rsidR="00892868">
              <w:rPr>
                <w:noProof/>
                <w:webHidden/>
              </w:rPr>
              <w:instrText xml:space="preserve"> PAGEREF _Toc117765969 \h </w:instrText>
            </w:r>
            <w:r w:rsidR="00892868">
              <w:rPr>
                <w:noProof/>
                <w:webHidden/>
              </w:rPr>
            </w:r>
            <w:r w:rsidR="00892868">
              <w:rPr>
                <w:noProof/>
                <w:webHidden/>
              </w:rPr>
              <w:fldChar w:fldCharType="separate"/>
            </w:r>
            <w:r w:rsidR="00892868">
              <w:rPr>
                <w:noProof/>
                <w:webHidden/>
              </w:rPr>
              <w:t>113</w:t>
            </w:r>
            <w:r w:rsidR="00892868">
              <w:rPr>
                <w:noProof/>
                <w:webHidden/>
              </w:rPr>
              <w:fldChar w:fldCharType="end"/>
            </w:r>
          </w:hyperlink>
        </w:p>
        <w:p w14:paraId="274F745E" w14:textId="37BC954E" w:rsidR="00892868" w:rsidRDefault="00000000">
          <w:pPr>
            <w:pStyle w:val="TOC3"/>
            <w:rPr>
              <w:rFonts w:eastAsiaTheme="minorEastAsia"/>
              <w:noProof/>
              <w:lang w:eastAsia="en-GB"/>
            </w:rPr>
          </w:pPr>
          <w:hyperlink w:anchor="_Toc117765970" w:history="1">
            <w:r w:rsidR="00892868" w:rsidRPr="00E9064B">
              <w:rPr>
                <w:rStyle w:val="Hyperlink"/>
                <w:noProof/>
              </w:rPr>
              <w:t>4.2.2</w:t>
            </w:r>
            <w:r w:rsidR="00892868">
              <w:rPr>
                <w:rFonts w:eastAsiaTheme="minorEastAsia"/>
                <w:noProof/>
                <w:lang w:eastAsia="en-GB"/>
              </w:rPr>
              <w:tab/>
            </w:r>
            <w:r w:rsidR="00892868" w:rsidRPr="00E9064B">
              <w:rPr>
                <w:rStyle w:val="Hyperlink"/>
                <w:noProof/>
              </w:rPr>
              <w:t>Demographics at recruitment</w:t>
            </w:r>
            <w:r w:rsidR="00892868">
              <w:rPr>
                <w:noProof/>
                <w:webHidden/>
              </w:rPr>
              <w:tab/>
            </w:r>
            <w:r w:rsidR="00892868">
              <w:rPr>
                <w:noProof/>
                <w:webHidden/>
              </w:rPr>
              <w:fldChar w:fldCharType="begin"/>
            </w:r>
            <w:r w:rsidR="00892868">
              <w:rPr>
                <w:noProof/>
                <w:webHidden/>
              </w:rPr>
              <w:instrText xml:space="preserve"> PAGEREF _Toc117765970 \h </w:instrText>
            </w:r>
            <w:r w:rsidR="00892868">
              <w:rPr>
                <w:noProof/>
                <w:webHidden/>
              </w:rPr>
            </w:r>
            <w:r w:rsidR="00892868">
              <w:rPr>
                <w:noProof/>
                <w:webHidden/>
              </w:rPr>
              <w:fldChar w:fldCharType="separate"/>
            </w:r>
            <w:r w:rsidR="00892868">
              <w:rPr>
                <w:noProof/>
                <w:webHidden/>
              </w:rPr>
              <w:t>115</w:t>
            </w:r>
            <w:r w:rsidR="00892868">
              <w:rPr>
                <w:noProof/>
                <w:webHidden/>
              </w:rPr>
              <w:fldChar w:fldCharType="end"/>
            </w:r>
          </w:hyperlink>
        </w:p>
        <w:p w14:paraId="2E2FF711" w14:textId="573D3CE3" w:rsidR="00892868" w:rsidRDefault="00000000">
          <w:pPr>
            <w:pStyle w:val="TOC3"/>
            <w:rPr>
              <w:rFonts w:eastAsiaTheme="minorEastAsia"/>
              <w:noProof/>
              <w:lang w:eastAsia="en-GB"/>
            </w:rPr>
          </w:pPr>
          <w:hyperlink w:anchor="_Toc117765971" w:history="1">
            <w:r w:rsidR="00892868" w:rsidRPr="00E9064B">
              <w:rPr>
                <w:rStyle w:val="Hyperlink"/>
                <w:noProof/>
              </w:rPr>
              <w:t>4.2.3</w:t>
            </w:r>
            <w:r w:rsidR="00892868">
              <w:rPr>
                <w:rFonts w:eastAsiaTheme="minorEastAsia"/>
                <w:noProof/>
                <w:lang w:eastAsia="en-GB"/>
              </w:rPr>
              <w:tab/>
            </w:r>
            <w:r w:rsidR="00892868" w:rsidRPr="00E9064B">
              <w:rPr>
                <w:rStyle w:val="Hyperlink"/>
                <w:noProof/>
              </w:rPr>
              <w:t>Nasopharyngeal swab results</w:t>
            </w:r>
            <w:r w:rsidR="00892868">
              <w:rPr>
                <w:noProof/>
                <w:webHidden/>
              </w:rPr>
              <w:tab/>
            </w:r>
            <w:r w:rsidR="00892868">
              <w:rPr>
                <w:noProof/>
                <w:webHidden/>
              </w:rPr>
              <w:fldChar w:fldCharType="begin"/>
            </w:r>
            <w:r w:rsidR="00892868">
              <w:rPr>
                <w:noProof/>
                <w:webHidden/>
              </w:rPr>
              <w:instrText xml:space="preserve"> PAGEREF _Toc117765971 \h </w:instrText>
            </w:r>
            <w:r w:rsidR="00892868">
              <w:rPr>
                <w:noProof/>
                <w:webHidden/>
              </w:rPr>
            </w:r>
            <w:r w:rsidR="00892868">
              <w:rPr>
                <w:noProof/>
                <w:webHidden/>
              </w:rPr>
              <w:fldChar w:fldCharType="separate"/>
            </w:r>
            <w:r w:rsidR="00892868">
              <w:rPr>
                <w:noProof/>
                <w:webHidden/>
              </w:rPr>
              <w:t>117</w:t>
            </w:r>
            <w:r w:rsidR="00892868">
              <w:rPr>
                <w:noProof/>
                <w:webHidden/>
              </w:rPr>
              <w:fldChar w:fldCharType="end"/>
            </w:r>
          </w:hyperlink>
        </w:p>
        <w:p w14:paraId="01261482" w14:textId="72DC1C94" w:rsidR="00892868" w:rsidRDefault="00000000">
          <w:pPr>
            <w:pStyle w:val="TOC3"/>
            <w:rPr>
              <w:rFonts w:eastAsiaTheme="minorEastAsia"/>
              <w:noProof/>
              <w:lang w:eastAsia="en-GB"/>
            </w:rPr>
          </w:pPr>
          <w:hyperlink w:anchor="_Toc117765972" w:history="1">
            <w:r w:rsidR="00892868" w:rsidRPr="00E9064B">
              <w:rPr>
                <w:rStyle w:val="Hyperlink"/>
                <w:noProof/>
              </w:rPr>
              <w:t>4.2.4</w:t>
            </w:r>
            <w:r w:rsidR="00892868">
              <w:rPr>
                <w:rFonts w:eastAsiaTheme="minorEastAsia"/>
                <w:noProof/>
                <w:lang w:eastAsia="en-GB"/>
              </w:rPr>
              <w:tab/>
            </w:r>
            <w:r w:rsidR="00892868" w:rsidRPr="00E9064B">
              <w:rPr>
                <w:rStyle w:val="Hyperlink"/>
                <w:noProof/>
              </w:rPr>
              <w:t>Antibiotic use during the study period</w:t>
            </w:r>
            <w:r w:rsidR="00892868">
              <w:rPr>
                <w:noProof/>
                <w:webHidden/>
              </w:rPr>
              <w:tab/>
            </w:r>
            <w:r w:rsidR="00892868">
              <w:rPr>
                <w:noProof/>
                <w:webHidden/>
              </w:rPr>
              <w:fldChar w:fldCharType="begin"/>
            </w:r>
            <w:r w:rsidR="00892868">
              <w:rPr>
                <w:noProof/>
                <w:webHidden/>
              </w:rPr>
              <w:instrText xml:space="preserve"> PAGEREF _Toc117765972 \h </w:instrText>
            </w:r>
            <w:r w:rsidR="00892868">
              <w:rPr>
                <w:noProof/>
                <w:webHidden/>
              </w:rPr>
            </w:r>
            <w:r w:rsidR="00892868">
              <w:rPr>
                <w:noProof/>
                <w:webHidden/>
              </w:rPr>
              <w:fldChar w:fldCharType="separate"/>
            </w:r>
            <w:r w:rsidR="00892868">
              <w:rPr>
                <w:noProof/>
                <w:webHidden/>
              </w:rPr>
              <w:t>125</w:t>
            </w:r>
            <w:r w:rsidR="00892868">
              <w:rPr>
                <w:noProof/>
                <w:webHidden/>
              </w:rPr>
              <w:fldChar w:fldCharType="end"/>
            </w:r>
          </w:hyperlink>
        </w:p>
        <w:p w14:paraId="2CED5DB9" w14:textId="60F4BB44" w:rsidR="00892868" w:rsidRDefault="00000000">
          <w:pPr>
            <w:pStyle w:val="TOC3"/>
            <w:rPr>
              <w:rFonts w:eastAsiaTheme="minorEastAsia"/>
              <w:noProof/>
              <w:lang w:eastAsia="en-GB"/>
            </w:rPr>
          </w:pPr>
          <w:hyperlink w:anchor="_Toc117765973" w:history="1">
            <w:r w:rsidR="00892868" w:rsidRPr="00E9064B">
              <w:rPr>
                <w:rStyle w:val="Hyperlink"/>
                <w:noProof/>
              </w:rPr>
              <w:t>4.2.5</w:t>
            </w:r>
            <w:r w:rsidR="00892868">
              <w:rPr>
                <w:rFonts w:eastAsiaTheme="minorEastAsia"/>
                <w:noProof/>
                <w:lang w:eastAsia="en-GB"/>
              </w:rPr>
              <w:tab/>
            </w:r>
            <w:r w:rsidR="00892868" w:rsidRPr="00E9064B">
              <w:rPr>
                <w:rStyle w:val="Hyperlink"/>
                <w:noProof/>
              </w:rPr>
              <w:t>Adherence to azithromycin and diary use</w:t>
            </w:r>
            <w:r w:rsidR="00892868">
              <w:rPr>
                <w:noProof/>
                <w:webHidden/>
              </w:rPr>
              <w:tab/>
            </w:r>
            <w:r w:rsidR="00892868">
              <w:rPr>
                <w:noProof/>
                <w:webHidden/>
              </w:rPr>
              <w:fldChar w:fldCharType="begin"/>
            </w:r>
            <w:r w:rsidR="00892868">
              <w:rPr>
                <w:noProof/>
                <w:webHidden/>
              </w:rPr>
              <w:instrText xml:space="preserve"> PAGEREF _Toc117765973 \h </w:instrText>
            </w:r>
            <w:r w:rsidR="00892868">
              <w:rPr>
                <w:noProof/>
                <w:webHidden/>
              </w:rPr>
            </w:r>
            <w:r w:rsidR="00892868">
              <w:rPr>
                <w:noProof/>
                <w:webHidden/>
              </w:rPr>
              <w:fldChar w:fldCharType="separate"/>
            </w:r>
            <w:r w:rsidR="00892868">
              <w:rPr>
                <w:noProof/>
                <w:webHidden/>
              </w:rPr>
              <w:t>126</w:t>
            </w:r>
            <w:r w:rsidR="00892868">
              <w:rPr>
                <w:noProof/>
                <w:webHidden/>
              </w:rPr>
              <w:fldChar w:fldCharType="end"/>
            </w:r>
          </w:hyperlink>
        </w:p>
        <w:p w14:paraId="29315947" w14:textId="7A9354E2" w:rsidR="00892868" w:rsidRDefault="00000000">
          <w:pPr>
            <w:pStyle w:val="TOC3"/>
            <w:rPr>
              <w:rFonts w:eastAsiaTheme="minorEastAsia"/>
              <w:noProof/>
              <w:lang w:eastAsia="en-GB"/>
            </w:rPr>
          </w:pPr>
          <w:hyperlink w:anchor="_Toc117765974" w:history="1">
            <w:r w:rsidR="00892868" w:rsidRPr="00E9064B">
              <w:rPr>
                <w:rStyle w:val="Hyperlink"/>
                <w:noProof/>
              </w:rPr>
              <w:t>4.2.6</w:t>
            </w:r>
            <w:r w:rsidR="00892868">
              <w:rPr>
                <w:rFonts w:eastAsiaTheme="minorEastAsia"/>
                <w:noProof/>
                <w:lang w:eastAsia="en-GB"/>
              </w:rPr>
              <w:tab/>
            </w:r>
            <w:r w:rsidR="00892868" w:rsidRPr="00E9064B">
              <w:rPr>
                <w:rStyle w:val="Hyperlink"/>
                <w:noProof/>
              </w:rPr>
              <w:t>Adverse Events</w:t>
            </w:r>
            <w:r w:rsidR="00892868">
              <w:rPr>
                <w:noProof/>
                <w:webHidden/>
              </w:rPr>
              <w:tab/>
            </w:r>
            <w:r w:rsidR="00892868">
              <w:rPr>
                <w:noProof/>
                <w:webHidden/>
              </w:rPr>
              <w:fldChar w:fldCharType="begin"/>
            </w:r>
            <w:r w:rsidR="00892868">
              <w:rPr>
                <w:noProof/>
                <w:webHidden/>
              </w:rPr>
              <w:instrText xml:space="preserve"> PAGEREF _Toc117765974 \h </w:instrText>
            </w:r>
            <w:r w:rsidR="00892868">
              <w:rPr>
                <w:noProof/>
                <w:webHidden/>
              </w:rPr>
            </w:r>
            <w:r w:rsidR="00892868">
              <w:rPr>
                <w:noProof/>
                <w:webHidden/>
              </w:rPr>
              <w:fldChar w:fldCharType="separate"/>
            </w:r>
            <w:r w:rsidR="00892868">
              <w:rPr>
                <w:noProof/>
                <w:webHidden/>
              </w:rPr>
              <w:t>127</w:t>
            </w:r>
            <w:r w:rsidR="00892868">
              <w:rPr>
                <w:noProof/>
                <w:webHidden/>
              </w:rPr>
              <w:fldChar w:fldCharType="end"/>
            </w:r>
          </w:hyperlink>
        </w:p>
        <w:p w14:paraId="653ABA51" w14:textId="33A50D98" w:rsidR="00892868" w:rsidRDefault="00000000">
          <w:pPr>
            <w:pStyle w:val="TOC3"/>
            <w:rPr>
              <w:rFonts w:eastAsiaTheme="minorEastAsia"/>
              <w:noProof/>
              <w:lang w:eastAsia="en-GB"/>
            </w:rPr>
          </w:pPr>
          <w:hyperlink w:anchor="_Toc117765975" w:history="1">
            <w:r w:rsidR="00892868" w:rsidRPr="00E9064B">
              <w:rPr>
                <w:rStyle w:val="Hyperlink"/>
                <w:noProof/>
              </w:rPr>
              <w:t>4.2.7</w:t>
            </w:r>
            <w:r w:rsidR="00892868">
              <w:rPr>
                <w:rFonts w:eastAsiaTheme="minorEastAsia"/>
                <w:noProof/>
                <w:lang w:eastAsia="en-GB"/>
              </w:rPr>
              <w:tab/>
            </w:r>
            <w:r w:rsidR="00892868" w:rsidRPr="00E9064B">
              <w:rPr>
                <w:rStyle w:val="Hyperlink"/>
                <w:noProof/>
              </w:rPr>
              <w:t>Feasibility issues and study limitations</w:t>
            </w:r>
            <w:r w:rsidR="00892868">
              <w:rPr>
                <w:noProof/>
                <w:webHidden/>
              </w:rPr>
              <w:tab/>
            </w:r>
            <w:r w:rsidR="00892868">
              <w:rPr>
                <w:noProof/>
                <w:webHidden/>
              </w:rPr>
              <w:fldChar w:fldCharType="begin"/>
            </w:r>
            <w:r w:rsidR="00892868">
              <w:rPr>
                <w:noProof/>
                <w:webHidden/>
              </w:rPr>
              <w:instrText xml:space="preserve"> PAGEREF _Toc117765975 \h </w:instrText>
            </w:r>
            <w:r w:rsidR="00892868">
              <w:rPr>
                <w:noProof/>
                <w:webHidden/>
              </w:rPr>
            </w:r>
            <w:r w:rsidR="00892868">
              <w:rPr>
                <w:noProof/>
                <w:webHidden/>
              </w:rPr>
              <w:fldChar w:fldCharType="separate"/>
            </w:r>
            <w:r w:rsidR="00892868">
              <w:rPr>
                <w:noProof/>
                <w:webHidden/>
              </w:rPr>
              <w:t>127</w:t>
            </w:r>
            <w:r w:rsidR="00892868">
              <w:rPr>
                <w:noProof/>
                <w:webHidden/>
              </w:rPr>
              <w:fldChar w:fldCharType="end"/>
            </w:r>
          </w:hyperlink>
        </w:p>
        <w:p w14:paraId="190A9C7E" w14:textId="08BCE4F0" w:rsidR="00892868" w:rsidRDefault="00000000">
          <w:pPr>
            <w:pStyle w:val="TOC3"/>
            <w:rPr>
              <w:rFonts w:eastAsiaTheme="minorEastAsia"/>
              <w:noProof/>
              <w:lang w:eastAsia="en-GB"/>
            </w:rPr>
          </w:pPr>
          <w:hyperlink w:anchor="_Toc117765976" w:history="1">
            <w:r w:rsidR="00892868" w:rsidRPr="00E9064B">
              <w:rPr>
                <w:rStyle w:val="Hyperlink"/>
                <w:noProof/>
              </w:rPr>
              <w:t>4.2.8</w:t>
            </w:r>
            <w:r w:rsidR="00892868">
              <w:rPr>
                <w:rFonts w:eastAsiaTheme="minorEastAsia"/>
                <w:noProof/>
                <w:lang w:eastAsia="en-GB"/>
              </w:rPr>
              <w:tab/>
            </w:r>
            <w:r w:rsidR="00892868" w:rsidRPr="00E9064B">
              <w:rPr>
                <w:rStyle w:val="Hyperlink"/>
                <w:noProof/>
              </w:rPr>
              <w:t>PBB study 1: Summary of study outcomes against study objectives</w:t>
            </w:r>
            <w:r w:rsidR="00892868">
              <w:rPr>
                <w:noProof/>
                <w:webHidden/>
              </w:rPr>
              <w:tab/>
            </w:r>
            <w:r w:rsidR="00892868">
              <w:rPr>
                <w:noProof/>
                <w:webHidden/>
              </w:rPr>
              <w:fldChar w:fldCharType="begin"/>
            </w:r>
            <w:r w:rsidR="00892868">
              <w:rPr>
                <w:noProof/>
                <w:webHidden/>
              </w:rPr>
              <w:instrText xml:space="preserve"> PAGEREF _Toc117765976 \h </w:instrText>
            </w:r>
            <w:r w:rsidR="00892868">
              <w:rPr>
                <w:noProof/>
                <w:webHidden/>
              </w:rPr>
            </w:r>
            <w:r w:rsidR="00892868">
              <w:rPr>
                <w:noProof/>
                <w:webHidden/>
              </w:rPr>
              <w:fldChar w:fldCharType="separate"/>
            </w:r>
            <w:r w:rsidR="00892868">
              <w:rPr>
                <w:noProof/>
                <w:webHidden/>
              </w:rPr>
              <w:t>128</w:t>
            </w:r>
            <w:r w:rsidR="00892868">
              <w:rPr>
                <w:noProof/>
                <w:webHidden/>
              </w:rPr>
              <w:fldChar w:fldCharType="end"/>
            </w:r>
          </w:hyperlink>
        </w:p>
        <w:p w14:paraId="47224E83" w14:textId="17159422" w:rsidR="00892868" w:rsidRDefault="00000000">
          <w:pPr>
            <w:pStyle w:val="TOC2"/>
            <w:tabs>
              <w:tab w:val="left" w:pos="880"/>
            </w:tabs>
            <w:rPr>
              <w:rFonts w:eastAsiaTheme="minorEastAsia"/>
              <w:noProof/>
              <w:lang w:eastAsia="en-GB"/>
            </w:rPr>
          </w:pPr>
          <w:hyperlink w:anchor="_Toc117765977" w:history="1">
            <w:r w:rsidR="00892868" w:rsidRPr="00E9064B">
              <w:rPr>
                <w:rStyle w:val="Hyperlink"/>
                <w:noProof/>
              </w:rPr>
              <w:t>4.3</w:t>
            </w:r>
            <w:r w:rsidR="00892868">
              <w:rPr>
                <w:rFonts w:eastAsiaTheme="minorEastAsia"/>
                <w:noProof/>
                <w:lang w:eastAsia="en-GB"/>
              </w:rPr>
              <w:tab/>
            </w:r>
            <w:r w:rsidR="00892868" w:rsidRPr="00E9064B">
              <w:rPr>
                <w:rStyle w:val="Hyperlink"/>
                <w:noProof/>
              </w:rPr>
              <w:t>Protracted Bacterial Bronchitis (PBB) Study 2</w:t>
            </w:r>
            <w:r w:rsidR="00892868">
              <w:rPr>
                <w:noProof/>
                <w:webHidden/>
              </w:rPr>
              <w:tab/>
            </w:r>
            <w:r w:rsidR="00892868">
              <w:rPr>
                <w:noProof/>
                <w:webHidden/>
              </w:rPr>
              <w:fldChar w:fldCharType="begin"/>
            </w:r>
            <w:r w:rsidR="00892868">
              <w:rPr>
                <w:noProof/>
                <w:webHidden/>
              </w:rPr>
              <w:instrText xml:space="preserve"> PAGEREF _Toc117765977 \h </w:instrText>
            </w:r>
            <w:r w:rsidR="00892868">
              <w:rPr>
                <w:noProof/>
                <w:webHidden/>
              </w:rPr>
            </w:r>
            <w:r w:rsidR="00892868">
              <w:rPr>
                <w:noProof/>
                <w:webHidden/>
              </w:rPr>
              <w:fldChar w:fldCharType="separate"/>
            </w:r>
            <w:r w:rsidR="00892868">
              <w:rPr>
                <w:noProof/>
                <w:webHidden/>
              </w:rPr>
              <w:t>129</w:t>
            </w:r>
            <w:r w:rsidR="00892868">
              <w:rPr>
                <w:noProof/>
                <w:webHidden/>
              </w:rPr>
              <w:fldChar w:fldCharType="end"/>
            </w:r>
          </w:hyperlink>
        </w:p>
        <w:p w14:paraId="0A2ACF09" w14:textId="01ECDB26" w:rsidR="00892868" w:rsidRDefault="00000000">
          <w:pPr>
            <w:pStyle w:val="TOC3"/>
            <w:rPr>
              <w:rFonts w:eastAsiaTheme="minorEastAsia"/>
              <w:noProof/>
              <w:lang w:eastAsia="en-GB"/>
            </w:rPr>
          </w:pPr>
          <w:hyperlink w:anchor="_Toc117765978" w:history="1">
            <w:r w:rsidR="00892868" w:rsidRPr="00E9064B">
              <w:rPr>
                <w:rStyle w:val="Hyperlink"/>
                <w:noProof/>
              </w:rPr>
              <w:t>4.3.1</w:t>
            </w:r>
            <w:r w:rsidR="00892868">
              <w:rPr>
                <w:rFonts w:eastAsiaTheme="minorEastAsia"/>
                <w:noProof/>
                <w:lang w:eastAsia="en-GB"/>
              </w:rPr>
              <w:tab/>
            </w:r>
            <w:r w:rsidR="00892868" w:rsidRPr="00E9064B">
              <w:rPr>
                <w:rStyle w:val="Hyperlink"/>
                <w:noProof/>
              </w:rPr>
              <w:t>Recruitment and retention</w:t>
            </w:r>
            <w:r w:rsidR="00892868">
              <w:rPr>
                <w:noProof/>
                <w:webHidden/>
              </w:rPr>
              <w:tab/>
            </w:r>
            <w:r w:rsidR="00892868">
              <w:rPr>
                <w:noProof/>
                <w:webHidden/>
              </w:rPr>
              <w:fldChar w:fldCharType="begin"/>
            </w:r>
            <w:r w:rsidR="00892868">
              <w:rPr>
                <w:noProof/>
                <w:webHidden/>
              </w:rPr>
              <w:instrText xml:space="preserve"> PAGEREF _Toc117765978 \h </w:instrText>
            </w:r>
            <w:r w:rsidR="00892868">
              <w:rPr>
                <w:noProof/>
                <w:webHidden/>
              </w:rPr>
            </w:r>
            <w:r w:rsidR="00892868">
              <w:rPr>
                <w:noProof/>
                <w:webHidden/>
              </w:rPr>
              <w:fldChar w:fldCharType="separate"/>
            </w:r>
            <w:r w:rsidR="00892868">
              <w:rPr>
                <w:noProof/>
                <w:webHidden/>
              </w:rPr>
              <w:t>130</w:t>
            </w:r>
            <w:r w:rsidR="00892868">
              <w:rPr>
                <w:noProof/>
                <w:webHidden/>
              </w:rPr>
              <w:fldChar w:fldCharType="end"/>
            </w:r>
          </w:hyperlink>
        </w:p>
        <w:p w14:paraId="27553EC6" w14:textId="77438CCE" w:rsidR="00892868" w:rsidRDefault="00000000">
          <w:pPr>
            <w:pStyle w:val="TOC3"/>
            <w:rPr>
              <w:rFonts w:eastAsiaTheme="minorEastAsia"/>
              <w:noProof/>
              <w:lang w:eastAsia="en-GB"/>
            </w:rPr>
          </w:pPr>
          <w:hyperlink w:anchor="_Toc117765979" w:history="1">
            <w:r w:rsidR="00892868" w:rsidRPr="00E9064B">
              <w:rPr>
                <w:rStyle w:val="Hyperlink"/>
                <w:noProof/>
              </w:rPr>
              <w:t>4.3.2</w:t>
            </w:r>
            <w:r w:rsidR="00892868">
              <w:rPr>
                <w:rFonts w:eastAsiaTheme="minorEastAsia"/>
                <w:noProof/>
                <w:lang w:eastAsia="en-GB"/>
              </w:rPr>
              <w:tab/>
            </w:r>
            <w:r w:rsidR="00892868" w:rsidRPr="00E9064B">
              <w:rPr>
                <w:rStyle w:val="Hyperlink"/>
                <w:noProof/>
              </w:rPr>
              <w:t>Demographics at recruitment</w:t>
            </w:r>
            <w:r w:rsidR="00892868">
              <w:rPr>
                <w:noProof/>
                <w:webHidden/>
              </w:rPr>
              <w:tab/>
            </w:r>
            <w:r w:rsidR="00892868">
              <w:rPr>
                <w:noProof/>
                <w:webHidden/>
              </w:rPr>
              <w:fldChar w:fldCharType="begin"/>
            </w:r>
            <w:r w:rsidR="00892868">
              <w:rPr>
                <w:noProof/>
                <w:webHidden/>
              </w:rPr>
              <w:instrText xml:space="preserve"> PAGEREF _Toc117765979 \h </w:instrText>
            </w:r>
            <w:r w:rsidR="00892868">
              <w:rPr>
                <w:noProof/>
                <w:webHidden/>
              </w:rPr>
            </w:r>
            <w:r w:rsidR="00892868">
              <w:rPr>
                <w:noProof/>
                <w:webHidden/>
              </w:rPr>
              <w:fldChar w:fldCharType="separate"/>
            </w:r>
            <w:r w:rsidR="00892868">
              <w:rPr>
                <w:noProof/>
                <w:webHidden/>
              </w:rPr>
              <w:t>130</w:t>
            </w:r>
            <w:r w:rsidR="00892868">
              <w:rPr>
                <w:noProof/>
                <w:webHidden/>
              </w:rPr>
              <w:fldChar w:fldCharType="end"/>
            </w:r>
          </w:hyperlink>
        </w:p>
        <w:p w14:paraId="0C55F5BE" w14:textId="1DC4FA93" w:rsidR="00892868" w:rsidRDefault="00000000">
          <w:pPr>
            <w:pStyle w:val="TOC3"/>
            <w:rPr>
              <w:rFonts w:eastAsiaTheme="minorEastAsia"/>
              <w:noProof/>
              <w:lang w:eastAsia="en-GB"/>
            </w:rPr>
          </w:pPr>
          <w:hyperlink w:anchor="_Toc117765980" w:history="1">
            <w:r w:rsidR="00892868" w:rsidRPr="00E9064B">
              <w:rPr>
                <w:rStyle w:val="Hyperlink"/>
                <w:noProof/>
              </w:rPr>
              <w:t>4.3.3</w:t>
            </w:r>
            <w:r w:rsidR="00892868">
              <w:rPr>
                <w:rFonts w:eastAsiaTheme="minorEastAsia"/>
                <w:noProof/>
                <w:lang w:eastAsia="en-GB"/>
              </w:rPr>
              <w:tab/>
            </w:r>
            <w:r w:rsidR="00892868" w:rsidRPr="00E9064B">
              <w:rPr>
                <w:rStyle w:val="Hyperlink"/>
                <w:noProof/>
              </w:rPr>
              <w:t>Nasopharyngeal swab results</w:t>
            </w:r>
            <w:r w:rsidR="00892868">
              <w:rPr>
                <w:noProof/>
                <w:webHidden/>
              </w:rPr>
              <w:tab/>
            </w:r>
            <w:r w:rsidR="00892868">
              <w:rPr>
                <w:noProof/>
                <w:webHidden/>
              </w:rPr>
              <w:fldChar w:fldCharType="begin"/>
            </w:r>
            <w:r w:rsidR="00892868">
              <w:rPr>
                <w:noProof/>
                <w:webHidden/>
              </w:rPr>
              <w:instrText xml:space="preserve"> PAGEREF _Toc117765980 \h </w:instrText>
            </w:r>
            <w:r w:rsidR="00892868">
              <w:rPr>
                <w:noProof/>
                <w:webHidden/>
              </w:rPr>
            </w:r>
            <w:r w:rsidR="00892868">
              <w:rPr>
                <w:noProof/>
                <w:webHidden/>
              </w:rPr>
              <w:fldChar w:fldCharType="separate"/>
            </w:r>
            <w:r w:rsidR="00892868">
              <w:rPr>
                <w:noProof/>
                <w:webHidden/>
              </w:rPr>
              <w:t>133</w:t>
            </w:r>
            <w:r w:rsidR="00892868">
              <w:rPr>
                <w:noProof/>
                <w:webHidden/>
              </w:rPr>
              <w:fldChar w:fldCharType="end"/>
            </w:r>
          </w:hyperlink>
        </w:p>
        <w:p w14:paraId="58C13C42" w14:textId="5C7C3463" w:rsidR="00892868" w:rsidRDefault="00000000">
          <w:pPr>
            <w:pStyle w:val="TOC3"/>
            <w:rPr>
              <w:rFonts w:eastAsiaTheme="minorEastAsia"/>
              <w:noProof/>
              <w:lang w:eastAsia="en-GB"/>
            </w:rPr>
          </w:pPr>
          <w:hyperlink w:anchor="_Toc117765981" w:history="1">
            <w:r w:rsidR="00892868" w:rsidRPr="00E9064B">
              <w:rPr>
                <w:rStyle w:val="Hyperlink"/>
                <w:noProof/>
              </w:rPr>
              <w:t>4.3.4</w:t>
            </w:r>
            <w:r w:rsidR="00892868">
              <w:rPr>
                <w:rFonts w:eastAsiaTheme="minorEastAsia"/>
                <w:noProof/>
                <w:lang w:eastAsia="en-GB"/>
              </w:rPr>
              <w:tab/>
            </w:r>
            <w:r w:rsidR="00892868" w:rsidRPr="00E9064B">
              <w:rPr>
                <w:rStyle w:val="Hyperlink"/>
                <w:noProof/>
              </w:rPr>
              <w:t>Azithromycin MIC data</w:t>
            </w:r>
            <w:r w:rsidR="00892868">
              <w:rPr>
                <w:noProof/>
                <w:webHidden/>
              </w:rPr>
              <w:tab/>
            </w:r>
            <w:r w:rsidR="00892868">
              <w:rPr>
                <w:noProof/>
                <w:webHidden/>
              </w:rPr>
              <w:fldChar w:fldCharType="begin"/>
            </w:r>
            <w:r w:rsidR="00892868">
              <w:rPr>
                <w:noProof/>
                <w:webHidden/>
              </w:rPr>
              <w:instrText xml:space="preserve"> PAGEREF _Toc117765981 \h </w:instrText>
            </w:r>
            <w:r w:rsidR="00892868">
              <w:rPr>
                <w:noProof/>
                <w:webHidden/>
              </w:rPr>
            </w:r>
            <w:r w:rsidR="00892868">
              <w:rPr>
                <w:noProof/>
                <w:webHidden/>
              </w:rPr>
              <w:fldChar w:fldCharType="separate"/>
            </w:r>
            <w:r w:rsidR="00892868">
              <w:rPr>
                <w:noProof/>
                <w:webHidden/>
              </w:rPr>
              <w:t>140</w:t>
            </w:r>
            <w:r w:rsidR="00892868">
              <w:rPr>
                <w:noProof/>
                <w:webHidden/>
              </w:rPr>
              <w:fldChar w:fldCharType="end"/>
            </w:r>
          </w:hyperlink>
        </w:p>
        <w:p w14:paraId="08319FB3" w14:textId="2482AB06" w:rsidR="00892868" w:rsidRDefault="00000000">
          <w:pPr>
            <w:pStyle w:val="TOC3"/>
            <w:rPr>
              <w:rFonts w:eastAsiaTheme="minorEastAsia"/>
              <w:noProof/>
              <w:lang w:eastAsia="en-GB"/>
            </w:rPr>
          </w:pPr>
          <w:hyperlink w:anchor="_Toc117765982" w:history="1">
            <w:r w:rsidR="00892868" w:rsidRPr="00E9064B">
              <w:rPr>
                <w:rStyle w:val="Hyperlink"/>
                <w:noProof/>
              </w:rPr>
              <w:t>4.3.5</w:t>
            </w:r>
            <w:r w:rsidR="00892868">
              <w:rPr>
                <w:rFonts w:eastAsiaTheme="minorEastAsia"/>
                <w:noProof/>
                <w:lang w:eastAsia="en-GB"/>
              </w:rPr>
              <w:tab/>
            </w:r>
            <w:r w:rsidR="00892868" w:rsidRPr="00E9064B">
              <w:rPr>
                <w:rStyle w:val="Hyperlink"/>
                <w:noProof/>
              </w:rPr>
              <w:t>Antibiotic exposure during the study period PBB study 2</w:t>
            </w:r>
            <w:r w:rsidR="00892868">
              <w:rPr>
                <w:noProof/>
                <w:webHidden/>
              </w:rPr>
              <w:tab/>
            </w:r>
            <w:r w:rsidR="00892868">
              <w:rPr>
                <w:noProof/>
                <w:webHidden/>
              </w:rPr>
              <w:fldChar w:fldCharType="begin"/>
            </w:r>
            <w:r w:rsidR="00892868">
              <w:rPr>
                <w:noProof/>
                <w:webHidden/>
              </w:rPr>
              <w:instrText xml:space="preserve"> PAGEREF _Toc117765982 \h </w:instrText>
            </w:r>
            <w:r w:rsidR="00892868">
              <w:rPr>
                <w:noProof/>
                <w:webHidden/>
              </w:rPr>
            </w:r>
            <w:r w:rsidR="00892868">
              <w:rPr>
                <w:noProof/>
                <w:webHidden/>
              </w:rPr>
              <w:fldChar w:fldCharType="separate"/>
            </w:r>
            <w:r w:rsidR="00892868">
              <w:rPr>
                <w:noProof/>
                <w:webHidden/>
              </w:rPr>
              <w:t>142</w:t>
            </w:r>
            <w:r w:rsidR="00892868">
              <w:rPr>
                <w:noProof/>
                <w:webHidden/>
              </w:rPr>
              <w:fldChar w:fldCharType="end"/>
            </w:r>
          </w:hyperlink>
        </w:p>
        <w:p w14:paraId="72C842D5" w14:textId="7911A4D9" w:rsidR="00892868" w:rsidRDefault="00000000">
          <w:pPr>
            <w:pStyle w:val="TOC3"/>
            <w:rPr>
              <w:rFonts w:eastAsiaTheme="minorEastAsia"/>
              <w:noProof/>
              <w:lang w:eastAsia="en-GB"/>
            </w:rPr>
          </w:pPr>
          <w:hyperlink w:anchor="_Toc117765983" w:history="1">
            <w:r w:rsidR="00892868" w:rsidRPr="00E9064B">
              <w:rPr>
                <w:rStyle w:val="Hyperlink"/>
                <w:noProof/>
              </w:rPr>
              <w:t>4.3.5.1</w:t>
            </w:r>
            <w:r w:rsidR="00892868">
              <w:rPr>
                <w:rFonts w:eastAsiaTheme="minorEastAsia"/>
                <w:noProof/>
                <w:lang w:eastAsia="en-GB"/>
              </w:rPr>
              <w:tab/>
            </w:r>
            <w:r w:rsidR="00892868" w:rsidRPr="00E9064B">
              <w:rPr>
                <w:rStyle w:val="Hyperlink"/>
                <w:noProof/>
              </w:rPr>
              <w:t>Antibiotic prescriptions for presumed exacerbations of PBB</w:t>
            </w:r>
            <w:r w:rsidR="00892868">
              <w:rPr>
                <w:noProof/>
                <w:webHidden/>
              </w:rPr>
              <w:tab/>
            </w:r>
            <w:r w:rsidR="00892868">
              <w:rPr>
                <w:noProof/>
                <w:webHidden/>
              </w:rPr>
              <w:fldChar w:fldCharType="begin"/>
            </w:r>
            <w:r w:rsidR="00892868">
              <w:rPr>
                <w:noProof/>
                <w:webHidden/>
              </w:rPr>
              <w:instrText xml:space="preserve"> PAGEREF _Toc117765983 \h </w:instrText>
            </w:r>
            <w:r w:rsidR="00892868">
              <w:rPr>
                <w:noProof/>
                <w:webHidden/>
              </w:rPr>
            </w:r>
            <w:r w:rsidR="00892868">
              <w:rPr>
                <w:noProof/>
                <w:webHidden/>
              </w:rPr>
              <w:fldChar w:fldCharType="separate"/>
            </w:r>
            <w:r w:rsidR="00892868">
              <w:rPr>
                <w:noProof/>
                <w:webHidden/>
              </w:rPr>
              <w:t>142</w:t>
            </w:r>
            <w:r w:rsidR="00892868">
              <w:rPr>
                <w:noProof/>
                <w:webHidden/>
              </w:rPr>
              <w:fldChar w:fldCharType="end"/>
            </w:r>
          </w:hyperlink>
        </w:p>
        <w:p w14:paraId="07B8D70D" w14:textId="3A1903BF" w:rsidR="00892868" w:rsidRDefault="00000000">
          <w:pPr>
            <w:pStyle w:val="TOC3"/>
            <w:rPr>
              <w:rFonts w:eastAsiaTheme="minorEastAsia"/>
              <w:noProof/>
              <w:lang w:eastAsia="en-GB"/>
            </w:rPr>
          </w:pPr>
          <w:hyperlink w:anchor="_Toc117765984" w:history="1">
            <w:r w:rsidR="00892868" w:rsidRPr="00E9064B">
              <w:rPr>
                <w:rStyle w:val="Hyperlink"/>
                <w:noProof/>
              </w:rPr>
              <w:t xml:space="preserve">4.3.6 </w:t>
            </w:r>
            <w:r w:rsidR="00892868">
              <w:rPr>
                <w:rFonts w:eastAsiaTheme="minorEastAsia"/>
                <w:noProof/>
                <w:lang w:eastAsia="en-GB"/>
              </w:rPr>
              <w:tab/>
            </w:r>
            <w:r w:rsidR="00892868" w:rsidRPr="00E9064B">
              <w:rPr>
                <w:rStyle w:val="Hyperlink"/>
                <w:noProof/>
              </w:rPr>
              <w:t>Adherence to azithromycin and diary use</w:t>
            </w:r>
            <w:r w:rsidR="00892868">
              <w:rPr>
                <w:noProof/>
                <w:webHidden/>
              </w:rPr>
              <w:tab/>
            </w:r>
            <w:r w:rsidR="00892868">
              <w:rPr>
                <w:noProof/>
                <w:webHidden/>
              </w:rPr>
              <w:fldChar w:fldCharType="begin"/>
            </w:r>
            <w:r w:rsidR="00892868">
              <w:rPr>
                <w:noProof/>
                <w:webHidden/>
              </w:rPr>
              <w:instrText xml:space="preserve"> PAGEREF _Toc117765984 \h </w:instrText>
            </w:r>
            <w:r w:rsidR="00892868">
              <w:rPr>
                <w:noProof/>
                <w:webHidden/>
              </w:rPr>
            </w:r>
            <w:r w:rsidR="00892868">
              <w:rPr>
                <w:noProof/>
                <w:webHidden/>
              </w:rPr>
              <w:fldChar w:fldCharType="separate"/>
            </w:r>
            <w:r w:rsidR="00892868">
              <w:rPr>
                <w:noProof/>
                <w:webHidden/>
              </w:rPr>
              <w:t>144</w:t>
            </w:r>
            <w:r w:rsidR="00892868">
              <w:rPr>
                <w:noProof/>
                <w:webHidden/>
              </w:rPr>
              <w:fldChar w:fldCharType="end"/>
            </w:r>
          </w:hyperlink>
        </w:p>
        <w:p w14:paraId="591EAFF7" w14:textId="3AD037C8" w:rsidR="00892868" w:rsidRDefault="00000000">
          <w:pPr>
            <w:pStyle w:val="TOC3"/>
            <w:rPr>
              <w:rFonts w:eastAsiaTheme="minorEastAsia"/>
              <w:noProof/>
              <w:lang w:eastAsia="en-GB"/>
            </w:rPr>
          </w:pPr>
          <w:hyperlink w:anchor="_Toc117765985" w:history="1">
            <w:r w:rsidR="00892868" w:rsidRPr="00E9064B">
              <w:rPr>
                <w:rStyle w:val="Hyperlink"/>
                <w:noProof/>
              </w:rPr>
              <w:t xml:space="preserve">4.3.7 </w:t>
            </w:r>
            <w:r w:rsidR="00892868">
              <w:rPr>
                <w:rFonts w:eastAsiaTheme="minorEastAsia"/>
                <w:noProof/>
                <w:lang w:eastAsia="en-GB"/>
              </w:rPr>
              <w:tab/>
            </w:r>
            <w:r w:rsidR="00892868" w:rsidRPr="00E9064B">
              <w:rPr>
                <w:rStyle w:val="Hyperlink"/>
                <w:noProof/>
              </w:rPr>
              <w:t>Viral PCR results</w:t>
            </w:r>
            <w:r w:rsidR="00892868">
              <w:rPr>
                <w:noProof/>
                <w:webHidden/>
              </w:rPr>
              <w:tab/>
            </w:r>
            <w:r w:rsidR="00892868">
              <w:rPr>
                <w:noProof/>
                <w:webHidden/>
              </w:rPr>
              <w:fldChar w:fldCharType="begin"/>
            </w:r>
            <w:r w:rsidR="00892868">
              <w:rPr>
                <w:noProof/>
                <w:webHidden/>
              </w:rPr>
              <w:instrText xml:space="preserve"> PAGEREF _Toc117765985 \h </w:instrText>
            </w:r>
            <w:r w:rsidR="00892868">
              <w:rPr>
                <w:noProof/>
                <w:webHidden/>
              </w:rPr>
            </w:r>
            <w:r w:rsidR="00892868">
              <w:rPr>
                <w:noProof/>
                <w:webHidden/>
              </w:rPr>
              <w:fldChar w:fldCharType="separate"/>
            </w:r>
            <w:r w:rsidR="00892868">
              <w:rPr>
                <w:noProof/>
                <w:webHidden/>
              </w:rPr>
              <w:t>144</w:t>
            </w:r>
            <w:r w:rsidR="00892868">
              <w:rPr>
                <w:noProof/>
                <w:webHidden/>
              </w:rPr>
              <w:fldChar w:fldCharType="end"/>
            </w:r>
          </w:hyperlink>
        </w:p>
        <w:p w14:paraId="095170F3" w14:textId="62C66934" w:rsidR="00892868" w:rsidRDefault="00000000">
          <w:pPr>
            <w:pStyle w:val="TOC3"/>
            <w:rPr>
              <w:rFonts w:eastAsiaTheme="minorEastAsia"/>
              <w:noProof/>
              <w:lang w:eastAsia="en-GB"/>
            </w:rPr>
          </w:pPr>
          <w:hyperlink w:anchor="_Toc117765986" w:history="1">
            <w:r w:rsidR="00892868" w:rsidRPr="00E9064B">
              <w:rPr>
                <w:rStyle w:val="Hyperlink"/>
                <w:noProof/>
              </w:rPr>
              <w:t xml:space="preserve">4.3.8 </w:t>
            </w:r>
            <w:r w:rsidR="00892868">
              <w:rPr>
                <w:rFonts w:eastAsiaTheme="minorEastAsia"/>
                <w:noProof/>
                <w:lang w:eastAsia="en-GB"/>
              </w:rPr>
              <w:tab/>
            </w:r>
            <w:r w:rsidR="00892868" w:rsidRPr="00E9064B">
              <w:rPr>
                <w:rStyle w:val="Hyperlink"/>
                <w:noProof/>
              </w:rPr>
              <w:t>Adverse events and protocol deviations</w:t>
            </w:r>
            <w:r w:rsidR="00892868">
              <w:rPr>
                <w:noProof/>
                <w:webHidden/>
              </w:rPr>
              <w:tab/>
            </w:r>
            <w:r w:rsidR="00892868">
              <w:rPr>
                <w:noProof/>
                <w:webHidden/>
              </w:rPr>
              <w:fldChar w:fldCharType="begin"/>
            </w:r>
            <w:r w:rsidR="00892868">
              <w:rPr>
                <w:noProof/>
                <w:webHidden/>
              </w:rPr>
              <w:instrText xml:space="preserve"> PAGEREF _Toc117765986 \h </w:instrText>
            </w:r>
            <w:r w:rsidR="00892868">
              <w:rPr>
                <w:noProof/>
                <w:webHidden/>
              </w:rPr>
            </w:r>
            <w:r w:rsidR="00892868">
              <w:rPr>
                <w:noProof/>
                <w:webHidden/>
              </w:rPr>
              <w:fldChar w:fldCharType="separate"/>
            </w:r>
            <w:r w:rsidR="00892868">
              <w:rPr>
                <w:noProof/>
                <w:webHidden/>
              </w:rPr>
              <w:t>144</w:t>
            </w:r>
            <w:r w:rsidR="00892868">
              <w:rPr>
                <w:noProof/>
                <w:webHidden/>
              </w:rPr>
              <w:fldChar w:fldCharType="end"/>
            </w:r>
          </w:hyperlink>
        </w:p>
        <w:p w14:paraId="1466C211" w14:textId="3FC85024" w:rsidR="00892868" w:rsidRDefault="00000000">
          <w:pPr>
            <w:pStyle w:val="TOC3"/>
            <w:rPr>
              <w:rFonts w:eastAsiaTheme="minorEastAsia"/>
              <w:noProof/>
              <w:lang w:eastAsia="en-GB"/>
            </w:rPr>
          </w:pPr>
          <w:hyperlink w:anchor="_Toc117765987" w:history="1">
            <w:r w:rsidR="00892868" w:rsidRPr="00E9064B">
              <w:rPr>
                <w:rStyle w:val="Hyperlink"/>
                <w:noProof/>
              </w:rPr>
              <w:t>4.3.9</w:t>
            </w:r>
            <w:r w:rsidR="00892868">
              <w:rPr>
                <w:rFonts w:eastAsiaTheme="minorEastAsia"/>
                <w:noProof/>
                <w:lang w:eastAsia="en-GB"/>
              </w:rPr>
              <w:tab/>
            </w:r>
            <w:r w:rsidR="00892868" w:rsidRPr="00E9064B">
              <w:rPr>
                <w:rStyle w:val="Hyperlink"/>
                <w:noProof/>
              </w:rPr>
              <w:t>PBB study 2: Summary of the study outcomes against the study objectives</w:t>
            </w:r>
            <w:r w:rsidR="00892868">
              <w:rPr>
                <w:noProof/>
                <w:webHidden/>
              </w:rPr>
              <w:tab/>
            </w:r>
            <w:r w:rsidR="00892868">
              <w:rPr>
                <w:noProof/>
                <w:webHidden/>
              </w:rPr>
              <w:fldChar w:fldCharType="begin"/>
            </w:r>
            <w:r w:rsidR="00892868">
              <w:rPr>
                <w:noProof/>
                <w:webHidden/>
              </w:rPr>
              <w:instrText xml:space="preserve"> PAGEREF _Toc117765987 \h </w:instrText>
            </w:r>
            <w:r w:rsidR="00892868">
              <w:rPr>
                <w:noProof/>
                <w:webHidden/>
              </w:rPr>
            </w:r>
            <w:r w:rsidR="00892868">
              <w:rPr>
                <w:noProof/>
                <w:webHidden/>
              </w:rPr>
              <w:fldChar w:fldCharType="separate"/>
            </w:r>
            <w:r w:rsidR="00892868">
              <w:rPr>
                <w:noProof/>
                <w:webHidden/>
              </w:rPr>
              <w:t>145</w:t>
            </w:r>
            <w:r w:rsidR="00892868">
              <w:rPr>
                <w:noProof/>
                <w:webHidden/>
              </w:rPr>
              <w:fldChar w:fldCharType="end"/>
            </w:r>
          </w:hyperlink>
        </w:p>
        <w:p w14:paraId="452FCAF6" w14:textId="23D56CEC" w:rsidR="00892868" w:rsidRDefault="00000000">
          <w:pPr>
            <w:pStyle w:val="TOC2"/>
            <w:tabs>
              <w:tab w:val="left" w:pos="880"/>
            </w:tabs>
            <w:rPr>
              <w:rFonts w:eastAsiaTheme="minorEastAsia"/>
              <w:noProof/>
              <w:lang w:eastAsia="en-GB"/>
            </w:rPr>
          </w:pPr>
          <w:hyperlink w:anchor="_Toc117765988" w:history="1">
            <w:r w:rsidR="00892868" w:rsidRPr="00E9064B">
              <w:rPr>
                <w:rStyle w:val="Hyperlink"/>
                <w:noProof/>
              </w:rPr>
              <w:t>4.4</w:t>
            </w:r>
            <w:r w:rsidR="00892868">
              <w:rPr>
                <w:rFonts w:eastAsiaTheme="minorEastAsia"/>
                <w:noProof/>
                <w:lang w:eastAsia="en-GB"/>
              </w:rPr>
              <w:tab/>
            </w:r>
            <w:r w:rsidR="00892868" w:rsidRPr="00E9064B">
              <w:rPr>
                <w:rStyle w:val="Hyperlink"/>
                <w:noProof/>
              </w:rPr>
              <w:t>Results for PBB studies 1 and 2 (combined data)</w:t>
            </w:r>
            <w:r w:rsidR="00892868">
              <w:rPr>
                <w:noProof/>
                <w:webHidden/>
              </w:rPr>
              <w:tab/>
            </w:r>
            <w:r w:rsidR="00892868">
              <w:rPr>
                <w:noProof/>
                <w:webHidden/>
              </w:rPr>
              <w:fldChar w:fldCharType="begin"/>
            </w:r>
            <w:r w:rsidR="00892868">
              <w:rPr>
                <w:noProof/>
                <w:webHidden/>
              </w:rPr>
              <w:instrText xml:space="preserve"> PAGEREF _Toc117765988 \h </w:instrText>
            </w:r>
            <w:r w:rsidR="00892868">
              <w:rPr>
                <w:noProof/>
                <w:webHidden/>
              </w:rPr>
            </w:r>
            <w:r w:rsidR="00892868">
              <w:rPr>
                <w:noProof/>
                <w:webHidden/>
              </w:rPr>
              <w:fldChar w:fldCharType="separate"/>
            </w:r>
            <w:r w:rsidR="00892868">
              <w:rPr>
                <w:noProof/>
                <w:webHidden/>
              </w:rPr>
              <w:t>145</w:t>
            </w:r>
            <w:r w:rsidR="00892868">
              <w:rPr>
                <w:noProof/>
                <w:webHidden/>
              </w:rPr>
              <w:fldChar w:fldCharType="end"/>
            </w:r>
          </w:hyperlink>
        </w:p>
        <w:p w14:paraId="558A0F77" w14:textId="663C2FAE" w:rsidR="00892868" w:rsidRDefault="00000000">
          <w:pPr>
            <w:pStyle w:val="TOC3"/>
            <w:rPr>
              <w:rFonts w:eastAsiaTheme="minorEastAsia"/>
              <w:noProof/>
              <w:lang w:eastAsia="en-GB"/>
            </w:rPr>
          </w:pPr>
          <w:hyperlink w:anchor="_Toc117765989" w:history="1">
            <w:r w:rsidR="00892868" w:rsidRPr="00E9064B">
              <w:rPr>
                <w:rStyle w:val="Hyperlink"/>
                <w:noProof/>
              </w:rPr>
              <w:t>4.4.1</w:t>
            </w:r>
            <w:r w:rsidR="00892868">
              <w:rPr>
                <w:rFonts w:eastAsiaTheme="minorEastAsia"/>
                <w:noProof/>
                <w:lang w:eastAsia="en-GB"/>
              </w:rPr>
              <w:tab/>
            </w:r>
            <w:r w:rsidR="00892868" w:rsidRPr="00E9064B">
              <w:rPr>
                <w:rStyle w:val="Hyperlink"/>
                <w:noProof/>
              </w:rPr>
              <w:t>Demographics at recruitment</w:t>
            </w:r>
            <w:r w:rsidR="00892868">
              <w:rPr>
                <w:noProof/>
                <w:webHidden/>
              </w:rPr>
              <w:tab/>
            </w:r>
            <w:r w:rsidR="00892868">
              <w:rPr>
                <w:noProof/>
                <w:webHidden/>
              </w:rPr>
              <w:fldChar w:fldCharType="begin"/>
            </w:r>
            <w:r w:rsidR="00892868">
              <w:rPr>
                <w:noProof/>
                <w:webHidden/>
              </w:rPr>
              <w:instrText xml:space="preserve"> PAGEREF _Toc117765989 \h </w:instrText>
            </w:r>
            <w:r w:rsidR="00892868">
              <w:rPr>
                <w:noProof/>
                <w:webHidden/>
              </w:rPr>
            </w:r>
            <w:r w:rsidR="00892868">
              <w:rPr>
                <w:noProof/>
                <w:webHidden/>
              </w:rPr>
              <w:fldChar w:fldCharType="separate"/>
            </w:r>
            <w:r w:rsidR="00892868">
              <w:rPr>
                <w:noProof/>
                <w:webHidden/>
              </w:rPr>
              <w:t>146</w:t>
            </w:r>
            <w:r w:rsidR="00892868">
              <w:rPr>
                <w:noProof/>
                <w:webHidden/>
              </w:rPr>
              <w:fldChar w:fldCharType="end"/>
            </w:r>
          </w:hyperlink>
        </w:p>
        <w:p w14:paraId="2C8028BD" w14:textId="0A376C6D" w:rsidR="00892868" w:rsidRDefault="00000000">
          <w:pPr>
            <w:pStyle w:val="TOC3"/>
            <w:rPr>
              <w:rFonts w:eastAsiaTheme="minorEastAsia"/>
              <w:noProof/>
              <w:lang w:eastAsia="en-GB"/>
            </w:rPr>
          </w:pPr>
          <w:hyperlink w:anchor="_Toc117765990" w:history="1">
            <w:r w:rsidR="00892868" w:rsidRPr="00E9064B">
              <w:rPr>
                <w:rStyle w:val="Hyperlink"/>
                <w:noProof/>
              </w:rPr>
              <w:t xml:space="preserve">4.4.2 </w:t>
            </w:r>
            <w:r w:rsidR="00892868">
              <w:rPr>
                <w:rFonts w:eastAsiaTheme="minorEastAsia"/>
                <w:noProof/>
                <w:lang w:eastAsia="en-GB"/>
              </w:rPr>
              <w:tab/>
            </w:r>
            <w:r w:rsidR="00892868" w:rsidRPr="00E9064B">
              <w:rPr>
                <w:rStyle w:val="Hyperlink"/>
                <w:noProof/>
              </w:rPr>
              <w:t>Swab results</w:t>
            </w:r>
            <w:r w:rsidR="00892868">
              <w:rPr>
                <w:noProof/>
                <w:webHidden/>
              </w:rPr>
              <w:tab/>
            </w:r>
            <w:r w:rsidR="00892868">
              <w:rPr>
                <w:noProof/>
                <w:webHidden/>
              </w:rPr>
              <w:fldChar w:fldCharType="begin"/>
            </w:r>
            <w:r w:rsidR="00892868">
              <w:rPr>
                <w:noProof/>
                <w:webHidden/>
              </w:rPr>
              <w:instrText xml:space="preserve"> PAGEREF _Toc117765990 \h </w:instrText>
            </w:r>
            <w:r w:rsidR="00892868">
              <w:rPr>
                <w:noProof/>
                <w:webHidden/>
              </w:rPr>
            </w:r>
            <w:r w:rsidR="00892868">
              <w:rPr>
                <w:noProof/>
                <w:webHidden/>
              </w:rPr>
              <w:fldChar w:fldCharType="separate"/>
            </w:r>
            <w:r w:rsidR="00892868">
              <w:rPr>
                <w:noProof/>
                <w:webHidden/>
              </w:rPr>
              <w:t>148</w:t>
            </w:r>
            <w:r w:rsidR="00892868">
              <w:rPr>
                <w:noProof/>
                <w:webHidden/>
              </w:rPr>
              <w:fldChar w:fldCharType="end"/>
            </w:r>
          </w:hyperlink>
        </w:p>
        <w:p w14:paraId="4BA7B2B3" w14:textId="7F9CD559" w:rsidR="00892868" w:rsidRDefault="00000000">
          <w:pPr>
            <w:pStyle w:val="TOC3"/>
            <w:rPr>
              <w:rFonts w:eastAsiaTheme="minorEastAsia"/>
              <w:noProof/>
              <w:lang w:eastAsia="en-GB"/>
            </w:rPr>
          </w:pPr>
          <w:hyperlink w:anchor="_Toc117765991" w:history="1">
            <w:r w:rsidR="00892868" w:rsidRPr="00E9064B">
              <w:rPr>
                <w:rStyle w:val="Hyperlink"/>
                <w:rFonts w:cstheme="minorHAnsi"/>
                <w:noProof/>
              </w:rPr>
              <w:t xml:space="preserve">4.4.2 </w:t>
            </w:r>
            <w:r w:rsidR="00892868">
              <w:rPr>
                <w:rFonts w:eastAsiaTheme="minorEastAsia"/>
                <w:noProof/>
                <w:lang w:eastAsia="en-GB"/>
              </w:rPr>
              <w:tab/>
            </w:r>
            <w:r w:rsidR="00892868" w:rsidRPr="00E9064B">
              <w:rPr>
                <w:rStyle w:val="Hyperlink"/>
                <w:rFonts w:cstheme="minorHAnsi"/>
                <w:noProof/>
              </w:rPr>
              <w:t>Combined MIC data</w:t>
            </w:r>
            <w:r w:rsidR="00892868">
              <w:rPr>
                <w:noProof/>
                <w:webHidden/>
              </w:rPr>
              <w:tab/>
            </w:r>
            <w:r w:rsidR="00892868">
              <w:rPr>
                <w:noProof/>
                <w:webHidden/>
              </w:rPr>
              <w:fldChar w:fldCharType="begin"/>
            </w:r>
            <w:r w:rsidR="00892868">
              <w:rPr>
                <w:noProof/>
                <w:webHidden/>
              </w:rPr>
              <w:instrText xml:space="preserve"> PAGEREF _Toc117765991 \h </w:instrText>
            </w:r>
            <w:r w:rsidR="00892868">
              <w:rPr>
                <w:noProof/>
                <w:webHidden/>
              </w:rPr>
            </w:r>
            <w:r w:rsidR="00892868">
              <w:rPr>
                <w:noProof/>
                <w:webHidden/>
              </w:rPr>
              <w:fldChar w:fldCharType="separate"/>
            </w:r>
            <w:r w:rsidR="00892868">
              <w:rPr>
                <w:noProof/>
                <w:webHidden/>
              </w:rPr>
              <w:t>150</w:t>
            </w:r>
            <w:r w:rsidR="00892868">
              <w:rPr>
                <w:noProof/>
                <w:webHidden/>
              </w:rPr>
              <w:fldChar w:fldCharType="end"/>
            </w:r>
          </w:hyperlink>
        </w:p>
        <w:p w14:paraId="7B7F6746" w14:textId="77221EEB" w:rsidR="00892868" w:rsidRDefault="00000000">
          <w:pPr>
            <w:pStyle w:val="TOC3"/>
            <w:rPr>
              <w:rFonts w:eastAsiaTheme="minorEastAsia"/>
              <w:noProof/>
              <w:lang w:eastAsia="en-GB"/>
            </w:rPr>
          </w:pPr>
          <w:hyperlink w:anchor="_Toc117765992" w:history="1">
            <w:r w:rsidR="00892868" w:rsidRPr="00E9064B">
              <w:rPr>
                <w:rStyle w:val="Hyperlink"/>
                <w:rFonts w:cstheme="minorHAnsi"/>
                <w:noProof/>
              </w:rPr>
              <w:t xml:space="preserve">4.4.3 </w:t>
            </w:r>
            <w:r w:rsidR="00892868">
              <w:rPr>
                <w:rFonts w:eastAsiaTheme="minorEastAsia"/>
                <w:noProof/>
                <w:lang w:eastAsia="en-GB"/>
              </w:rPr>
              <w:tab/>
            </w:r>
            <w:r w:rsidR="00892868" w:rsidRPr="00E9064B">
              <w:rPr>
                <w:rStyle w:val="Hyperlink"/>
                <w:rFonts w:cstheme="minorHAnsi"/>
                <w:noProof/>
              </w:rPr>
              <w:t>Antibiotic exposure during the study</w:t>
            </w:r>
            <w:r w:rsidR="00892868">
              <w:rPr>
                <w:noProof/>
                <w:webHidden/>
              </w:rPr>
              <w:tab/>
            </w:r>
            <w:r w:rsidR="00892868">
              <w:rPr>
                <w:noProof/>
                <w:webHidden/>
              </w:rPr>
              <w:fldChar w:fldCharType="begin"/>
            </w:r>
            <w:r w:rsidR="00892868">
              <w:rPr>
                <w:noProof/>
                <w:webHidden/>
              </w:rPr>
              <w:instrText xml:space="preserve"> PAGEREF _Toc117765992 \h </w:instrText>
            </w:r>
            <w:r w:rsidR="00892868">
              <w:rPr>
                <w:noProof/>
                <w:webHidden/>
              </w:rPr>
            </w:r>
            <w:r w:rsidR="00892868">
              <w:rPr>
                <w:noProof/>
                <w:webHidden/>
              </w:rPr>
              <w:fldChar w:fldCharType="separate"/>
            </w:r>
            <w:r w:rsidR="00892868">
              <w:rPr>
                <w:noProof/>
                <w:webHidden/>
              </w:rPr>
              <w:t>152</w:t>
            </w:r>
            <w:r w:rsidR="00892868">
              <w:rPr>
                <w:noProof/>
                <w:webHidden/>
              </w:rPr>
              <w:fldChar w:fldCharType="end"/>
            </w:r>
          </w:hyperlink>
        </w:p>
        <w:p w14:paraId="61A9D7FF" w14:textId="6BCE158E" w:rsidR="00892868" w:rsidRDefault="00000000">
          <w:pPr>
            <w:pStyle w:val="TOC2"/>
            <w:tabs>
              <w:tab w:val="left" w:pos="880"/>
            </w:tabs>
            <w:rPr>
              <w:rFonts w:eastAsiaTheme="minorEastAsia"/>
              <w:noProof/>
              <w:lang w:eastAsia="en-GB"/>
            </w:rPr>
          </w:pPr>
          <w:hyperlink w:anchor="_Toc117765993" w:history="1">
            <w:r w:rsidR="00892868" w:rsidRPr="00E9064B">
              <w:rPr>
                <w:rStyle w:val="Hyperlink"/>
                <w:noProof/>
              </w:rPr>
              <w:t>4.5</w:t>
            </w:r>
            <w:r w:rsidR="00892868">
              <w:rPr>
                <w:rFonts w:eastAsiaTheme="minorEastAsia"/>
                <w:noProof/>
                <w:lang w:eastAsia="en-GB"/>
              </w:rPr>
              <w:tab/>
            </w:r>
            <w:r w:rsidR="00892868" w:rsidRPr="00E9064B">
              <w:rPr>
                <w:rStyle w:val="Hyperlink"/>
                <w:noProof/>
              </w:rPr>
              <w:t>PBB study 3: Extended antibiotic resistance testing of bacterial isolates</w:t>
            </w:r>
            <w:r w:rsidR="00892868">
              <w:rPr>
                <w:noProof/>
                <w:webHidden/>
              </w:rPr>
              <w:tab/>
            </w:r>
            <w:r w:rsidR="00892868">
              <w:rPr>
                <w:noProof/>
                <w:webHidden/>
              </w:rPr>
              <w:fldChar w:fldCharType="begin"/>
            </w:r>
            <w:r w:rsidR="00892868">
              <w:rPr>
                <w:noProof/>
                <w:webHidden/>
              </w:rPr>
              <w:instrText xml:space="preserve"> PAGEREF _Toc117765993 \h </w:instrText>
            </w:r>
            <w:r w:rsidR="00892868">
              <w:rPr>
                <w:noProof/>
                <w:webHidden/>
              </w:rPr>
            </w:r>
            <w:r w:rsidR="00892868">
              <w:rPr>
                <w:noProof/>
                <w:webHidden/>
              </w:rPr>
              <w:fldChar w:fldCharType="separate"/>
            </w:r>
            <w:r w:rsidR="00892868">
              <w:rPr>
                <w:noProof/>
                <w:webHidden/>
              </w:rPr>
              <w:t>153</w:t>
            </w:r>
            <w:r w:rsidR="00892868">
              <w:rPr>
                <w:noProof/>
                <w:webHidden/>
              </w:rPr>
              <w:fldChar w:fldCharType="end"/>
            </w:r>
          </w:hyperlink>
        </w:p>
        <w:p w14:paraId="4BD03D4F" w14:textId="1B0FCF58" w:rsidR="00892868" w:rsidRDefault="00000000">
          <w:pPr>
            <w:pStyle w:val="TOC3"/>
            <w:rPr>
              <w:rFonts w:eastAsiaTheme="minorEastAsia"/>
              <w:noProof/>
              <w:lang w:eastAsia="en-GB"/>
            </w:rPr>
          </w:pPr>
          <w:hyperlink w:anchor="_Toc117765994" w:history="1">
            <w:r w:rsidR="00892868" w:rsidRPr="00E9064B">
              <w:rPr>
                <w:rStyle w:val="Hyperlink"/>
                <w:noProof/>
              </w:rPr>
              <w:t>4.5.1</w:t>
            </w:r>
            <w:r w:rsidR="00892868">
              <w:rPr>
                <w:rFonts w:eastAsiaTheme="minorEastAsia"/>
                <w:noProof/>
                <w:lang w:eastAsia="en-GB"/>
              </w:rPr>
              <w:tab/>
            </w:r>
            <w:r w:rsidR="00892868" w:rsidRPr="00E9064B">
              <w:rPr>
                <w:rStyle w:val="Hyperlink"/>
                <w:noProof/>
              </w:rPr>
              <w:t>Phenotypic susceptibility testing</w:t>
            </w:r>
            <w:r w:rsidR="00892868">
              <w:rPr>
                <w:noProof/>
                <w:webHidden/>
              </w:rPr>
              <w:tab/>
            </w:r>
            <w:r w:rsidR="00892868">
              <w:rPr>
                <w:noProof/>
                <w:webHidden/>
              </w:rPr>
              <w:fldChar w:fldCharType="begin"/>
            </w:r>
            <w:r w:rsidR="00892868">
              <w:rPr>
                <w:noProof/>
                <w:webHidden/>
              </w:rPr>
              <w:instrText xml:space="preserve"> PAGEREF _Toc117765994 \h </w:instrText>
            </w:r>
            <w:r w:rsidR="00892868">
              <w:rPr>
                <w:noProof/>
                <w:webHidden/>
              </w:rPr>
            </w:r>
            <w:r w:rsidR="00892868">
              <w:rPr>
                <w:noProof/>
                <w:webHidden/>
              </w:rPr>
              <w:fldChar w:fldCharType="separate"/>
            </w:r>
            <w:r w:rsidR="00892868">
              <w:rPr>
                <w:noProof/>
                <w:webHidden/>
              </w:rPr>
              <w:t>154</w:t>
            </w:r>
            <w:r w:rsidR="00892868">
              <w:rPr>
                <w:noProof/>
                <w:webHidden/>
              </w:rPr>
              <w:fldChar w:fldCharType="end"/>
            </w:r>
          </w:hyperlink>
        </w:p>
        <w:p w14:paraId="0ECCDA37" w14:textId="6796E706" w:rsidR="00892868" w:rsidRDefault="00000000">
          <w:pPr>
            <w:pStyle w:val="TOC3"/>
            <w:rPr>
              <w:rFonts w:eastAsiaTheme="minorEastAsia"/>
              <w:noProof/>
              <w:lang w:eastAsia="en-GB"/>
            </w:rPr>
          </w:pPr>
          <w:hyperlink w:anchor="_Toc117765995" w:history="1">
            <w:r w:rsidR="00892868" w:rsidRPr="00E9064B">
              <w:rPr>
                <w:rStyle w:val="Hyperlink"/>
                <w:noProof/>
              </w:rPr>
              <w:t xml:space="preserve">4.5.2 </w:t>
            </w:r>
            <w:r w:rsidR="00892868">
              <w:rPr>
                <w:rFonts w:eastAsiaTheme="minorEastAsia"/>
                <w:noProof/>
                <w:lang w:eastAsia="en-GB"/>
              </w:rPr>
              <w:tab/>
            </w:r>
            <w:r w:rsidR="00892868" w:rsidRPr="00E9064B">
              <w:rPr>
                <w:rStyle w:val="Hyperlink"/>
                <w:noProof/>
              </w:rPr>
              <w:t xml:space="preserve">Genotypic profiles of </w:t>
            </w:r>
            <w:r w:rsidR="00892868" w:rsidRPr="00E9064B">
              <w:rPr>
                <w:rStyle w:val="Hyperlink"/>
                <w:i/>
                <w:iCs/>
                <w:noProof/>
              </w:rPr>
              <w:t>Streptococcus pneumoniae</w:t>
            </w:r>
            <w:r w:rsidR="00892868" w:rsidRPr="00E9064B">
              <w:rPr>
                <w:rStyle w:val="Hyperlink"/>
                <w:noProof/>
              </w:rPr>
              <w:t xml:space="preserve"> sequences</w:t>
            </w:r>
            <w:r w:rsidR="00892868">
              <w:rPr>
                <w:noProof/>
                <w:webHidden/>
              </w:rPr>
              <w:tab/>
            </w:r>
            <w:r w:rsidR="00892868">
              <w:rPr>
                <w:noProof/>
                <w:webHidden/>
              </w:rPr>
              <w:fldChar w:fldCharType="begin"/>
            </w:r>
            <w:r w:rsidR="00892868">
              <w:rPr>
                <w:noProof/>
                <w:webHidden/>
              </w:rPr>
              <w:instrText xml:space="preserve"> PAGEREF _Toc117765995 \h </w:instrText>
            </w:r>
            <w:r w:rsidR="00892868">
              <w:rPr>
                <w:noProof/>
                <w:webHidden/>
              </w:rPr>
            </w:r>
            <w:r w:rsidR="00892868">
              <w:rPr>
                <w:noProof/>
                <w:webHidden/>
              </w:rPr>
              <w:fldChar w:fldCharType="separate"/>
            </w:r>
            <w:r w:rsidR="00892868">
              <w:rPr>
                <w:noProof/>
                <w:webHidden/>
              </w:rPr>
              <w:t>156</w:t>
            </w:r>
            <w:r w:rsidR="00892868">
              <w:rPr>
                <w:noProof/>
                <w:webHidden/>
              </w:rPr>
              <w:fldChar w:fldCharType="end"/>
            </w:r>
          </w:hyperlink>
        </w:p>
        <w:p w14:paraId="63DC33A4" w14:textId="5AA62A1B" w:rsidR="00892868" w:rsidRDefault="00000000">
          <w:pPr>
            <w:pStyle w:val="TOC3"/>
            <w:rPr>
              <w:rFonts w:eastAsiaTheme="minorEastAsia"/>
              <w:noProof/>
              <w:lang w:eastAsia="en-GB"/>
            </w:rPr>
          </w:pPr>
          <w:hyperlink w:anchor="_Toc117765996" w:history="1">
            <w:r w:rsidR="00892868" w:rsidRPr="00E9064B">
              <w:rPr>
                <w:rStyle w:val="Hyperlink"/>
                <w:noProof/>
              </w:rPr>
              <w:t xml:space="preserve">4.5.3 </w:t>
            </w:r>
            <w:r w:rsidR="00892868">
              <w:rPr>
                <w:rFonts w:eastAsiaTheme="minorEastAsia"/>
                <w:noProof/>
                <w:lang w:eastAsia="en-GB"/>
              </w:rPr>
              <w:tab/>
            </w:r>
            <w:r w:rsidR="00892868" w:rsidRPr="00E9064B">
              <w:rPr>
                <w:rStyle w:val="Hyperlink"/>
                <w:noProof/>
              </w:rPr>
              <w:t>Resistance gene screening</w:t>
            </w:r>
            <w:r w:rsidR="00892868">
              <w:rPr>
                <w:noProof/>
                <w:webHidden/>
              </w:rPr>
              <w:tab/>
            </w:r>
            <w:r w:rsidR="00892868">
              <w:rPr>
                <w:noProof/>
                <w:webHidden/>
              </w:rPr>
              <w:fldChar w:fldCharType="begin"/>
            </w:r>
            <w:r w:rsidR="00892868">
              <w:rPr>
                <w:noProof/>
                <w:webHidden/>
              </w:rPr>
              <w:instrText xml:space="preserve"> PAGEREF _Toc117765996 \h </w:instrText>
            </w:r>
            <w:r w:rsidR="00892868">
              <w:rPr>
                <w:noProof/>
                <w:webHidden/>
              </w:rPr>
            </w:r>
            <w:r w:rsidR="00892868">
              <w:rPr>
                <w:noProof/>
                <w:webHidden/>
              </w:rPr>
              <w:fldChar w:fldCharType="separate"/>
            </w:r>
            <w:r w:rsidR="00892868">
              <w:rPr>
                <w:noProof/>
                <w:webHidden/>
              </w:rPr>
              <w:t>159</w:t>
            </w:r>
            <w:r w:rsidR="00892868">
              <w:rPr>
                <w:noProof/>
                <w:webHidden/>
              </w:rPr>
              <w:fldChar w:fldCharType="end"/>
            </w:r>
          </w:hyperlink>
        </w:p>
        <w:p w14:paraId="11B5F53F" w14:textId="0122435E" w:rsidR="00892868" w:rsidRDefault="00000000">
          <w:pPr>
            <w:pStyle w:val="TOC3"/>
            <w:rPr>
              <w:rFonts w:eastAsiaTheme="minorEastAsia"/>
              <w:noProof/>
              <w:lang w:eastAsia="en-GB"/>
            </w:rPr>
          </w:pPr>
          <w:hyperlink w:anchor="_Toc117765997" w:history="1">
            <w:r w:rsidR="00892868" w:rsidRPr="00E9064B">
              <w:rPr>
                <w:rStyle w:val="Hyperlink"/>
                <w:noProof/>
              </w:rPr>
              <w:t xml:space="preserve">4.5.4 </w:t>
            </w:r>
            <w:r w:rsidR="00892868">
              <w:rPr>
                <w:rFonts w:eastAsiaTheme="minorEastAsia"/>
                <w:noProof/>
                <w:lang w:eastAsia="en-GB"/>
              </w:rPr>
              <w:tab/>
            </w:r>
            <w:r w:rsidR="00892868" w:rsidRPr="00E9064B">
              <w:rPr>
                <w:rStyle w:val="Hyperlink"/>
                <w:noProof/>
              </w:rPr>
              <w:t>Pangenomic studies</w:t>
            </w:r>
            <w:r w:rsidR="00892868">
              <w:rPr>
                <w:noProof/>
                <w:webHidden/>
              </w:rPr>
              <w:tab/>
            </w:r>
            <w:r w:rsidR="00892868">
              <w:rPr>
                <w:noProof/>
                <w:webHidden/>
              </w:rPr>
              <w:fldChar w:fldCharType="begin"/>
            </w:r>
            <w:r w:rsidR="00892868">
              <w:rPr>
                <w:noProof/>
                <w:webHidden/>
              </w:rPr>
              <w:instrText xml:space="preserve"> PAGEREF _Toc117765997 \h </w:instrText>
            </w:r>
            <w:r w:rsidR="00892868">
              <w:rPr>
                <w:noProof/>
                <w:webHidden/>
              </w:rPr>
            </w:r>
            <w:r w:rsidR="00892868">
              <w:rPr>
                <w:noProof/>
                <w:webHidden/>
              </w:rPr>
              <w:fldChar w:fldCharType="separate"/>
            </w:r>
            <w:r w:rsidR="00892868">
              <w:rPr>
                <w:noProof/>
                <w:webHidden/>
              </w:rPr>
              <w:t>159</w:t>
            </w:r>
            <w:r w:rsidR="00892868">
              <w:rPr>
                <w:noProof/>
                <w:webHidden/>
              </w:rPr>
              <w:fldChar w:fldCharType="end"/>
            </w:r>
          </w:hyperlink>
        </w:p>
        <w:p w14:paraId="0C8E1D20" w14:textId="1BECB714" w:rsidR="00892868" w:rsidRDefault="00000000">
          <w:pPr>
            <w:pStyle w:val="TOC2"/>
            <w:tabs>
              <w:tab w:val="left" w:pos="880"/>
            </w:tabs>
            <w:rPr>
              <w:rFonts w:eastAsiaTheme="minorEastAsia"/>
              <w:noProof/>
              <w:lang w:eastAsia="en-GB"/>
            </w:rPr>
          </w:pPr>
          <w:hyperlink w:anchor="_Toc117765998" w:history="1">
            <w:r w:rsidR="00892868" w:rsidRPr="00E9064B">
              <w:rPr>
                <w:rStyle w:val="Hyperlink"/>
                <w:noProof/>
              </w:rPr>
              <w:t>4.6</w:t>
            </w:r>
            <w:r w:rsidR="00892868">
              <w:rPr>
                <w:rFonts w:eastAsiaTheme="minorEastAsia"/>
                <w:noProof/>
                <w:lang w:eastAsia="en-GB"/>
              </w:rPr>
              <w:tab/>
            </w:r>
            <w:r w:rsidR="00892868" w:rsidRPr="00E9064B">
              <w:rPr>
                <w:rStyle w:val="Hyperlink"/>
                <w:noProof/>
              </w:rPr>
              <w:t>Discussion of PBB studies</w:t>
            </w:r>
            <w:r w:rsidR="00892868">
              <w:rPr>
                <w:noProof/>
                <w:webHidden/>
              </w:rPr>
              <w:tab/>
            </w:r>
            <w:r w:rsidR="00892868">
              <w:rPr>
                <w:noProof/>
                <w:webHidden/>
              </w:rPr>
              <w:fldChar w:fldCharType="begin"/>
            </w:r>
            <w:r w:rsidR="00892868">
              <w:rPr>
                <w:noProof/>
                <w:webHidden/>
              </w:rPr>
              <w:instrText xml:space="preserve"> PAGEREF _Toc117765998 \h </w:instrText>
            </w:r>
            <w:r w:rsidR="00892868">
              <w:rPr>
                <w:noProof/>
                <w:webHidden/>
              </w:rPr>
            </w:r>
            <w:r w:rsidR="00892868">
              <w:rPr>
                <w:noProof/>
                <w:webHidden/>
              </w:rPr>
              <w:fldChar w:fldCharType="separate"/>
            </w:r>
            <w:r w:rsidR="00892868">
              <w:rPr>
                <w:noProof/>
                <w:webHidden/>
              </w:rPr>
              <w:t>164</w:t>
            </w:r>
            <w:r w:rsidR="00892868">
              <w:rPr>
                <w:noProof/>
                <w:webHidden/>
              </w:rPr>
              <w:fldChar w:fldCharType="end"/>
            </w:r>
          </w:hyperlink>
        </w:p>
        <w:p w14:paraId="430000AF" w14:textId="07D89B37" w:rsidR="00892868" w:rsidRDefault="00000000">
          <w:pPr>
            <w:pStyle w:val="TOC3"/>
            <w:rPr>
              <w:rFonts w:eastAsiaTheme="minorEastAsia"/>
              <w:noProof/>
              <w:lang w:eastAsia="en-GB"/>
            </w:rPr>
          </w:pPr>
          <w:hyperlink w:anchor="_Toc117765999" w:history="1">
            <w:r w:rsidR="00892868" w:rsidRPr="00E9064B">
              <w:rPr>
                <w:rStyle w:val="Hyperlink"/>
                <w:noProof/>
              </w:rPr>
              <w:t>4.6.1</w:t>
            </w:r>
            <w:r w:rsidR="00892868">
              <w:rPr>
                <w:rFonts w:eastAsiaTheme="minorEastAsia"/>
                <w:noProof/>
                <w:lang w:eastAsia="en-GB"/>
              </w:rPr>
              <w:tab/>
            </w:r>
            <w:r w:rsidR="00892868" w:rsidRPr="00E9064B">
              <w:rPr>
                <w:rStyle w:val="Hyperlink"/>
                <w:noProof/>
              </w:rPr>
              <w:t>Feasibility and acceptability</w:t>
            </w:r>
            <w:r w:rsidR="00892868">
              <w:rPr>
                <w:noProof/>
                <w:webHidden/>
              </w:rPr>
              <w:tab/>
            </w:r>
            <w:r w:rsidR="00892868">
              <w:rPr>
                <w:noProof/>
                <w:webHidden/>
              </w:rPr>
              <w:fldChar w:fldCharType="begin"/>
            </w:r>
            <w:r w:rsidR="00892868">
              <w:rPr>
                <w:noProof/>
                <w:webHidden/>
              </w:rPr>
              <w:instrText xml:space="preserve"> PAGEREF _Toc117765999 \h </w:instrText>
            </w:r>
            <w:r w:rsidR="00892868">
              <w:rPr>
                <w:noProof/>
                <w:webHidden/>
              </w:rPr>
            </w:r>
            <w:r w:rsidR="00892868">
              <w:rPr>
                <w:noProof/>
                <w:webHidden/>
              </w:rPr>
              <w:fldChar w:fldCharType="separate"/>
            </w:r>
            <w:r w:rsidR="00892868">
              <w:rPr>
                <w:noProof/>
                <w:webHidden/>
              </w:rPr>
              <w:t>164</w:t>
            </w:r>
            <w:r w:rsidR="00892868">
              <w:rPr>
                <w:noProof/>
                <w:webHidden/>
              </w:rPr>
              <w:fldChar w:fldCharType="end"/>
            </w:r>
          </w:hyperlink>
        </w:p>
        <w:p w14:paraId="72270BEB" w14:textId="7B0508B3" w:rsidR="00892868" w:rsidRDefault="00000000">
          <w:pPr>
            <w:pStyle w:val="TOC3"/>
            <w:rPr>
              <w:rFonts w:eastAsiaTheme="minorEastAsia"/>
              <w:noProof/>
              <w:lang w:eastAsia="en-GB"/>
            </w:rPr>
          </w:pPr>
          <w:hyperlink w:anchor="_Toc117766000" w:history="1">
            <w:r w:rsidR="00892868" w:rsidRPr="00E9064B">
              <w:rPr>
                <w:rStyle w:val="Hyperlink"/>
                <w:noProof/>
              </w:rPr>
              <w:t>4.6.2</w:t>
            </w:r>
            <w:r w:rsidR="00892868">
              <w:rPr>
                <w:rFonts w:eastAsiaTheme="minorEastAsia"/>
                <w:noProof/>
                <w:lang w:eastAsia="en-GB"/>
              </w:rPr>
              <w:tab/>
            </w:r>
            <w:r w:rsidR="00892868" w:rsidRPr="00E9064B">
              <w:rPr>
                <w:rStyle w:val="Hyperlink"/>
                <w:noProof/>
              </w:rPr>
              <w:t>DNPS culture</w:t>
            </w:r>
            <w:r w:rsidR="00892868">
              <w:rPr>
                <w:noProof/>
                <w:webHidden/>
              </w:rPr>
              <w:tab/>
            </w:r>
            <w:r w:rsidR="00892868">
              <w:rPr>
                <w:noProof/>
                <w:webHidden/>
              </w:rPr>
              <w:fldChar w:fldCharType="begin"/>
            </w:r>
            <w:r w:rsidR="00892868">
              <w:rPr>
                <w:noProof/>
                <w:webHidden/>
              </w:rPr>
              <w:instrText xml:space="preserve"> PAGEREF _Toc117766000 \h </w:instrText>
            </w:r>
            <w:r w:rsidR="00892868">
              <w:rPr>
                <w:noProof/>
                <w:webHidden/>
              </w:rPr>
            </w:r>
            <w:r w:rsidR="00892868">
              <w:rPr>
                <w:noProof/>
                <w:webHidden/>
              </w:rPr>
              <w:fldChar w:fldCharType="separate"/>
            </w:r>
            <w:r w:rsidR="00892868">
              <w:rPr>
                <w:noProof/>
                <w:webHidden/>
              </w:rPr>
              <w:t>165</w:t>
            </w:r>
            <w:r w:rsidR="00892868">
              <w:rPr>
                <w:noProof/>
                <w:webHidden/>
              </w:rPr>
              <w:fldChar w:fldCharType="end"/>
            </w:r>
          </w:hyperlink>
        </w:p>
        <w:p w14:paraId="5F01281C" w14:textId="443EE851" w:rsidR="00892868" w:rsidRDefault="00000000">
          <w:pPr>
            <w:pStyle w:val="TOC3"/>
            <w:rPr>
              <w:rFonts w:eastAsiaTheme="minorEastAsia"/>
              <w:noProof/>
              <w:lang w:eastAsia="en-GB"/>
            </w:rPr>
          </w:pPr>
          <w:hyperlink w:anchor="_Toc117766001" w:history="1">
            <w:r w:rsidR="00892868" w:rsidRPr="00E9064B">
              <w:rPr>
                <w:rStyle w:val="Hyperlink"/>
                <w:noProof/>
              </w:rPr>
              <w:t>4.6.3</w:t>
            </w:r>
            <w:r w:rsidR="00892868">
              <w:rPr>
                <w:rFonts w:eastAsiaTheme="minorEastAsia"/>
                <w:noProof/>
                <w:lang w:eastAsia="en-GB"/>
              </w:rPr>
              <w:tab/>
            </w:r>
            <w:r w:rsidR="00892868" w:rsidRPr="00E9064B">
              <w:rPr>
                <w:rStyle w:val="Hyperlink"/>
                <w:noProof/>
              </w:rPr>
              <w:t>Antibiotic prescribing</w:t>
            </w:r>
            <w:r w:rsidR="00892868">
              <w:rPr>
                <w:noProof/>
                <w:webHidden/>
              </w:rPr>
              <w:tab/>
            </w:r>
            <w:r w:rsidR="00892868">
              <w:rPr>
                <w:noProof/>
                <w:webHidden/>
              </w:rPr>
              <w:fldChar w:fldCharType="begin"/>
            </w:r>
            <w:r w:rsidR="00892868">
              <w:rPr>
                <w:noProof/>
                <w:webHidden/>
              </w:rPr>
              <w:instrText xml:space="preserve"> PAGEREF _Toc117766001 \h </w:instrText>
            </w:r>
            <w:r w:rsidR="00892868">
              <w:rPr>
                <w:noProof/>
                <w:webHidden/>
              </w:rPr>
            </w:r>
            <w:r w:rsidR="00892868">
              <w:rPr>
                <w:noProof/>
                <w:webHidden/>
              </w:rPr>
              <w:fldChar w:fldCharType="separate"/>
            </w:r>
            <w:r w:rsidR="00892868">
              <w:rPr>
                <w:noProof/>
                <w:webHidden/>
              </w:rPr>
              <w:t>166</w:t>
            </w:r>
            <w:r w:rsidR="00892868">
              <w:rPr>
                <w:noProof/>
                <w:webHidden/>
              </w:rPr>
              <w:fldChar w:fldCharType="end"/>
            </w:r>
          </w:hyperlink>
        </w:p>
        <w:p w14:paraId="4A6CB02F" w14:textId="6D7D3807" w:rsidR="00892868" w:rsidRDefault="00000000">
          <w:pPr>
            <w:pStyle w:val="TOC3"/>
            <w:rPr>
              <w:rFonts w:eastAsiaTheme="minorEastAsia"/>
              <w:noProof/>
              <w:lang w:eastAsia="en-GB"/>
            </w:rPr>
          </w:pPr>
          <w:hyperlink w:anchor="_Toc117766002" w:history="1">
            <w:r w:rsidR="00892868" w:rsidRPr="00E9064B">
              <w:rPr>
                <w:rStyle w:val="Hyperlink"/>
                <w:noProof/>
              </w:rPr>
              <w:t>4.6.4</w:t>
            </w:r>
            <w:r w:rsidR="00892868">
              <w:rPr>
                <w:rFonts w:eastAsiaTheme="minorEastAsia"/>
                <w:noProof/>
                <w:lang w:eastAsia="en-GB"/>
              </w:rPr>
              <w:tab/>
            </w:r>
            <w:r w:rsidR="00892868" w:rsidRPr="00E9064B">
              <w:rPr>
                <w:rStyle w:val="Hyperlink"/>
                <w:noProof/>
              </w:rPr>
              <w:t>Bacterial isolates and azithromycin resistance</w:t>
            </w:r>
            <w:r w:rsidR="00892868">
              <w:rPr>
                <w:noProof/>
                <w:webHidden/>
              </w:rPr>
              <w:tab/>
            </w:r>
            <w:r w:rsidR="00892868">
              <w:rPr>
                <w:noProof/>
                <w:webHidden/>
              </w:rPr>
              <w:fldChar w:fldCharType="begin"/>
            </w:r>
            <w:r w:rsidR="00892868">
              <w:rPr>
                <w:noProof/>
                <w:webHidden/>
              </w:rPr>
              <w:instrText xml:space="preserve"> PAGEREF _Toc117766002 \h </w:instrText>
            </w:r>
            <w:r w:rsidR="00892868">
              <w:rPr>
                <w:noProof/>
                <w:webHidden/>
              </w:rPr>
            </w:r>
            <w:r w:rsidR="00892868">
              <w:rPr>
                <w:noProof/>
                <w:webHidden/>
              </w:rPr>
              <w:fldChar w:fldCharType="separate"/>
            </w:r>
            <w:r w:rsidR="00892868">
              <w:rPr>
                <w:noProof/>
                <w:webHidden/>
              </w:rPr>
              <w:t>168</w:t>
            </w:r>
            <w:r w:rsidR="00892868">
              <w:rPr>
                <w:noProof/>
                <w:webHidden/>
              </w:rPr>
              <w:fldChar w:fldCharType="end"/>
            </w:r>
          </w:hyperlink>
        </w:p>
        <w:p w14:paraId="46AFD823" w14:textId="5C962987" w:rsidR="00892868" w:rsidRDefault="00000000">
          <w:pPr>
            <w:pStyle w:val="TOC3"/>
            <w:rPr>
              <w:rFonts w:eastAsiaTheme="minorEastAsia"/>
              <w:noProof/>
              <w:lang w:eastAsia="en-GB"/>
            </w:rPr>
          </w:pPr>
          <w:hyperlink w:anchor="_Toc117766003" w:history="1">
            <w:r w:rsidR="00892868" w:rsidRPr="00E9064B">
              <w:rPr>
                <w:rStyle w:val="Hyperlink"/>
                <w:noProof/>
              </w:rPr>
              <w:t>4.6.5</w:t>
            </w:r>
            <w:r w:rsidR="00892868">
              <w:rPr>
                <w:rFonts w:eastAsiaTheme="minorEastAsia"/>
                <w:noProof/>
                <w:lang w:eastAsia="en-GB"/>
              </w:rPr>
              <w:tab/>
            </w:r>
            <w:r w:rsidR="00892868" w:rsidRPr="00E9064B">
              <w:rPr>
                <w:rStyle w:val="Hyperlink"/>
                <w:noProof/>
              </w:rPr>
              <w:t>Extended antibiotic resistance</w:t>
            </w:r>
            <w:r w:rsidR="00892868">
              <w:rPr>
                <w:noProof/>
                <w:webHidden/>
              </w:rPr>
              <w:tab/>
            </w:r>
            <w:r w:rsidR="00892868">
              <w:rPr>
                <w:noProof/>
                <w:webHidden/>
              </w:rPr>
              <w:fldChar w:fldCharType="begin"/>
            </w:r>
            <w:r w:rsidR="00892868">
              <w:rPr>
                <w:noProof/>
                <w:webHidden/>
              </w:rPr>
              <w:instrText xml:space="preserve"> PAGEREF _Toc117766003 \h </w:instrText>
            </w:r>
            <w:r w:rsidR="00892868">
              <w:rPr>
                <w:noProof/>
                <w:webHidden/>
              </w:rPr>
            </w:r>
            <w:r w:rsidR="00892868">
              <w:rPr>
                <w:noProof/>
                <w:webHidden/>
              </w:rPr>
              <w:fldChar w:fldCharType="separate"/>
            </w:r>
            <w:r w:rsidR="00892868">
              <w:rPr>
                <w:noProof/>
                <w:webHidden/>
              </w:rPr>
              <w:t>172</w:t>
            </w:r>
            <w:r w:rsidR="00892868">
              <w:rPr>
                <w:noProof/>
                <w:webHidden/>
              </w:rPr>
              <w:fldChar w:fldCharType="end"/>
            </w:r>
          </w:hyperlink>
        </w:p>
        <w:p w14:paraId="6303811E" w14:textId="7A68E59B" w:rsidR="00892868" w:rsidRDefault="00000000">
          <w:pPr>
            <w:pStyle w:val="TOC3"/>
            <w:rPr>
              <w:rFonts w:eastAsiaTheme="minorEastAsia"/>
              <w:noProof/>
              <w:lang w:eastAsia="en-GB"/>
            </w:rPr>
          </w:pPr>
          <w:hyperlink w:anchor="_Toc117766004" w:history="1">
            <w:r w:rsidR="00892868" w:rsidRPr="00E9064B">
              <w:rPr>
                <w:rStyle w:val="Hyperlink"/>
                <w:noProof/>
              </w:rPr>
              <w:t>4.6.6</w:t>
            </w:r>
            <w:r w:rsidR="00892868">
              <w:rPr>
                <w:rFonts w:eastAsiaTheme="minorEastAsia"/>
                <w:noProof/>
                <w:lang w:eastAsia="en-GB"/>
              </w:rPr>
              <w:tab/>
            </w:r>
            <w:r w:rsidR="00892868" w:rsidRPr="00E9064B">
              <w:rPr>
                <w:rStyle w:val="Hyperlink"/>
                <w:noProof/>
              </w:rPr>
              <w:t>Limitations of PBB studies</w:t>
            </w:r>
            <w:r w:rsidR="00892868">
              <w:rPr>
                <w:noProof/>
                <w:webHidden/>
              </w:rPr>
              <w:tab/>
            </w:r>
            <w:r w:rsidR="00892868">
              <w:rPr>
                <w:noProof/>
                <w:webHidden/>
              </w:rPr>
              <w:fldChar w:fldCharType="begin"/>
            </w:r>
            <w:r w:rsidR="00892868">
              <w:rPr>
                <w:noProof/>
                <w:webHidden/>
              </w:rPr>
              <w:instrText xml:space="preserve"> PAGEREF _Toc117766004 \h </w:instrText>
            </w:r>
            <w:r w:rsidR="00892868">
              <w:rPr>
                <w:noProof/>
                <w:webHidden/>
              </w:rPr>
            </w:r>
            <w:r w:rsidR="00892868">
              <w:rPr>
                <w:noProof/>
                <w:webHidden/>
              </w:rPr>
              <w:fldChar w:fldCharType="separate"/>
            </w:r>
            <w:r w:rsidR="00892868">
              <w:rPr>
                <w:noProof/>
                <w:webHidden/>
              </w:rPr>
              <w:t>175</w:t>
            </w:r>
            <w:r w:rsidR="00892868">
              <w:rPr>
                <w:noProof/>
                <w:webHidden/>
              </w:rPr>
              <w:fldChar w:fldCharType="end"/>
            </w:r>
          </w:hyperlink>
        </w:p>
        <w:p w14:paraId="187D43E7" w14:textId="254F452A" w:rsidR="00892868" w:rsidRDefault="00000000">
          <w:pPr>
            <w:pStyle w:val="TOC3"/>
            <w:rPr>
              <w:rFonts w:eastAsiaTheme="minorEastAsia"/>
              <w:noProof/>
              <w:lang w:eastAsia="en-GB"/>
            </w:rPr>
          </w:pPr>
          <w:hyperlink w:anchor="_Toc117766005" w:history="1">
            <w:r w:rsidR="00892868" w:rsidRPr="00E9064B">
              <w:rPr>
                <w:rStyle w:val="Hyperlink"/>
                <w:noProof/>
              </w:rPr>
              <w:t>4.6.7</w:t>
            </w:r>
            <w:r w:rsidR="00892868">
              <w:rPr>
                <w:rFonts w:eastAsiaTheme="minorEastAsia"/>
                <w:noProof/>
                <w:lang w:eastAsia="en-GB"/>
              </w:rPr>
              <w:tab/>
            </w:r>
            <w:r w:rsidR="00892868" w:rsidRPr="00E9064B">
              <w:rPr>
                <w:rStyle w:val="Hyperlink"/>
                <w:noProof/>
              </w:rPr>
              <w:t>Impact of the COVID pandemic</w:t>
            </w:r>
            <w:r w:rsidR="00892868">
              <w:rPr>
                <w:noProof/>
                <w:webHidden/>
              </w:rPr>
              <w:tab/>
            </w:r>
            <w:r w:rsidR="00892868">
              <w:rPr>
                <w:noProof/>
                <w:webHidden/>
              </w:rPr>
              <w:fldChar w:fldCharType="begin"/>
            </w:r>
            <w:r w:rsidR="00892868">
              <w:rPr>
                <w:noProof/>
                <w:webHidden/>
              </w:rPr>
              <w:instrText xml:space="preserve"> PAGEREF _Toc117766005 \h </w:instrText>
            </w:r>
            <w:r w:rsidR="00892868">
              <w:rPr>
                <w:noProof/>
                <w:webHidden/>
              </w:rPr>
            </w:r>
            <w:r w:rsidR="00892868">
              <w:rPr>
                <w:noProof/>
                <w:webHidden/>
              </w:rPr>
              <w:fldChar w:fldCharType="separate"/>
            </w:r>
            <w:r w:rsidR="00892868">
              <w:rPr>
                <w:noProof/>
                <w:webHidden/>
              </w:rPr>
              <w:t>177</w:t>
            </w:r>
            <w:r w:rsidR="00892868">
              <w:rPr>
                <w:noProof/>
                <w:webHidden/>
              </w:rPr>
              <w:fldChar w:fldCharType="end"/>
            </w:r>
          </w:hyperlink>
        </w:p>
        <w:p w14:paraId="18A2ACE4" w14:textId="758D8882" w:rsidR="00892868" w:rsidRDefault="00000000">
          <w:pPr>
            <w:pStyle w:val="TOC1"/>
            <w:tabs>
              <w:tab w:val="left" w:pos="440"/>
            </w:tabs>
            <w:rPr>
              <w:rFonts w:eastAsiaTheme="minorEastAsia"/>
              <w:noProof/>
              <w:lang w:eastAsia="en-GB"/>
            </w:rPr>
          </w:pPr>
          <w:hyperlink w:anchor="_Toc117766006" w:history="1">
            <w:r w:rsidR="00892868" w:rsidRPr="00E9064B">
              <w:rPr>
                <w:rStyle w:val="Hyperlink"/>
                <w:b/>
                <w:bCs/>
                <w:noProof/>
              </w:rPr>
              <w:t>5</w:t>
            </w:r>
            <w:r w:rsidR="00892868">
              <w:rPr>
                <w:rFonts w:eastAsiaTheme="minorEastAsia"/>
                <w:noProof/>
                <w:lang w:eastAsia="en-GB"/>
              </w:rPr>
              <w:tab/>
            </w:r>
            <w:r w:rsidR="00892868" w:rsidRPr="00E9064B">
              <w:rPr>
                <w:rStyle w:val="Hyperlink"/>
                <w:b/>
                <w:bCs/>
                <w:noProof/>
              </w:rPr>
              <w:t>Chapter 5. Azithromycin and the nasopharyngeal microbiome</w:t>
            </w:r>
            <w:r w:rsidR="00892868">
              <w:rPr>
                <w:noProof/>
                <w:webHidden/>
              </w:rPr>
              <w:tab/>
            </w:r>
            <w:r w:rsidR="00892868">
              <w:rPr>
                <w:noProof/>
                <w:webHidden/>
              </w:rPr>
              <w:fldChar w:fldCharType="begin"/>
            </w:r>
            <w:r w:rsidR="00892868">
              <w:rPr>
                <w:noProof/>
                <w:webHidden/>
              </w:rPr>
              <w:instrText xml:space="preserve"> PAGEREF _Toc117766006 \h </w:instrText>
            </w:r>
            <w:r w:rsidR="00892868">
              <w:rPr>
                <w:noProof/>
                <w:webHidden/>
              </w:rPr>
            </w:r>
            <w:r w:rsidR="00892868">
              <w:rPr>
                <w:noProof/>
                <w:webHidden/>
              </w:rPr>
              <w:fldChar w:fldCharType="separate"/>
            </w:r>
            <w:r w:rsidR="00892868">
              <w:rPr>
                <w:noProof/>
                <w:webHidden/>
              </w:rPr>
              <w:t>179</w:t>
            </w:r>
            <w:r w:rsidR="00892868">
              <w:rPr>
                <w:noProof/>
                <w:webHidden/>
              </w:rPr>
              <w:fldChar w:fldCharType="end"/>
            </w:r>
          </w:hyperlink>
        </w:p>
        <w:p w14:paraId="33CF749B" w14:textId="0D46F739" w:rsidR="00892868" w:rsidRDefault="00000000">
          <w:pPr>
            <w:pStyle w:val="TOC2"/>
            <w:tabs>
              <w:tab w:val="left" w:pos="880"/>
            </w:tabs>
            <w:rPr>
              <w:rFonts w:eastAsiaTheme="minorEastAsia"/>
              <w:noProof/>
              <w:lang w:eastAsia="en-GB"/>
            </w:rPr>
          </w:pPr>
          <w:hyperlink w:anchor="_Toc117766007" w:history="1">
            <w:r w:rsidR="00892868" w:rsidRPr="00E9064B">
              <w:rPr>
                <w:rStyle w:val="Hyperlink"/>
                <w:noProof/>
              </w:rPr>
              <w:t>5.1</w:t>
            </w:r>
            <w:r w:rsidR="00892868">
              <w:rPr>
                <w:rFonts w:eastAsiaTheme="minorEastAsia"/>
                <w:noProof/>
                <w:lang w:eastAsia="en-GB"/>
              </w:rPr>
              <w:tab/>
            </w:r>
            <w:r w:rsidR="00892868" w:rsidRPr="00E9064B">
              <w:rPr>
                <w:rStyle w:val="Hyperlink"/>
                <w:noProof/>
              </w:rPr>
              <w:t>Introduction</w:t>
            </w:r>
            <w:r w:rsidR="00892868">
              <w:rPr>
                <w:noProof/>
                <w:webHidden/>
              </w:rPr>
              <w:tab/>
            </w:r>
            <w:r w:rsidR="00892868">
              <w:rPr>
                <w:noProof/>
                <w:webHidden/>
              </w:rPr>
              <w:fldChar w:fldCharType="begin"/>
            </w:r>
            <w:r w:rsidR="00892868">
              <w:rPr>
                <w:noProof/>
                <w:webHidden/>
              </w:rPr>
              <w:instrText xml:space="preserve"> PAGEREF _Toc117766007 \h </w:instrText>
            </w:r>
            <w:r w:rsidR="00892868">
              <w:rPr>
                <w:noProof/>
                <w:webHidden/>
              </w:rPr>
            </w:r>
            <w:r w:rsidR="00892868">
              <w:rPr>
                <w:noProof/>
                <w:webHidden/>
              </w:rPr>
              <w:fldChar w:fldCharType="separate"/>
            </w:r>
            <w:r w:rsidR="00892868">
              <w:rPr>
                <w:noProof/>
                <w:webHidden/>
              </w:rPr>
              <w:t>179</w:t>
            </w:r>
            <w:r w:rsidR="00892868">
              <w:rPr>
                <w:noProof/>
                <w:webHidden/>
              </w:rPr>
              <w:fldChar w:fldCharType="end"/>
            </w:r>
          </w:hyperlink>
        </w:p>
        <w:p w14:paraId="38B9269D" w14:textId="3F994F38" w:rsidR="00892868" w:rsidRDefault="00000000">
          <w:pPr>
            <w:pStyle w:val="TOC2"/>
            <w:tabs>
              <w:tab w:val="left" w:pos="880"/>
            </w:tabs>
            <w:rPr>
              <w:rFonts w:eastAsiaTheme="minorEastAsia"/>
              <w:noProof/>
              <w:lang w:eastAsia="en-GB"/>
            </w:rPr>
          </w:pPr>
          <w:hyperlink w:anchor="_Toc117766008" w:history="1">
            <w:r w:rsidR="00892868" w:rsidRPr="00E9064B">
              <w:rPr>
                <w:rStyle w:val="Hyperlink"/>
                <w:noProof/>
              </w:rPr>
              <w:t>5.2</w:t>
            </w:r>
            <w:r w:rsidR="00892868">
              <w:rPr>
                <w:rFonts w:eastAsiaTheme="minorEastAsia"/>
                <w:noProof/>
                <w:lang w:eastAsia="en-GB"/>
              </w:rPr>
              <w:tab/>
            </w:r>
            <w:r w:rsidR="00892868" w:rsidRPr="00E9064B">
              <w:rPr>
                <w:rStyle w:val="Hyperlink"/>
                <w:noProof/>
              </w:rPr>
              <w:t>Microbiome results</w:t>
            </w:r>
            <w:r w:rsidR="00892868">
              <w:rPr>
                <w:noProof/>
                <w:webHidden/>
              </w:rPr>
              <w:tab/>
            </w:r>
            <w:r w:rsidR="00892868">
              <w:rPr>
                <w:noProof/>
                <w:webHidden/>
              </w:rPr>
              <w:fldChar w:fldCharType="begin"/>
            </w:r>
            <w:r w:rsidR="00892868">
              <w:rPr>
                <w:noProof/>
                <w:webHidden/>
              </w:rPr>
              <w:instrText xml:space="preserve"> PAGEREF _Toc117766008 \h </w:instrText>
            </w:r>
            <w:r w:rsidR="00892868">
              <w:rPr>
                <w:noProof/>
                <w:webHidden/>
              </w:rPr>
            </w:r>
            <w:r w:rsidR="00892868">
              <w:rPr>
                <w:noProof/>
                <w:webHidden/>
              </w:rPr>
              <w:fldChar w:fldCharType="separate"/>
            </w:r>
            <w:r w:rsidR="00892868">
              <w:rPr>
                <w:noProof/>
                <w:webHidden/>
              </w:rPr>
              <w:t>180</w:t>
            </w:r>
            <w:r w:rsidR="00892868">
              <w:rPr>
                <w:noProof/>
                <w:webHidden/>
              </w:rPr>
              <w:fldChar w:fldCharType="end"/>
            </w:r>
          </w:hyperlink>
        </w:p>
        <w:p w14:paraId="320B39BD" w14:textId="5F2DEDAC" w:rsidR="00892868" w:rsidRDefault="00000000">
          <w:pPr>
            <w:pStyle w:val="TOC3"/>
            <w:rPr>
              <w:rFonts w:eastAsiaTheme="minorEastAsia"/>
              <w:noProof/>
              <w:lang w:eastAsia="en-GB"/>
            </w:rPr>
          </w:pPr>
          <w:hyperlink w:anchor="_Toc117766009" w:history="1">
            <w:r w:rsidR="00892868" w:rsidRPr="00E9064B">
              <w:rPr>
                <w:rStyle w:val="Hyperlink"/>
                <w:noProof/>
              </w:rPr>
              <w:t>5.2.1</w:t>
            </w:r>
            <w:r w:rsidR="00892868">
              <w:rPr>
                <w:rFonts w:eastAsiaTheme="minorEastAsia"/>
                <w:noProof/>
                <w:lang w:eastAsia="en-GB"/>
              </w:rPr>
              <w:tab/>
            </w:r>
            <w:r w:rsidR="00892868" w:rsidRPr="00E9064B">
              <w:rPr>
                <w:rStyle w:val="Hyperlink"/>
                <w:noProof/>
              </w:rPr>
              <w:t>Quality control of 16S rRNA sequencing data using ‘decontam’ in R</w:t>
            </w:r>
            <w:r w:rsidR="00892868">
              <w:rPr>
                <w:noProof/>
                <w:webHidden/>
              </w:rPr>
              <w:tab/>
            </w:r>
            <w:r w:rsidR="00892868">
              <w:rPr>
                <w:noProof/>
                <w:webHidden/>
              </w:rPr>
              <w:fldChar w:fldCharType="begin"/>
            </w:r>
            <w:r w:rsidR="00892868">
              <w:rPr>
                <w:noProof/>
                <w:webHidden/>
              </w:rPr>
              <w:instrText xml:space="preserve"> PAGEREF _Toc117766009 \h </w:instrText>
            </w:r>
            <w:r w:rsidR="00892868">
              <w:rPr>
                <w:noProof/>
                <w:webHidden/>
              </w:rPr>
            </w:r>
            <w:r w:rsidR="00892868">
              <w:rPr>
                <w:noProof/>
                <w:webHidden/>
              </w:rPr>
              <w:fldChar w:fldCharType="separate"/>
            </w:r>
            <w:r w:rsidR="00892868">
              <w:rPr>
                <w:noProof/>
                <w:webHidden/>
              </w:rPr>
              <w:t>181</w:t>
            </w:r>
            <w:r w:rsidR="00892868">
              <w:rPr>
                <w:noProof/>
                <w:webHidden/>
              </w:rPr>
              <w:fldChar w:fldCharType="end"/>
            </w:r>
          </w:hyperlink>
        </w:p>
        <w:p w14:paraId="73B2E64B" w14:textId="5F37E7B5" w:rsidR="00892868" w:rsidRDefault="00000000">
          <w:pPr>
            <w:pStyle w:val="TOC3"/>
            <w:rPr>
              <w:rFonts w:eastAsiaTheme="minorEastAsia"/>
              <w:noProof/>
              <w:lang w:eastAsia="en-GB"/>
            </w:rPr>
          </w:pPr>
          <w:hyperlink w:anchor="_Toc117766010" w:history="1">
            <w:r w:rsidR="00892868" w:rsidRPr="00E9064B">
              <w:rPr>
                <w:rStyle w:val="Hyperlink"/>
                <w:noProof/>
              </w:rPr>
              <w:t>5.2.2</w:t>
            </w:r>
            <w:r w:rsidR="00892868">
              <w:rPr>
                <w:rFonts w:eastAsiaTheme="minorEastAsia"/>
                <w:noProof/>
                <w:lang w:eastAsia="en-GB"/>
              </w:rPr>
              <w:tab/>
            </w:r>
            <w:r w:rsidR="00892868" w:rsidRPr="00E9064B">
              <w:rPr>
                <w:rStyle w:val="Hyperlink"/>
                <w:noProof/>
              </w:rPr>
              <w:t>Microbial composition of nasopharyngeal microbiota</w:t>
            </w:r>
            <w:r w:rsidR="00892868">
              <w:rPr>
                <w:noProof/>
                <w:webHidden/>
              </w:rPr>
              <w:tab/>
            </w:r>
            <w:r w:rsidR="00892868">
              <w:rPr>
                <w:noProof/>
                <w:webHidden/>
              </w:rPr>
              <w:fldChar w:fldCharType="begin"/>
            </w:r>
            <w:r w:rsidR="00892868">
              <w:rPr>
                <w:noProof/>
                <w:webHidden/>
              </w:rPr>
              <w:instrText xml:space="preserve"> PAGEREF _Toc117766010 \h </w:instrText>
            </w:r>
            <w:r w:rsidR="00892868">
              <w:rPr>
                <w:noProof/>
                <w:webHidden/>
              </w:rPr>
            </w:r>
            <w:r w:rsidR="00892868">
              <w:rPr>
                <w:noProof/>
                <w:webHidden/>
              </w:rPr>
              <w:fldChar w:fldCharType="separate"/>
            </w:r>
            <w:r w:rsidR="00892868">
              <w:rPr>
                <w:noProof/>
                <w:webHidden/>
              </w:rPr>
              <w:t>185</w:t>
            </w:r>
            <w:r w:rsidR="00892868">
              <w:rPr>
                <w:noProof/>
                <w:webHidden/>
              </w:rPr>
              <w:fldChar w:fldCharType="end"/>
            </w:r>
          </w:hyperlink>
        </w:p>
        <w:p w14:paraId="3139B4E5" w14:textId="02087536" w:rsidR="00892868" w:rsidRDefault="00000000">
          <w:pPr>
            <w:pStyle w:val="TOC3"/>
            <w:rPr>
              <w:rFonts w:eastAsiaTheme="minorEastAsia"/>
              <w:noProof/>
              <w:lang w:eastAsia="en-GB"/>
            </w:rPr>
          </w:pPr>
          <w:hyperlink w:anchor="_Toc117766011" w:history="1">
            <w:r w:rsidR="00892868" w:rsidRPr="00E9064B">
              <w:rPr>
                <w:rStyle w:val="Hyperlink"/>
                <w:noProof/>
              </w:rPr>
              <w:t>5.2.3</w:t>
            </w:r>
            <w:r w:rsidR="00892868">
              <w:rPr>
                <w:rFonts w:eastAsiaTheme="minorEastAsia"/>
                <w:noProof/>
                <w:lang w:eastAsia="en-GB"/>
              </w:rPr>
              <w:tab/>
            </w:r>
            <w:r w:rsidR="00892868" w:rsidRPr="00E9064B">
              <w:rPr>
                <w:rStyle w:val="Hyperlink"/>
                <w:noProof/>
              </w:rPr>
              <w:t>Differential abundance testing</w:t>
            </w:r>
            <w:r w:rsidR="00892868">
              <w:rPr>
                <w:noProof/>
                <w:webHidden/>
              </w:rPr>
              <w:tab/>
            </w:r>
            <w:r w:rsidR="00892868">
              <w:rPr>
                <w:noProof/>
                <w:webHidden/>
              </w:rPr>
              <w:fldChar w:fldCharType="begin"/>
            </w:r>
            <w:r w:rsidR="00892868">
              <w:rPr>
                <w:noProof/>
                <w:webHidden/>
              </w:rPr>
              <w:instrText xml:space="preserve"> PAGEREF _Toc117766011 \h </w:instrText>
            </w:r>
            <w:r w:rsidR="00892868">
              <w:rPr>
                <w:noProof/>
                <w:webHidden/>
              </w:rPr>
            </w:r>
            <w:r w:rsidR="00892868">
              <w:rPr>
                <w:noProof/>
                <w:webHidden/>
              </w:rPr>
              <w:fldChar w:fldCharType="separate"/>
            </w:r>
            <w:r w:rsidR="00892868">
              <w:rPr>
                <w:noProof/>
                <w:webHidden/>
              </w:rPr>
              <w:t>191</w:t>
            </w:r>
            <w:r w:rsidR="00892868">
              <w:rPr>
                <w:noProof/>
                <w:webHidden/>
              </w:rPr>
              <w:fldChar w:fldCharType="end"/>
            </w:r>
          </w:hyperlink>
        </w:p>
        <w:p w14:paraId="0DDD9388" w14:textId="62300740" w:rsidR="00892868" w:rsidRDefault="00000000">
          <w:pPr>
            <w:pStyle w:val="TOC3"/>
            <w:rPr>
              <w:rFonts w:eastAsiaTheme="minorEastAsia"/>
              <w:noProof/>
              <w:lang w:eastAsia="en-GB"/>
            </w:rPr>
          </w:pPr>
          <w:hyperlink w:anchor="_Toc117766012" w:history="1">
            <w:r w:rsidR="00892868" w:rsidRPr="00E9064B">
              <w:rPr>
                <w:rStyle w:val="Hyperlink"/>
                <w:noProof/>
              </w:rPr>
              <w:t>5.2.4</w:t>
            </w:r>
            <w:r w:rsidR="00892868">
              <w:rPr>
                <w:rFonts w:eastAsiaTheme="minorEastAsia"/>
                <w:noProof/>
                <w:lang w:eastAsia="en-GB"/>
              </w:rPr>
              <w:tab/>
            </w:r>
            <w:r w:rsidR="00892868" w:rsidRPr="00E9064B">
              <w:rPr>
                <w:rStyle w:val="Hyperlink"/>
                <w:noProof/>
              </w:rPr>
              <w:t>Alpha diversity of nasopharyngeal swabs</w:t>
            </w:r>
            <w:r w:rsidR="00892868">
              <w:rPr>
                <w:noProof/>
                <w:webHidden/>
              </w:rPr>
              <w:tab/>
            </w:r>
            <w:r w:rsidR="00892868">
              <w:rPr>
                <w:noProof/>
                <w:webHidden/>
              </w:rPr>
              <w:fldChar w:fldCharType="begin"/>
            </w:r>
            <w:r w:rsidR="00892868">
              <w:rPr>
                <w:noProof/>
                <w:webHidden/>
              </w:rPr>
              <w:instrText xml:space="preserve"> PAGEREF _Toc117766012 \h </w:instrText>
            </w:r>
            <w:r w:rsidR="00892868">
              <w:rPr>
                <w:noProof/>
                <w:webHidden/>
              </w:rPr>
            </w:r>
            <w:r w:rsidR="00892868">
              <w:rPr>
                <w:noProof/>
                <w:webHidden/>
              </w:rPr>
              <w:fldChar w:fldCharType="separate"/>
            </w:r>
            <w:r w:rsidR="00892868">
              <w:rPr>
                <w:noProof/>
                <w:webHidden/>
              </w:rPr>
              <w:t>193</w:t>
            </w:r>
            <w:r w:rsidR="00892868">
              <w:rPr>
                <w:noProof/>
                <w:webHidden/>
              </w:rPr>
              <w:fldChar w:fldCharType="end"/>
            </w:r>
          </w:hyperlink>
        </w:p>
        <w:p w14:paraId="08716FD2" w14:textId="1E5646DD" w:rsidR="00892868" w:rsidRDefault="00000000">
          <w:pPr>
            <w:pStyle w:val="TOC3"/>
            <w:rPr>
              <w:rFonts w:eastAsiaTheme="minorEastAsia"/>
              <w:noProof/>
              <w:lang w:eastAsia="en-GB"/>
            </w:rPr>
          </w:pPr>
          <w:hyperlink w:anchor="_Toc117766013" w:history="1">
            <w:r w:rsidR="00892868" w:rsidRPr="00E9064B">
              <w:rPr>
                <w:rStyle w:val="Hyperlink"/>
                <w:noProof/>
              </w:rPr>
              <w:t>5.2.5</w:t>
            </w:r>
            <w:r w:rsidR="00892868">
              <w:rPr>
                <w:rFonts w:eastAsiaTheme="minorEastAsia"/>
                <w:noProof/>
                <w:lang w:eastAsia="en-GB"/>
              </w:rPr>
              <w:tab/>
            </w:r>
            <w:r w:rsidR="00892868" w:rsidRPr="00E9064B">
              <w:rPr>
                <w:rStyle w:val="Hyperlink"/>
                <w:noProof/>
              </w:rPr>
              <w:t>Beta diversity of nasopharyngeal swabs</w:t>
            </w:r>
            <w:r w:rsidR="00892868">
              <w:rPr>
                <w:noProof/>
                <w:webHidden/>
              </w:rPr>
              <w:tab/>
            </w:r>
            <w:r w:rsidR="00892868">
              <w:rPr>
                <w:noProof/>
                <w:webHidden/>
              </w:rPr>
              <w:fldChar w:fldCharType="begin"/>
            </w:r>
            <w:r w:rsidR="00892868">
              <w:rPr>
                <w:noProof/>
                <w:webHidden/>
              </w:rPr>
              <w:instrText xml:space="preserve"> PAGEREF _Toc117766013 \h </w:instrText>
            </w:r>
            <w:r w:rsidR="00892868">
              <w:rPr>
                <w:noProof/>
                <w:webHidden/>
              </w:rPr>
            </w:r>
            <w:r w:rsidR="00892868">
              <w:rPr>
                <w:noProof/>
                <w:webHidden/>
              </w:rPr>
              <w:fldChar w:fldCharType="separate"/>
            </w:r>
            <w:r w:rsidR="00892868">
              <w:rPr>
                <w:noProof/>
                <w:webHidden/>
              </w:rPr>
              <w:t>194</w:t>
            </w:r>
            <w:r w:rsidR="00892868">
              <w:rPr>
                <w:noProof/>
                <w:webHidden/>
              </w:rPr>
              <w:fldChar w:fldCharType="end"/>
            </w:r>
          </w:hyperlink>
        </w:p>
        <w:p w14:paraId="02DB9399" w14:textId="0D7320DB" w:rsidR="00892868" w:rsidRDefault="00000000">
          <w:pPr>
            <w:pStyle w:val="TOC2"/>
            <w:tabs>
              <w:tab w:val="left" w:pos="880"/>
            </w:tabs>
            <w:rPr>
              <w:rFonts w:eastAsiaTheme="minorEastAsia"/>
              <w:noProof/>
              <w:lang w:eastAsia="en-GB"/>
            </w:rPr>
          </w:pPr>
          <w:hyperlink w:anchor="_Toc117766014" w:history="1">
            <w:r w:rsidR="00892868" w:rsidRPr="00E9064B">
              <w:rPr>
                <w:rStyle w:val="Hyperlink"/>
                <w:noProof/>
              </w:rPr>
              <w:t>5.3</w:t>
            </w:r>
            <w:r w:rsidR="00892868">
              <w:rPr>
                <w:rFonts w:eastAsiaTheme="minorEastAsia"/>
                <w:noProof/>
                <w:lang w:eastAsia="en-GB"/>
              </w:rPr>
              <w:tab/>
            </w:r>
            <w:r w:rsidR="00892868" w:rsidRPr="00E9064B">
              <w:rPr>
                <w:rStyle w:val="Hyperlink"/>
                <w:noProof/>
              </w:rPr>
              <w:t>Discussion – Nasopharyngeal microbiota</w:t>
            </w:r>
            <w:r w:rsidR="00892868">
              <w:rPr>
                <w:noProof/>
                <w:webHidden/>
              </w:rPr>
              <w:tab/>
            </w:r>
            <w:r w:rsidR="00892868">
              <w:rPr>
                <w:noProof/>
                <w:webHidden/>
              </w:rPr>
              <w:fldChar w:fldCharType="begin"/>
            </w:r>
            <w:r w:rsidR="00892868">
              <w:rPr>
                <w:noProof/>
                <w:webHidden/>
              </w:rPr>
              <w:instrText xml:space="preserve"> PAGEREF _Toc117766014 \h </w:instrText>
            </w:r>
            <w:r w:rsidR="00892868">
              <w:rPr>
                <w:noProof/>
                <w:webHidden/>
              </w:rPr>
            </w:r>
            <w:r w:rsidR="00892868">
              <w:rPr>
                <w:noProof/>
                <w:webHidden/>
              </w:rPr>
              <w:fldChar w:fldCharType="separate"/>
            </w:r>
            <w:r w:rsidR="00892868">
              <w:rPr>
                <w:noProof/>
                <w:webHidden/>
              </w:rPr>
              <w:t>201</w:t>
            </w:r>
            <w:r w:rsidR="00892868">
              <w:rPr>
                <w:noProof/>
                <w:webHidden/>
              </w:rPr>
              <w:fldChar w:fldCharType="end"/>
            </w:r>
          </w:hyperlink>
        </w:p>
        <w:p w14:paraId="3CBA12EC" w14:textId="071D6EDA" w:rsidR="00892868" w:rsidRDefault="00000000">
          <w:pPr>
            <w:pStyle w:val="TOC3"/>
            <w:rPr>
              <w:rFonts w:eastAsiaTheme="minorEastAsia"/>
              <w:noProof/>
              <w:lang w:eastAsia="en-GB"/>
            </w:rPr>
          </w:pPr>
          <w:hyperlink w:anchor="_Toc117766015" w:history="1">
            <w:r w:rsidR="00892868" w:rsidRPr="00E9064B">
              <w:rPr>
                <w:rStyle w:val="Hyperlink"/>
                <w:noProof/>
              </w:rPr>
              <w:t>5.3.1</w:t>
            </w:r>
            <w:r w:rsidR="00892868">
              <w:rPr>
                <w:rFonts w:eastAsiaTheme="minorEastAsia"/>
                <w:noProof/>
                <w:lang w:eastAsia="en-GB"/>
              </w:rPr>
              <w:tab/>
            </w:r>
            <w:r w:rsidR="00892868" w:rsidRPr="00E9064B">
              <w:rPr>
                <w:rStyle w:val="Hyperlink"/>
                <w:noProof/>
              </w:rPr>
              <w:t>Limitations of the microbiome study</w:t>
            </w:r>
            <w:r w:rsidR="00892868">
              <w:rPr>
                <w:noProof/>
                <w:webHidden/>
              </w:rPr>
              <w:tab/>
            </w:r>
            <w:r w:rsidR="00892868">
              <w:rPr>
                <w:noProof/>
                <w:webHidden/>
              </w:rPr>
              <w:fldChar w:fldCharType="begin"/>
            </w:r>
            <w:r w:rsidR="00892868">
              <w:rPr>
                <w:noProof/>
                <w:webHidden/>
              </w:rPr>
              <w:instrText xml:space="preserve"> PAGEREF _Toc117766015 \h </w:instrText>
            </w:r>
            <w:r w:rsidR="00892868">
              <w:rPr>
                <w:noProof/>
                <w:webHidden/>
              </w:rPr>
            </w:r>
            <w:r w:rsidR="00892868">
              <w:rPr>
                <w:noProof/>
                <w:webHidden/>
              </w:rPr>
              <w:fldChar w:fldCharType="separate"/>
            </w:r>
            <w:r w:rsidR="00892868">
              <w:rPr>
                <w:noProof/>
                <w:webHidden/>
              </w:rPr>
              <w:t>204</w:t>
            </w:r>
            <w:r w:rsidR="00892868">
              <w:rPr>
                <w:noProof/>
                <w:webHidden/>
              </w:rPr>
              <w:fldChar w:fldCharType="end"/>
            </w:r>
          </w:hyperlink>
        </w:p>
        <w:p w14:paraId="4974C65F" w14:textId="531B0C51" w:rsidR="00892868" w:rsidRDefault="00000000">
          <w:pPr>
            <w:pStyle w:val="TOC3"/>
            <w:rPr>
              <w:rFonts w:eastAsiaTheme="minorEastAsia"/>
              <w:noProof/>
              <w:lang w:eastAsia="en-GB"/>
            </w:rPr>
          </w:pPr>
          <w:hyperlink w:anchor="_Toc117766016" w:history="1">
            <w:r w:rsidR="00892868" w:rsidRPr="00E9064B">
              <w:rPr>
                <w:rStyle w:val="Hyperlink"/>
                <w:noProof/>
              </w:rPr>
              <w:t>5.3.2</w:t>
            </w:r>
            <w:r w:rsidR="00892868">
              <w:rPr>
                <w:rFonts w:eastAsiaTheme="minorEastAsia"/>
                <w:noProof/>
                <w:lang w:eastAsia="en-GB"/>
              </w:rPr>
              <w:tab/>
            </w:r>
            <w:r w:rsidR="00892868" w:rsidRPr="00E9064B">
              <w:rPr>
                <w:rStyle w:val="Hyperlink"/>
                <w:noProof/>
              </w:rPr>
              <w:t>Impact of the COVID pandemic</w:t>
            </w:r>
            <w:r w:rsidR="00892868">
              <w:rPr>
                <w:noProof/>
                <w:webHidden/>
              </w:rPr>
              <w:tab/>
            </w:r>
            <w:r w:rsidR="00892868">
              <w:rPr>
                <w:noProof/>
                <w:webHidden/>
              </w:rPr>
              <w:fldChar w:fldCharType="begin"/>
            </w:r>
            <w:r w:rsidR="00892868">
              <w:rPr>
                <w:noProof/>
                <w:webHidden/>
              </w:rPr>
              <w:instrText xml:space="preserve"> PAGEREF _Toc117766016 \h </w:instrText>
            </w:r>
            <w:r w:rsidR="00892868">
              <w:rPr>
                <w:noProof/>
                <w:webHidden/>
              </w:rPr>
            </w:r>
            <w:r w:rsidR="00892868">
              <w:rPr>
                <w:noProof/>
                <w:webHidden/>
              </w:rPr>
              <w:fldChar w:fldCharType="separate"/>
            </w:r>
            <w:r w:rsidR="00892868">
              <w:rPr>
                <w:noProof/>
                <w:webHidden/>
              </w:rPr>
              <w:t>205</w:t>
            </w:r>
            <w:r w:rsidR="00892868">
              <w:rPr>
                <w:noProof/>
                <w:webHidden/>
              </w:rPr>
              <w:fldChar w:fldCharType="end"/>
            </w:r>
          </w:hyperlink>
        </w:p>
        <w:p w14:paraId="1FEB04CD" w14:textId="2CC32584" w:rsidR="00892868" w:rsidRDefault="00000000">
          <w:pPr>
            <w:pStyle w:val="TOC1"/>
            <w:tabs>
              <w:tab w:val="left" w:pos="440"/>
            </w:tabs>
            <w:rPr>
              <w:rFonts w:eastAsiaTheme="minorEastAsia"/>
              <w:noProof/>
              <w:lang w:eastAsia="en-GB"/>
            </w:rPr>
          </w:pPr>
          <w:hyperlink w:anchor="_Toc117766017" w:history="1">
            <w:r w:rsidR="00892868" w:rsidRPr="00E9064B">
              <w:rPr>
                <w:rStyle w:val="Hyperlink"/>
                <w:b/>
                <w:noProof/>
              </w:rPr>
              <w:t>6</w:t>
            </w:r>
            <w:r w:rsidR="00892868">
              <w:rPr>
                <w:rFonts w:eastAsiaTheme="minorEastAsia"/>
                <w:noProof/>
                <w:lang w:eastAsia="en-GB"/>
              </w:rPr>
              <w:tab/>
            </w:r>
            <w:r w:rsidR="00892868" w:rsidRPr="00E9064B">
              <w:rPr>
                <w:rStyle w:val="Hyperlink"/>
                <w:b/>
                <w:noProof/>
              </w:rPr>
              <w:t>Chapter 6.  Overall discussion and future work</w:t>
            </w:r>
            <w:r w:rsidR="00892868">
              <w:rPr>
                <w:noProof/>
                <w:webHidden/>
              </w:rPr>
              <w:tab/>
            </w:r>
            <w:r w:rsidR="00892868">
              <w:rPr>
                <w:noProof/>
                <w:webHidden/>
              </w:rPr>
              <w:fldChar w:fldCharType="begin"/>
            </w:r>
            <w:r w:rsidR="00892868">
              <w:rPr>
                <w:noProof/>
                <w:webHidden/>
              </w:rPr>
              <w:instrText xml:space="preserve"> PAGEREF _Toc117766017 \h </w:instrText>
            </w:r>
            <w:r w:rsidR="00892868">
              <w:rPr>
                <w:noProof/>
                <w:webHidden/>
              </w:rPr>
            </w:r>
            <w:r w:rsidR="00892868">
              <w:rPr>
                <w:noProof/>
                <w:webHidden/>
              </w:rPr>
              <w:fldChar w:fldCharType="separate"/>
            </w:r>
            <w:r w:rsidR="00892868">
              <w:rPr>
                <w:noProof/>
                <w:webHidden/>
              </w:rPr>
              <w:t>206</w:t>
            </w:r>
            <w:r w:rsidR="00892868">
              <w:rPr>
                <w:noProof/>
                <w:webHidden/>
              </w:rPr>
              <w:fldChar w:fldCharType="end"/>
            </w:r>
          </w:hyperlink>
        </w:p>
        <w:p w14:paraId="16240198" w14:textId="418D3E40" w:rsidR="00892868" w:rsidRDefault="00000000">
          <w:pPr>
            <w:pStyle w:val="TOC2"/>
            <w:tabs>
              <w:tab w:val="left" w:pos="880"/>
            </w:tabs>
            <w:rPr>
              <w:rFonts w:eastAsiaTheme="minorEastAsia"/>
              <w:noProof/>
              <w:lang w:eastAsia="en-GB"/>
            </w:rPr>
          </w:pPr>
          <w:hyperlink w:anchor="_Toc117766018" w:history="1">
            <w:r w:rsidR="00892868" w:rsidRPr="00E9064B">
              <w:rPr>
                <w:rStyle w:val="Hyperlink"/>
                <w:noProof/>
              </w:rPr>
              <w:t>6.1</w:t>
            </w:r>
            <w:r w:rsidR="00892868">
              <w:rPr>
                <w:rFonts w:eastAsiaTheme="minorEastAsia"/>
                <w:noProof/>
                <w:lang w:eastAsia="en-GB"/>
              </w:rPr>
              <w:tab/>
            </w:r>
            <w:r w:rsidR="00892868" w:rsidRPr="00E9064B">
              <w:rPr>
                <w:rStyle w:val="Hyperlink"/>
                <w:noProof/>
              </w:rPr>
              <w:t>Overall discussion</w:t>
            </w:r>
            <w:r w:rsidR="00892868">
              <w:rPr>
                <w:noProof/>
                <w:webHidden/>
              </w:rPr>
              <w:tab/>
            </w:r>
            <w:r w:rsidR="00892868">
              <w:rPr>
                <w:noProof/>
                <w:webHidden/>
              </w:rPr>
              <w:fldChar w:fldCharType="begin"/>
            </w:r>
            <w:r w:rsidR="00892868">
              <w:rPr>
                <w:noProof/>
                <w:webHidden/>
              </w:rPr>
              <w:instrText xml:space="preserve"> PAGEREF _Toc117766018 \h </w:instrText>
            </w:r>
            <w:r w:rsidR="00892868">
              <w:rPr>
                <w:noProof/>
                <w:webHidden/>
              </w:rPr>
            </w:r>
            <w:r w:rsidR="00892868">
              <w:rPr>
                <w:noProof/>
                <w:webHidden/>
              </w:rPr>
              <w:fldChar w:fldCharType="separate"/>
            </w:r>
            <w:r w:rsidR="00892868">
              <w:rPr>
                <w:noProof/>
                <w:webHidden/>
              </w:rPr>
              <w:t>206</w:t>
            </w:r>
            <w:r w:rsidR="00892868">
              <w:rPr>
                <w:noProof/>
                <w:webHidden/>
              </w:rPr>
              <w:fldChar w:fldCharType="end"/>
            </w:r>
          </w:hyperlink>
        </w:p>
        <w:p w14:paraId="7E5DE4E1" w14:textId="0B5C5136" w:rsidR="00892868" w:rsidRDefault="00000000">
          <w:pPr>
            <w:pStyle w:val="TOC2"/>
            <w:tabs>
              <w:tab w:val="left" w:pos="880"/>
            </w:tabs>
            <w:rPr>
              <w:rFonts w:eastAsiaTheme="minorEastAsia"/>
              <w:noProof/>
              <w:lang w:eastAsia="en-GB"/>
            </w:rPr>
          </w:pPr>
          <w:hyperlink w:anchor="_Toc117766019" w:history="1">
            <w:r w:rsidR="00892868" w:rsidRPr="00E9064B">
              <w:rPr>
                <w:rStyle w:val="Hyperlink"/>
                <w:noProof/>
              </w:rPr>
              <w:t>6.2</w:t>
            </w:r>
            <w:r w:rsidR="00892868">
              <w:rPr>
                <w:rFonts w:eastAsiaTheme="minorEastAsia"/>
                <w:noProof/>
                <w:lang w:eastAsia="en-GB"/>
              </w:rPr>
              <w:tab/>
            </w:r>
            <w:r w:rsidR="00892868" w:rsidRPr="00E9064B">
              <w:rPr>
                <w:rStyle w:val="Hyperlink"/>
                <w:noProof/>
              </w:rPr>
              <w:t>Future work</w:t>
            </w:r>
            <w:r w:rsidR="00892868">
              <w:rPr>
                <w:noProof/>
                <w:webHidden/>
              </w:rPr>
              <w:tab/>
            </w:r>
            <w:r w:rsidR="00892868">
              <w:rPr>
                <w:noProof/>
                <w:webHidden/>
              </w:rPr>
              <w:fldChar w:fldCharType="begin"/>
            </w:r>
            <w:r w:rsidR="00892868">
              <w:rPr>
                <w:noProof/>
                <w:webHidden/>
              </w:rPr>
              <w:instrText xml:space="preserve"> PAGEREF _Toc117766019 \h </w:instrText>
            </w:r>
            <w:r w:rsidR="00892868">
              <w:rPr>
                <w:noProof/>
                <w:webHidden/>
              </w:rPr>
            </w:r>
            <w:r w:rsidR="00892868">
              <w:rPr>
                <w:noProof/>
                <w:webHidden/>
              </w:rPr>
              <w:fldChar w:fldCharType="separate"/>
            </w:r>
            <w:r w:rsidR="00892868">
              <w:rPr>
                <w:noProof/>
                <w:webHidden/>
              </w:rPr>
              <w:t>211</w:t>
            </w:r>
            <w:r w:rsidR="00892868">
              <w:rPr>
                <w:noProof/>
                <w:webHidden/>
              </w:rPr>
              <w:fldChar w:fldCharType="end"/>
            </w:r>
          </w:hyperlink>
        </w:p>
        <w:p w14:paraId="73228292" w14:textId="10557990" w:rsidR="00892868" w:rsidRDefault="00000000">
          <w:pPr>
            <w:pStyle w:val="TOC3"/>
            <w:rPr>
              <w:rFonts w:eastAsiaTheme="minorEastAsia"/>
              <w:noProof/>
              <w:lang w:eastAsia="en-GB"/>
            </w:rPr>
          </w:pPr>
          <w:hyperlink w:anchor="_Toc117766020" w:history="1">
            <w:r w:rsidR="00892868" w:rsidRPr="00E9064B">
              <w:rPr>
                <w:rStyle w:val="Hyperlink"/>
                <w:noProof/>
              </w:rPr>
              <w:t>6.2.1</w:t>
            </w:r>
            <w:r w:rsidR="00892868">
              <w:rPr>
                <w:rFonts w:eastAsiaTheme="minorEastAsia"/>
                <w:noProof/>
                <w:lang w:eastAsia="en-GB"/>
              </w:rPr>
              <w:tab/>
            </w:r>
            <w:r w:rsidR="00892868" w:rsidRPr="00E9064B">
              <w:rPr>
                <w:rStyle w:val="Hyperlink"/>
                <w:noProof/>
              </w:rPr>
              <w:t>Further projects explored to date</w:t>
            </w:r>
            <w:r w:rsidR="00892868">
              <w:rPr>
                <w:noProof/>
                <w:webHidden/>
              </w:rPr>
              <w:tab/>
            </w:r>
            <w:r w:rsidR="00892868">
              <w:rPr>
                <w:noProof/>
                <w:webHidden/>
              </w:rPr>
              <w:fldChar w:fldCharType="begin"/>
            </w:r>
            <w:r w:rsidR="00892868">
              <w:rPr>
                <w:noProof/>
                <w:webHidden/>
              </w:rPr>
              <w:instrText xml:space="preserve"> PAGEREF _Toc117766020 \h </w:instrText>
            </w:r>
            <w:r w:rsidR="00892868">
              <w:rPr>
                <w:noProof/>
                <w:webHidden/>
              </w:rPr>
            </w:r>
            <w:r w:rsidR="00892868">
              <w:rPr>
                <w:noProof/>
                <w:webHidden/>
              </w:rPr>
              <w:fldChar w:fldCharType="separate"/>
            </w:r>
            <w:r w:rsidR="00892868">
              <w:rPr>
                <w:noProof/>
                <w:webHidden/>
              </w:rPr>
              <w:t>212</w:t>
            </w:r>
            <w:r w:rsidR="00892868">
              <w:rPr>
                <w:noProof/>
                <w:webHidden/>
              </w:rPr>
              <w:fldChar w:fldCharType="end"/>
            </w:r>
          </w:hyperlink>
        </w:p>
        <w:p w14:paraId="0DF81E8B" w14:textId="5B1BF4CC" w:rsidR="00892868" w:rsidRDefault="00000000">
          <w:pPr>
            <w:pStyle w:val="TOC3"/>
            <w:rPr>
              <w:rFonts w:eastAsiaTheme="minorEastAsia"/>
              <w:noProof/>
              <w:lang w:eastAsia="en-GB"/>
            </w:rPr>
          </w:pPr>
          <w:hyperlink w:anchor="_Toc117766021" w:history="1">
            <w:r w:rsidR="00892868" w:rsidRPr="00E9064B">
              <w:rPr>
                <w:rStyle w:val="Hyperlink"/>
                <w:noProof/>
              </w:rPr>
              <w:t>6.2.2</w:t>
            </w:r>
            <w:r w:rsidR="00892868">
              <w:rPr>
                <w:rFonts w:eastAsiaTheme="minorEastAsia"/>
                <w:noProof/>
                <w:lang w:eastAsia="en-GB"/>
              </w:rPr>
              <w:tab/>
            </w:r>
            <w:r w:rsidR="00892868" w:rsidRPr="00E9064B">
              <w:rPr>
                <w:rStyle w:val="Hyperlink"/>
                <w:noProof/>
              </w:rPr>
              <w:t>Future research that may arise from this work</w:t>
            </w:r>
            <w:r w:rsidR="00892868">
              <w:rPr>
                <w:noProof/>
                <w:webHidden/>
              </w:rPr>
              <w:tab/>
            </w:r>
            <w:r w:rsidR="00892868">
              <w:rPr>
                <w:noProof/>
                <w:webHidden/>
              </w:rPr>
              <w:fldChar w:fldCharType="begin"/>
            </w:r>
            <w:r w:rsidR="00892868">
              <w:rPr>
                <w:noProof/>
                <w:webHidden/>
              </w:rPr>
              <w:instrText xml:space="preserve"> PAGEREF _Toc117766021 \h </w:instrText>
            </w:r>
            <w:r w:rsidR="00892868">
              <w:rPr>
                <w:noProof/>
                <w:webHidden/>
              </w:rPr>
            </w:r>
            <w:r w:rsidR="00892868">
              <w:rPr>
                <w:noProof/>
                <w:webHidden/>
              </w:rPr>
              <w:fldChar w:fldCharType="separate"/>
            </w:r>
            <w:r w:rsidR="00892868">
              <w:rPr>
                <w:noProof/>
                <w:webHidden/>
              </w:rPr>
              <w:t>214</w:t>
            </w:r>
            <w:r w:rsidR="00892868">
              <w:rPr>
                <w:noProof/>
                <w:webHidden/>
              </w:rPr>
              <w:fldChar w:fldCharType="end"/>
            </w:r>
          </w:hyperlink>
        </w:p>
        <w:p w14:paraId="02B86595" w14:textId="25387C08" w:rsidR="00892868" w:rsidRDefault="00000000">
          <w:pPr>
            <w:pStyle w:val="TOC1"/>
            <w:tabs>
              <w:tab w:val="left" w:pos="440"/>
            </w:tabs>
            <w:rPr>
              <w:rFonts w:eastAsiaTheme="minorEastAsia"/>
              <w:noProof/>
              <w:lang w:eastAsia="en-GB"/>
            </w:rPr>
          </w:pPr>
          <w:hyperlink w:anchor="_Toc117766022" w:history="1">
            <w:r w:rsidR="00892868" w:rsidRPr="00E9064B">
              <w:rPr>
                <w:rStyle w:val="Hyperlink"/>
                <w:b/>
                <w:noProof/>
              </w:rPr>
              <w:t>7</w:t>
            </w:r>
            <w:r w:rsidR="00892868">
              <w:rPr>
                <w:rFonts w:eastAsiaTheme="minorEastAsia"/>
                <w:noProof/>
                <w:lang w:eastAsia="en-GB"/>
              </w:rPr>
              <w:tab/>
            </w:r>
            <w:r w:rsidR="00892868" w:rsidRPr="00E9064B">
              <w:rPr>
                <w:rStyle w:val="Hyperlink"/>
                <w:b/>
                <w:noProof/>
              </w:rPr>
              <w:t>References</w:t>
            </w:r>
            <w:r w:rsidR="00892868">
              <w:rPr>
                <w:noProof/>
                <w:webHidden/>
              </w:rPr>
              <w:tab/>
            </w:r>
            <w:r w:rsidR="00892868">
              <w:rPr>
                <w:noProof/>
                <w:webHidden/>
              </w:rPr>
              <w:fldChar w:fldCharType="begin"/>
            </w:r>
            <w:r w:rsidR="00892868">
              <w:rPr>
                <w:noProof/>
                <w:webHidden/>
              </w:rPr>
              <w:instrText xml:space="preserve"> PAGEREF _Toc117766022 \h </w:instrText>
            </w:r>
            <w:r w:rsidR="00892868">
              <w:rPr>
                <w:noProof/>
                <w:webHidden/>
              </w:rPr>
            </w:r>
            <w:r w:rsidR="00892868">
              <w:rPr>
                <w:noProof/>
                <w:webHidden/>
              </w:rPr>
              <w:fldChar w:fldCharType="separate"/>
            </w:r>
            <w:r w:rsidR="00892868">
              <w:rPr>
                <w:noProof/>
                <w:webHidden/>
              </w:rPr>
              <w:t>216</w:t>
            </w:r>
            <w:r w:rsidR="00892868">
              <w:rPr>
                <w:noProof/>
                <w:webHidden/>
              </w:rPr>
              <w:fldChar w:fldCharType="end"/>
            </w:r>
          </w:hyperlink>
        </w:p>
        <w:p w14:paraId="771DC99C" w14:textId="1F8D7DF0" w:rsidR="00892868" w:rsidRDefault="00000000">
          <w:pPr>
            <w:pStyle w:val="TOC1"/>
            <w:tabs>
              <w:tab w:val="left" w:pos="440"/>
            </w:tabs>
            <w:rPr>
              <w:rFonts w:eastAsiaTheme="minorEastAsia"/>
              <w:noProof/>
              <w:lang w:eastAsia="en-GB"/>
            </w:rPr>
          </w:pPr>
          <w:hyperlink w:anchor="_Toc117766023" w:history="1">
            <w:r w:rsidR="00892868" w:rsidRPr="00E9064B">
              <w:rPr>
                <w:rStyle w:val="Hyperlink"/>
                <w:b/>
                <w:bCs/>
                <w:noProof/>
              </w:rPr>
              <w:t>8</w:t>
            </w:r>
            <w:r w:rsidR="00892868">
              <w:rPr>
                <w:rFonts w:eastAsiaTheme="minorEastAsia"/>
                <w:noProof/>
                <w:lang w:eastAsia="en-GB"/>
              </w:rPr>
              <w:tab/>
            </w:r>
            <w:r w:rsidR="00892868" w:rsidRPr="00E9064B">
              <w:rPr>
                <w:rStyle w:val="Hyperlink"/>
                <w:b/>
                <w:bCs/>
                <w:noProof/>
              </w:rPr>
              <w:t>Appendices</w:t>
            </w:r>
            <w:r w:rsidR="00892868">
              <w:rPr>
                <w:noProof/>
                <w:webHidden/>
              </w:rPr>
              <w:tab/>
            </w:r>
            <w:r w:rsidR="00892868">
              <w:rPr>
                <w:noProof/>
                <w:webHidden/>
              </w:rPr>
              <w:fldChar w:fldCharType="begin"/>
            </w:r>
            <w:r w:rsidR="00892868">
              <w:rPr>
                <w:noProof/>
                <w:webHidden/>
              </w:rPr>
              <w:instrText xml:space="preserve"> PAGEREF _Toc117766023 \h </w:instrText>
            </w:r>
            <w:r w:rsidR="00892868">
              <w:rPr>
                <w:noProof/>
                <w:webHidden/>
              </w:rPr>
            </w:r>
            <w:r w:rsidR="00892868">
              <w:rPr>
                <w:noProof/>
                <w:webHidden/>
              </w:rPr>
              <w:fldChar w:fldCharType="separate"/>
            </w:r>
            <w:r w:rsidR="00892868">
              <w:rPr>
                <w:noProof/>
                <w:webHidden/>
              </w:rPr>
              <w:t>234</w:t>
            </w:r>
            <w:r w:rsidR="00892868">
              <w:rPr>
                <w:noProof/>
                <w:webHidden/>
              </w:rPr>
              <w:fldChar w:fldCharType="end"/>
            </w:r>
          </w:hyperlink>
        </w:p>
        <w:p w14:paraId="4CCC66A0" w14:textId="7184117C" w:rsidR="00892868" w:rsidRDefault="00000000">
          <w:pPr>
            <w:pStyle w:val="TOC2"/>
            <w:tabs>
              <w:tab w:val="left" w:pos="880"/>
            </w:tabs>
            <w:rPr>
              <w:rFonts w:eastAsiaTheme="minorEastAsia"/>
              <w:noProof/>
              <w:lang w:eastAsia="en-GB"/>
            </w:rPr>
          </w:pPr>
          <w:hyperlink w:anchor="_Toc117766024" w:history="1">
            <w:r w:rsidR="00892868" w:rsidRPr="00E9064B">
              <w:rPr>
                <w:rStyle w:val="Hyperlink"/>
                <w:noProof/>
              </w:rPr>
              <w:t>8.1</w:t>
            </w:r>
            <w:r w:rsidR="00892868">
              <w:rPr>
                <w:rFonts w:eastAsiaTheme="minorEastAsia"/>
                <w:noProof/>
                <w:lang w:eastAsia="en-GB"/>
              </w:rPr>
              <w:tab/>
            </w:r>
            <w:r w:rsidR="00892868" w:rsidRPr="00E9064B">
              <w:rPr>
                <w:rStyle w:val="Hyperlink"/>
                <w:noProof/>
              </w:rPr>
              <w:t>Appendix 1: Specific cough pointers</w:t>
            </w:r>
            <w:r w:rsidR="00892868">
              <w:rPr>
                <w:noProof/>
                <w:webHidden/>
              </w:rPr>
              <w:tab/>
            </w:r>
            <w:r w:rsidR="00892868">
              <w:rPr>
                <w:noProof/>
                <w:webHidden/>
              </w:rPr>
              <w:fldChar w:fldCharType="begin"/>
            </w:r>
            <w:r w:rsidR="00892868">
              <w:rPr>
                <w:noProof/>
                <w:webHidden/>
              </w:rPr>
              <w:instrText xml:space="preserve"> PAGEREF _Toc117766024 \h </w:instrText>
            </w:r>
            <w:r w:rsidR="00892868">
              <w:rPr>
                <w:noProof/>
                <w:webHidden/>
              </w:rPr>
            </w:r>
            <w:r w:rsidR="00892868">
              <w:rPr>
                <w:noProof/>
                <w:webHidden/>
              </w:rPr>
              <w:fldChar w:fldCharType="separate"/>
            </w:r>
            <w:r w:rsidR="00892868">
              <w:rPr>
                <w:noProof/>
                <w:webHidden/>
              </w:rPr>
              <w:t>234</w:t>
            </w:r>
            <w:r w:rsidR="00892868">
              <w:rPr>
                <w:noProof/>
                <w:webHidden/>
              </w:rPr>
              <w:fldChar w:fldCharType="end"/>
            </w:r>
          </w:hyperlink>
        </w:p>
        <w:p w14:paraId="5889E9C1" w14:textId="1538FA30" w:rsidR="00892868" w:rsidRDefault="00000000">
          <w:pPr>
            <w:pStyle w:val="TOC2"/>
            <w:tabs>
              <w:tab w:val="left" w:pos="880"/>
            </w:tabs>
            <w:rPr>
              <w:rFonts w:eastAsiaTheme="minorEastAsia"/>
              <w:noProof/>
              <w:lang w:eastAsia="en-GB"/>
            </w:rPr>
          </w:pPr>
          <w:hyperlink w:anchor="_Toc117766025" w:history="1">
            <w:r w:rsidR="00892868" w:rsidRPr="00E9064B">
              <w:rPr>
                <w:rStyle w:val="Hyperlink"/>
                <w:noProof/>
              </w:rPr>
              <w:t>8.2</w:t>
            </w:r>
            <w:r w:rsidR="00892868">
              <w:rPr>
                <w:rFonts w:eastAsiaTheme="minorEastAsia"/>
                <w:noProof/>
                <w:lang w:eastAsia="en-GB"/>
              </w:rPr>
              <w:tab/>
            </w:r>
            <w:r w:rsidR="00892868" w:rsidRPr="00E9064B">
              <w:rPr>
                <w:rStyle w:val="Hyperlink"/>
                <w:noProof/>
              </w:rPr>
              <w:t>Appendix 2: Abbreviated SCH guidelines for the management of PBB</w:t>
            </w:r>
            <w:r w:rsidR="00892868">
              <w:rPr>
                <w:noProof/>
                <w:webHidden/>
              </w:rPr>
              <w:tab/>
            </w:r>
            <w:r w:rsidR="00892868">
              <w:rPr>
                <w:noProof/>
                <w:webHidden/>
              </w:rPr>
              <w:fldChar w:fldCharType="begin"/>
            </w:r>
            <w:r w:rsidR="00892868">
              <w:rPr>
                <w:noProof/>
                <w:webHidden/>
              </w:rPr>
              <w:instrText xml:space="preserve"> PAGEREF _Toc117766025 \h </w:instrText>
            </w:r>
            <w:r w:rsidR="00892868">
              <w:rPr>
                <w:noProof/>
                <w:webHidden/>
              </w:rPr>
            </w:r>
            <w:r w:rsidR="00892868">
              <w:rPr>
                <w:noProof/>
                <w:webHidden/>
              </w:rPr>
              <w:fldChar w:fldCharType="separate"/>
            </w:r>
            <w:r w:rsidR="00892868">
              <w:rPr>
                <w:noProof/>
                <w:webHidden/>
              </w:rPr>
              <w:t>234</w:t>
            </w:r>
            <w:r w:rsidR="00892868">
              <w:rPr>
                <w:noProof/>
                <w:webHidden/>
              </w:rPr>
              <w:fldChar w:fldCharType="end"/>
            </w:r>
          </w:hyperlink>
        </w:p>
        <w:p w14:paraId="3DD984F4" w14:textId="6E3B7000" w:rsidR="00892868" w:rsidRDefault="00000000">
          <w:pPr>
            <w:pStyle w:val="TOC2"/>
            <w:tabs>
              <w:tab w:val="left" w:pos="880"/>
            </w:tabs>
            <w:rPr>
              <w:rFonts w:eastAsiaTheme="minorEastAsia"/>
              <w:noProof/>
              <w:lang w:eastAsia="en-GB"/>
            </w:rPr>
          </w:pPr>
          <w:hyperlink w:anchor="_Toc117766026" w:history="1">
            <w:r w:rsidR="00892868" w:rsidRPr="00E9064B">
              <w:rPr>
                <w:rStyle w:val="Hyperlink"/>
                <w:noProof/>
              </w:rPr>
              <w:t>8.3</w:t>
            </w:r>
            <w:r w:rsidR="00892868">
              <w:rPr>
                <w:rFonts w:eastAsiaTheme="minorEastAsia"/>
                <w:noProof/>
                <w:lang w:eastAsia="en-GB"/>
              </w:rPr>
              <w:tab/>
            </w:r>
            <w:r w:rsidR="00892868" w:rsidRPr="00E9064B">
              <w:rPr>
                <w:rStyle w:val="Hyperlink"/>
                <w:noProof/>
              </w:rPr>
              <w:t>Appendix 3: Interview questionnaire</w:t>
            </w:r>
            <w:r w:rsidR="00892868">
              <w:rPr>
                <w:noProof/>
                <w:webHidden/>
              </w:rPr>
              <w:tab/>
            </w:r>
            <w:r w:rsidR="00892868">
              <w:rPr>
                <w:noProof/>
                <w:webHidden/>
              </w:rPr>
              <w:fldChar w:fldCharType="begin"/>
            </w:r>
            <w:r w:rsidR="00892868">
              <w:rPr>
                <w:noProof/>
                <w:webHidden/>
              </w:rPr>
              <w:instrText xml:space="preserve"> PAGEREF _Toc117766026 \h </w:instrText>
            </w:r>
            <w:r w:rsidR="00892868">
              <w:rPr>
                <w:noProof/>
                <w:webHidden/>
              </w:rPr>
            </w:r>
            <w:r w:rsidR="00892868">
              <w:rPr>
                <w:noProof/>
                <w:webHidden/>
              </w:rPr>
              <w:fldChar w:fldCharType="separate"/>
            </w:r>
            <w:r w:rsidR="00892868">
              <w:rPr>
                <w:noProof/>
                <w:webHidden/>
              </w:rPr>
              <w:t>236</w:t>
            </w:r>
            <w:r w:rsidR="00892868">
              <w:rPr>
                <w:noProof/>
                <w:webHidden/>
              </w:rPr>
              <w:fldChar w:fldCharType="end"/>
            </w:r>
          </w:hyperlink>
        </w:p>
        <w:p w14:paraId="5CCE576F" w14:textId="7C577582" w:rsidR="00892868" w:rsidRDefault="00000000">
          <w:pPr>
            <w:pStyle w:val="TOC2"/>
            <w:tabs>
              <w:tab w:val="left" w:pos="880"/>
            </w:tabs>
            <w:rPr>
              <w:rFonts w:eastAsiaTheme="minorEastAsia"/>
              <w:noProof/>
              <w:lang w:eastAsia="en-GB"/>
            </w:rPr>
          </w:pPr>
          <w:hyperlink w:anchor="_Toc117766027" w:history="1">
            <w:r w:rsidR="00892868" w:rsidRPr="00E9064B">
              <w:rPr>
                <w:rStyle w:val="Hyperlink"/>
                <w:noProof/>
              </w:rPr>
              <w:t>8.4</w:t>
            </w:r>
            <w:r w:rsidR="00892868">
              <w:rPr>
                <w:rFonts w:eastAsiaTheme="minorEastAsia"/>
                <w:noProof/>
                <w:lang w:eastAsia="en-GB"/>
              </w:rPr>
              <w:tab/>
            </w:r>
            <w:r w:rsidR="00892868" w:rsidRPr="00E9064B">
              <w:rPr>
                <w:rStyle w:val="Hyperlink"/>
                <w:noProof/>
              </w:rPr>
              <w:t>Appendix 4: Bacterial culture and DNA extraction protocol (Qiagen, 2020)</w:t>
            </w:r>
            <w:r w:rsidR="00892868">
              <w:rPr>
                <w:noProof/>
                <w:webHidden/>
              </w:rPr>
              <w:tab/>
            </w:r>
            <w:r w:rsidR="00892868">
              <w:rPr>
                <w:noProof/>
                <w:webHidden/>
              </w:rPr>
              <w:fldChar w:fldCharType="begin"/>
            </w:r>
            <w:r w:rsidR="00892868">
              <w:rPr>
                <w:noProof/>
                <w:webHidden/>
              </w:rPr>
              <w:instrText xml:space="preserve"> PAGEREF _Toc117766027 \h </w:instrText>
            </w:r>
            <w:r w:rsidR="00892868">
              <w:rPr>
                <w:noProof/>
                <w:webHidden/>
              </w:rPr>
            </w:r>
            <w:r w:rsidR="00892868">
              <w:rPr>
                <w:noProof/>
                <w:webHidden/>
              </w:rPr>
              <w:fldChar w:fldCharType="separate"/>
            </w:r>
            <w:r w:rsidR="00892868">
              <w:rPr>
                <w:noProof/>
                <w:webHidden/>
              </w:rPr>
              <w:t>239</w:t>
            </w:r>
            <w:r w:rsidR="00892868">
              <w:rPr>
                <w:noProof/>
                <w:webHidden/>
              </w:rPr>
              <w:fldChar w:fldCharType="end"/>
            </w:r>
          </w:hyperlink>
        </w:p>
        <w:p w14:paraId="72FD3282" w14:textId="58B1C062" w:rsidR="00892868" w:rsidRDefault="00000000">
          <w:pPr>
            <w:pStyle w:val="TOC2"/>
            <w:tabs>
              <w:tab w:val="left" w:pos="880"/>
            </w:tabs>
            <w:rPr>
              <w:rFonts w:eastAsiaTheme="minorEastAsia"/>
              <w:noProof/>
              <w:lang w:eastAsia="en-GB"/>
            </w:rPr>
          </w:pPr>
          <w:hyperlink w:anchor="_Toc117766028" w:history="1">
            <w:r w:rsidR="00892868" w:rsidRPr="00E9064B">
              <w:rPr>
                <w:rStyle w:val="Hyperlink"/>
                <w:noProof/>
              </w:rPr>
              <w:t>8.5</w:t>
            </w:r>
            <w:r w:rsidR="00892868">
              <w:rPr>
                <w:rFonts w:eastAsiaTheme="minorEastAsia"/>
                <w:noProof/>
                <w:lang w:eastAsia="en-GB"/>
              </w:rPr>
              <w:tab/>
            </w:r>
            <w:r w:rsidR="00892868" w:rsidRPr="00E9064B">
              <w:rPr>
                <w:rStyle w:val="Hyperlink"/>
                <w:noProof/>
              </w:rPr>
              <w:t>Appendix 5: Further explanation of the phases of the behavioural model</w:t>
            </w:r>
            <w:r w:rsidR="00892868">
              <w:rPr>
                <w:noProof/>
                <w:webHidden/>
              </w:rPr>
              <w:tab/>
            </w:r>
            <w:r w:rsidR="00892868">
              <w:rPr>
                <w:noProof/>
                <w:webHidden/>
              </w:rPr>
              <w:fldChar w:fldCharType="begin"/>
            </w:r>
            <w:r w:rsidR="00892868">
              <w:rPr>
                <w:noProof/>
                <w:webHidden/>
              </w:rPr>
              <w:instrText xml:space="preserve"> PAGEREF _Toc117766028 \h </w:instrText>
            </w:r>
            <w:r w:rsidR="00892868">
              <w:rPr>
                <w:noProof/>
                <w:webHidden/>
              </w:rPr>
            </w:r>
            <w:r w:rsidR="00892868">
              <w:rPr>
                <w:noProof/>
                <w:webHidden/>
              </w:rPr>
              <w:fldChar w:fldCharType="separate"/>
            </w:r>
            <w:r w:rsidR="00892868">
              <w:rPr>
                <w:noProof/>
                <w:webHidden/>
              </w:rPr>
              <w:t>241</w:t>
            </w:r>
            <w:r w:rsidR="00892868">
              <w:rPr>
                <w:noProof/>
                <w:webHidden/>
              </w:rPr>
              <w:fldChar w:fldCharType="end"/>
            </w:r>
          </w:hyperlink>
        </w:p>
        <w:p w14:paraId="7687A8B9" w14:textId="77C9EB8F" w:rsidR="00892868" w:rsidRDefault="00000000">
          <w:pPr>
            <w:pStyle w:val="TOC2"/>
            <w:tabs>
              <w:tab w:val="left" w:pos="880"/>
            </w:tabs>
            <w:rPr>
              <w:rFonts w:eastAsiaTheme="minorEastAsia"/>
              <w:noProof/>
              <w:lang w:eastAsia="en-GB"/>
            </w:rPr>
          </w:pPr>
          <w:hyperlink w:anchor="_Toc117766029" w:history="1">
            <w:r w:rsidR="00892868" w:rsidRPr="00E9064B">
              <w:rPr>
                <w:rStyle w:val="Hyperlink"/>
                <w:noProof/>
              </w:rPr>
              <w:t>8.6</w:t>
            </w:r>
            <w:r w:rsidR="00892868">
              <w:rPr>
                <w:rFonts w:eastAsiaTheme="minorEastAsia"/>
                <w:noProof/>
                <w:lang w:eastAsia="en-GB"/>
              </w:rPr>
              <w:tab/>
            </w:r>
            <w:r w:rsidR="00892868" w:rsidRPr="00E9064B">
              <w:rPr>
                <w:rStyle w:val="Hyperlink"/>
                <w:noProof/>
              </w:rPr>
              <w:t>Appendix 6: Final draft of published journal article</w:t>
            </w:r>
            <w:r w:rsidR="00892868">
              <w:rPr>
                <w:noProof/>
                <w:webHidden/>
              </w:rPr>
              <w:tab/>
            </w:r>
            <w:r w:rsidR="00892868">
              <w:rPr>
                <w:noProof/>
                <w:webHidden/>
              </w:rPr>
              <w:fldChar w:fldCharType="begin"/>
            </w:r>
            <w:r w:rsidR="00892868">
              <w:rPr>
                <w:noProof/>
                <w:webHidden/>
              </w:rPr>
              <w:instrText xml:space="preserve"> PAGEREF _Toc117766029 \h </w:instrText>
            </w:r>
            <w:r w:rsidR="00892868">
              <w:rPr>
                <w:noProof/>
                <w:webHidden/>
              </w:rPr>
            </w:r>
            <w:r w:rsidR="00892868">
              <w:rPr>
                <w:noProof/>
                <w:webHidden/>
              </w:rPr>
              <w:fldChar w:fldCharType="separate"/>
            </w:r>
            <w:r w:rsidR="00892868">
              <w:rPr>
                <w:noProof/>
                <w:webHidden/>
              </w:rPr>
              <w:t>242</w:t>
            </w:r>
            <w:r w:rsidR="00892868">
              <w:rPr>
                <w:noProof/>
                <w:webHidden/>
              </w:rPr>
              <w:fldChar w:fldCharType="end"/>
            </w:r>
          </w:hyperlink>
        </w:p>
        <w:p w14:paraId="4D60B904" w14:textId="10BE7297" w:rsidR="00892868" w:rsidRDefault="00000000">
          <w:pPr>
            <w:pStyle w:val="TOC2"/>
            <w:tabs>
              <w:tab w:val="left" w:pos="880"/>
            </w:tabs>
            <w:rPr>
              <w:rFonts w:eastAsiaTheme="minorEastAsia"/>
              <w:noProof/>
              <w:lang w:eastAsia="en-GB"/>
            </w:rPr>
          </w:pPr>
          <w:hyperlink w:anchor="_Toc117766030" w:history="1">
            <w:r w:rsidR="00892868" w:rsidRPr="00E9064B">
              <w:rPr>
                <w:rStyle w:val="Hyperlink"/>
                <w:noProof/>
              </w:rPr>
              <w:t>8.7</w:t>
            </w:r>
            <w:r w:rsidR="00892868">
              <w:rPr>
                <w:rFonts w:eastAsiaTheme="minorEastAsia"/>
                <w:noProof/>
                <w:lang w:eastAsia="en-GB"/>
              </w:rPr>
              <w:tab/>
            </w:r>
            <w:r w:rsidR="00892868" w:rsidRPr="00E9064B">
              <w:rPr>
                <w:rStyle w:val="Hyperlink"/>
                <w:noProof/>
              </w:rPr>
              <w:t>Appendix 7: BAL bacterial culture results from participants in PBB study 1 and 2</w:t>
            </w:r>
            <w:r w:rsidR="00892868">
              <w:rPr>
                <w:noProof/>
                <w:webHidden/>
              </w:rPr>
              <w:tab/>
            </w:r>
            <w:r w:rsidR="00892868">
              <w:rPr>
                <w:noProof/>
                <w:webHidden/>
              </w:rPr>
              <w:fldChar w:fldCharType="begin"/>
            </w:r>
            <w:r w:rsidR="00892868">
              <w:rPr>
                <w:noProof/>
                <w:webHidden/>
              </w:rPr>
              <w:instrText xml:space="preserve"> PAGEREF _Toc117766030 \h </w:instrText>
            </w:r>
            <w:r w:rsidR="00892868">
              <w:rPr>
                <w:noProof/>
                <w:webHidden/>
              </w:rPr>
            </w:r>
            <w:r w:rsidR="00892868">
              <w:rPr>
                <w:noProof/>
                <w:webHidden/>
              </w:rPr>
              <w:fldChar w:fldCharType="separate"/>
            </w:r>
            <w:r w:rsidR="00892868">
              <w:rPr>
                <w:noProof/>
                <w:webHidden/>
              </w:rPr>
              <w:t>267</w:t>
            </w:r>
            <w:r w:rsidR="00892868">
              <w:rPr>
                <w:noProof/>
                <w:webHidden/>
              </w:rPr>
              <w:fldChar w:fldCharType="end"/>
            </w:r>
          </w:hyperlink>
        </w:p>
        <w:p w14:paraId="12A6B961" w14:textId="70835401" w:rsidR="00892868" w:rsidRDefault="00000000">
          <w:pPr>
            <w:pStyle w:val="TOC3"/>
            <w:rPr>
              <w:rFonts w:eastAsiaTheme="minorEastAsia"/>
              <w:noProof/>
              <w:lang w:eastAsia="en-GB"/>
            </w:rPr>
          </w:pPr>
          <w:hyperlink w:anchor="_Toc117766031" w:history="1">
            <w:r w:rsidR="00892868" w:rsidRPr="00E9064B">
              <w:rPr>
                <w:rStyle w:val="Hyperlink"/>
                <w:noProof/>
              </w:rPr>
              <w:t>8.7.1</w:t>
            </w:r>
            <w:r w:rsidR="00892868">
              <w:rPr>
                <w:rFonts w:eastAsiaTheme="minorEastAsia"/>
                <w:noProof/>
                <w:lang w:eastAsia="en-GB"/>
              </w:rPr>
              <w:tab/>
            </w:r>
            <w:r w:rsidR="00892868" w:rsidRPr="00E9064B">
              <w:rPr>
                <w:rStyle w:val="Hyperlink"/>
                <w:noProof/>
              </w:rPr>
              <w:t>BAL results of participants with a microbiological diagnosis of PBB – Study 1 PBB</w:t>
            </w:r>
            <w:r w:rsidR="00892868">
              <w:rPr>
                <w:noProof/>
                <w:webHidden/>
              </w:rPr>
              <w:tab/>
            </w:r>
            <w:r w:rsidR="00892868">
              <w:rPr>
                <w:noProof/>
                <w:webHidden/>
              </w:rPr>
              <w:fldChar w:fldCharType="begin"/>
            </w:r>
            <w:r w:rsidR="00892868">
              <w:rPr>
                <w:noProof/>
                <w:webHidden/>
              </w:rPr>
              <w:instrText xml:space="preserve"> PAGEREF _Toc117766031 \h </w:instrText>
            </w:r>
            <w:r w:rsidR="00892868">
              <w:rPr>
                <w:noProof/>
                <w:webHidden/>
              </w:rPr>
            </w:r>
            <w:r w:rsidR="00892868">
              <w:rPr>
                <w:noProof/>
                <w:webHidden/>
              </w:rPr>
              <w:fldChar w:fldCharType="separate"/>
            </w:r>
            <w:r w:rsidR="00892868">
              <w:rPr>
                <w:noProof/>
                <w:webHidden/>
              </w:rPr>
              <w:t>267</w:t>
            </w:r>
            <w:r w:rsidR="00892868">
              <w:rPr>
                <w:noProof/>
                <w:webHidden/>
              </w:rPr>
              <w:fldChar w:fldCharType="end"/>
            </w:r>
          </w:hyperlink>
        </w:p>
        <w:p w14:paraId="2122796F" w14:textId="5E18B71E" w:rsidR="00892868" w:rsidRDefault="00000000">
          <w:pPr>
            <w:pStyle w:val="TOC3"/>
            <w:rPr>
              <w:rFonts w:eastAsiaTheme="minorEastAsia"/>
              <w:noProof/>
              <w:lang w:eastAsia="en-GB"/>
            </w:rPr>
          </w:pPr>
          <w:hyperlink w:anchor="_Toc117766032" w:history="1">
            <w:r w:rsidR="00892868" w:rsidRPr="00E9064B">
              <w:rPr>
                <w:rStyle w:val="Hyperlink"/>
                <w:noProof/>
              </w:rPr>
              <w:t>8.7.2</w:t>
            </w:r>
            <w:r w:rsidR="00892868">
              <w:rPr>
                <w:rFonts w:eastAsiaTheme="minorEastAsia"/>
                <w:noProof/>
                <w:lang w:eastAsia="en-GB"/>
              </w:rPr>
              <w:tab/>
            </w:r>
            <w:r w:rsidR="00892868" w:rsidRPr="00E9064B">
              <w:rPr>
                <w:rStyle w:val="Hyperlink"/>
                <w:noProof/>
              </w:rPr>
              <w:t>BAL results of participants with a microbiological diagnosis of PBB – Study PBB 2</w:t>
            </w:r>
            <w:r w:rsidR="00892868">
              <w:rPr>
                <w:noProof/>
                <w:webHidden/>
              </w:rPr>
              <w:tab/>
            </w:r>
            <w:r w:rsidR="00892868">
              <w:rPr>
                <w:noProof/>
                <w:webHidden/>
              </w:rPr>
              <w:fldChar w:fldCharType="begin"/>
            </w:r>
            <w:r w:rsidR="00892868">
              <w:rPr>
                <w:noProof/>
                <w:webHidden/>
              </w:rPr>
              <w:instrText xml:space="preserve"> PAGEREF _Toc117766032 \h </w:instrText>
            </w:r>
            <w:r w:rsidR="00892868">
              <w:rPr>
                <w:noProof/>
                <w:webHidden/>
              </w:rPr>
            </w:r>
            <w:r w:rsidR="00892868">
              <w:rPr>
                <w:noProof/>
                <w:webHidden/>
              </w:rPr>
              <w:fldChar w:fldCharType="separate"/>
            </w:r>
            <w:r w:rsidR="00892868">
              <w:rPr>
                <w:noProof/>
                <w:webHidden/>
              </w:rPr>
              <w:t>267</w:t>
            </w:r>
            <w:r w:rsidR="00892868">
              <w:rPr>
                <w:noProof/>
                <w:webHidden/>
              </w:rPr>
              <w:fldChar w:fldCharType="end"/>
            </w:r>
          </w:hyperlink>
        </w:p>
        <w:p w14:paraId="42995DD5" w14:textId="4C795C16" w:rsidR="00892868" w:rsidRDefault="00000000">
          <w:pPr>
            <w:pStyle w:val="TOC2"/>
            <w:tabs>
              <w:tab w:val="left" w:pos="880"/>
            </w:tabs>
            <w:rPr>
              <w:rFonts w:eastAsiaTheme="minorEastAsia"/>
              <w:noProof/>
              <w:lang w:eastAsia="en-GB"/>
            </w:rPr>
          </w:pPr>
          <w:hyperlink w:anchor="_Toc117766033" w:history="1">
            <w:r w:rsidR="00892868" w:rsidRPr="00E9064B">
              <w:rPr>
                <w:rStyle w:val="Hyperlink"/>
                <w:noProof/>
              </w:rPr>
              <w:t>8.8</w:t>
            </w:r>
            <w:r w:rsidR="00892868">
              <w:rPr>
                <w:rFonts w:eastAsiaTheme="minorEastAsia"/>
                <w:noProof/>
                <w:lang w:eastAsia="en-GB"/>
              </w:rPr>
              <w:tab/>
            </w:r>
            <w:r w:rsidR="00892868" w:rsidRPr="00E9064B">
              <w:rPr>
                <w:rStyle w:val="Hyperlink"/>
                <w:noProof/>
              </w:rPr>
              <w:t>Appendix 8: PBB study 1: MIC data</w:t>
            </w:r>
            <w:r w:rsidR="00892868">
              <w:rPr>
                <w:noProof/>
                <w:webHidden/>
              </w:rPr>
              <w:tab/>
            </w:r>
            <w:r w:rsidR="00892868">
              <w:rPr>
                <w:noProof/>
                <w:webHidden/>
              </w:rPr>
              <w:fldChar w:fldCharType="begin"/>
            </w:r>
            <w:r w:rsidR="00892868">
              <w:rPr>
                <w:noProof/>
                <w:webHidden/>
              </w:rPr>
              <w:instrText xml:space="preserve"> PAGEREF _Toc117766033 \h </w:instrText>
            </w:r>
            <w:r w:rsidR="00892868">
              <w:rPr>
                <w:noProof/>
                <w:webHidden/>
              </w:rPr>
            </w:r>
            <w:r w:rsidR="00892868">
              <w:rPr>
                <w:noProof/>
                <w:webHidden/>
              </w:rPr>
              <w:fldChar w:fldCharType="separate"/>
            </w:r>
            <w:r w:rsidR="00892868">
              <w:rPr>
                <w:noProof/>
                <w:webHidden/>
              </w:rPr>
              <w:t>268</w:t>
            </w:r>
            <w:r w:rsidR="00892868">
              <w:rPr>
                <w:noProof/>
                <w:webHidden/>
              </w:rPr>
              <w:fldChar w:fldCharType="end"/>
            </w:r>
          </w:hyperlink>
        </w:p>
        <w:p w14:paraId="10B18B4D" w14:textId="1EA42A02" w:rsidR="00892868" w:rsidRDefault="00000000">
          <w:pPr>
            <w:pStyle w:val="TOC2"/>
            <w:tabs>
              <w:tab w:val="left" w:pos="880"/>
            </w:tabs>
            <w:rPr>
              <w:rFonts w:eastAsiaTheme="minorEastAsia"/>
              <w:noProof/>
              <w:lang w:eastAsia="en-GB"/>
            </w:rPr>
          </w:pPr>
          <w:hyperlink w:anchor="_Toc117766034" w:history="1">
            <w:r w:rsidR="00892868" w:rsidRPr="00E9064B">
              <w:rPr>
                <w:rStyle w:val="Hyperlink"/>
                <w:noProof/>
              </w:rPr>
              <w:t>8.9</w:t>
            </w:r>
            <w:r w:rsidR="00892868">
              <w:rPr>
                <w:rFonts w:eastAsiaTheme="minorEastAsia"/>
                <w:noProof/>
                <w:lang w:eastAsia="en-GB"/>
              </w:rPr>
              <w:tab/>
            </w:r>
            <w:r w:rsidR="00892868" w:rsidRPr="00E9064B">
              <w:rPr>
                <w:rStyle w:val="Hyperlink"/>
                <w:noProof/>
              </w:rPr>
              <w:t>Appendix 9: Quality control using ‘decontam’ in R</w:t>
            </w:r>
            <w:r w:rsidR="00892868">
              <w:rPr>
                <w:noProof/>
                <w:webHidden/>
              </w:rPr>
              <w:tab/>
            </w:r>
            <w:r w:rsidR="00892868">
              <w:rPr>
                <w:noProof/>
                <w:webHidden/>
              </w:rPr>
              <w:fldChar w:fldCharType="begin"/>
            </w:r>
            <w:r w:rsidR="00892868">
              <w:rPr>
                <w:noProof/>
                <w:webHidden/>
              </w:rPr>
              <w:instrText xml:space="preserve"> PAGEREF _Toc117766034 \h </w:instrText>
            </w:r>
            <w:r w:rsidR="00892868">
              <w:rPr>
                <w:noProof/>
                <w:webHidden/>
              </w:rPr>
            </w:r>
            <w:r w:rsidR="00892868">
              <w:rPr>
                <w:noProof/>
                <w:webHidden/>
              </w:rPr>
              <w:fldChar w:fldCharType="separate"/>
            </w:r>
            <w:r w:rsidR="00892868">
              <w:rPr>
                <w:noProof/>
                <w:webHidden/>
              </w:rPr>
              <w:t>269</w:t>
            </w:r>
            <w:r w:rsidR="00892868">
              <w:rPr>
                <w:noProof/>
                <w:webHidden/>
              </w:rPr>
              <w:fldChar w:fldCharType="end"/>
            </w:r>
          </w:hyperlink>
        </w:p>
        <w:p w14:paraId="0639B110" w14:textId="1323DF44" w:rsidR="00892868" w:rsidRDefault="00000000">
          <w:pPr>
            <w:pStyle w:val="TOC3"/>
            <w:rPr>
              <w:rFonts w:eastAsiaTheme="minorEastAsia"/>
              <w:noProof/>
              <w:lang w:eastAsia="en-GB"/>
            </w:rPr>
          </w:pPr>
          <w:hyperlink w:anchor="_Toc117766035" w:history="1">
            <w:r w:rsidR="00892868" w:rsidRPr="00E9064B">
              <w:rPr>
                <w:rStyle w:val="Hyperlink"/>
                <w:noProof/>
              </w:rPr>
              <w:t>8.9.1</w:t>
            </w:r>
            <w:r w:rsidR="00892868">
              <w:rPr>
                <w:rFonts w:eastAsiaTheme="minorEastAsia"/>
                <w:noProof/>
                <w:lang w:eastAsia="en-GB"/>
              </w:rPr>
              <w:tab/>
            </w:r>
            <w:r w:rsidR="00892868" w:rsidRPr="00E9064B">
              <w:rPr>
                <w:rStyle w:val="Hyperlink"/>
                <w:noProof/>
              </w:rPr>
              <w:t>Raw reads in relation to sample type</w:t>
            </w:r>
            <w:r w:rsidR="00892868">
              <w:rPr>
                <w:noProof/>
                <w:webHidden/>
              </w:rPr>
              <w:tab/>
            </w:r>
            <w:r w:rsidR="00892868">
              <w:rPr>
                <w:noProof/>
                <w:webHidden/>
              </w:rPr>
              <w:fldChar w:fldCharType="begin"/>
            </w:r>
            <w:r w:rsidR="00892868">
              <w:rPr>
                <w:noProof/>
                <w:webHidden/>
              </w:rPr>
              <w:instrText xml:space="preserve"> PAGEREF _Toc117766035 \h </w:instrText>
            </w:r>
            <w:r w:rsidR="00892868">
              <w:rPr>
                <w:noProof/>
                <w:webHidden/>
              </w:rPr>
            </w:r>
            <w:r w:rsidR="00892868">
              <w:rPr>
                <w:noProof/>
                <w:webHidden/>
              </w:rPr>
              <w:fldChar w:fldCharType="separate"/>
            </w:r>
            <w:r w:rsidR="00892868">
              <w:rPr>
                <w:noProof/>
                <w:webHidden/>
              </w:rPr>
              <w:t>269</w:t>
            </w:r>
            <w:r w:rsidR="00892868">
              <w:rPr>
                <w:noProof/>
                <w:webHidden/>
              </w:rPr>
              <w:fldChar w:fldCharType="end"/>
            </w:r>
          </w:hyperlink>
        </w:p>
        <w:p w14:paraId="6E4A6D1B" w14:textId="5C19E33E" w:rsidR="00892868" w:rsidRDefault="00000000">
          <w:pPr>
            <w:pStyle w:val="TOC3"/>
            <w:rPr>
              <w:rFonts w:eastAsiaTheme="minorEastAsia"/>
              <w:noProof/>
              <w:lang w:eastAsia="en-GB"/>
            </w:rPr>
          </w:pPr>
          <w:hyperlink w:anchor="_Toc117766036" w:history="1">
            <w:r w:rsidR="00892868" w:rsidRPr="00E9064B">
              <w:rPr>
                <w:rStyle w:val="Hyperlink"/>
                <w:noProof/>
              </w:rPr>
              <w:t>8.9.2</w:t>
            </w:r>
            <w:r w:rsidR="00892868">
              <w:rPr>
                <w:rFonts w:eastAsiaTheme="minorEastAsia"/>
                <w:noProof/>
                <w:lang w:eastAsia="en-GB"/>
              </w:rPr>
              <w:tab/>
            </w:r>
            <w:r w:rsidR="00892868" w:rsidRPr="00E9064B">
              <w:rPr>
                <w:rStyle w:val="Hyperlink"/>
                <w:noProof/>
              </w:rPr>
              <w:t>Microbial composition of all negative controls</w:t>
            </w:r>
            <w:r w:rsidR="00892868">
              <w:rPr>
                <w:noProof/>
                <w:webHidden/>
              </w:rPr>
              <w:tab/>
            </w:r>
            <w:r w:rsidR="00892868">
              <w:rPr>
                <w:noProof/>
                <w:webHidden/>
              </w:rPr>
              <w:fldChar w:fldCharType="begin"/>
            </w:r>
            <w:r w:rsidR="00892868">
              <w:rPr>
                <w:noProof/>
                <w:webHidden/>
              </w:rPr>
              <w:instrText xml:space="preserve"> PAGEREF _Toc117766036 \h </w:instrText>
            </w:r>
            <w:r w:rsidR="00892868">
              <w:rPr>
                <w:noProof/>
                <w:webHidden/>
              </w:rPr>
            </w:r>
            <w:r w:rsidR="00892868">
              <w:rPr>
                <w:noProof/>
                <w:webHidden/>
              </w:rPr>
              <w:fldChar w:fldCharType="separate"/>
            </w:r>
            <w:r w:rsidR="00892868">
              <w:rPr>
                <w:noProof/>
                <w:webHidden/>
              </w:rPr>
              <w:t>270</w:t>
            </w:r>
            <w:r w:rsidR="00892868">
              <w:rPr>
                <w:noProof/>
                <w:webHidden/>
              </w:rPr>
              <w:fldChar w:fldCharType="end"/>
            </w:r>
          </w:hyperlink>
        </w:p>
        <w:p w14:paraId="38488AC9" w14:textId="04E2B602" w:rsidR="00892868" w:rsidRDefault="00000000">
          <w:pPr>
            <w:pStyle w:val="TOC3"/>
            <w:rPr>
              <w:rFonts w:eastAsiaTheme="minorEastAsia"/>
              <w:noProof/>
              <w:lang w:eastAsia="en-GB"/>
            </w:rPr>
          </w:pPr>
          <w:hyperlink w:anchor="_Toc117766037" w:history="1">
            <w:r w:rsidR="00892868" w:rsidRPr="00E9064B">
              <w:rPr>
                <w:rStyle w:val="Hyperlink"/>
                <w:noProof/>
              </w:rPr>
              <w:t>8.9.3</w:t>
            </w:r>
            <w:r w:rsidR="00892868">
              <w:rPr>
                <w:rFonts w:eastAsiaTheme="minorEastAsia"/>
                <w:noProof/>
                <w:lang w:eastAsia="en-GB"/>
              </w:rPr>
              <w:tab/>
            </w:r>
            <w:r w:rsidR="00892868" w:rsidRPr="00E9064B">
              <w:rPr>
                <w:rStyle w:val="Hyperlink"/>
                <w:noProof/>
              </w:rPr>
              <w:t>Microbial composition of the mock communities</w:t>
            </w:r>
            <w:r w:rsidR="00892868">
              <w:rPr>
                <w:noProof/>
                <w:webHidden/>
              </w:rPr>
              <w:tab/>
            </w:r>
            <w:r w:rsidR="00892868">
              <w:rPr>
                <w:noProof/>
                <w:webHidden/>
              </w:rPr>
              <w:fldChar w:fldCharType="begin"/>
            </w:r>
            <w:r w:rsidR="00892868">
              <w:rPr>
                <w:noProof/>
                <w:webHidden/>
              </w:rPr>
              <w:instrText xml:space="preserve"> PAGEREF _Toc117766037 \h </w:instrText>
            </w:r>
            <w:r w:rsidR="00892868">
              <w:rPr>
                <w:noProof/>
                <w:webHidden/>
              </w:rPr>
            </w:r>
            <w:r w:rsidR="00892868">
              <w:rPr>
                <w:noProof/>
                <w:webHidden/>
              </w:rPr>
              <w:fldChar w:fldCharType="separate"/>
            </w:r>
            <w:r w:rsidR="00892868">
              <w:rPr>
                <w:noProof/>
                <w:webHidden/>
              </w:rPr>
              <w:t>271</w:t>
            </w:r>
            <w:r w:rsidR="00892868">
              <w:rPr>
                <w:noProof/>
                <w:webHidden/>
              </w:rPr>
              <w:fldChar w:fldCharType="end"/>
            </w:r>
          </w:hyperlink>
        </w:p>
        <w:p w14:paraId="5201231A" w14:textId="3815BF7F" w:rsidR="00892868" w:rsidRDefault="00000000">
          <w:pPr>
            <w:pStyle w:val="TOC3"/>
            <w:rPr>
              <w:rFonts w:eastAsiaTheme="minorEastAsia"/>
              <w:noProof/>
              <w:lang w:eastAsia="en-GB"/>
            </w:rPr>
          </w:pPr>
          <w:hyperlink w:anchor="_Toc117766038" w:history="1">
            <w:r w:rsidR="00892868" w:rsidRPr="00E9064B">
              <w:rPr>
                <w:rStyle w:val="Hyperlink"/>
                <w:noProof/>
              </w:rPr>
              <w:t>8.9.4</w:t>
            </w:r>
            <w:r w:rsidR="00892868">
              <w:rPr>
                <w:rFonts w:eastAsiaTheme="minorEastAsia"/>
                <w:noProof/>
                <w:lang w:eastAsia="en-GB"/>
              </w:rPr>
              <w:tab/>
            </w:r>
            <w:r w:rsidR="00892868" w:rsidRPr="00E9064B">
              <w:rPr>
                <w:rStyle w:val="Hyperlink"/>
                <w:noProof/>
              </w:rPr>
              <w:t>Microbial composition of the Iso_blank controls</w:t>
            </w:r>
            <w:r w:rsidR="00892868">
              <w:rPr>
                <w:noProof/>
                <w:webHidden/>
              </w:rPr>
              <w:tab/>
            </w:r>
            <w:r w:rsidR="00892868">
              <w:rPr>
                <w:noProof/>
                <w:webHidden/>
              </w:rPr>
              <w:fldChar w:fldCharType="begin"/>
            </w:r>
            <w:r w:rsidR="00892868">
              <w:rPr>
                <w:noProof/>
                <w:webHidden/>
              </w:rPr>
              <w:instrText xml:space="preserve"> PAGEREF _Toc117766038 \h </w:instrText>
            </w:r>
            <w:r w:rsidR="00892868">
              <w:rPr>
                <w:noProof/>
                <w:webHidden/>
              </w:rPr>
            </w:r>
            <w:r w:rsidR="00892868">
              <w:rPr>
                <w:noProof/>
                <w:webHidden/>
              </w:rPr>
              <w:fldChar w:fldCharType="separate"/>
            </w:r>
            <w:r w:rsidR="00892868">
              <w:rPr>
                <w:noProof/>
                <w:webHidden/>
              </w:rPr>
              <w:t>272</w:t>
            </w:r>
            <w:r w:rsidR="00892868">
              <w:rPr>
                <w:noProof/>
                <w:webHidden/>
              </w:rPr>
              <w:fldChar w:fldCharType="end"/>
            </w:r>
          </w:hyperlink>
        </w:p>
        <w:p w14:paraId="10AC6D5F" w14:textId="6379DB50" w:rsidR="00892868" w:rsidRDefault="00000000">
          <w:pPr>
            <w:pStyle w:val="TOC3"/>
            <w:rPr>
              <w:rFonts w:eastAsiaTheme="minorEastAsia"/>
              <w:noProof/>
              <w:lang w:eastAsia="en-GB"/>
            </w:rPr>
          </w:pPr>
          <w:hyperlink w:anchor="_Toc117766039" w:history="1">
            <w:r w:rsidR="00892868" w:rsidRPr="00E9064B">
              <w:rPr>
                <w:rStyle w:val="Hyperlink"/>
                <w:noProof/>
              </w:rPr>
              <w:t>8.9.5</w:t>
            </w:r>
            <w:r w:rsidR="00892868">
              <w:rPr>
                <w:rFonts w:eastAsiaTheme="minorEastAsia"/>
                <w:noProof/>
                <w:lang w:eastAsia="en-GB"/>
              </w:rPr>
              <w:tab/>
            </w:r>
            <w:r w:rsidR="00892868" w:rsidRPr="00E9064B">
              <w:rPr>
                <w:rStyle w:val="Hyperlink"/>
                <w:noProof/>
              </w:rPr>
              <w:t>Microbial composition of the nasopharyngeal swab transport medium blanks</w:t>
            </w:r>
            <w:r w:rsidR="00892868">
              <w:rPr>
                <w:noProof/>
                <w:webHidden/>
              </w:rPr>
              <w:tab/>
            </w:r>
            <w:r w:rsidR="00892868">
              <w:rPr>
                <w:noProof/>
                <w:webHidden/>
              </w:rPr>
              <w:fldChar w:fldCharType="begin"/>
            </w:r>
            <w:r w:rsidR="00892868">
              <w:rPr>
                <w:noProof/>
                <w:webHidden/>
              </w:rPr>
              <w:instrText xml:space="preserve"> PAGEREF _Toc117766039 \h </w:instrText>
            </w:r>
            <w:r w:rsidR="00892868">
              <w:rPr>
                <w:noProof/>
                <w:webHidden/>
              </w:rPr>
            </w:r>
            <w:r w:rsidR="00892868">
              <w:rPr>
                <w:noProof/>
                <w:webHidden/>
              </w:rPr>
              <w:fldChar w:fldCharType="separate"/>
            </w:r>
            <w:r w:rsidR="00892868">
              <w:rPr>
                <w:noProof/>
                <w:webHidden/>
              </w:rPr>
              <w:t>273</w:t>
            </w:r>
            <w:r w:rsidR="00892868">
              <w:rPr>
                <w:noProof/>
                <w:webHidden/>
              </w:rPr>
              <w:fldChar w:fldCharType="end"/>
            </w:r>
          </w:hyperlink>
        </w:p>
        <w:p w14:paraId="41EC8F95" w14:textId="0A9313D1" w:rsidR="00892868" w:rsidRDefault="00000000">
          <w:pPr>
            <w:pStyle w:val="TOC2"/>
            <w:tabs>
              <w:tab w:val="left" w:pos="880"/>
            </w:tabs>
            <w:rPr>
              <w:rFonts w:eastAsiaTheme="minorEastAsia"/>
              <w:noProof/>
              <w:lang w:eastAsia="en-GB"/>
            </w:rPr>
          </w:pPr>
          <w:hyperlink w:anchor="_Toc117766040" w:history="1">
            <w:r w:rsidR="00892868" w:rsidRPr="00E9064B">
              <w:rPr>
                <w:rStyle w:val="Hyperlink"/>
                <w:noProof/>
              </w:rPr>
              <w:t>8.10</w:t>
            </w:r>
            <w:r w:rsidR="00892868">
              <w:rPr>
                <w:rFonts w:eastAsiaTheme="minorEastAsia"/>
                <w:noProof/>
                <w:lang w:eastAsia="en-GB"/>
              </w:rPr>
              <w:tab/>
            </w:r>
            <w:r w:rsidR="00892868" w:rsidRPr="00E9064B">
              <w:rPr>
                <w:rStyle w:val="Hyperlink"/>
                <w:noProof/>
              </w:rPr>
              <w:t>Appendix 9: Additional NMDS plots</w:t>
            </w:r>
            <w:r w:rsidR="00892868">
              <w:rPr>
                <w:noProof/>
                <w:webHidden/>
              </w:rPr>
              <w:tab/>
            </w:r>
            <w:r w:rsidR="00892868">
              <w:rPr>
                <w:noProof/>
                <w:webHidden/>
              </w:rPr>
              <w:fldChar w:fldCharType="begin"/>
            </w:r>
            <w:r w:rsidR="00892868">
              <w:rPr>
                <w:noProof/>
                <w:webHidden/>
              </w:rPr>
              <w:instrText xml:space="preserve"> PAGEREF _Toc117766040 \h </w:instrText>
            </w:r>
            <w:r w:rsidR="00892868">
              <w:rPr>
                <w:noProof/>
                <w:webHidden/>
              </w:rPr>
            </w:r>
            <w:r w:rsidR="00892868">
              <w:rPr>
                <w:noProof/>
                <w:webHidden/>
              </w:rPr>
              <w:fldChar w:fldCharType="separate"/>
            </w:r>
            <w:r w:rsidR="00892868">
              <w:rPr>
                <w:noProof/>
                <w:webHidden/>
              </w:rPr>
              <w:t>274</w:t>
            </w:r>
            <w:r w:rsidR="00892868">
              <w:rPr>
                <w:noProof/>
                <w:webHidden/>
              </w:rPr>
              <w:fldChar w:fldCharType="end"/>
            </w:r>
          </w:hyperlink>
        </w:p>
        <w:p w14:paraId="2B4D1834" w14:textId="71720C90" w:rsidR="00892868" w:rsidRDefault="00000000">
          <w:pPr>
            <w:pStyle w:val="TOC2"/>
            <w:tabs>
              <w:tab w:val="left" w:pos="880"/>
            </w:tabs>
            <w:rPr>
              <w:rFonts w:eastAsiaTheme="minorEastAsia"/>
              <w:noProof/>
              <w:lang w:eastAsia="en-GB"/>
            </w:rPr>
          </w:pPr>
          <w:hyperlink w:anchor="_Toc117766041" w:history="1">
            <w:r w:rsidR="00892868" w:rsidRPr="00E9064B">
              <w:rPr>
                <w:rStyle w:val="Hyperlink"/>
                <w:noProof/>
              </w:rPr>
              <w:t>8.11</w:t>
            </w:r>
            <w:r w:rsidR="00892868">
              <w:rPr>
                <w:rFonts w:eastAsiaTheme="minorEastAsia"/>
                <w:noProof/>
                <w:lang w:eastAsia="en-GB"/>
              </w:rPr>
              <w:tab/>
            </w:r>
            <w:r w:rsidR="00892868" w:rsidRPr="00E9064B">
              <w:rPr>
                <w:rStyle w:val="Hyperlink"/>
                <w:noProof/>
              </w:rPr>
              <w:t>Appendix 10: Draft of clinical trial protocol for future study</w:t>
            </w:r>
            <w:r w:rsidR="00892868">
              <w:rPr>
                <w:noProof/>
                <w:webHidden/>
              </w:rPr>
              <w:tab/>
            </w:r>
            <w:r w:rsidR="00892868">
              <w:rPr>
                <w:noProof/>
                <w:webHidden/>
              </w:rPr>
              <w:fldChar w:fldCharType="begin"/>
            </w:r>
            <w:r w:rsidR="00892868">
              <w:rPr>
                <w:noProof/>
                <w:webHidden/>
              </w:rPr>
              <w:instrText xml:space="preserve"> PAGEREF _Toc117766041 \h </w:instrText>
            </w:r>
            <w:r w:rsidR="00892868">
              <w:rPr>
                <w:noProof/>
                <w:webHidden/>
              </w:rPr>
            </w:r>
            <w:r w:rsidR="00892868">
              <w:rPr>
                <w:noProof/>
                <w:webHidden/>
              </w:rPr>
              <w:fldChar w:fldCharType="separate"/>
            </w:r>
            <w:r w:rsidR="00892868">
              <w:rPr>
                <w:noProof/>
                <w:webHidden/>
              </w:rPr>
              <w:t>277</w:t>
            </w:r>
            <w:r w:rsidR="00892868">
              <w:rPr>
                <w:noProof/>
                <w:webHidden/>
              </w:rPr>
              <w:fldChar w:fldCharType="end"/>
            </w:r>
          </w:hyperlink>
        </w:p>
        <w:p w14:paraId="69686430" w14:textId="716F6E59" w:rsidR="00C93C4B" w:rsidRPr="009043C6" w:rsidRDefault="00C93C4B" w:rsidP="009043C6">
          <w:pPr>
            <w:pStyle w:val="TOC2"/>
            <w:ind w:left="0"/>
            <w:rPr>
              <w:rFonts w:eastAsiaTheme="minorEastAsia"/>
              <w:noProof/>
              <w:sz w:val="24"/>
              <w:szCs w:val="24"/>
              <w:lang w:eastAsia="en-GB"/>
            </w:rPr>
          </w:pPr>
          <w:r w:rsidRPr="00B42561">
            <w:rPr>
              <w:b/>
              <w:bCs/>
              <w:noProof/>
              <w:sz w:val="24"/>
              <w:szCs w:val="24"/>
            </w:rPr>
            <w:fldChar w:fldCharType="end"/>
          </w:r>
        </w:p>
      </w:sdtContent>
    </w:sdt>
    <w:p w14:paraId="64D882A4" w14:textId="77777777" w:rsidR="00D50D14" w:rsidRPr="005D31BA" w:rsidRDefault="00AB2087" w:rsidP="00EA769B">
      <w:pPr>
        <w:pStyle w:val="Heading1"/>
        <w:numPr>
          <w:ilvl w:val="0"/>
          <w:numId w:val="0"/>
        </w:numPr>
        <w:ind w:left="432" w:hanging="432"/>
        <w:rPr>
          <w:sz w:val="24"/>
          <w:szCs w:val="24"/>
        </w:rPr>
      </w:pPr>
      <w:r w:rsidRPr="00241369">
        <w:br w:type="page"/>
      </w:r>
      <w:bookmarkStart w:id="3" w:name="_Toc117765873"/>
      <w:r w:rsidRPr="005D31BA">
        <w:rPr>
          <w:sz w:val="24"/>
          <w:szCs w:val="24"/>
        </w:rPr>
        <w:lastRenderedPageBreak/>
        <w:t>List of figures</w:t>
      </w:r>
      <w:bookmarkEnd w:id="3"/>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r w:rsidR="000E5D2B" w:rsidRPr="005D31BA">
        <w:rPr>
          <w:sz w:val="24"/>
          <w:szCs w:val="24"/>
        </w:rPr>
        <w:tab/>
      </w:r>
    </w:p>
    <w:p w14:paraId="572BF1B8" w14:textId="72279D29" w:rsidR="0055667E" w:rsidRDefault="00754FA4">
      <w:pPr>
        <w:pStyle w:val="TableofFigures"/>
        <w:tabs>
          <w:tab w:val="right" w:leader="dot" w:pos="9350"/>
        </w:tabs>
        <w:rPr>
          <w:rFonts w:eastAsiaTheme="minorEastAsia"/>
          <w:noProof/>
          <w:lang w:eastAsia="en-GB"/>
        </w:rPr>
      </w:pPr>
      <w:r w:rsidRPr="00B42561">
        <w:rPr>
          <w:sz w:val="24"/>
          <w:szCs w:val="24"/>
        </w:rPr>
        <w:fldChar w:fldCharType="begin"/>
      </w:r>
      <w:r w:rsidRPr="00B42561">
        <w:rPr>
          <w:sz w:val="24"/>
          <w:szCs w:val="24"/>
        </w:rPr>
        <w:instrText xml:space="preserve"> TOC \h \z \c "Figure" </w:instrText>
      </w:r>
      <w:r w:rsidRPr="00B42561">
        <w:rPr>
          <w:sz w:val="24"/>
          <w:szCs w:val="24"/>
        </w:rPr>
        <w:fldChar w:fldCharType="separate"/>
      </w:r>
      <w:hyperlink w:anchor="_Toc117780208" w:history="1">
        <w:r w:rsidR="0055667E" w:rsidRPr="00E817D9">
          <w:rPr>
            <w:rStyle w:val="Hyperlink"/>
            <w:b/>
            <w:bCs/>
            <w:noProof/>
          </w:rPr>
          <w:t>Figure 1</w:t>
        </w:r>
        <w:r w:rsidR="0055667E" w:rsidRPr="00E817D9">
          <w:rPr>
            <w:rStyle w:val="Hyperlink"/>
            <w:b/>
            <w:bCs/>
            <w:noProof/>
          </w:rPr>
          <w:noBreakHyphen/>
          <w:t xml:space="preserve">1: </w:t>
        </w:r>
        <w:r w:rsidR="0055667E" w:rsidRPr="00E817D9">
          <w:rPr>
            <w:rStyle w:val="Hyperlink"/>
            <w:noProof/>
          </w:rPr>
          <w:t>Proposed diagnostic pathway for children with chronic cough</w:t>
        </w:r>
        <w:r w:rsidR="0055667E">
          <w:rPr>
            <w:noProof/>
            <w:webHidden/>
          </w:rPr>
          <w:tab/>
        </w:r>
        <w:r w:rsidR="0055667E">
          <w:rPr>
            <w:noProof/>
            <w:webHidden/>
          </w:rPr>
          <w:fldChar w:fldCharType="begin"/>
        </w:r>
        <w:r w:rsidR="0055667E">
          <w:rPr>
            <w:noProof/>
            <w:webHidden/>
          </w:rPr>
          <w:instrText xml:space="preserve"> PAGEREF _Toc117780208 \h </w:instrText>
        </w:r>
        <w:r w:rsidR="0055667E">
          <w:rPr>
            <w:noProof/>
            <w:webHidden/>
          </w:rPr>
        </w:r>
        <w:r w:rsidR="0055667E">
          <w:rPr>
            <w:noProof/>
            <w:webHidden/>
          </w:rPr>
          <w:fldChar w:fldCharType="separate"/>
        </w:r>
        <w:r w:rsidR="0055667E">
          <w:rPr>
            <w:noProof/>
            <w:webHidden/>
          </w:rPr>
          <w:t>20</w:t>
        </w:r>
        <w:r w:rsidR="0055667E">
          <w:rPr>
            <w:noProof/>
            <w:webHidden/>
          </w:rPr>
          <w:fldChar w:fldCharType="end"/>
        </w:r>
      </w:hyperlink>
    </w:p>
    <w:p w14:paraId="4BE4F317" w14:textId="26400DE7" w:rsidR="0055667E" w:rsidRDefault="00000000">
      <w:pPr>
        <w:pStyle w:val="TableofFigures"/>
        <w:tabs>
          <w:tab w:val="right" w:leader="dot" w:pos="9350"/>
        </w:tabs>
        <w:rPr>
          <w:rFonts w:eastAsiaTheme="minorEastAsia"/>
          <w:noProof/>
          <w:lang w:eastAsia="en-GB"/>
        </w:rPr>
      </w:pPr>
      <w:hyperlink w:anchor="_Toc117780209" w:history="1">
        <w:r w:rsidR="0055667E" w:rsidRPr="00E817D9">
          <w:rPr>
            <w:rStyle w:val="Hyperlink"/>
            <w:b/>
            <w:bCs/>
            <w:noProof/>
          </w:rPr>
          <w:t>Figure 1</w:t>
        </w:r>
        <w:r w:rsidR="0055667E" w:rsidRPr="00E817D9">
          <w:rPr>
            <w:rStyle w:val="Hyperlink"/>
            <w:b/>
            <w:bCs/>
            <w:noProof/>
          </w:rPr>
          <w:noBreakHyphen/>
          <w:t>2:</w:t>
        </w:r>
        <w:r w:rsidR="0055667E" w:rsidRPr="00E817D9">
          <w:rPr>
            <w:rStyle w:val="Hyperlink"/>
            <w:noProof/>
          </w:rPr>
          <w:t xml:space="preserve"> The pathophysiology of Protracted Bacterial Bronchitis (PBB)</w:t>
        </w:r>
        <w:r w:rsidR="0055667E">
          <w:rPr>
            <w:noProof/>
            <w:webHidden/>
          </w:rPr>
          <w:tab/>
        </w:r>
        <w:r w:rsidR="0055667E">
          <w:rPr>
            <w:noProof/>
            <w:webHidden/>
          </w:rPr>
          <w:fldChar w:fldCharType="begin"/>
        </w:r>
        <w:r w:rsidR="0055667E">
          <w:rPr>
            <w:noProof/>
            <w:webHidden/>
          </w:rPr>
          <w:instrText xml:space="preserve"> PAGEREF _Toc117780209 \h </w:instrText>
        </w:r>
        <w:r w:rsidR="0055667E">
          <w:rPr>
            <w:noProof/>
            <w:webHidden/>
          </w:rPr>
        </w:r>
        <w:r w:rsidR="0055667E">
          <w:rPr>
            <w:noProof/>
            <w:webHidden/>
          </w:rPr>
          <w:fldChar w:fldCharType="separate"/>
        </w:r>
        <w:r w:rsidR="0055667E">
          <w:rPr>
            <w:noProof/>
            <w:webHidden/>
          </w:rPr>
          <w:t>22</w:t>
        </w:r>
        <w:r w:rsidR="0055667E">
          <w:rPr>
            <w:noProof/>
            <w:webHidden/>
          </w:rPr>
          <w:fldChar w:fldCharType="end"/>
        </w:r>
      </w:hyperlink>
    </w:p>
    <w:p w14:paraId="294E8BA1" w14:textId="145472CB" w:rsidR="0055667E" w:rsidRDefault="00000000">
      <w:pPr>
        <w:pStyle w:val="TableofFigures"/>
        <w:tabs>
          <w:tab w:val="right" w:leader="dot" w:pos="9350"/>
        </w:tabs>
        <w:rPr>
          <w:rFonts w:eastAsiaTheme="minorEastAsia"/>
          <w:noProof/>
          <w:lang w:eastAsia="en-GB"/>
        </w:rPr>
      </w:pPr>
      <w:hyperlink w:anchor="_Toc117780210" w:history="1">
        <w:r w:rsidR="0055667E" w:rsidRPr="00E817D9">
          <w:rPr>
            <w:rStyle w:val="Hyperlink"/>
            <w:b/>
            <w:bCs/>
            <w:noProof/>
          </w:rPr>
          <w:t>Figure 1</w:t>
        </w:r>
        <w:r w:rsidR="0055667E" w:rsidRPr="00E817D9">
          <w:rPr>
            <w:rStyle w:val="Hyperlink"/>
            <w:b/>
            <w:bCs/>
            <w:noProof/>
          </w:rPr>
          <w:noBreakHyphen/>
          <w:t>3:</w:t>
        </w:r>
        <w:r w:rsidR="0055667E" w:rsidRPr="00E817D9">
          <w:rPr>
            <w:rStyle w:val="Hyperlink"/>
            <w:noProof/>
          </w:rPr>
          <w:t xml:space="preserve"> Antibiotic targets and key resistance mechanisms.</w:t>
        </w:r>
        <w:r w:rsidR="0055667E">
          <w:rPr>
            <w:noProof/>
            <w:webHidden/>
          </w:rPr>
          <w:tab/>
        </w:r>
        <w:r w:rsidR="0055667E">
          <w:rPr>
            <w:noProof/>
            <w:webHidden/>
          </w:rPr>
          <w:fldChar w:fldCharType="begin"/>
        </w:r>
        <w:r w:rsidR="0055667E">
          <w:rPr>
            <w:noProof/>
            <w:webHidden/>
          </w:rPr>
          <w:instrText xml:space="preserve"> PAGEREF _Toc117780210 \h </w:instrText>
        </w:r>
        <w:r w:rsidR="0055667E">
          <w:rPr>
            <w:noProof/>
            <w:webHidden/>
          </w:rPr>
        </w:r>
        <w:r w:rsidR="0055667E">
          <w:rPr>
            <w:noProof/>
            <w:webHidden/>
          </w:rPr>
          <w:fldChar w:fldCharType="separate"/>
        </w:r>
        <w:r w:rsidR="0055667E">
          <w:rPr>
            <w:noProof/>
            <w:webHidden/>
          </w:rPr>
          <w:t>25</w:t>
        </w:r>
        <w:r w:rsidR="0055667E">
          <w:rPr>
            <w:noProof/>
            <w:webHidden/>
          </w:rPr>
          <w:fldChar w:fldCharType="end"/>
        </w:r>
      </w:hyperlink>
    </w:p>
    <w:p w14:paraId="454F63E6" w14:textId="07C6CFD7" w:rsidR="0055667E" w:rsidRPr="00752DA8" w:rsidRDefault="00000000">
      <w:pPr>
        <w:pStyle w:val="TableofFigures"/>
        <w:tabs>
          <w:tab w:val="right" w:leader="dot" w:pos="9350"/>
        </w:tabs>
        <w:rPr>
          <w:rFonts w:eastAsiaTheme="minorEastAsia" w:cstheme="minorHAnsi"/>
          <w:noProof/>
          <w:lang w:eastAsia="en-GB"/>
        </w:rPr>
      </w:pPr>
      <w:hyperlink w:anchor="_Toc117780211" w:history="1">
        <w:r w:rsidR="0055667E" w:rsidRPr="00752DA8">
          <w:rPr>
            <w:rStyle w:val="Hyperlink"/>
            <w:rFonts w:cstheme="minorHAnsi"/>
            <w:b/>
            <w:bCs/>
            <w:noProof/>
          </w:rPr>
          <w:t>Figure 1</w:t>
        </w:r>
        <w:r w:rsidR="0055667E" w:rsidRPr="00752DA8">
          <w:rPr>
            <w:rStyle w:val="Hyperlink"/>
            <w:rFonts w:cstheme="minorHAnsi"/>
            <w:b/>
            <w:bCs/>
            <w:noProof/>
          </w:rPr>
          <w:noBreakHyphen/>
          <w:t>4</w:t>
        </w:r>
        <w:r w:rsidR="0055667E" w:rsidRPr="00752DA8">
          <w:rPr>
            <w:rStyle w:val="Hyperlink"/>
            <w:rFonts w:cstheme="minorHAnsi"/>
            <w:noProof/>
          </w:rPr>
          <w:t>: An overview of macrolide resistance mechanisms and the genes involved</w:t>
        </w:r>
        <w:r w:rsidR="0055667E" w:rsidRPr="00752DA8">
          <w:rPr>
            <w:rFonts w:cstheme="minorHAnsi"/>
            <w:noProof/>
            <w:webHidden/>
          </w:rPr>
          <w:tab/>
        </w:r>
        <w:r w:rsidR="0055667E" w:rsidRPr="00752DA8">
          <w:rPr>
            <w:rFonts w:cstheme="minorHAnsi"/>
            <w:noProof/>
            <w:webHidden/>
          </w:rPr>
          <w:fldChar w:fldCharType="begin"/>
        </w:r>
        <w:r w:rsidR="0055667E" w:rsidRPr="00752DA8">
          <w:rPr>
            <w:rFonts w:cstheme="minorHAnsi"/>
            <w:noProof/>
            <w:webHidden/>
          </w:rPr>
          <w:instrText xml:space="preserve"> PAGEREF _Toc117780211 \h </w:instrText>
        </w:r>
        <w:r w:rsidR="0055667E" w:rsidRPr="00752DA8">
          <w:rPr>
            <w:rFonts w:cstheme="minorHAnsi"/>
            <w:noProof/>
            <w:webHidden/>
          </w:rPr>
        </w:r>
        <w:r w:rsidR="0055667E" w:rsidRPr="00752DA8">
          <w:rPr>
            <w:rFonts w:cstheme="minorHAnsi"/>
            <w:noProof/>
            <w:webHidden/>
          </w:rPr>
          <w:fldChar w:fldCharType="separate"/>
        </w:r>
        <w:r w:rsidR="0055667E" w:rsidRPr="00752DA8">
          <w:rPr>
            <w:rFonts w:cstheme="minorHAnsi"/>
            <w:noProof/>
            <w:webHidden/>
          </w:rPr>
          <w:t>30</w:t>
        </w:r>
        <w:r w:rsidR="0055667E" w:rsidRPr="00752DA8">
          <w:rPr>
            <w:rFonts w:cstheme="minorHAnsi"/>
            <w:noProof/>
            <w:webHidden/>
          </w:rPr>
          <w:fldChar w:fldCharType="end"/>
        </w:r>
      </w:hyperlink>
    </w:p>
    <w:p w14:paraId="11B8422E" w14:textId="4752A87C" w:rsidR="0055667E" w:rsidRPr="00752DA8" w:rsidRDefault="00000000">
      <w:pPr>
        <w:pStyle w:val="TableofFigures"/>
        <w:tabs>
          <w:tab w:val="right" w:leader="dot" w:pos="9350"/>
        </w:tabs>
        <w:rPr>
          <w:rFonts w:eastAsiaTheme="minorEastAsia" w:cstheme="minorHAnsi"/>
          <w:noProof/>
          <w:lang w:eastAsia="en-GB"/>
        </w:rPr>
      </w:pPr>
      <w:hyperlink w:anchor="_Toc117780212" w:history="1">
        <w:r w:rsidR="0055667E" w:rsidRPr="00752DA8">
          <w:rPr>
            <w:rStyle w:val="Hyperlink"/>
            <w:rFonts w:cstheme="minorHAnsi"/>
            <w:b/>
            <w:bCs/>
            <w:noProof/>
          </w:rPr>
          <w:t>Figure 2</w:t>
        </w:r>
        <w:r w:rsidR="0055667E" w:rsidRPr="00752DA8">
          <w:rPr>
            <w:rStyle w:val="Hyperlink"/>
            <w:rFonts w:cstheme="minorHAnsi"/>
            <w:b/>
            <w:bCs/>
            <w:noProof/>
          </w:rPr>
          <w:noBreakHyphen/>
          <w:t>1</w:t>
        </w:r>
        <w:r w:rsidR="0055667E" w:rsidRPr="00752DA8">
          <w:rPr>
            <w:rStyle w:val="Hyperlink"/>
            <w:rFonts w:cstheme="minorHAnsi"/>
            <w:noProof/>
          </w:rPr>
          <w:t>: Pictorial representation of collecting DNPS</w:t>
        </w:r>
        <w:r w:rsidR="0055667E" w:rsidRPr="00752DA8">
          <w:rPr>
            <w:rFonts w:cstheme="minorHAnsi"/>
            <w:noProof/>
            <w:webHidden/>
          </w:rPr>
          <w:tab/>
        </w:r>
        <w:r w:rsidR="0055667E" w:rsidRPr="00752DA8">
          <w:rPr>
            <w:rFonts w:cstheme="minorHAnsi"/>
            <w:noProof/>
            <w:webHidden/>
          </w:rPr>
          <w:fldChar w:fldCharType="begin"/>
        </w:r>
        <w:r w:rsidR="0055667E" w:rsidRPr="00752DA8">
          <w:rPr>
            <w:rFonts w:cstheme="minorHAnsi"/>
            <w:noProof/>
            <w:webHidden/>
          </w:rPr>
          <w:instrText xml:space="preserve"> PAGEREF _Toc117780212 \h </w:instrText>
        </w:r>
        <w:r w:rsidR="0055667E" w:rsidRPr="00752DA8">
          <w:rPr>
            <w:rFonts w:cstheme="minorHAnsi"/>
            <w:noProof/>
            <w:webHidden/>
          </w:rPr>
        </w:r>
        <w:r w:rsidR="0055667E" w:rsidRPr="00752DA8">
          <w:rPr>
            <w:rFonts w:cstheme="minorHAnsi"/>
            <w:noProof/>
            <w:webHidden/>
          </w:rPr>
          <w:fldChar w:fldCharType="separate"/>
        </w:r>
        <w:r w:rsidR="0055667E" w:rsidRPr="00752DA8">
          <w:rPr>
            <w:rFonts w:cstheme="minorHAnsi"/>
            <w:noProof/>
            <w:webHidden/>
          </w:rPr>
          <w:t>65</w:t>
        </w:r>
        <w:r w:rsidR="0055667E" w:rsidRPr="00752DA8">
          <w:rPr>
            <w:rFonts w:cstheme="minorHAnsi"/>
            <w:noProof/>
            <w:webHidden/>
          </w:rPr>
          <w:fldChar w:fldCharType="end"/>
        </w:r>
      </w:hyperlink>
    </w:p>
    <w:p w14:paraId="64CF8718" w14:textId="2EFE5ECA" w:rsidR="0055667E" w:rsidRDefault="00000000">
      <w:pPr>
        <w:pStyle w:val="TableofFigures"/>
        <w:tabs>
          <w:tab w:val="right" w:leader="dot" w:pos="9350"/>
        </w:tabs>
        <w:rPr>
          <w:rFonts w:eastAsiaTheme="minorEastAsia"/>
          <w:noProof/>
          <w:lang w:eastAsia="en-GB"/>
        </w:rPr>
      </w:pPr>
      <w:hyperlink w:anchor="_Toc117780213" w:history="1">
        <w:r w:rsidR="0055667E" w:rsidRPr="00E817D9">
          <w:rPr>
            <w:rStyle w:val="Hyperlink"/>
            <w:b/>
            <w:bCs/>
            <w:noProof/>
          </w:rPr>
          <w:t>Figure 2</w:t>
        </w:r>
        <w:r w:rsidR="0055667E" w:rsidRPr="00E817D9">
          <w:rPr>
            <w:rStyle w:val="Hyperlink"/>
            <w:b/>
            <w:bCs/>
            <w:noProof/>
          </w:rPr>
          <w:noBreakHyphen/>
          <w:t>2:</w:t>
        </w:r>
        <w:r w:rsidR="0055667E" w:rsidRPr="00E817D9">
          <w:rPr>
            <w:rStyle w:val="Hyperlink"/>
            <w:noProof/>
          </w:rPr>
          <w:t xml:space="preserve"> Flow diagram of sample processing for PBB studies 1 and 2</w:t>
        </w:r>
        <w:r w:rsidR="0055667E">
          <w:rPr>
            <w:noProof/>
            <w:webHidden/>
          </w:rPr>
          <w:tab/>
        </w:r>
        <w:r w:rsidR="0055667E">
          <w:rPr>
            <w:noProof/>
            <w:webHidden/>
          </w:rPr>
          <w:fldChar w:fldCharType="begin"/>
        </w:r>
        <w:r w:rsidR="0055667E">
          <w:rPr>
            <w:noProof/>
            <w:webHidden/>
          </w:rPr>
          <w:instrText xml:space="preserve"> PAGEREF _Toc117780213 \h </w:instrText>
        </w:r>
        <w:r w:rsidR="0055667E">
          <w:rPr>
            <w:noProof/>
            <w:webHidden/>
          </w:rPr>
        </w:r>
        <w:r w:rsidR="0055667E">
          <w:rPr>
            <w:noProof/>
            <w:webHidden/>
          </w:rPr>
          <w:fldChar w:fldCharType="separate"/>
        </w:r>
        <w:r w:rsidR="0055667E">
          <w:rPr>
            <w:noProof/>
            <w:webHidden/>
          </w:rPr>
          <w:t>66</w:t>
        </w:r>
        <w:r w:rsidR="0055667E">
          <w:rPr>
            <w:noProof/>
            <w:webHidden/>
          </w:rPr>
          <w:fldChar w:fldCharType="end"/>
        </w:r>
      </w:hyperlink>
    </w:p>
    <w:p w14:paraId="087EA041" w14:textId="234AB4EE" w:rsidR="0055667E" w:rsidRDefault="00000000">
      <w:pPr>
        <w:pStyle w:val="TableofFigures"/>
        <w:tabs>
          <w:tab w:val="right" w:leader="dot" w:pos="9350"/>
        </w:tabs>
        <w:rPr>
          <w:rFonts w:eastAsiaTheme="minorEastAsia"/>
          <w:noProof/>
          <w:lang w:eastAsia="en-GB"/>
        </w:rPr>
      </w:pPr>
      <w:hyperlink w:anchor="_Toc117780214" w:history="1">
        <w:r w:rsidR="0055667E" w:rsidRPr="00E817D9">
          <w:rPr>
            <w:rStyle w:val="Hyperlink"/>
            <w:b/>
            <w:bCs/>
            <w:noProof/>
          </w:rPr>
          <w:t>Figure 2</w:t>
        </w:r>
        <w:r w:rsidR="0055667E" w:rsidRPr="00E817D9">
          <w:rPr>
            <w:rStyle w:val="Hyperlink"/>
            <w:b/>
            <w:bCs/>
            <w:noProof/>
          </w:rPr>
          <w:noBreakHyphen/>
          <w:t>3:</w:t>
        </w:r>
        <w:r w:rsidR="0055667E" w:rsidRPr="00E817D9">
          <w:rPr>
            <w:rStyle w:val="Hyperlink"/>
            <w:noProof/>
          </w:rPr>
          <w:t xml:space="preserve"> Methods used to determine antibiotic susceptibility</w:t>
        </w:r>
        <w:r w:rsidR="0055667E">
          <w:rPr>
            <w:noProof/>
            <w:webHidden/>
          </w:rPr>
          <w:tab/>
        </w:r>
        <w:r w:rsidR="0055667E">
          <w:rPr>
            <w:noProof/>
            <w:webHidden/>
          </w:rPr>
          <w:fldChar w:fldCharType="begin"/>
        </w:r>
        <w:r w:rsidR="0055667E">
          <w:rPr>
            <w:noProof/>
            <w:webHidden/>
          </w:rPr>
          <w:instrText xml:space="preserve"> PAGEREF _Toc117780214 \h </w:instrText>
        </w:r>
        <w:r w:rsidR="0055667E">
          <w:rPr>
            <w:noProof/>
            <w:webHidden/>
          </w:rPr>
        </w:r>
        <w:r w:rsidR="0055667E">
          <w:rPr>
            <w:noProof/>
            <w:webHidden/>
          </w:rPr>
          <w:fldChar w:fldCharType="separate"/>
        </w:r>
        <w:r w:rsidR="0055667E">
          <w:rPr>
            <w:noProof/>
            <w:webHidden/>
          </w:rPr>
          <w:t>81</w:t>
        </w:r>
        <w:r w:rsidR="0055667E">
          <w:rPr>
            <w:noProof/>
            <w:webHidden/>
          </w:rPr>
          <w:fldChar w:fldCharType="end"/>
        </w:r>
      </w:hyperlink>
    </w:p>
    <w:p w14:paraId="7CD68CBD" w14:textId="5BB6C276" w:rsidR="0055667E" w:rsidRDefault="00000000">
      <w:pPr>
        <w:pStyle w:val="TableofFigures"/>
        <w:tabs>
          <w:tab w:val="right" w:leader="dot" w:pos="9350"/>
        </w:tabs>
        <w:rPr>
          <w:rFonts w:eastAsiaTheme="minorEastAsia"/>
          <w:noProof/>
          <w:lang w:eastAsia="en-GB"/>
        </w:rPr>
      </w:pPr>
      <w:hyperlink w:anchor="_Toc117780215" w:history="1">
        <w:r w:rsidR="0055667E" w:rsidRPr="00E817D9">
          <w:rPr>
            <w:rStyle w:val="Hyperlink"/>
            <w:b/>
            <w:bCs/>
            <w:noProof/>
          </w:rPr>
          <w:t>Figure 2</w:t>
        </w:r>
        <w:r w:rsidR="0055667E" w:rsidRPr="00E817D9">
          <w:rPr>
            <w:rStyle w:val="Hyperlink"/>
            <w:b/>
            <w:bCs/>
            <w:noProof/>
          </w:rPr>
          <w:noBreakHyphen/>
          <w:t>4:</w:t>
        </w:r>
        <w:r w:rsidR="0055667E" w:rsidRPr="00E817D9">
          <w:rPr>
            <w:rStyle w:val="Hyperlink"/>
            <w:noProof/>
          </w:rPr>
          <w:t xml:space="preserve"> Pipeline used for the bioinformatic analysis of the S. pneumoniae sequence data.</w:t>
        </w:r>
        <w:r w:rsidR="0055667E">
          <w:rPr>
            <w:noProof/>
            <w:webHidden/>
          </w:rPr>
          <w:tab/>
        </w:r>
        <w:r w:rsidR="0055667E">
          <w:rPr>
            <w:noProof/>
            <w:webHidden/>
          </w:rPr>
          <w:fldChar w:fldCharType="begin"/>
        </w:r>
        <w:r w:rsidR="0055667E">
          <w:rPr>
            <w:noProof/>
            <w:webHidden/>
          </w:rPr>
          <w:instrText xml:space="preserve"> PAGEREF _Toc117780215 \h </w:instrText>
        </w:r>
        <w:r w:rsidR="0055667E">
          <w:rPr>
            <w:noProof/>
            <w:webHidden/>
          </w:rPr>
        </w:r>
        <w:r w:rsidR="0055667E">
          <w:rPr>
            <w:noProof/>
            <w:webHidden/>
          </w:rPr>
          <w:fldChar w:fldCharType="separate"/>
        </w:r>
        <w:r w:rsidR="0055667E">
          <w:rPr>
            <w:noProof/>
            <w:webHidden/>
          </w:rPr>
          <w:t>84</w:t>
        </w:r>
        <w:r w:rsidR="0055667E">
          <w:rPr>
            <w:noProof/>
            <w:webHidden/>
          </w:rPr>
          <w:fldChar w:fldCharType="end"/>
        </w:r>
      </w:hyperlink>
    </w:p>
    <w:p w14:paraId="4DE23887" w14:textId="6E8B8813" w:rsidR="0055667E" w:rsidRDefault="00000000">
      <w:pPr>
        <w:pStyle w:val="TableofFigures"/>
        <w:tabs>
          <w:tab w:val="right" w:leader="dot" w:pos="9350"/>
        </w:tabs>
        <w:rPr>
          <w:rFonts w:eastAsiaTheme="minorEastAsia"/>
          <w:noProof/>
          <w:lang w:eastAsia="en-GB"/>
        </w:rPr>
      </w:pPr>
      <w:hyperlink w:anchor="_Toc117780216" w:history="1">
        <w:r w:rsidR="0055667E" w:rsidRPr="00E817D9">
          <w:rPr>
            <w:rStyle w:val="Hyperlink"/>
            <w:b/>
            <w:bCs/>
            <w:noProof/>
          </w:rPr>
          <w:t>Figure 3</w:t>
        </w:r>
        <w:r w:rsidR="0055667E" w:rsidRPr="00E817D9">
          <w:rPr>
            <w:rStyle w:val="Hyperlink"/>
            <w:b/>
            <w:bCs/>
            <w:noProof/>
          </w:rPr>
          <w:noBreakHyphen/>
          <w:t>1:</w:t>
        </w:r>
        <w:r w:rsidR="0055667E" w:rsidRPr="00E817D9">
          <w:rPr>
            <w:rStyle w:val="Hyperlink"/>
            <w:noProof/>
          </w:rPr>
          <w:t xml:space="preserve"> Consort diagram to show the recruitment process for the parental interview study</w:t>
        </w:r>
        <w:r w:rsidR="0055667E">
          <w:rPr>
            <w:noProof/>
            <w:webHidden/>
          </w:rPr>
          <w:tab/>
        </w:r>
        <w:r w:rsidR="0055667E">
          <w:rPr>
            <w:noProof/>
            <w:webHidden/>
          </w:rPr>
          <w:fldChar w:fldCharType="begin"/>
        </w:r>
        <w:r w:rsidR="0055667E">
          <w:rPr>
            <w:noProof/>
            <w:webHidden/>
          </w:rPr>
          <w:instrText xml:space="preserve"> PAGEREF _Toc117780216 \h </w:instrText>
        </w:r>
        <w:r w:rsidR="0055667E">
          <w:rPr>
            <w:noProof/>
            <w:webHidden/>
          </w:rPr>
        </w:r>
        <w:r w:rsidR="0055667E">
          <w:rPr>
            <w:noProof/>
            <w:webHidden/>
          </w:rPr>
          <w:fldChar w:fldCharType="separate"/>
        </w:r>
        <w:r w:rsidR="0055667E">
          <w:rPr>
            <w:noProof/>
            <w:webHidden/>
          </w:rPr>
          <w:t>87</w:t>
        </w:r>
        <w:r w:rsidR="0055667E">
          <w:rPr>
            <w:noProof/>
            <w:webHidden/>
          </w:rPr>
          <w:fldChar w:fldCharType="end"/>
        </w:r>
      </w:hyperlink>
    </w:p>
    <w:p w14:paraId="7A9F7545" w14:textId="04EBB29C" w:rsidR="0055667E" w:rsidRDefault="00000000">
      <w:pPr>
        <w:pStyle w:val="TableofFigures"/>
        <w:tabs>
          <w:tab w:val="right" w:leader="dot" w:pos="9350"/>
        </w:tabs>
        <w:rPr>
          <w:rFonts w:eastAsiaTheme="minorEastAsia"/>
          <w:noProof/>
          <w:lang w:eastAsia="en-GB"/>
        </w:rPr>
      </w:pPr>
      <w:hyperlink w:anchor="_Toc117780217" w:history="1">
        <w:r w:rsidR="0055667E" w:rsidRPr="00E817D9">
          <w:rPr>
            <w:rStyle w:val="Hyperlink"/>
            <w:b/>
            <w:bCs/>
            <w:noProof/>
          </w:rPr>
          <w:t>Figure 3</w:t>
        </w:r>
        <w:r w:rsidR="0055667E" w:rsidRPr="00E817D9">
          <w:rPr>
            <w:rStyle w:val="Hyperlink"/>
            <w:b/>
            <w:bCs/>
            <w:noProof/>
          </w:rPr>
          <w:noBreakHyphen/>
          <w:t>2:</w:t>
        </w:r>
        <w:r w:rsidR="0055667E" w:rsidRPr="00E817D9">
          <w:rPr>
            <w:rStyle w:val="Hyperlink"/>
            <w:noProof/>
          </w:rPr>
          <w:t xml:space="preserve"> A proposed behavioural model to explain the cycle of phases parents experience when their child is prescribed prophylactic antibiotics. Adapted from (Hardman et al., 2021)</w:t>
        </w:r>
        <w:r w:rsidR="0055667E">
          <w:rPr>
            <w:noProof/>
            <w:webHidden/>
          </w:rPr>
          <w:tab/>
        </w:r>
        <w:r w:rsidR="0055667E">
          <w:rPr>
            <w:noProof/>
            <w:webHidden/>
          </w:rPr>
          <w:fldChar w:fldCharType="begin"/>
        </w:r>
        <w:r w:rsidR="0055667E">
          <w:rPr>
            <w:noProof/>
            <w:webHidden/>
          </w:rPr>
          <w:instrText xml:space="preserve"> PAGEREF _Toc117780217 \h </w:instrText>
        </w:r>
        <w:r w:rsidR="0055667E">
          <w:rPr>
            <w:noProof/>
            <w:webHidden/>
          </w:rPr>
        </w:r>
        <w:r w:rsidR="0055667E">
          <w:rPr>
            <w:noProof/>
            <w:webHidden/>
          </w:rPr>
          <w:fldChar w:fldCharType="separate"/>
        </w:r>
        <w:r w:rsidR="0055667E">
          <w:rPr>
            <w:noProof/>
            <w:webHidden/>
          </w:rPr>
          <w:t>103</w:t>
        </w:r>
        <w:r w:rsidR="0055667E">
          <w:rPr>
            <w:noProof/>
            <w:webHidden/>
          </w:rPr>
          <w:fldChar w:fldCharType="end"/>
        </w:r>
      </w:hyperlink>
    </w:p>
    <w:p w14:paraId="5262DD4A" w14:textId="33E67BCC" w:rsidR="0055667E" w:rsidRDefault="00000000">
      <w:pPr>
        <w:pStyle w:val="TableofFigures"/>
        <w:tabs>
          <w:tab w:val="right" w:leader="dot" w:pos="9350"/>
        </w:tabs>
        <w:rPr>
          <w:rFonts w:eastAsiaTheme="minorEastAsia"/>
          <w:noProof/>
          <w:lang w:eastAsia="en-GB"/>
        </w:rPr>
      </w:pPr>
      <w:hyperlink w:anchor="_Toc117780218" w:history="1">
        <w:r w:rsidR="0055667E" w:rsidRPr="00E817D9">
          <w:rPr>
            <w:rStyle w:val="Hyperlink"/>
            <w:b/>
            <w:bCs/>
            <w:noProof/>
          </w:rPr>
          <w:t>Figure 4</w:t>
        </w:r>
        <w:r w:rsidR="0055667E" w:rsidRPr="00E817D9">
          <w:rPr>
            <w:rStyle w:val="Hyperlink"/>
            <w:b/>
            <w:bCs/>
            <w:noProof/>
          </w:rPr>
          <w:noBreakHyphen/>
          <w:t>1:</w:t>
        </w:r>
        <w:r w:rsidR="0055667E" w:rsidRPr="00E817D9">
          <w:rPr>
            <w:rStyle w:val="Hyperlink"/>
            <w:noProof/>
          </w:rPr>
          <w:t xml:space="preserve"> Consort diagram of the recruitment process for PBB study 1</w:t>
        </w:r>
        <w:r w:rsidR="0055667E">
          <w:rPr>
            <w:noProof/>
            <w:webHidden/>
          </w:rPr>
          <w:tab/>
        </w:r>
        <w:r w:rsidR="0055667E">
          <w:rPr>
            <w:noProof/>
            <w:webHidden/>
          </w:rPr>
          <w:fldChar w:fldCharType="begin"/>
        </w:r>
        <w:r w:rsidR="0055667E">
          <w:rPr>
            <w:noProof/>
            <w:webHidden/>
          </w:rPr>
          <w:instrText xml:space="preserve"> PAGEREF _Toc117780218 \h </w:instrText>
        </w:r>
        <w:r w:rsidR="0055667E">
          <w:rPr>
            <w:noProof/>
            <w:webHidden/>
          </w:rPr>
        </w:r>
        <w:r w:rsidR="0055667E">
          <w:rPr>
            <w:noProof/>
            <w:webHidden/>
          </w:rPr>
          <w:fldChar w:fldCharType="separate"/>
        </w:r>
        <w:r w:rsidR="0055667E">
          <w:rPr>
            <w:noProof/>
            <w:webHidden/>
          </w:rPr>
          <w:t>115</w:t>
        </w:r>
        <w:r w:rsidR="0055667E">
          <w:rPr>
            <w:noProof/>
            <w:webHidden/>
          </w:rPr>
          <w:fldChar w:fldCharType="end"/>
        </w:r>
      </w:hyperlink>
    </w:p>
    <w:p w14:paraId="35D03839" w14:textId="71694CAB" w:rsidR="0055667E" w:rsidRDefault="00000000">
      <w:pPr>
        <w:pStyle w:val="TableofFigures"/>
        <w:tabs>
          <w:tab w:val="right" w:leader="dot" w:pos="9350"/>
        </w:tabs>
        <w:rPr>
          <w:rFonts w:eastAsiaTheme="minorEastAsia"/>
          <w:noProof/>
          <w:lang w:eastAsia="en-GB"/>
        </w:rPr>
      </w:pPr>
      <w:hyperlink w:anchor="_Toc117780219" w:history="1">
        <w:r w:rsidR="0055667E" w:rsidRPr="00E817D9">
          <w:rPr>
            <w:rStyle w:val="Hyperlink"/>
            <w:b/>
            <w:bCs/>
            <w:noProof/>
          </w:rPr>
          <w:t>Figure 4</w:t>
        </w:r>
        <w:r w:rsidR="0055667E" w:rsidRPr="00E817D9">
          <w:rPr>
            <w:rStyle w:val="Hyperlink"/>
            <w:b/>
            <w:bCs/>
            <w:noProof/>
          </w:rPr>
          <w:noBreakHyphen/>
          <w:t>2:</w:t>
        </w:r>
        <w:r w:rsidR="0055667E" w:rsidRPr="00E817D9">
          <w:rPr>
            <w:rStyle w:val="Hyperlink"/>
            <w:noProof/>
          </w:rPr>
          <w:t xml:space="preserve"> Timeline of swab collection in PBB study 1</w:t>
        </w:r>
        <w:r w:rsidR="0055667E">
          <w:rPr>
            <w:noProof/>
            <w:webHidden/>
          </w:rPr>
          <w:tab/>
        </w:r>
        <w:r w:rsidR="0055667E">
          <w:rPr>
            <w:noProof/>
            <w:webHidden/>
          </w:rPr>
          <w:fldChar w:fldCharType="begin"/>
        </w:r>
        <w:r w:rsidR="0055667E">
          <w:rPr>
            <w:noProof/>
            <w:webHidden/>
          </w:rPr>
          <w:instrText xml:space="preserve"> PAGEREF _Toc117780219 \h </w:instrText>
        </w:r>
        <w:r w:rsidR="0055667E">
          <w:rPr>
            <w:noProof/>
            <w:webHidden/>
          </w:rPr>
        </w:r>
        <w:r w:rsidR="0055667E">
          <w:rPr>
            <w:noProof/>
            <w:webHidden/>
          </w:rPr>
          <w:fldChar w:fldCharType="separate"/>
        </w:r>
        <w:r w:rsidR="0055667E">
          <w:rPr>
            <w:noProof/>
            <w:webHidden/>
          </w:rPr>
          <w:t>119</w:t>
        </w:r>
        <w:r w:rsidR="0055667E">
          <w:rPr>
            <w:noProof/>
            <w:webHidden/>
          </w:rPr>
          <w:fldChar w:fldCharType="end"/>
        </w:r>
      </w:hyperlink>
    </w:p>
    <w:p w14:paraId="1009C278" w14:textId="2FDAFED1" w:rsidR="0055667E" w:rsidRDefault="00000000">
      <w:pPr>
        <w:pStyle w:val="TableofFigures"/>
        <w:tabs>
          <w:tab w:val="right" w:leader="dot" w:pos="9350"/>
        </w:tabs>
        <w:rPr>
          <w:rFonts w:eastAsiaTheme="minorEastAsia"/>
          <w:noProof/>
          <w:lang w:eastAsia="en-GB"/>
        </w:rPr>
      </w:pPr>
      <w:hyperlink w:anchor="_Toc117780220" w:history="1">
        <w:r w:rsidR="0055667E" w:rsidRPr="00E817D9">
          <w:rPr>
            <w:rStyle w:val="Hyperlink"/>
            <w:b/>
            <w:bCs/>
            <w:noProof/>
          </w:rPr>
          <w:t>Figure 4</w:t>
        </w:r>
        <w:r w:rsidR="0055667E" w:rsidRPr="00E817D9">
          <w:rPr>
            <w:rStyle w:val="Hyperlink"/>
            <w:b/>
            <w:bCs/>
            <w:noProof/>
          </w:rPr>
          <w:noBreakHyphen/>
          <w:t>3:</w:t>
        </w:r>
        <w:r w:rsidR="0055667E" w:rsidRPr="00E817D9">
          <w:rPr>
            <w:rStyle w:val="Hyperlink"/>
            <w:noProof/>
          </w:rPr>
          <w:t xml:space="preserve"> Representation of azithromycin susceptibility for DNPS cultures in PBB study 1</w:t>
        </w:r>
        <w:r w:rsidR="0055667E">
          <w:rPr>
            <w:noProof/>
            <w:webHidden/>
          </w:rPr>
          <w:tab/>
        </w:r>
        <w:r w:rsidR="0055667E">
          <w:rPr>
            <w:noProof/>
            <w:webHidden/>
          </w:rPr>
          <w:fldChar w:fldCharType="begin"/>
        </w:r>
        <w:r w:rsidR="0055667E">
          <w:rPr>
            <w:noProof/>
            <w:webHidden/>
          </w:rPr>
          <w:instrText xml:space="preserve"> PAGEREF _Toc117780220 \h </w:instrText>
        </w:r>
        <w:r w:rsidR="0055667E">
          <w:rPr>
            <w:noProof/>
            <w:webHidden/>
          </w:rPr>
        </w:r>
        <w:r w:rsidR="0055667E">
          <w:rPr>
            <w:noProof/>
            <w:webHidden/>
          </w:rPr>
          <w:fldChar w:fldCharType="separate"/>
        </w:r>
        <w:r w:rsidR="0055667E">
          <w:rPr>
            <w:noProof/>
            <w:webHidden/>
          </w:rPr>
          <w:t>121</w:t>
        </w:r>
        <w:r w:rsidR="0055667E">
          <w:rPr>
            <w:noProof/>
            <w:webHidden/>
          </w:rPr>
          <w:fldChar w:fldCharType="end"/>
        </w:r>
      </w:hyperlink>
    </w:p>
    <w:p w14:paraId="61762E50" w14:textId="2325FF42" w:rsidR="0055667E" w:rsidRDefault="00000000">
      <w:pPr>
        <w:pStyle w:val="TableofFigures"/>
        <w:tabs>
          <w:tab w:val="right" w:leader="dot" w:pos="9350"/>
        </w:tabs>
        <w:rPr>
          <w:rFonts w:eastAsiaTheme="minorEastAsia"/>
          <w:noProof/>
          <w:lang w:eastAsia="en-GB"/>
        </w:rPr>
      </w:pPr>
      <w:hyperlink w:anchor="_Toc117780221" w:history="1">
        <w:r w:rsidR="0055667E" w:rsidRPr="00E817D9">
          <w:rPr>
            <w:rStyle w:val="Hyperlink"/>
            <w:b/>
            <w:bCs/>
            <w:noProof/>
          </w:rPr>
          <w:t>Figure 4</w:t>
        </w:r>
        <w:r w:rsidR="0055667E" w:rsidRPr="00E817D9">
          <w:rPr>
            <w:rStyle w:val="Hyperlink"/>
            <w:b/>
            <w:bCs/>
            <w:noProof/>
          </w:rPr>
          <w:noBreakHyphen/>
          <w:t>4:</w:t>
        </w:r>
        <w:r w:rsidR="0055667E" w:rsidRPr="00E817D9">
          <w:rPr>
            <w:rStyle w:val="Hyperlink"/>
            <w:noProof/>
          </w:rPr>
          <w:t xml:space="preserve"> Azithromycin susceptibility of Streptococcus pneumoniae isolates in PBB study</w:t>
        </w:r>
        <w:r w:rsidR="0055667E">
          <w:rPr>
            <w:noProof/>
            <w:webHidden/>
          </w:rPr>
          <w:tab/>
        </w:r>
        <w:r w:rsidR="0055667E">
          <w:rPr>
            <w:noProof/>
            <w:webHidden/>
          </w:rPr>
          <w:fldChar w:fldCharType="begin"/>
        </w:r>
        <w:r w:rsidR="0055667E">
          <w:rPr>
            <w:noProof/>
            <w:webHidden/>
          </w:rPr>
          <w:instrText xml:space="preserve"> PAGEREF _Toc117780221 \h </w:instrText>
        </w:r>
        <w:r w:rsidR="0055667E">
          <w:rPr>
            <w:noProof/>
            <w:webHidden/>
          </w:rPr>
        </w:r>
        <w:r w:rsidR="0055667E">
          <w:rPr>
            <w:noProof/>
            <w:webHidden/>
          </w:rPr>
          <w:fldChar w:fldCharType="separate"/>
        </w:r>
        <w:r w:rsidR="0055667E">
          <w:rPr>
            <w:noProof/>
            <w:webHidden/>
          </w:rPr>
          <w:t>123</w:t>
        </w:r>
        <w:r w:rsidR="0055667E">
          <w:rPr>
            <w:noProof/>
            <w:webHidden/>
          </w:rPr>
          <w:fldChar w:fldCharType="end"/>
        </w:r>
      </w:hyperlink>
    </w:p>
    <w:p w14:paraId="0DDBA029" w14:textId="15B971DA" w:rsidR="0055667E" w:rsidRDefault="00000000">
      <w:pPr>
        <w:pStyle w:val="TableofFigures"/>
        <w:tabs>
          <w:tab w:val="right" w:leader="dot" w:pos="9350"/>
        </w:tabs>
        <w:rPr>
          <w:rFonts w:eastAsiaTheme="minorEastAsia"/>
          <w:noProof/>
          <w:lang w:eastAsia="en-GB"/>
        </w:rPr>
      </w:pPr>
      <w:hyperlink w:anchor="_Toc117780222" w:history="1">
        <w:r w:rsidR="0055667E" w:rsidRPr="00E817D9">
          <w:rPr>
            <w:rStyle w:val="Hyperlink"/>
            <w:b/>
            <w:bCs/>
            <w:noProof/>
          </w:rPr>
          <w:t>Figure 4</w:t>
        </w:r>
        <w:r w:rsidR="0055667E" w:rsidRPr="00E817D9">
          <w:rPr>
            <w:rStyle w:val="Hyperlink"/>
            <w:b/>
            <w:bCs/>
            <w:noProof/>
          </w:rPr>
          <w:noBreakHyphen/>
          <w:t>5:</w:t>
        </w:r>
        <w:r w:rsidR="0055667E" w:rsidRPr="00E817D9">
          <w:rPr>
            <w:rStyle w:val="Hyperlink"/>
            <w:noProof/>
          </w:rPr>
          <w:t xml:space="preserve"> Representation of participants with growth of </w:t>
        </w:r>
        <w:r w:rsidR="0055667E" w:rsidRPr="00E817D9">
          <w:rPr>
            <w:rStyle w:val="Hyperlink"/>
            <w:i/>
            <w:iCs/>
            <w:noProof/>
          </w:rPr>
          <w:t>Haemophilus influenzae</w:t>
        </w:r>
        <w:r w:rsidR="0055667E" w:rsidRPr="00E817D9">
          <w:rPr>
            <w:rStyle w:val="Hyperlink"/>
            <w:noProof/>
          </w:rPr>
          <w:t xml:space="preserve"> on any DNPS in PBB study 1</w:t>
        </w:r>
        <w:r w:rsidR="0055667E">
          <w:rPr>
            <w:noProof/>
            <w:webHidden/>
          </w:rPr>
          <w:tab/>
        </w:r>
        <w:r w:rsidR="0055667E">
          <w:rPr>
            <w:noProof/>
            <w:webHidden/>
          </w:rPr>
          <w:fldChar w:fldCharType="begin"/>
        </w:r>
        <w:r w:rsidR="0055667E">
          <w:rPr>
            <w:noProof/>
            <w:webHidden/>
          </w:rPr>
          <w:instrText xml:space="preserve"> PAGEREF _Toc117780222 \h </w:instrText>
        </w:r>
        <w:r w:rsidR="0055667E">
          <w:rPr>
            <w:noProof/>
            <w:webHidden/>
          </w:rPr>
        </w:r>
        <w:r w:rsidR="0055667E">
          <w:rPr>
            <w:noProof/>
            <w:webHidden/>
          </w:rPr>
          <w:fldChar w:fldCharType="separate"/>
        </w:r>
        <w:r w:rsidR="0055667E">
          <w:rPr>
            <w:noProof/>
            <w:webHidden/>
          </w:rPr>
          <w:t>125</w:t>
        </w:r>
        <w:r w:rsidR="0055667E">
          <w:rPr>
            <w:noProof/>
            <w:webHidden/>
          </w:rPr>
          <w:fldChar w:fldCharType="end"/>
        </w:r>
      </w:hyperlink>
    </w:p>
    <w:p w14:paraId="3D9C0A5B" w14:textId="7FC3F0BF" w:rsidR="0055667E" w:rsidRDefault="00000000">
      <w:pPr>
        <w:pStyle w:val="TableofFigures"/>
        <w:tabs>
          <w:tab w:val="right" w:leader="dot" w:pos="9350"/>
        </w:tabs>
        <w:rPr>
          <w:rFonts w:eastAsiaTheme="minorEastAsia"/>
          <w:noProof/>
          <w:lang w:eastAsia="en-GB"/>
        </w:rPr>
      </w:pPr>
      <w:hyperlink w:anchor="_Toc117780223" w:history="1">
        <w:r w:rsidR="0055667E" w:rsidRPr="00E817D9">
          <w:rPr>
            <w:rStyle w:val="Hyperlink"/>
            <w:b/>
            <w:bCs/>
            <w:noProof/>
          </w:rPr>
          <w:t>Figure 4</w:t>
        </w:r>
        <w:r w:rsidR="0055667E" w:rsidRPr="00E817D9">
          <w:rPr>
            <w:rStyle w:val="Hyperlink"/>
            <w:b/>
            <w:bCs/>
            <w:noProof/>
          </w:rPr>
          <w:noBreakHyphen/>
          <w:t>6:</w:t>
        </w:r>
        <w:r w:rsidR="0055667E" w:rsidRPr="00E817D9">
          <w:rPr>
            <w:rStyle w:val="Hyperlink"/>
            <w:rFonts w:eastAsiaTheme="majorEastAsia" w:cstheme="minorHAnsi"/>
            <w:noProof/>
          </w:rPr>
          <w:t xml:space="preserve"> </w:t>
        </w:r>
        <w:r w:rsidR="0055667E" w:rsidRPr="00E817D9">
          <w:rPr>
            <w:rStyle w:val="Hyperlink"/>
            <w:rFonts w:ascii="Times New Roman" w:eastAsiaTheme="majorEastAsia" w:hAnsi="Times New Roman" w:cs="Times New Roman"/>
            <w:noProof/>
          </w:rPr>
          <w:t>Consort diagram showing the recruitment process for PBB study 2</w:t>
        </w:r>
        <w:r w:rsidR="0055667E">
          <w:rPr>
            <w:noProof/>
            <w:webHidden/>
          </w:rPr>
          <w:tab/>
        </w:r>
        <w:r w:rsidR="0055667E">
          <w:rPr>
            <w:noProof/>
            <w:webHidden/>
          </w:rPr>
          <w:fldChar w:fldCharType="begin"/>
        </w:r>
        <w:r w:rsidR="0055667E">
          <w:rPr>
            <w:noProof/>
            <w:webHidden/>
          </w:rPr>
          <w:instrText xml:space="preserve"> PAGEREF _Toc117780223 \h </w:instrText>
        </w:r>
        <w:r w:rsidR="0055667E">
          <w:rPr>
            <w:noProof/>
            <w:webHidden/>
          </w:rPr>
        </w:r>
        <w:r w:rsidR="0055667E">
          <w:rPr>
            <w:noProof/>
            <w:webHidden/>
          </w:rPr>
          <w:fldChar w:fldCharType="separate"/>
        </w:r>
        <w:r w:rsidR="0055667E">
          <w:rPr>
            <w:noProof/>
            <w:webHidden/>
          </w:rPr>
          <w:t>132</w:t>
        </w:r>
        <w:r w:rsidR="0055667E">
          <w:rPr>
            <w:noProof/>
            <w:webHidden/>
          </w:rPr>
          <w:fldChar w:fldCharType="end"/>
        </w:r>
      </w:hyperlink>
    </w:p>
    <w:p w14:paraId="26460726" w14:textId="61EB0B08" w:rsidR="0055667E" w:rsidRDefault="00000000">
      <w:pPr>
        <w:pStyle w:val="TableofFigures"/>
        <w:tabs>
          <w:tab w:val="right" w:leader="dot" w:pos="9350"/>
        </w:tabs>
        <w:rPr>
          <w:rFonts w:eastAsiaTheme="minorEastAsia"/>
          <w:noProof/>
          <w:lang w:eastAsia="en-GB"/>
        </w:rPr>
      </w:pPr>
      <w:hyperlink w:anchor="_Toc117780224" w:history="1">
        <w:r w:rsidR="0055667E" w:rsidRPr="00E817D9">
          <w:rPr>
            <w:rStyle w:val="Hyperlink"/>
            <w:b/>
            <w:bCs/>
            <w:noProof/>
          </w:rPr>
          <w:t>Figure 4</w:t>
        </w:r>
        <w:r w:rsidR="0055667E" w:rsidRPr="00E817D9">
          <w:rPr>
            <w:rStyle w:val="Hyperlink"/>
            <w:b/>
            <w:bCs/>
            <w:noProof/>
          </w:rPr>
          <w:noBreakHyphen/>
          <w:t>7:</w:t>
        </w:r>
        <w:r w:rsidR="0055667E" w:rsidRPr="00E817D9">
          <w:rPr>
            <w:rStyle w:val="Hyperlink"/>
            <w:noProof/>
          </w:rPr>
          <w:t xml:space="preserve"> Timeline for taking deep nasopharyngeal and throat swabs in study PBB 2</w:t>
        </w:r>
        <w:r w:rsidR="0055667E">
          <w:rPr>
            <w:noProof/>
            <w:webHidden/>
          </w:rPr>
          <w:tab/>
        </w:r>
        <w:r w:rsidR="0055667E">
          <w:rPr>
            <w:noProof/>
            <w:webHidden/>
          </w:rPr>
          <w:fldChar w:fldCharType="begin"/>
        </w:r>
        <w:r w:rsidR="0055667E">
          <w:rPr>
            <w:noProof/>
            <w:webHidden/>
          </w:rPr>
          <w:instrText xml:space="preserve"> PAGEREF _Toc117780224 \h </w:instrText>
        </w:r>
        <w:r w:rsidR="0055667E">
          <w:rPr>
            <w:noProof/>
            <w:webHidden/>
          </w:rPr>
        </w:r>
        <w:r w:rsidR="0055667E">
          <w:rPr>
            <w:noProof/>
            <w:webHidden/>
          </w:rPr>
          <w:fldChar w:fldCharType="separate"/>
        </w:r>
        <w:r w:rsidR="0055667E">
          <w:rPr>
            <w:noProof/>
            <w:webHidden/>
          </w:rPr>
          <w:t>135</w:t>
        </w:r>
        <w:r w:rsidR="0055667E">
          <w:rPr>
            <w:noProof/>
            <w:webHidden/>
          </w:rPr>
          <w:fldChar w:fldCharType="end"/>
        </w:r>
      </w:hyperlink>
    </w:p>
    <w:p w14:paraId="678CF839" w14:textId="2D156A9E" w:rsidR="0055667E" w:rsidRDefault="00000000">
      <w:pPr>
        <w:pStyle w:val="TableofFigures"/>
        <w:tabs>
          <w:tab w:val="right" w:leader="dot" w:pos="9350"/>
        </w:tabs>
        <w:rPr>
          <w:rFonts w:eastAsiaTheme="minorEastAsia"/>
          <w:noProof/>
          <w:lang w:eastAsia="en-GB"/>
        </w:rPr>
      </w:pPr>
      <w:hyperlink w:anchor="_Toc117780225" w:history="1">
        <w:r w:rsidR="0055667E" w:rsidRPr="00E817D9">
          <w:rPr>
            <w:rStyle w:val="Hyperlink"/>
            <w:b/>
            <w:bCs/>
            <w:noProof/>
          </w:rPr>
          <w:t>Figure 4</w:t>
        </w:r>
        <w:r w:rsidR="0055667E" w:rsidRPr="00E817D9">
          <w:rPr>
            <w:rStyle w:val="Hyperlink"/>
            <w:b/>
            <w:bCs/>
            <w:noProof/>
          </w:rPr>
          <w:noBreakHyphen/>
          <w:t>8:</w:t>
        </w:r>
        <w:r w:rsidR="0055667E" w:rsidRPr="00E817D9">
          <w:rPr>
            <w:rStyle w:val="Hyperlink"/>
            <w:noProof/>
          </w:rPr>
          <w:t xml:space="preserve"> Representation of azithromycin susceptibility for DNPS cultures in PBB study 2</w:t>
        </w:r>
        <w:r w:rsidR="0055667E">
          <w:rPr>
            <w:noProof/>
            <w:webHidden/>
          </w:rPr>
          <w:tab/>
        </w:r>
        <w:r w:rsidR="0055667E">
          <w:rPr>
            <w:noProof/>
            <w:webHidden/>
          </w:rPr>
          <w:fldChar w:fldCharType="begin"/>
        </w:r>
        <w:r w:rsidR="0055667E">
          <w:rPr>
            <w:noProof/>
            <w:webHidden/>
          </w:rPr>
          <w:instrText xml:space="preserve"> PAGEREF _Toc117780225 \h </w:instrText>
        </w:r>
        <w:r w:rsidR="0055667E">
          <w:rPr>
            <w:noProof/>
            <w:webHidden/>
          </w:rPr>
        </w:r>
        <w:r w:rsidR="0055667E">
          <w:rPr>
            <w:noProof/>
            <w:webHidden/>
          </w:rPr>
          <w:fldChar w:fldCharType="separate"/>
        </w:r>
        <w:r w:rsidR="0055667E">
          <w:rPr>
            <w:noProof/>
            <w:webHidden/>
          </w:rPr>
          <w:t>137</w:t>
        </w:r>
        <w:r w:rsidR="0055667E">
          <w:rPr>
            <w:noProof/>
            <w:webHidden/>
          </w:rPr>
          <w:fldChar w:fldCharType="end"/>
        </w:r>
      </w:hyperlink>
    </w:p>
    <w:p w14:paraId="261B7E1F" w14:textId="2FDA06ED" w:rsidR="0055667E" w:rsidRDefault="00000000">
      <w:pPr>
        <w:pStyle w:val="TableofFigures"/>
        <w:tabs>
          <w:tab w:val="right" w:leader="dot" w:pos="9350"/>
        </w:tabs>
        <w:rPr>
          <w:rFonts w:eastAsiaTheme="minorEastAsia"/>
          <w:noProof/>
          <w:lang w:eastAsia="en-GB"/>
        </w:rPr>
      </w:pPr>
      <w:hyperlink w:anchor="_Toc117780226" w:history="1">
        <w:r w:rsidR="0055667E" w:rsidRPr="00E817D9">
          <w:rPr>
            <w:rStyle w:val="Hyperlink"/>
            <w:b/>
            <w:bCs/>
            <w:noProof/>
          </w:rPr>
          <w:t>Figure 4</w:t>
        </w:r>
        <w:r w:rsidR="0055667E" w:rsidRPr="00E817D9">
          <w:rPr>
            <w:rStyle w:val="Hyperlink"/>
            <w:b/>
            <w:bCs/>
            <w:noProof/>
          </w:rPr>
          <w:noBreakHyphen/>
          <w:t>9:</w:t>
        </w:r>
        <w:r w:rsidR="0055667E" w:rsidRPr="00E817D9">
          <w:rPr>
            <w:rStyle w:val="Hyperlink"/>
            <w:noProof/>
          </w:rPr>
          <w:t xml:space="preserve"> Representation of azithromycin susceptibility of Streptococcus pneumoniae isolates: PBB study 2</w:t>
        </w:r>
        <w:r w:rsidR="0055667E">
          <w:rPr>
            <w:noProof/>
            <w:webHidden/>
          </w:rPr>
          <w:tab/>
        </w:r>
        <w:r w:rsidR="0055667E">
          <w:rPr>
            <w:noProof/>
            <w:webHidden/>
          </w:rPr>
          <w:fldChar w:fldCharType="begin"/>
        </w:r>
        <w:r w:rsidR="0055667E">
          <w:rPr>
            <w:noProof/>
            <w:webHidden/>
          </w:rPr>
          <w:instrText xml:space="preserve"> PAGEREF _Toc117780226 \h </w:instrText>
        </w:r>
        <w:r w:rsidR="0055667E">
          <w:rPr>
            <w:noProof/>
            <w:webHidden/>
          </w:rPr>
        </w:r>
        <w:r w:rsidR="0055667E">
          <w:rPr>
            <w:noProof/>
            <w:webHidden/>
          </w:rPr>
          <w:fldChar w:fldCharType="separate"/>
        </w:r>
        <w:r w:rsidR="0055667E">
          <w:rPr>
            <w:noProof/>
            <w:webHidden/>
          </w:rPr>
          <w:t>139</w:t>
        </w:r>
        <w:r w:rsidR="0055667E">
          <w:rPr>
            <w:noProof/>
            <w:webHidden/>
          </w:rPr>
          <w:fldChar w:fldCharType="end"/>
        </w:r>
      </w:hyperlink>
    </w:p>
    <w:p w14:paraId="07C235D2" w14:textId="62872D6B" w:rsidR="0055667E" w:rsidRDefault="00000000">
      <w:pPr>
        <w:pStyle w:val="TableofFigures"/>
        <w:tabs>
          <w:tab w:val="right" w:leader="dot" w:pos="9350"/>
        </w:tabs>
        <w:rPr>
          <w:rFonts w:eastAsiaTheme="minorEastAsia"/>
          <w:noProof/>
          <w:lang w:eastAsia="en-GB"/>
        </w:rPr>
      </w:pPr>
      <w:hyperlink w:anchor="_Toc117780227" w:history="1">
        <w:r w:rsidR="0055667E" w:rsidRPr="00E817D9">
          <w:rPr>
            <w:rStyle w:val="Hyperlink"/>
            <w:b/>
            <w:bCs/>
            <w:noProof/>
          </w:rPr>
          <w:t>Figure 4</w:t>
        </w:r>
        <w:r w:rsidR="0055667E" w:rsidRPr="00E817D9">
          <w:rPr>
            <w:rStyle w:val="Hyperlink"/>
            <w:b/>
            <w:bCs/>
            <w:noProof/>
          </w:rPr>
          <w:noBreakHyphen/>
          <w:t>10:</w:t>
        </w:r>
        <w:r w:rsidR="0055667E" w:rsidRPr="00E817D9">
          <w:rPr>
            <w:rStyle w:val="Hyperlink"/>
            <w:noProof/>
          </w:rPr>
          <w:t xml:space="preserve"> Representation of azithromycin susceptibility of Haemophilus influenzae isolates: PBB study 2</w:t>
        </w:r>
        <w:r w:rsidR="0055667E">
          <w:rPr>
            <w:noProof/>
            <w:webHidden/>
          </w:rPr>
          <w:tab/>
        </w:r>
        <w:r w:rsidR="0055667E">
          <w:rPr>
            <w:noProof/>
            <w:webHidden/>
          </w:rPr>
          <w:fldChar w:fldCharType="begin"/>
        </w:r>
        <w:r w:rsidR="0055667E">
          <w:rPr>
            <w:noProof/>
            <w:webHidden/>
          </w:rPr>
          <w:instrText xml:space="preserve"> PAGEREF _Toc117780227 \h </w:instrText>
        </w:r>
        <w:r w:rsidR="0055667E">
          <w:rPr>
            <w:noProof/>
            <w:webHidden/>
          </w:rPr>
        </w:r>
        <w:r w:rsidR="0055667E">
          <w:rPr>
            <w:noProof/>
            <w:webHidden/>
          </w:rPr>
          <w:fldChar w:fldCharType="separate"/>
        </w:r>
        <w:r w:rsidR="0055667E">
          <w:rPr>
            <w:noProof/>
            <w:webHidden/>
          </w:rPr>
          <w:t>140</w:t>
        </w:r>
        <w:r w:rsidR="0055667E">
          <w:rPr>
            <w:noProof/>
            <w:webHidden/>
          </w:rPr>
          <w:fldChar w:fldCharType="end"/>
        </w:r>
      </w:hyperlink>
    </w:p>
    <w:p w14:paraId="40976280" w14:textId="7C48AF72" w:rsidR="0055667E" w:rsidRDefault="00000000">
      <w:pPr>
        <w:pStyle w:val="TableofFigures"/>
        <w:tabs>
          <w:tab w:val="right" w:leader="dot" w:pos="9350"/>
        </w:tabs>
        <w:rPr>
          <w:rFonts w:eastAsiaTheme="minorEastAsia"/>
          <w:noProof/>
          <w:lang w:eastAsia="en-GB"/>
        </w:rPr>
      </w:pPr>
      <w:hyperlink w:anchor="_Toc117780228" w:history="1">
        <w:r w:rsidR="0055667E" w:rsidRPr="00E817D9">
          <w:rPr>
            <w:rStyle w:val="Hyperlink"/>
            <w:b/>
            <w:bCs/>
            <w:noProof/>
          </w:rPr>
          <w:t>Figure 4</w:t>
        </w:r>
        <w:r w:rsidR="0055667E" w:rsidRPr="00E817D9">
          <w:rPr>
            <w:rStyle w:val="Hyperlink"/>
            <w:b/>
            <w:bCs/>
            <w:noProof/>
          </w:rPr>
          <w:noBreakHyphen/>
          <w:t>11</w:t>
        </w:r>
        <w:r w:rsidR="0055667E" w:rsidRPr="00E817D9">
          <w:rPr>
            <w:rStyle w:val="Hyperlink"/>
            <w:noProof/>
          </w:rPr>
          <w:t>: MIC distributions of bacterial isolates from PBB study 2.</w:t>
        </w:r>
        <w:r w:rsidR="0055667E">
          <w:rPr>
            <w:noProof/>
            <w:webHidden/>
          </w:rPr>
          <w:tab/>
        </w:r>
        <w:r w:rsidR="0055667E">
          <w:rPr>
            <w:noProof/>
            <w:webHidden/>
          </w:rPr>
          <w:fldChar w:fldCharType="begin"/>
        </w:r>
        <w:r w:rsidR="0055667E">
          <w:rPr>
            <w:noProof/>
            <w:webHidden/>
          </w:rPr>
          <w:instrText xml:space="preserve"> PAGEREF _Toc117780228 \h </w:instrText>
        </w:r>
        <w:r w:rsidR="0055667E">
          <w:rPr>
            <w:noProof/>
            <w:webHidden/>
          </w:rPr>
        </w:r>
        <w:r w:rsidR="0055667E">
          <w:rPr>
            <w:noProof/>
            <w:webHidden/>
          </w:rPr>
          <w:fldChar w:fldCharType="separate"/>
        </w:r>
        <w:r w:rsidR="0055667E">
          <w:rPr>
            <w:noProof/>
            <w:webHidden/>
          </w:rPr>
          <w:t>142</w:t>
        </w:r>
        <w:r w:rsidR="0055667E">
          <w:rPr>
            <w:noProof/>
            <w:webHidden/>
          </w:rPr>
          <w:fldChar w:fldCharType="end"/>
        </w:r>
      </w:hyperlink>
    </w:p>
    <w:p w14:paraId="0AAA9E99" w14:textId="775CA909" w:rsidR="0055667E" w:rsidRDefault="00000000">
      <w:pPr>
        <w:pStyle w:val="TableofFigures"/>
        <w:tabs>
          <w:tab w:val="right" w:leader="dot" w:pos="9350"/>
        </w:tabs>
        <w:rPr>
          <w:rFonts w:eastAsiaTheme="minorEastAsia"/>
          <w:noProof/>
          <w:lang w:eastAsia="en-GB"/>
        </w:rPr>
      </w:pPr>
      <w:hyperlink w:anchor="_Toc117780229" w:history="1">
        <w:r w:rsidR="0055667E" w:rsidRPr="00E817D9">
          <w:rPr>
            <w:rStyle w:val="Hyperlink"/>
            <w:b/>
            <w:bCs/>
            <w:noProof/>
          </w:rPr>
          <w:t>Figure 4</w:t>
        </w:r>
        <w:r w:rsidR="0055667E" w:rsidRPr="00E817D9">
          <w:rPr>
            <w:rStyle w:val="Hyperlink"/>
            <w:b/>
            <w:bCs/>
            <w:noProof/>
          </w:rPr>
          <w:noBreakHyphen/>
          <w:t>12</w:t>
        </w:r>
        <w:r w:rsidR="0055667E" w:rsidRPr="00E817D9">
          <w:rPr>
            <w:rStyle w:val="Hyperlink"/>
            <w:rFonts w:cstheme="minorHAnsi"/>
            <w:b/>
            <w:bCs/>
            <w:noProof/>
          </w:rPr>
          <w:t>:</w:t>
        </w:r>
        <w:r w:rsidR="0055667E" w:rsidRPr="00E817D9">
          <w:rPr>
            <w:rStyle w:val="Hyperlink"/>
            <w:rFonts w:cstheme="minorHAnsi"/>
            <w:noProof/>
          </w:rPr>
          <w:t xml:space="preserve"> </w:t>
        </w:r>
        <w:r w:rsidR="0055667E" w:rsidRPr="00E817D9">
          <w:rPr>
            <w:rStyle w:val="Hyperlink"/>
            <w:rFonts w:cstheme="minorHAnsi"/>
            <w:bCs/>
            <w:noProof/>
          </w:rPr>
          <w:t>Distribution of azithromycin MICs for all bacterial isolates (PBB studies 1 and 2)</w:t>
        </w:r>
        <w:r w:rsidR="0055667E">
          <w:rPr>
            <w:noProof/>
            <w:webHidden/>
          </w:rPr>
          <w:tab/>
        </w:r>
        <w:r w:rsidR="0055667E">
          <w:rPr>
            <w:noProof/>
            <w:webHidden/>
          </w:rPr>
          <w:fldChar w:fldCharType="begin"/>
        </w:r>
        <w:r w:rsidR="0055667E">
          <w:rPr>
            <w:noProof/>
            <w:webHidden/>
          </w:rPr>
          <w:instrText xml:space="preserve"> PAGEREF _Toc117780229 \h </w:instrText>
        </w:r>
        <w:r w:rsidR="0055667E">
          <w:rPr>
            <w:noProof/>
            <w:webHidden/>
          </w:rPr>
        </w:r>
        <w:r w:rsidR="0055667E">
          <w:rPr>
            <w:noProof/>
            <w:webHidden/>
          </w:rPr>
          <w:fldChar w:fldCharType="separate"/>
        </w:r>
        <w:r w:rsidR="0055667E">
          <w:rPr>
            <w:noProof/>
            <w:webHidden/>
          </w:rPr>
          <w:t>153</w:t>
        </w:r>
        <w:r w:rsidR="0055667E">
          <w:rPr>
            <w:noProof/>
            <w:webHidden/>
          </w:rPr>
          <w:fldChar w:fldCharType="end"/>
        </w:r>
      </w:hyperlink>
    </w:p>
    <w:p w14:paraId="4E92FBBE" w14:textId="39E9846A" w:rsidR="0055667E" w:rsidRDefault="00000000">
      <w:pPr>
        <w:pStyle w:val="TableofFigures"/>
        <w:tabs>
          <w:tab w:val="right" w:leader="dot" w:pos="9350"/>
        </w:tabs>
        <w:rPr>
          <w:rFonts w:eastAsiaTheme="minorEastAsia"/>
          <w:noProof/>
          <w:lang w:eastAsia="en-GB"/>
        </w:rPr>
      </w:pPr>
      <w:hyperlink w:anchor="_Toc117780230" w:history="1">
        <w:r w:rsidR="0055667E" w:rsidRPr="00E817D9">
          <w:rPr>
            <w:rStyle w:val="Hyperlink"/>
            <w:b/>
            <w:bCs/>
            <w:noProof/>
          </w:rPr>
          <w:t>Figure 4</w:t>
        </w:r>
        <w:r w:rsidR="0055667E" w:rsidRPr="00E817D9">
          <w:rPr>
            <w:rStyle w:val="Hyperlink"/>
            <w:b/>
            <w:bCs/>
            <w:noProof/>
          </w:rPr>
          <w:noBreakHyphen/>
          <w:t>13:</w:t>
        </w:r>
        <w:r w:rsidR="0055667E" w:rsidRPr="00E817D9">
          <w:rPr>
            <w:rStyle w:val="Hyperlink"/>
            <w:noProof/>
          </w:rPr>
          <w:t xml:space="preserve"> Quality of DNA extracted from S. pneumoniae isolates</w:t>
        </w:r>
        <w:r w:rsidR="0055667E">
          <w:rPr>
            <w:noProof/>
            <w:webHidden/>
          </w:rPr>
          <w:tab/>
        </w:r>
        <w:r w:rsidR="0055667E">
          <w:rPr>
            <w:noProof/>
            <w:webHidden/>
          </w:rPr>
          <w:fldChar w:fldCharType="begin"/>
        </w:r>
        <w:r w:rsidR="0055667E">
          <w:rPr>
            <w:noProof/>
            <w:webHidden/>
          </w:rPr>
          <w:instrText xml:space="preserve"> PAGEREF _Toc117780230 \h </w:instrText>
        </w:r>
        <w:r w:rsidR="0055667E">
          <w:rPr>
            <w:noProof/>
            <w:webHidden/>
          </w:rPr>
        </w:r>
        <w:r w:rsidR="0055667E">
          <w:rPr>
            <w:noProof/>
            <w:webHidden/>
          </w:rPr>
          <w:fldChar w:fldCharType="separate"/>
        </w:r>
        <w:r w:rsidR="0055667E">
          <w:rPr>
            <w:noProof/>
            <w:webHidden/>
          </w:rPr>
          <w:t>159</w:t>
        </w:r>
        <w:r w:rsidR="0055667E">
          <w:rPr>
            <w:noProof/>
            <w:webHidden/>
          </w:rPr>
          <w:fldChar w:fldCharType="end"/>
        </w:r>
      </w:hyperlink>
    </w:p>
    <w:p w14:paraId="77D08FA5" w14:textId="4FB60AA3" w:rsidR="0055667E" w:rsidRDefault="00000000">
      <w:pPr>
        <w:pStyle w:val="TableofFigures"/>
        <w:tabs>
          <w:tab w:val="right" w:leader="dot" w:pos="9350"/>
        </w:tabs>
        <w:rPr>
          <w:rFonts w:eastAsiaTheme="minorEastAsia"/>
          <w:noProof/>
          <w:lang w:eastAsia="en-GB"/>
        </w:rPr>
      </w:pPr>
      <w:hyperlink w:anchor="_Toc117780231" w:history="1">
        <w:r w:rsidR="0055667E" w:rsidRPr="00E817D9">
          <w:rPr>
            <w:rStyle w:val="Hyperlink"/>
            <w:b/>
            <w:bCs/>
            <w:noProof/>
          </w:rPr>
          <w:t>Figure 4</w:t>
        </w:r>
        <w:r w:rsidR="0055667E" w:rsidRPr="00E817D9">
          <w:rPr>
            <w:rStyle w:val="Hyperlink"/>
            <w:b/>
            <w:bCs/>
            <w:noProof/>
          </w:rPr>
          <w:noBreakHyphen/>
          <w:t>14:</w:t>
        </w:r>
        <w:r w:rsidR="0055667E" w:rsidRPr="00E817D9">
          <w:rPr>
            <w:rStyle w:val="Hyperlink"/>
            <w:noProof/>
          </w:rPr>
          <w:t xml:space="preserve"> Phylogenetic tree of the 37 S. pneumoniae isolates.</w:t>
        </w:r>
        <w:r w:rsidR="0055667E">
          <w:rPr>
            <w:noProof/>
            <w:webHidden/>
          </w:rPr>
          <w:tab/>
        </w:r>
        <w:r w:rsidR="0055667E">
          <w:rPr>
            <w:noProof/>
            <w:webHidden/>
          </w:rPr>
          <w:fldChar w:fldCharType="begin"/>
        </w:r>
        <w:r w:rsidR="0055667E">
          <w:rPr>
            <w:noProof/>
            <w:webHidden/>
          </w:rPr>
          <w:instrText xml:space="preserve"> PAGEREF _Toc117780231 \h </w:instrText>
        </w:r>
        <w:r w:rsidR="0055667E">
          <w:rPr>
            <w:noProof/>
            <w:webHidden/>
          </w:rPr>
        </w:r>
        <w:r w:rsidR="0055667E">
          <w:rPr>
            <w:noProof/>
            <w:webHidden/>
          </w:rPr>
          <w:fldChar w:fldCharType="separate"/>
        </w:r>
        <w:r w:rsidR="0055667E">
          <w:rPr>
            <w:noProof/>
            <w:webHidden/>
          </w:rPr>
          <w:t>164</w:t>
        </w:r>
        <w:r w:rsidR="0055667E">
          <w:rPr>
            <w:noProof/>
            <w:webHidden/>
          </w:rPr>
          <w:fldChar w:fldCharType="end"/>
        </w:r>
      </w:hyperlink>
    </w:p>
    <w:p w14:paraId="1723B52A" w14:textId="33302F4E" w:rsidR="0055667E" w:rsidRDefault="00000000">
      <w:pPr>
        <w:pStyle w:val="TableofFigures"/>
        <w:tabs>
          <w:tab w:val="right" w:leader="dot" w:pos="9350"/>
        </w:tabs>
        <w:rPr>
          <w:rFonts w:eastAsiaTheme="minorEastAsia"/>
          <w:noProof/>
          <w:lang w:eastAsia="en-GB"/>
        </w:rPr>
      </w:pPr>
      <w:hyperlink w:anchor="_Toc117780232" w:history="1">
        <w:r w:rsidR="0055667E" w:rsidRPr="00E817D9">
          <w:rPr>
            <w:rStyle w:val="Hyperlink"/>
            <w:b/>
            <w:bCs/>
            <w:noProof/>
          </w:rPr>
          <w:t>Figure 5</w:t>
        </w:r>
        <w:r w:rsidR="0055667E" w:rsidRPr="00E817D9">
          <w:rPr>
            <w:rStyle w:val="Hyperlink"/>
            <w:b/>
            <w:bCs/>
            <w:noProof/>
          </w:rPr>
          <w:noBreakHyphen/>
          <w:t>1:</w:t>
        </w:r>
        <w:r w:rsidR="0055667E" w:rsidRPr="00E817D9">
          <w:rPr>
            <w:rStyle w:val="Hyperlink"/>
            <w:noProof/>
          </w:rPr>
          <w:t xml:space="preserve"> Sample processing pathway</w:t>
        </w:r>
        <w:r w:rsidR="0055667E">
          <w:rPr>
            <w:noProof/>
            <w:webHidden/>
          </w:rPr>
          <w:tab/>
        </w:r>
        <w:r w:rsidR="0055667E">
          <w:rPr>
            <w:noProof/>
            <w:webHidden/>
          </w:rPr>
          <w:fldChar w:fldCharType="begin"/>
        </w:r>
        <w:r w:rsidR="0055667E">
          <w:rPr>
            <w:noProof/>
            <w:webHidden/>
          </w:rPr>
          <w:instrText xml:space="preserve"> PAGEREF _Toc117780232 \h </w:instrText>
        </w:r>
        <w:r w:rsidR="0055667E">
          <w:rPr>
            <w:noProof/>
            <w:webHidden/>
          </w:rPr>
        </w:r>
        <w:r w:rsidR="0055667E">
          <w:rPr>
            <w:noProof/>
            <w:webHidden/>
          </w:rPr>
          <w:fldChar w:fldCharType="separate"/>
        </w:r>
        <w:r w:rsidR="0055667E">
          <w:rPr>
            <w:noProof/>
            <w:webHidden/>
          </w:rPr>
          <w:t>183</w:t>
        </w:r>
        <w:r w:rsidR="0055667E">
          <w:rPr>
            <w:noProof/>
            <w:webHidden/>
          </w:rPr>
          <w:fldChar w:fldCharType="end"/>
        </w:r>
      </w:hyperlink>
    </w:p>
    <w:p w14:paraId="4FE9C86D" w14:textId="75D1A5C3" w:rsidR="0055667E" w:rsidRDefault="00000000">
      <w:pPr>
        <w:pStyle w:val="TableofFigures"/>
        <w:tabs>
          <w:tab w:val="right" w:leader="dot" w:pos="9350"/>
        </w:tabs>
        <w:rPr>
          <w:rFonts w:eastAsiaTheme="minorEastAsia"/>
          <w:noProof/>
          <w:lang w:eastAsia="en-GB"/>
        </w:rPr>
      </w:pPr>
      <w:hyperlink w:anchor="_Toc117780233" w:history="1">
        <w:r w:rsidR="0055667E" w:rsidRPr="00E817D9">
          <w:rPr>
            <w:rStyle w:val="Hyperlink"/>
            <w:b/>
            <w:bCs/>
            <w:noProof/>
          </w:rPr>
          <w:t>Figure 5</w:t>
        </w:r>
        <w:r w:rsidR="0055667E" w:rsidRPr="00E817D9">
          <w:rPr>
            <w:rStyle w:val="Hyperlink"/>
            <w:b/>
            <w:bCs/>
            <w:noProof/>
          </w:rPr>
          <w:noBreakHyphen/>
          <w:t>2:</w:t>
        </w:r>
        <w:r w:rsidR="0055667E" w:rsidRPr="00E817D9">
          <w:rPr>
            <w:rStyle w:val="Hyperlink"/>
            <w:noProof/>
          </w:rPr>
          <w:t xml:space="preserve"> ‘decontam’ output to visualise non-contaminant sequences and contaminant sequences</w:t>
        </w:r>
        <w:r w:rsidR="0055667E">
          <w:rPr>
            <w:noProof/>
            <w:webHidden/>
          </w:rPr>
          <w:tab/>
        </w:r>
        <w:r w:rsidR="0055667E">
          <w:rPr>
            <w:noProof/>
            <w:webHidden/>
          </w:rPr>
          <w:fldChar w:fldCharType="begin"/>
        </w:r>
        <w:r w:rsidR="0055667E">
          <w:rPr>
            <w:noProof/>
            <w:webHidden/>
          </w:rPr>
          <w:instrText xml:space="preserve"> PAGEREF _Toc117780233 \h </w:instrText>
        </w:r>
        <w:r w:rsidR="0055667E">
          <w:rPr>
            <w:noProof/>
            <w:webHidden/>
          </w:rPr>
        </w:r>
        <w:r w:rsidR="0055667E">
          <w:rPr>
            <w:noProof/>
            <w:webHidden/>
          </w:rPr>
          <w:fldChar w:fldCharType="separate"/>
        </w:r>
        <w:r w:rsidR="0055667E">
          <w:rPr>
            <w:noProof/>
            <w:webHidden/>
          </w:rPr>
          <w:t>184</w:t>
        </w:r>
        <w:r w:rsidR="0055667E">
          <w:rPr>
            <w:noProof/>
            <w:webHidden/>
          </w:rPr>
          <w:fldChar w:fldCharType="end"/>
        </w:r>
      </w:hyperlink>
    </w:p>
    <w:p w14:paraId="56BAD1F7" w14:textId="3E216F28" w:rsidR="0055667E" w:rsidRDefault="00000000">
      <w:pPr>
        <w:pStyle w:val="TableofFigures"/>
        <w:tabs>
          <w:tab w:val="right" w:leader="dot" w:pos="9350"/>
        </w:tabs>
        <w:rPr>
          <w:rFonts w:eastAsiaTheme="minorEastAsia"/>
          <w:noProof/>
          <w:lang w:eastAsia="en-GB"/>
        </w:rPr>
      </w:pPr>
      <w:hyperlink w:anchor="_Toc117780234" w:history="1">
        <w:r w:rsidR="0055667E" w:rsidRPr="00E817D9">
          <w:rPr>
            <w:rStyle w:val="Hyperlink"/>
            <w:b/>
            <w:bCs/>
            <w:noProof/>
          </w:rPr>
          <w:t>Figure 5</w:t>
        </w:r>
        <w:r w:rsidR="0055667E" w:rsidRPr="00E817D9">
          <w:rPr>
            <w:rStyle w:val="Hyperlink"/>
            <w:b/>
            <w:bCs/>
            <w:noProof/>
          </w:rPr>
          <w:noBreakHyphen/>
          <w:t>3</w:t>
        </w:r>
        <w:r w:rsidR="0055667E" w:rsidRPr="00E817D9">
          <w:rPr>
            <w:rStyle w:val="Hyperlink"/>
            <w:noProof/>
          </w:rPr>
          <w:t>: Microbial composition of DNPS from the comparison group.</w:t>
        </w:r>
        <w:r w:rsidR="0055667E">
          <w:rPr>
            <w:noProof/>
            <w:webHidden/>
          </w:rPr>
          <w:tab/>
        </w:r>
        <w:r w:rsidR="0055667E">
          <w:rPr>
            <w:noProof/>
            <w:webHidden/>
          </w:rPr>
          <w:fldChar w:fldCharType="begin"/>
        </w:r>
        <w:r w:rsidR="0055667E">
          <w:rPr>
            <w:noProof/>
            <w:webHidden/>
          </w:rPr>
          <w:instrText xml:space="preserve"> PAGEREF _Toc117780234 \h </w:instrText>
        </w:r>
        <w:r w:rsidR="0055667E">
          <w:rPr>
            <w:noProof/>
            <w:webHidden/>
          </w:rPr>
        </w:r>
        <w:r w:rsidR="0055667E">
          <w:rPr>
            <w:noProof/>
            <w:webHidden/>
          </w:rPr>
          <w:fldChar w:fldCharType="separate"/>
        </w:r>
        <w:r w:rsidR="0055667E">
          <w:rPr>
            <w:noProof/>
            <w:webHidden/>
          </w:rPr>
          <w:t>186</w:t>
        </w:r>
        <w:r w:rsidR="0055667E">
          <w:rPr>
            <w:noProof/>
            <w:webHidden/>
          </w:rPr>
          <w:fldChar w:fldCharType="end"/>
        </w:r>
      </w:hyperlink>
    </w:p>
    <w:p w14:paraId="5815DECD" w14:textId="16B1211D" w:rsidR="0055667E" w:rsidRDefault="00000000">
      <w:pPr>
        <w:pStyle w:val="TableofFigures"/>
        <w:tabs>
          <w:tab w:val="right" w:leader="dot" w:pos="9350"/>
        </w:tabs>
        <w:rPr>
          <w:rFonts w:eastAsiaTheme="minorEastAsia"/>
          <w:noProof/>
          <w:lang w:eastAsia="en-GB"/>
        </w:rPr>
      </w:pPr>
      <w:hyperlink w:anchor="_Toc117780235" w:history="1">
        <w:r w:rsidR="0055667E" w:rsidRPr="00E817D9">
          <w:rPr>
            <w:rStyle w:val="Hyperlink"/>
            <w:b/>
            <w:bCs/>
            <w:noProof/>
          </w:rPr>
          <w:t>Figure 5</w:t>
        </w:r>
        <w:r w:rsidR="0055667E" w:rsidRPr="00E817D9">
          <w:rPr>
            <w:rStyle w:val="Hyperlink"/>
            <w:b/>
            <w:bCs/>
            <w:noProof/>
          </w:rPr>
          <w:noBreakHyphen/>
          <w:t>4</w:t>
        </w:r>
        <w:r w:rsidR="0055667E" w:rsidRPr="00E817D9">
          <w:rPr>
            <w:rStyle w:val="Hyperlink"/>
            <w:noProof/>
          </w:rPr>
          <w:t xml:space="preserve">: </w:t>
        </w:r>
        <w:r w:rsidR="0055667E" w:rsidRPr="00E817D9">
          <w:rPr>
            <w:rStyle w:val="Hyperlink"/>
            <w:rFonts w:ascii="Calibri" w:eastAsia="Calibri" w:hAnsi="Calibri" w:cs="Times New Roman"/>
            <w:noProof/>
          </w:rPr>
          <w:t>Microbial composition of DNPS from the azithromycin group</w:t>
        </w:r>
        <w:r w:rsidR="0055667E">
          <w:rPr>
            <w:noProof/>
            <w:webHidden/>
          </w:rPr>
          <w:tab/>
        </w:r>
        <w:r w:rsidR="0055667E">
          <w:rPr>
            <w:noProof/>
            <w:webHidden/>
          </w:rPr>
          <w:fldChar w:fldCharType="begin"/>
        </w:r>
        <w:r w:rsidR="0055667E">
          <w:rPr>
            <w:noProof/>
            <w:webHidden/>
          </w:rPr>
          <w:instrText xml:space="preserve"> PAGEREF _Toc117780235 \h </w:instrText>
        </w:r>
        <w:r w:rsidR="0055667E">
          <w:rPr>
            <w:noProof/>
            <w:webHidden/>
          </w:rPr>
        </w:r>
        <w:r w:rsidR="0055667E">
          <w:rPr>
            <w:noProof/>
            <w:webHidden/>
          </w:rPr>
          <w:fldChar w:fldCharType="separate"/>
        </w:r>
        <w:r w:rsidR="0055667E">
          <w:rPr>
            <w:noProof/>
            <w:webHidden/>
          </w:rPr>
          <w:t>188</w:t>
        </w:r>
        <w:r w:rsidR="0055667E">
          <w:rPr>
            <w:noProof/>
            <w:webHidden/>
          </w:rPr>
          <w:fldChar w:fldCharType="end"/>
        </w:r>
      </w:hyperlink>
    </w:p>
    <w:p w14:paraId="5A1131CB" w14:textId="4DCE1579" w:rsidR="0055667E" w:rsidRDefault="00000000">
      <w:pPr>
        <w:pStyle w:val="TableofFigures"/>
        <w:tabs>
          <w:tab w:val="right" w:leader="dot" w:pos="9350"/>
        </w:tabs>
        <w:rPr>
          <w:rFonts w:eastAsiaTheme="minorEastAsia"/>
          <w:noProof/>
          <w:lang w:eastAsia="en-GB"/>
        </w:rPr>
      </w:pPr>
      <w:hyperlink w:anchor="_Toc117780236" w:history="1">
        <w:r w:rsidR="0055667E" w:rsidRPr="00E817D9">
          <w:rPr>
            <w:rStyle w:val="Hyperlink"/>
            <w:b/>
            <w:bCs/>
            <w:noProof/>
          </w:rPr>
          <w:t>Figure 5</w:t>
        </w:r>
        <w:r w:rsidR="0055667E" w:rsidRPr="00E817D9">
          <w:rPr>
            <w:rStyle w:val="Hyperlink"/>
            <w:b/>
            <w:bCs/>
            <w:noProof/>
          </w:rPr>
          <w:noBreakHyphen/>
          <w:t>5</w:t>
        </w:r>
        <w:r w:rsidR="0055667E" w:rsidRPr="00E817D9">
          <w:rPr>
            <w:rStyle w:val="Hyperlink"/>
            <w:noProof/>
          </w:rPr>
          <w:t xml:space="preserve">: </w:t>
        </w:r>
        <w:r w:rsidR="0055667E" w:rsidRPr="00E817D9">
          <w:rPr>
            <w:rStyle w:val="Hyperlink"/>
            <w:rFonts w:ascii="Calibri" w:eastAsia="Calibri" w:hAnsi="Calibri" w:cs="Times New Roman"/>
            <w:noProof/>
          </w:rPr>
          <w:t>Microbial composition of the swabs taken whilst on azithromycin</w:t>
        </w:r>
        <w:r w:rsidR="0055667E">
          <w:rPr>
            <w:noProof/>
            <w:webHidden/>
          </w:rPr>
          <w:tab/>
        </w:r>
        <w:r w:rsidR="0055667E">
          <w:rPr>
            <w:noProof/>
            <w:webHidden/>
          </w:rPr>
          <w:fldChar w:fldCharType="begin"/>
        </w:r>
        <w:r w:rsidR="0055667E">
          <w:rPr>
            <w:noProof/>
            <w:webHidden/>
          </w:rPr>
          <w:instrText xml:space="preserve"> PAGEREF _Toc117780236 \h </w:instrText>
        </w:r>
        <w:r w:rsidR="0055667E">
          <w:rPr>
            <w:noProof/>
            <w:webHidden/>
          </w:rPr>
        </w:r>
        <w:r w:rsidR="0055667E">
          <w:rPr>
            <w:noProof/>
            <w:webHidden/>
          </w:rPr>
          <w:fldChar w:fldCharType="separate"/>
        </w:r>
        <w:r w:rsidR="0055667E">
          <w:rPr>
            <w:noProof/>
            <w:webHidden/>
          </w:rPr>
          <w:t>190</w:t>
        </w:r>
        <w:r w:rsidR="0055667E">
          <w:rPr>
            <w:noProof/>
            <w:webHidden/>
          </w:rPr>
          <w:fldChar w:fldCharType="end"/>
        </w:r>
      </w:hyperlink>
    </w:p>
    <w:p w14:paraId="60B011FC" w14:textId="64C74D17" w:rsidR="0055667E" w:rsidRDefault="00000000">
      <w:pPr>
        <w:pStyle w:val="TableofFigures"/>
        <w:tabs>
          <w:tab w:val="right" w:leader="dot" w:pos="9350"/>
        </w:tabs>
        <w:rPr>
          <w:rFonts w:eastAsiaTheme="minorEastAsia"/>
          <w:noProof/>
          <w:lang w:eastAsia="en-GB"/>
        </w:rPr>
      </w:pPr>
      <w:hyperlink w:anchor="_Toc117780237" w:history="1">
        <w:r w:rsidR="0055667E" w:rsidRPr="00E817D9">
          <w:rPr>
            <w:rStyle w:val="Hyperlink"/>
            <w:b/>
            <w:bCs/>
            <w:noProof/>
          </w:rPr>
          <w:t>Figure 5</w:t>
        </w:r>
        <w:r w:rsidR="0055667E" w:rsidRPr="00E817D9">
          <w:rPr>
            <w:rStyle w:val="Hyperlink"/>
            <w:b/>
            <w:bCs/>
            <w:noProof/>
          </w:rPr>
          <w:noBreakHyphen/>
          <w:t>6:</w:t>
        </w:r>
        <w:r w:rsidR="0055667E" w:rsidRPr="00E817D9">
          <w:rPr>
            <w:rStyle w:val="Hyperlink"/>
            <w:noProof/>
          </w:rPr>
          <w:t xml:space="preserve"> Alpha diversity of swabs taken from participants in both the azithromycin and comparison groups over the study period</w:t>
        </w:r>
        <w:r w:rsidR="0055667E">
          <w:rPr>
            <w:noProof/>
            <w:webHidden/>
          </w:rPr>
          <w:tab/>
        </w:r>
        <w:r w:rsidR="0055667E">
          <w:rPr>
            <w:noProof/>
            <w:webHidden/>
          </w:rPr>
          <w:fldChar w:fldCharType="begin"/>
        </w:r>
        <w:r w:rsidR="0055667E">
          <w:rPr>
            <w:noProof/>
            <w:webHidden/>
          </w:rPr>
          <w:instrText xml:space="preserve"> PAGEREF _Toc117780237 \h </w:instrText>
        </w:r>
        <w:r w:rsidR="0055667E">
          <w:rPr>
            <w:noProof/>
            <w:webHidden/>
          </w:rPr>
        </w:r>
        <w:r w:rsidR="0055667E">
          <w:rPr>
            <w:noProof/>
            <w:webHidden/>
          </w:rPr>
          <w:fldChar w:fldCharType="separate"/>
        </w:r>
        <w:r w:rsidR="0055667E">
          <w:rPr>
            <w:noProof/>
            <w:webHidden/>
          </w:rPr>
          <w:t>193</w:t>
        </w:r>
        <w:r w:rsidR="0055667E">
          <w:rPr>
            <w:noProof/>
            <w:webHidden/>
          </w:rPr>
          <w:fldChar w:fldCharType="end"/>
        </w:r>
      </w:hyperlink>
    </w:p>
    <w:p w14:paraId="5DAED732" w14:textId="106E6A61" w:rsidR="0055667E" w:rsidRDefault="00000000">
      <w:pPr>
        <w:pStyle w:val="TableofFigures"/>
        <w:tabs>
          <w:tab w:val="right" w:leader="dot" w:pos="9350"/>
        </w:tabs>
        <w:rPr>
          <w:rFonts w:eastAsiaTheme="minorEastAsia"/>
          <w:noProof/>
          <w:lang w:eastAsia="en-GB"/>
        </w:rPr>
      </w:pPr>
      <w:hyperlink w:anchor="_Toc117780238" w:history="1">
        <w:r w:rsidR="0055667E" w:rsidRPr="00E817D9">
          <w:rPr>
            <w:rStyle w:val="Hyperlink"/>
            <w:b/>
            <w:bCs/>
            <w:noProof/>
          </w:rPr>
          <w:t>Figure 5</w:t>
        </w:r>
        <w:r w:rsidR="0055667E" w:rsidRPr="00E817D9">
          <w:rPr>
            <w:rStyle w:val="Hyperlink"/>
            <w:b/>
            <w:bCs/>
            <w:noProof/>
          </w:rPr>
          <w:noBreakHyphen/>
          <w:t>7:</w:t>
        </w:r>
        <w:r w:rsidR="0055667E" w:rsidRPr="00E817D9">
          <w:rPr>
            <w:rStyle w:val="Hyperlink"/>
            <w:noProof/>
          </w:rPr>
          <w:t xml:space="preserve"> Non-metric multi-dimensional scaling of beta diversity for DNPS collected from children in both comparison and azithromycin group</w:t>
        </w:r>
        <w:r w:rsidR="0055667E">
          <w:rPr>
            <w:noProof/>
            <w:webHidden/>
          </w:rPr>
          <w:tab/>
        </w:r>
        <w:r w:rsidR="0055667E">
          <w:rPr>
            <w:noProof/>
            <w:webHidden/>
          </w:rPr>
          <w:fldChar w:fldCharType="begin"/>
        </w:r>
        <w:r w:rsidR="0055667E">
          <w:rPr>
            <w:noProof/>
            <w:webHidden/>
          </w:rPr>
          <w:instrText xml:space="preserve"> PAGEREF _Toc117780238 \h </w:instrText>
        </w:r>
        <w:r w:rsidR="0055667E">
          <w:rPr>
            <w:noProof/>
            <w:webHidden/>
          </w:rPr>
        </w:r>
        <w:r w:rsidR="0055667E">
          <w:rPr>
            <w:noProof/>
            <w:webHidden/>
          </w:rPr>
          <w:fldChar w:fldCharType="separate"/>
        </w:r>
        <w:r w:rsidR="0055667E">
          <w:rPr>
            <w:noProof/>
            <w:webHidden/>
          </w:rPr>
          <w:t>196</w:t>
        </w:r>
        <w:r w:rsidR="0055667E">
          <w:rPr>
            <w:noProof/>
            <w:webHidden/>
          </w:rPr>
          <w:fldChar w:fldCharType="end"/>
        </w:r>
      </w:hyperlink>
    </w:p>
    <w:p w14:paraId="17829386" w14:textId="4DED1500" w:rsidR="0055667E" w:rsidRDefault="00000000">
      <w:pPr>
        <w:pStyle w:val="TableofFigures"/>
        <w:tabs>
          <w:tab w:val="right" w:leader="dot" w:pos="9350"/>
        </w:tabs>
        <w:rPr>
          <w:rFonts w:eastAsiaTheme="minorEastAsia"/>
          <w:noProof/>
          <w:lang w:eastAsia="en-GB"/>
        </w:rPr>
      </w:pPr>
      <w:hyperlink w:anchor="_Toc117780239" w:history="1">
        <w:r w:rsidR="0055667E" w:rsidRPr="00E817D9">
          <w:rPr>
            <w:rStyle w:val="Hyperlink"/>
            <w:b/>
            <w:bCs/>
            <w:noProof/>
          </w:rPr>
          <w:t>Figure 5</w:t>
        </w:r>
        <w:r w:rsidR="0055667E" w:rsidRPr="00E817D9">
          <w:rPr>
            <w:rStyle w:val="Hyperlink"/>
            <w:b/>
            <w:bCs/>
            <w:noProof/>
          </w:rPr>
          <w:noBreakHyphen/>
          <w:t>8:</w:t>
        </w:r>
        <w:r w:rsidR="0055667E" w:rsidRPr="00E817D9">
          <w:rPr>
            <w:rStyle w:val="Hyperlink"/>
            <w:noProof/>
          </w:rPr>
          <w:t xml:space="preserve"> Non-metric multi-dimensional scaling of beta diversity for DNPS collected from children taking azithromycin at the time of the swab collection</w:t>
        </w:r>
        <w:r w:rsidR="0055667E">
          <w:rPr>
            <w:noProof/>
            <w:webHidden/>
          </w:rPr>
          <w:tab/>
        </w:r>
        <w:r w:rsidR="0055667E">
          <w:rPr>
            <w:noProof/>
            <w:webHidden/>
          </w:rPr>
          <w:fldChar w:fldCharType="begin"/>
        </w:r>
        <w:r w:rsidR="0055667E">
          <w:rPr>
            <w:noProof/>
            <w:webHidden/>
          </w:rPr>
          <w:instrText xml:space="preserve"> PAGEREF _Toc117780239 \h </w:instrText>
        </w:r>
        <w:r w:rsidR="0055667E">
          <w:rPr>
            <w:noProof/>
            <w:webHidden/>
          </w:rPr>
        </w:r>
        <w:r w:rsidR="0055667E">
          <w:rPr>
            <w:noProof/>
            <w:webHidden/>
          </w:rPr>
          <w:fldChar w:fldCharType="separate"/>
        </w:r>
        <w:r w:rsidR="0055667E">
          <w:rPr>
            <w:noProof/>
            <w:webHidden/>
          </w:rPr>
          <w:t>198</w:t>
        </w:r>
        <w:r w:rsidR="0055667E">
          <w:rPr>
            <w:noProof/>
            <w:webHidden/>
          </w:rPr>
          <w:fldChar w:fldCharType="end"/>
        </w:r>
      </w:hyperlink>
    </w:p>
    <w:p w14:paraId="076246E9" w14:textId="729618BB" w:rsidR="0055667E" w:rsidRDefault="00000000">
      <w:pPr>
        <w:pStyle w:val="TableofFigures"/>
        <w:tabs>
          <w:tab w:val="right" w:leader="dot" w:pos="9350"/>
        </w:tabs>
        <w:rPr>
          <w:rFonts w:eastAsiaTheme="minorEastAsia"/>
          <w:noProof/>
          <w:lang w:eastAsia="en-GB"/>
        </w:rPr>
      </w:pPr>
      <w:hyperlink w:anchor="_Toc117780240" w:history="1">
        <w:r w:rsidR="0055667E" w:rsidRPr="00E817D9">
          <w:rPr>
            <w:rStyle w:val="Hyperlink"/>
            <w:b/>
            <w:bCs/>
            <w:noProof/>
          </w:rPr>
          <w:t>Figure 5</w:t>
        </w:r>
        <w:r w:rsidR="0055667E" w:rsidRPr="00E817D9">
          <w:rPr>
            <w:rStyle w:val="Hyperlink"/>
            <w:b/>
            <w:bCs/>
            <w:noProof/>
          </w:rPr>
          <w:noBreakHyphen/>
          <w:t>9</w:t>
        </w:r>
        <w:r w:rsidR="0055667E" w:rsidRPr="00E817D9">
          <w:rPr>
            <w:rStyle w:val="Hyperlink"/>
            <w:noProof/>
          </w:rPr>
          <w:t>: Non-metric multi-dimensional scaling of beta diversity: Those actively taking azithromycin compared to the comparison group</w:t>
        </w:r>
        <w:r w:rsidR="0055667E">
          <w:rPr>
            <w:noProof/>
            <w:webHidden/>
          </w:rPr>
          <w:tab/>
        </w:r>
        <w:r w:rsidR="0055667E">
          <w:rPr>
            <w:noProof/>
            <w:webHidden/>
          </w:rPr>
          <w:fldChar w:fldCharType="begin"/>
        </w:r>
        <w:r w:rsidR="0055667E">
          <w:rPr>
            <w:noProof/>
            <w:webHidden/>
          </w:rPr>
          <w:instrText xml:space="preserve"> PAGEREF _Toc117780240 \h </w:instrText>
        </w:r>
        <w:r w:rsidR="0055667E">
          <w:rPr>
            <w:noProof/>
            <w:webHidden/>
          </w:rPr>
        </w:r>
        <w:r w:rsidR="0055667E">
          <w:rPr>
            <w:noProof/>
            <w:webHidden/>
          </w:rPr>
          <w:fldChar w:fldCharType="separate"/>
        </w:r>
        <w:r w:rsidR="0055667E">
          <w:rPr>
            <w:noProof/>
            <w:webHidden/>
          </w:rPr>
          <w:t>199</w:t>
        </w:r>
        <w:r w:rsidR="0055667E">
          <w:rPr>
            <w:noProof/>
            <w:webHidden/>
          </w:rPr>
          <w:fldChar w:fldCharType="end"/>
        </w:r>
      </w:hyperlink>
    </w:p>
    <w:p w14:paraId="60471A35" w14:textId="77A9CC0C" w:rsidR="0055667E" w:rsidRDefault="00000000">
      <w:pPr>
        <w:pStyle w:val="TableofFigures"/>
        <w:tabs>
          <w:tab w:val="right" w:leader="dot" w:pos="9350"/>
        </w:tabs>
        <w:rPr>
          <w:rFonts w:eastAsiaTheme="minorEastAsia"/>
          <w:noProof/>
          <w:lang w:eastAsia="en-GB"/>
        </w:rPr>
      </w:pPr>
      <w:hyperlink w:anchor="_Toc117780241" w:history="1">
        <w:r w:rsidR="0055667E" w:rsidRPr="00E817D9">
          <w:rPr>
            <w:rStyle w:val="Hyperlink"/>
            <w:b/>
            <w:bCs/>
            <w:noProof/>
          </w:rPr>
          <w:t>Figure 5</w:t>
        </w:r>
        <w:r w:rsidR="0055667E" w:rsidRPr="00E817D9">
          <w:rPr>
            <w:rStyle w:val="Hyperlink"/>
            <w:b/>
            <w:bCs/>
            <w:noProof/>
          </w:rPr>
          <w:noBreakHyphen/>
          <w:t>10</w:t>
        </w:r>
        <w:r w:rsidR="0055667E" w:rsidRPr="00E817D9">
          <w:rPr>
            <w:rStyle w:val="Hyperlink"/>
            <w:noProof/>
          </w:rPr>
          <w:t>: Non-metric multi-dimensional scaling of beta diversity: Azithromycin group analysis</w:t>
        </w:r>
        <w:r w:rsidR="0055667E">
          <w:rPr>
            <w:noProof/>
            <w:webHidden/>
          </w:rPr>
          <w:tab/>
        </w:r>
        <w:r w:rsidR="0055667E">
          <w:rPr>
            <w:noProof/>
            <w:webHidden/>
          </w:rPr>
          <w:fldChar w:fldCharType="begin"/>
        </w:r>
        <w:r w:rsidR="0055667E">
          <w:rPr>
            <w:noProof/>
            <w:webHidden/>
          </w:rPr>
          <w:instrText xml:space="preserve"> PAGEREF _Toc117780241 \h </w:instrText>
        </w:r>
        <w:r w:rsidR="0055667E">
          <w:rPr>
            <w:noProof/>
            <w:webHidden/>
          </w:rPr>
        </w:r>
        <w:r w:rsidR="0055667E">
          <w:rPr>
            <w:noProof/>
            <w:webHidden/>
          </w:rPr>
          <w:fldChar w:fldCharType="separate"/>
        </w:r>
        <w:r w:rsidR="0055667E">
          <w:rPr>
            <w:noProof/>
            <w:webHidden/>
          </w:rPr>
          <w:t>200</w:t>
        </w:r>
        <w:r w:rsidR="0055667E">
          <w:rPr>
            <w:noProof/>
            <w:webHidden/>
          </w:rPr>
          <w:fldChar w:fldCharType="end"/>
        </w:r>
      </w:hyperlink>
    </w:p>
    <w:p w14:paraId="7480203C" w14:textId="22C53A9F" w:rsidR="005D31BA" w:rsidRPr="00B42561" w:rsidRDefault="00754FA4" w:rsidP="00513927">
      <w:r w:rsidRPr="00B42561">
        <w:fldChar w:fldCharType="end"/>
      </w:r>
    </w:p>
    <w:p w14:paraId="726196CE" w14:textId="41FEA5D5" w:rsidR="00AB2087" w:rsidRPr="00B42561" w:rsidRDefault="00AB2087" w:rsidP="005D31BA">
      <w:pPr>
        <w:pStyle w:val="Heading1"/>
        <w:numPr>
          <w:ilvl w:val="0"/>
          <w:numId w:val="0"/>
        </w:numPr>
        <w:rPr>
          <w:sz w:val="24"/>
          <w:szCs w:val="24"/>
        </w:rPr>
      </w:pPr>
      <w:bookmarkStart w:id="4" w:name="_Toc117765874"/>
      <w:r w:rsidRPr="00B42561">
        <w:rPr>
          <w:sz w:val="24"/>
          <w:szCs w:val="24"/>
        </w:rPr>
        <w:lastRenderedPageBreak/>
        <w:t>List of Tables</w:t>
      </w:r>
      <w:bookmarkEnd w:id="4"/>
    </w:p>
    <w:p w14:paraId="66A50E79" w14:textId="6830F2B0" w:rsidR="0055667E" w:rsidRDefault="009F7D80">
      <w:pPr>
        <w:pStyle w:val="TableofFigures"/>
        <w:tabs>
          <w:tab w:val="right" w:leader="dot" w:pos="9350"/>
        </w:tabs>
        <w:rPr>
          <w:rFonts w:eastAsiaTheme="minorEastAsia"/>
          <w:noProof/>
          <w:lang w:eastAsia="en-GB"/>
        </w:rPr>
      </w:pPr>
      <w:r w:rsidRPr="00B42561">
        <w:rPr>
          <w:sz w:val="24"/>
          <w:szCs w:val="24"/>
        </w:rPr>
        <w:fldChar w:fldCharType="begin"/>
      </w:r>
      <w:r w:rsidRPr="00B42561">
        <w:rPr>
          <w:sz w:val="24"/>
          <w:szCs w:val="24"/>
        </w:rPr>
        <w:instrText xml:space="preserve"> TOC \h \z \c "Table" </w:instrText>
      </w:r>
      <w:r w:rsidRPr="00B42561">
        <w:rPr>
          <w:sz w:val="24"/>
          <w:szCs w:val="24"/>
        </w:rPr>
        <w:fldChar w:fldCharType="separate"/>
      </w:r>
      <w:hyperlink w:anchor="_Toc117780242" w:history="1">
        <w:r w:rsidR="0055667E" w:rsidRPr="00C06089">
          <w:rPr>
            <w:rStyle w:val="Hyperlink"/>
            <w:b/>
            <w:bCs/>
            <w:noProof/>
          </w:rPr>
          <w:t>Table 1:</w:t>
        </w:r>
        <w:r w:rsidR="0055667E" w:rsidRPr="00C06089">
          <w:rPr>
            <w:rStyle w:val="Hyperlink"/>
            <w:noProof/>
          </w:rPr>
          <w:t xml:space="preserve"> Diagnostic classification of PBB (Kantar et al., 2017)</w:t>
        </w:r>
        <w:r w:rsidR="0055667E">
          <w:rPr>
            <w:noProof/>
            <w:webHidden/>
          </w:rPr>
          <w:tab/>
        </w:r>
        <w:r w:rsidR="0055667E">
          <w:rPr>
            <w:noProof/>
            <w:webHidden/>
          </w:rPr>
          <w:fldChar w:fldCharType="begin"/>
        </w:r>
        <w:r w:rsidR="0055667E">
          <w:rPr>
            <w:noProof/>
            <w:webHidden/>
          </w:rPr>
          <w:instrText xml:space="preserve"> PAGEREF _Toc117780242 \h </w:instrText>
        </w:r>
        <w:r w:rsidR="0055667E">
          <w:rPr>
            <w:noProof/>
            <w:webHidden/>
          </w:rPr>
        </w:r>
        <w:r w:rsidR="0055667E">
          <w:rPr>
            <w:noProof/>
            <w:webHidden/>
          </w:rPr>
          <w:fldChar w:fldCharType="separate"/>
        </w:r>
        <w:r w:rsidR="0055667E">
          <w:rPr>
            <w:noProof/>
            <w:webHidden/>
          </w:rPr>
          <w:t>19</w:t>
        </w:r>
        <w:r w:rsidR="0055667E">
          <w:rPr>
            <w:noProof/>
            <w:webHidden/>
          </w:rPr>
          <w:fldChar w:fldCharType="end"/>
        </w:r>
      </w:hyperlink>
    </w:p>
    <w:p w14:paraId="65291F48" w14:textId="1F73BF86" w:rsidR="0055667E" w:rsidRDefault="00000000">
      <w:pPr>
        <w:pStyle w:val="TableofFigures"/>
        <w:tabs>
          <w:tab w:val="right" w:leader="dot" w:pos="9350"/>
        </w:tabs>
        <w:rPr>
          <w:rFonts w:eastAsiaTheme="minorEastAsia"/>
          <w:noProof/>
          <w:lang w:eastAsia="en-GB"/>
        </w:rPr>
      </w:pPr>
      <w:hyperlink w:anchor="_Toc117780243" w:history="1">
        <w:r w:rsidR="0055667E" w:rsidRPr="00C06089">
          <w:rPr>
            <w:rStyle w:val="Hyperlink"/>
            <w:b/>
            <w:bCs/>
            <w:noProof/>
          </w:rPr>
          <w:t>Table 2:</w:t>
        </w:r>
        <w:r w:rsidR="0055667E" w:rsidRPr="00C06089">
          <w:rPr>
            <w:rStyle w:val="Hyperlink"/>
            <w:noProof/>
          </w:rPr>
          <w:t xml:space="preserve"> Examples of prophylactic antibiotics to prevent infection by a particular pathogen</w:t>
        </w:r>
        <w:r w:rsidR="0055667E">
          <w:rPr>
            <w:noProof/>
            <w:webHidden/>
          </w:rPr>
          <w:tab/>
        </w:r>
        <w:r w:rsidR="0055667E">
          <w:rPr>
            <w:noProof/>
            <w:webHidden/>
          </w:rPr>
          <w:fldChar w:fldCharType="begin"/>
        </w:r>
        <w:r w:rsidR="0055667E">
          <w:rPr>
            <w:noProof/>
            <w:webHidden/>
          </w:rPr>
          <w:instrText xml:space="preserve"> PAGEREF _Toc117780243 \h </w:instrText>
        </w:r>
        <w:r w:rsidR="0055667E">
          <w:rPr>
            <w:noProof/>
            <w:webHidden/>
          </w:rPr>
        </w:r>
        <w:r w:rsidR="0055667E">
          <w:rPr>
            <w:noProof/>
            <w:webHidden/>
          </w:rPr>
          <w:fldChar w:fldCharType="separate"/>
        </w:r>
        <w:r w:rsidR="0055667E">
          <w:rPr>
            <w:noProof/>
            <w:webHidden/>
          </w:rPr>
          <w:t>32</w:t>
        </w:r>
        <w:r w:rsidR="0055667E">
          <w:rPr>
            <w:noProof/>
            <w:webHidden/>
          </w:rPr>
          <w:fldChar w:fldCharType="end"/>
        </w:r>
      </w:hyperlink>
    </w:p>
    <w:p w14:paraId="75A1F980" w14:textId="5DF16606" w:rsidR="0055667E" w:rsidRDefault="00000000">
      <w:pPr>
        <w:pStyle w:val="TableofFigures"/>
        <w:tabs>
          <w:tab w:val="right" w:leader="dot" w:pos="9350"/>
        </w:tabs>
        <w:rPr>
          <w:rFonts w:eastAsiaTheme="minorEastAsia"/>
          <w:noProof/>
          <w:lang w:eastAsia="en-GB"/>
        </w:rPr>
      </w:pPr>
      <w:hyperlink w:anchor="_Toc117780244" w:history="1">
        <w:r w:rsidR="0055667E" w:rsidRPr="00C06089">
          <w:rPr>
            <w:rStyle w:val="Hyperlink"/>
            <w:b/>
            <w:bCs/>
            <w:noProof/>
          </w:rPr>
          <w:t>Table 3:</w:t>
        </w:r>
        <w:r w:rsidR="0055667E" w:rsidRPr="00C06089">
          <w:rPr>
            <w:rStyle w:val="Hyperlink"/>
            <w:noProof/>
          </w:rPr>
          <w:t xml:space="preserve"> Examples of prophylactic antibiotics to protect an infection prone site</w:t>
        </w:r>
        <w:r w:rsidR="0055667E">
          <w:rPr>
            <w:noProof/>
            <w:webHidden/>
          </w:rPr>
          <w:tab/>
        </w:r>
        <w:r w:rsidR="0055667E">
          <w:rPr>
            <w:noProof/>
            <w:webHidden/>
          </w:rPr>
          <w:fldChar w:fldCharType="begin"/>
        </w:r>
        <w:r w:rsidR="0055667E">
          <w:rPr>
            <w:noProof/>
            <w:webHidden/>
          </w:rPr>
          <w:instrText xml:space="preserve"> PAGEREF _Toc117780244 \h </w:instrText>
        </w:r>
        <w:r w:rsidR="0055667E">
          <w:rPr>
            <w:noProof/>
            <w:webHidden/>
          </w:rPr>
        </w:r>
        <w:r w:rsidR="0055667E">
          <w:rPr>
            <w:noProof/>
            <w:webHidden/>
          </w:rPr>
          <w:fldChar w:fldCharType="separate"/>
        </w:r>
        <w:r w:rsidR="0055667E">
          <w:rPr>
            <w:noProof/>
            <w:webHidden/>
          </w:rPr>
          <w:t>33</w:t>
        </w:r>
        <w:r w:rsidR="0055667E">
          <w:rPr>
            <w:noProof/>
            <w:webHidden/>
          </w:rPr>
          <w:fldChar w:fldCharType="end"/>
        </w:r>
      </w:hyperlink>
    </w:p>
    <w:p w14:paraId="61ED965D" w14:textId="033BD58A" w:rsidR="0055667E" w:rsidRDefault="00000000">
      <w:pPr>
        <w:pStyle w:val="TableofFigures"/>
        <w:tabs>
          <w:tab w:val="right" w:leader="dot" w:pos="9350"/>
        </w:tabs>
        <w:rPr>
          <w:rFonts w:eastAsiaTheme="minorEastAsia"/>
          <w:noProof/>
          <w:lang w:eastAsia="en-GB"/>
        </w:rPr>
      </w:pPr>
      <w:hyperlink w:anchor="_Toc117780245" w:history="1">
        <w:r w:rsidR="0055667E" w:rsidRPr="00C06089">
          <w:rPr>
            <w:rStyle w:val="Hyperlink"/>
            <w:b/>
            <w:bCs/>
            <w:noProof/>
          </w:rPr>
          <w:t>Table 4:</w:t>
        </w:r>
        <w:r w:rsidR="0055667E" w:rsidRPr="00C06089">
          <w:rPr>
            <w:rStyle w:val="Hyperlink"/>
            <w:noProof/>
          </w:rPr>
          <w:t xml:space="preserve"> Examples of prophylactic antibiotics to protect a vulnerable host</w:t>
        </w:r>
        <w:r w:rsidR="0055667E">
          <w:rPr>
            <w:noProof/>
            <w:webHidden/>
          </w:rPr>
          <w:tab/>
        </w:r>
        <w:r w:rsidR="0055667E">
          <w:rPr>
            <w:noProof/>
            <w:webHidden/>
          </w:rPr>
          <w:fldChar w:fldCharType="begin"/>
        </w:r>
        <w:r w:rsidR="0055667E">
          <w:rPr>
            <w:noProof/>
            <w:webHidden/>
          </w:rPr>
          <w:instrText xml:space="preserve"> PAGEREF _Toc117780245 \h </w:instrText>
        </w:r>
        <w:r w:rsidR="0055667E">
          <w:rPr>
            <w:noProof/>
            <w:webHidden/>
          </w:rPr>
        </w:r>
        <w:r w:rsidR="0055667E">
          <w:rPr>
            <w:noProof/>
            <w:webHidden/>
          </w:rPr>
          <w:fldChar w:fldCharType="separate"/>
        </w:r>
        <w:r w:rsidR="0055667E">
          <w:rPr>
            <w:noProof/>
            <w:webHidden/>
          </w:rPr>
          <w:t>34</w:t>
        </w:r>
        <w:r w:rsidR="0055667E">
          <w:rPr>
            <w:noProof/>
            <w:webHidden/>
          </w:rPr>
          <w:fldChar w:fldCharType="end"/>
        </w:r>
      </w:hyperlink>
    </w:p>
    <w:p w14:paraId="72AE5928" w14:textId="3DACA3F5" w:rsidR="0055667E" w:rsidRPr="00752DA8" w:rsidRDefault="00000000">
      <w:pPr>
        <w:pStyle w:val="TableofFigures"/>
        <w:tabs>
          <w:tab w:val="right" w:leader="dot" w:pos="9350"/>
        </w:tabs>
        <w:rPr>
          <w:rFonts w:eastAsiaTheme="minorEastAsia" w:cstheme="minorHAnsi"/>
          <w:noProof/>
          <w:lang w:eastAsia="en-GB"/>
        </w:rPr>
      </w:pPr>
      <w:hyperlink w:anchor="_Toc117780246" w:history="1">
        <w:r w:rsidR="0055667E" w:rsidRPr="00752DA8">
          <w:rPr>
            <w:rStyle w:val="Hyperlink"/>
            <w:rFonts w:cstheme="minorHAnsi"/>
            <w:b/>
            <w:bCs/>
            <w:noProof/>
          </w:rPr>
          <w:t>Table 5</w:t>
        </w:r>
        <w:r w:rsidR="0055667E" w:rsidRPr="00752DA8">
          <w:rPr>
            <w:rStyle w:val="Hyperlink"/>
            <w:rFonts w:cstheme="minorHAnsi"/>
            <w:noProof/>
          </w:rPr>
          <w:t>: Proportional increase in mean macrolide-resistant streptococci from baseline following macrolide exposure (p&lt;0.001) (Malhotra-Kumar et al., 2007)</w:t>
        </w:r>
        <w:r w:rsidR="0055667E" w:rsidRPr="00752DA8">
          <w:rPr>
            <w:rFonts w:cstheme="minorHAnsi"/>
            <w:noProof/>
            <w:webHidden/>
          </w:rPr>
          <w:tab/>
        </w:r>
        <w:r w:rsidR="0055667E" w:rsidRPr="00752DA8">
          <w:rPr>
            <w:rFonts w:cstheme="minorHAnsi"/>
            <w:noProof/>
            <w:webHidden/>
          </w:rPr>
          <w:fldChar w:fldCharType="begin"/>
        </w:r>
        <w:r w:rsidR="0055667E" w:rsidRPr="00752DA8">
          <w:rPr>
            <w:rFonts w:cstheme="minorHAnsi"/>
            <w:noProof/>
            <w:webHidden/>
          </w:rPr>
          <w:instrText xml:space="preserve"> PAGEREF _Toc117780246 \h </w:instrText>
        </w:r>
        <w:r w:rsidR="0055667E" w:rsidRPr="00752DA8">
          <w:rPr>
            <w:rFonts w:cstheme="minorHAnsi"/>
            <w:noProof/>
            <w:webHidden/>
          </w:rPr>
        </w:r>
        <w:r w:rsidR="0055667E" w:rsidRPr="00752DA8">
          <w:rPr>
            <w:rFonts w:cstheme="minorHAnsi"/>
            <w:noProof/>
            <w:webHidden/>
          </w:rPr>
          <w:fldChar w:fldCharType="separate"/>
        </w:r>
        <w:r w:rsidR="0055667E" w:rsidRPr="00752DA8">
          <w:rPr>
            <w:rFonts w:cstheme="minorHAnsi"/>
            <w:noProof/>
            <w:webHidden/>
          </w:rPr>
          <w:t>42</w:t>
        </w:r>
        <w:r w:rsidR="0055667E" w:rsidRPr="00752DA8">
          <w:rPr>
            <w:rFonts w:cstheme="minorHAnsi"/>
            <w:noProof/>
            <w:webHidden/>
          </w:rPr>
          <w:fldChar w:fldCharType="end"/>
        </w:r>
      </w:hyperlink>
    </w:p>
    <w:p w14:paraId="259F3889" w14:textId="1446BC2A" w:rsidR="0055667E" w:rsidRDefault="00000000">
      <w:pPr>
        <w:pStyle w:val="TableofFigures"/>
        <w:tabs>
          <w:tab w:val="right" w:leader="dot" w:pos="9350"/>
        </w:tabs>
        <w:rPr>
          <w:rFonts w:eastAsiaTheme="minorEastAsia"/>
          <w:noProof/>
          <w:lang w:eastAsia="en-GB"/>
        </w:rPr>
      </w:pPr>
      <w:hyperlink w:anchor="_Toc117780247" w:history="1">
        <w:r w:rsidR="0055667E" w:rsidRPr="00C06089">
          <w:rPr>
            <w:rStyle w:val="Hyperlink"/>
            <w:b/>
            <w:bCs/>
            <w:noProof/>
          </w:rPr>
          <w:t xml:space="preserve">Table 6: </w:t>
        </w:r>
        <w:r w:rsidR="0055667E" w:rsidRPr="00C06089">
          <w:rPr>
            <w:rStyle w:val="Hyperlink"/>
            <w:noProof/>
          </w:rPr>
          <w:t>Martin Bland's interpretation of significance</w:t>
        </w:r>
        <w:r w:rsidR="0055667E">
          <w:rPr>
            <w:noProof/>
            <w:webHidden/>
          </w:rPr>
          <w:tab/>
        </w:r>
        <w:r w:rsidR="0055667E">
          <w:rPr>
            <w:noProof/>
            <w:webHidden/>
          </w:rPr>
          <w:fldChar w:fldCharType="begin"/>
        </w:r>
        <w:r w:rsidR="0055667E">
          <w:rPr>
            <w:noProof/>
            <w:webHidden/>
          </w:rPr>
          <w:instrText xml:space="preserve"> PAGEREF _Toc117780247 \h </w:instrText>
        </w:r>
        <w:r w:rsidR="0055667E">
          <w:rPr>
            <w:noProof/>
            <w:webHidden/>
          </w:rPr>
        </w:r>
        <w:r w:rsidR="0055667E">
          <w:rPr>
            <w:noProof/>
            <w:webHidden/>
          </w:rPr>
          <w:fldChar w:fldCharType="separate"/>
        </w:r>
        <w:r w:rsidR="0055667E">
          <w:rPr>
            <w:noProof/>
            <w:webHidden/>
          </w:rPr>
          <w:t>76</w:t>
        </w:r>
        <w:r w:rsidR="0055667E">
          <w:rPr>
            <w:noProof/>
            <w:webHidden/>
          </w:rPr>
          <w:fldChar w:fldCharType="end"/>
        </w:r>
      </w:hyperlink>
    </w:p>
    <w:p w14:paraId="6848B3E9" w14:textId="72BA2FE9" w:rsidR="0055667E" w:rsidRDefault="00000000">
      <w:pPr>
        <w:pStyle w:val="TableofFigures"/>
        <w:tabs>
          <w:tab w:val="right" w:leader="dot" w:pos="9350"/>
        </w:tabs>
        <w:rPr>
          <w:rFonts w:eastAsiaTheme="minorEastAsia"/>
          <w:noProof/>
          <w:lang w:eastAsia="en-GB"/>
        </w:rPr>
      </w:pPr>
      <w:hyperlink w:anchor="_Toc117780248" w:history="1">
        <w:r w:rsidR="0055667E" w:rsidRPr="00C06089">
          <w:rPr>
            <w:rStyle w:val="Hyperlink"/>
            <w:b/>
            <w:bCs/>
            <w:noProof/>
          </w:rPr>
          <w:t>Table 7:</w:t>
        </w:r>
        <w:r w:rsidR="0055667E" w:rsidRPr="00C06089">
          <w:rPr>
            <w:rStyle w:val="Hyperlink"/>
            <w:noProof/>
          </w:rPr>
          <w:t xml:space="preserve"> Antibiotics used for susceptibility testing using disc diffusion method for specified bacteria</w:t>
        </w:r>
        <w:r w:rsidR="0055667E">
          <w:rPr>
            <w:noProof/>
            <w:webHidden/>
          </w:rPr>
          <w:tab/>
        </w:r>
        <w:r w:rsidR="0055667E">
          <w:rPr>
            <w:noProof/>
            <w:webHidden/>
          </w:rPr>
          <w:fldChar w:fldCharType="begin"/>
        </w:r>
        <w:r w:rsidR="0055667E">
          <w:rPr>
            <w:noProof/>
            <w:webHidden/>
          </w:rPr>
          <w:instrText xml:space="preserve"> PAGEREF _Toc117780248 \h </w:instrText>
        </w:r>
        <w:r w:rsidR="0055667E">
          <w:rPr>
            <w:noProof/>
            <w:webHidden/>
          </w:rPr>
        </w:r>
        <w:r w:rsidR="0055667E">
          <w:rPr>
            <w:noProof/>
            <w:webHidden/>
          </w:rPr>
          <w:fldChar w:fldCharType="separate"/>
        </w:r>
        <w:r w:rsidR="0055667E">
          <w:rPr>
            <w:noProof/>
            <w:webHidden/>
          </w:rPr>
          <w:t>80</w:t>
        </w:r>
        <w:r w:rsidR="0055667E">
          <w:rPr>
            <w:noProof/>
            <w:webHidden/>
          </w:rPr>
          <w:fldChar w:fldCharType="end"/>
        </w:r>
      </w:hyperlink>
    </w:p>
    <w:p w14:paraId="482AF12C" w14:textId="0592B1F4" w:rsidR="0055667E" w:rsidRDefault="00000000">
      <w:pPr>
        <w:pStyle w:val="TableofFigures"/>
        <w:tabs>
          <w:tab w:val="right" w:leader="dot" w:pos="9350"/>
        </w:tabs>
        <w:rPr>
          <w:rFonts w:eastAsiaTheme="minorEastAsia"/>
          <w:noProof/>
          <w:lang w:eastAsia="en-GB"/>
        </w:rPr>
      </w:pPr>
      <w:hyperlink w:anchor="_Toc117780249" w:history="1">
        <w:r w:rsidR="0055667E" w:rsidRPr="00C06089">
          <w:rPr>
            <w:rStyle w:val="Hyperlink"/>
            <w:b/>
            <w:bCs/>
            <w:noProof/>
          </w:rPr>
          <w:t>Table 8:</w:t>
        </w:r>
        <w:r w:rsidR="0055667E" w:rsidRPr="00C06089">
          <w:rPr>
            <w:rStyle w:val="Hyperlink"/>
            <w:noProof/>
          </w:rPr>
          <w:t xml:space="preserve"> Antibiotics tested for susceptibility in </w:t>
        </w:r>
        <w:r w:rsidR="0055667E" w:rsidRPr="00C06089">
          <w:rPr>
            <w:rStyle w:val="Hyperlink"/>
            <w:i/>
            <w:iCs/>
            <w:noProof/>
          </w:rPr>
          <w:t>S. aureus</w:t>
        </w:r>
        <w:r w:rsidR="0055667E" w:rsidRPr="00C06089">
          <w:rPr>
            <w:rStyle w:val="Hyperlink"/>
            <w:noProof/>
          </w:rPr>
          <w:t xml:space="preserve"> using the agar incorporation method</w:t>
        </w:r>
        <w:r w:rsidR="0055667E">
          <w:rPr>
            <w:noProof/>
            <w:webHidden/>
          </w:rPr>
          <w:tab/>
        </w:r>
        <w:r w:rsidR="0055667E">
          <w:rPr>
            <w:noProof/>
            <w:webHidden/>
          </w:rPr>
          <w:fldChar w:fldCharType="begin"/>
        </w:r>
        <w:r w:rsidR="0055667E">
          <w:rPr>
            <w:noProof/>
            <w:webHidden/>
          </w:rPr>
          <w:instrText xml:space="preserve"> PAGEREF _Toc117780249 \h </w:instrText>
        </w:r>
        <w:r w:rsidR="0055667E">
          <w:rPr>
            <w:noProof/>
            <w:webHidden/>
          </w:rPr>
        </w:r>
        <w:r w:rsidR="0055667E">
          <w:rPr>
            <w:noProof/>
            <w:webHidden/>
          </w:rPr>
          <w:fldChar w:fldCharType="separate"/>
        </w:r>
        <w:r w:rsidR="0055667E">
          <w:rPr>
            <w:noProof/>
            <w:webHidden/>
          </w:rPr>
          <w:t>80</w:t>
        </w:r>
        <w:r w:rsidR="0055667E">
          <w:rPr>
            <w:noProof/>
            <w:webHidden/>
          </w:rPr>
          <w:fldChar w:fldCharType="end"/>
        </w:r>
      </w:hyperlink>
    </w:p>
    <w:p w14:paraId="327304AB" w14:textId="2E4F03DA" w:rsidR="0055667E" w:rsidRDefault="00000000">
      <w:pPr>
        <w:pStyle w:val="TableofFigures"/>
        <w:tabs>
          <w:tab w:val="right" w:leader="dot" w:pos="9350"/>
        </w:tabs>
        <w:rPr>
          <w:rFonts w:eastAsiaTheme="minorEastAsia"/>
          <w:noProof/>
          <w:lang w:eastAsia="en-GB"/>
        </w:rPr>
      </w:pPr>
      <w:hyperlink w:anchor="_Toc117780250" w:history="1">
        <w:r w:rsidR="0055667E" w:rsidRPr="00C06089">
          <w:rPr>
            <w:rStyle w:val="Hyperlink"/>
            <w:b/>
            <w:bCs/>
            <w:noProof/>
          </w:rPr>
          <w:t>Table 9:</w:t>
        </w:r>
        <w:r w:rsidR="0055667E" w:rsidRPr="00C06089">
          <w:rPr>
            <w:rStyle w:val="Hyperlink"/>
            <w:noProof/>
          </w:rPr>
          <w:t xml:space="preserve"> Participant demographics for those taking part in the parental interview study</w:t>
        </w:r>
        <w:r w:rsidR="0055667E">
          <w:rPr>
            <w:noProof/>
            <w:webHidden/>
          </w:rPr>
          <w:tab/>
        </w:r>
        <w:r w:rsidR="0055667E">
          <w:rPr>
            <w:noProof/>
            <w:webHidden/>
          </w:rPr>
          <w:fldChar w:fldCharType="begin"/>
        </w:r>
        <w:r w:rsidR="0055667E">
          <w:rPr>
            <w:noProof/>
            <w:webHidden/>
          </w:rPr>
          <w:instrText xml:space="preserve"> PAGEREF _Toc117780250 \h </w:instrText>
        </w:r>
        <w:r w:rsidR="0055667E">
          <w:rPr>
            <w:noProof/>
            <w:webHidden/>
          </w:rPr>
        </w:r>
        <w:r w:rsidR="0055667E">
          <w:rPr>
            <w:noProof/>
            <w:webHidden/>
          </w:rPr>
          <w:fldChar w:fldCharType="separate"/>
        </w:r>
        <w:r w:rsidR="0055667E">
          <w:rPr>
            <w:noProof/>
            <w:webHidden/>
          </w:rPr>
          <w:t>88</w:t>
        </w:r>
        <w:r w:rsidR="0055667E">
          <w:rPr>
            <w:noProof/>
            <w:webHidden/>
          </w:rPr>
          <w:fldChar w:fldCharType="end"/>
        </w:r>
      </w:hyperlink>
    </w:p>
    <w:p w14:paraId="0186EC3E" w14:textId="26BE80EB" w:rsidR="0055667E" w:rsidRDefault="00000000">
      <w:pPr>
        <w:pStyle w:val="TableofFigures"/>
        <w:tabs>
          <w:tab w:val="right" w:leader="dot" w:pos="9350"/>
        </w:tabs>
        <w:rPr>
          <w:rFonts w:eastAsiaTheme="minorEastAsia"/>
          <w:noProof/>
          <w:lang w:eastAsia="en-GB"/>
        </w:rPr>
      </w:pPr>
      <w:hyperlink w:anchor="_Toc117780251" w:history="1">
        <w:r w:rsidR="0055667E" w:rsidRPr="00C06089">
          <w:rPr>
            <w:rStyle w:val="Hyperlink"/>
            <w:b/>
            <w:bCs/>
            <w:noProof/>
          </w:rPr>
          <w:t xml:space="preserve">Table 10: </w:t>
        </w:r>
        <w:r w:rsidR="0055667E" w:rsidRPr="00C06089">
          <w:rPr>
            <w:rStyle w:val="Hyperlink"/>
            <w:noProof/>
          </w:rPr>
          <w:t>Descriptive terms used for main themes, subthemes and codes from parental interviews</w:t>
        </w:r>
        <w:r w:rsidR="0055667E">
          <w:rPr>
            <w:noProof/>
            <w:webHidden/>
          </w:rPr>
          <w:tab/>
        </w:r>
        <w:r w:rsidR="0055667E">
          <w:rPr>
            <w:noProof/>
            <w:webHidden/>
          </w:rPr>
          <w:fldChar w:fldCharType="begin"/>
        </w:r>
        <w:r w:rsidR="0055667E">
          <w:rPr>
            <w:noProof/>
            <w:webHidden/>
          </w:rPr>
          <w:instrText xml:space="preserve"> PAGEREF _Toc117780251 \h </w:instrText>
        </w:r>
        <w:r w:rsidR="0055667E">
          <w:rPr>
            <w:noProof/>
            <w:webHidden/>
          </w:rPr>
        </w:r>
        <w:r w:rsidR="0055667E">
          <w:rPr>
            <w:noProof/>
            <w:webHidden/>
          </w:rPr>
          <w:fldChar w:fldCharType="separate"/>
        </w:r>
        <w:r w:rsidR="0055667E">
          <w:rPr>
            <w:noProof/>
            <w:webHidden/>
          </w:rPr>
          <w:t>90</w:t>
        </w:r>
        <w:r w:rsidR="0055667E">
          <w:rPr>
            <w:noProof/>
            <w:webHidden/>
          </w:rPr>
          <w:fldChar w:fldCharType="end"/>
        </w:r>
      </w:hyperlink>
    </w:p>
    <w:p w14:paraId="3021AB04" w14:textId="3E3E2A91" w:rsidR="0055667E" w:rsidRDefault="00000000">
      <w:pPr>
        <w:pStyle w:val="TableofFigures"/>
        <w:tabs>
          <w:tab w:val="right" w:leader="dot" w:pos="9350"/>
        </w:tabs>
        <w:rPr>
          <w:rFonts w:eastAsiaTheme="minorEastAsia"/>
          <w:noProof/>
          <w:lang w:eastAsia="en-GB"/>
        </w:rPr>
      </w:pPr>
      <w:hyperlink w:anchor="_Toc117780252" w:history="1">
        <w:r w:rsidR="0055667E" w:rsidRPr="00C06089">
          <w:rPr>
            <w:rStyle w:val="Hyperlink"/>
            <w:b/>
            <w:bCs/>
            <w:noProof/>
          </w:rPr>
          <w:t>Table 11:</w:t>
        </w:r>
        <w:r w:rsidR="0055667E" w:rsidRPr="00C06089">
          <w:rPr>
            <w:rStyle w:val="Hyperlink"/>
            <w:noProof/>
          </w:rPr>
          <w:t xml:space="preserve"> Recruitment demographics of participants in PBB study 1</w:t>
        </w:r>
        <w:r w:rsidR="0055667E">
          <w:rPr>
            <w:noProof/>
            <w:webHidden/>
          </w:rPr>
          <w:tab/>
        </w:r>
        <w:r w:rsidR="0055667E">
          <w:rPr>
            <w:noProof/>
            <w:webHidden/>
          </w:rPr>
          <w:fldChar w:fldCharType="begin"/>
        </w:r>
        <w:r w:rsidR="0055667E">
          <w:rPr>
            <w:noProof/>
            <w:webHidden/>
          </w:rPr>
          <w:instrText xml:space="preserve"> PAGEREF _Toc117780252 \h </w:instrText>
        </w:r>
        <w:r w:rsidR="0055667E">
          <w:rPr>
            <w:noProof/>
            <w:webHidden/>
          </w:rPr>
        </w:r>
        <w:r w:rsidR="0055667E">
          <w:rPr>
            <w:noProof/>
            <w:webHidden/>
          </w:rPr>
          <w:fldChar w:fldCharType="separate"/>
        </w:r>
        <w:r w:rsidR="0055667E">
          <w:rPr>
            <w:noProof/>
            <w:webHidden/>
          </w:rPr>
          <w:t>117</w:t>
        </w:r>
        <w:r w:rsidR="0055667E">
          <w:rPr>
            <w:noProof/>
            <w:webHidden/>
          </w:rPr>
          <w:fldChar w:fldCharType="end"/>
        </w:r>
      </w:hyperlink>
    </w:p>
    <w:p w14:paraId="16AA7D8B" w14:textId="7DB16CF3" w:rsidR="0055667E" w:rsidRDefault="00000000">
      <w:pPr>
        <w:pStyle w:val="TableofFigures"/>
        <w:tabs>
          <w:tab w:val="right" w:leader="dot" w:pos="9350"/>
        </w:tabs>
        <w:rPr>
          <w:rFonts w:eastAsiaTheme="minorEastAsia"/>
          <w:noProof/>
          <w:lang w:eastAsia="en-GB"/>
        </w:rPr>
      </w:pPr>
      <w:hyperlink w:anchor="_Toc117780253" w:history="1">
        <w:r w:rsidR="0055667E" w:rsidRPr="00C06089">
          <w:rPr>
            <w:rStyle w:val="Hyperlink"/>
            <w:b/>
            <w:bCs/>
            <w:noProof/>
          </w:rPr>
          <w:t>Table 12:</w:t>
        </w:r>
        <w:r w:rsidR="0055667E" w:rsidRPr="00C06089">
          <w:rPr>
            <w:rStyle w:val="Hyperlink"/>
            <w:noProof/>
          </w:rPr>
          <w:t xml:space="preserve"> Total antibiotic exposure of participants prior to commencing the study</w:t>
        </w:r>
        <w:r w:rsidR="0055667E">
          <w:rPr>
            <w:noProof/>
            <w:webHidden/>
          </w:rPr>
          <w:tab/>
        </w:r>
        <w:r w:rsidR="0055667E">
          <w:rPr>
            <w:noProof/>
            <w:webHidden/>
          </w:rPr>
          <w:fldChar w:fldCharType="begin"/>
        </w:r>
        <w:r w:rsidR="0055667E">
          <w:rPr>
            <w:noProof/>
            <w:webHidden/>
          </w:rPr>
          <w:instrText xml:space="preserve"> PAGEREF _Toc117780253 \h </w:instrText>
        </w:r>
        <w:r w:rsidR="0055667E">
          <w:rPr>
            <w:noProof/>
            <w:webHidden/>
          </w:rPr>
        </w:r>
        <w:r w:rsidR="0055667E">
          <w:rPr>
            <w:noProof/>
            <w:webHidden/>
          </w:rPr>
          <w:fldChar w:fldCharType="separate"/>
        </w:r>
        <w:r w:rsidR="0055667E">
          <w:rPr>
            <w:noProof/>
            <w:webHidden/>
          </w:rPr>
          <w:t>118</w:t>
        </w:r>
        <w:r w:rsidR="0055667E">
          <w:rPr>
            <w:noProof/>
            <w:webHidden/>
          </w:rPr>
          <w:fldChar w:fldCharType="end"/>
        </w:r>
      </w:hyperlink>
    </w:p>
    <w:p w14:paraId="259EE83F" w14:textId="2BAD3BBB" w:rsidR="0055667E" w:rsidRDefault="00000000">
      <w:pPr>
        <w:pStyle w:val="TableofFigures"/>
        <w:tabs>
          <w:tab w:val="right" w:leader="dot" w:pos="9350"/>
        </w:tabs>
        <w:rPr>
          <w:rFonts w:eastAsiaTheme="minorEastAsia"/>
          <w:noProof/>
          <w:lang w:eastAsia="en-GB"/>
        </w:rPr>
      </w:pPr>
      <w:hyperlink w:anchor="_Toc117780254" w:history="1">
        <w:r w:rsidR="0055667E" w:rsidRPr="00C06089">
          <w:rPr>
            <w:rStyle w:val="Hyperlink"/>
            <w:b/>
            <w:bCs/>
            <w:noProof/>
          </w:rPr>
          <w:t>Table 13:</w:t>
        </w:r>
        <w:r w:rsidR="0055667E" w:rsidRPr="00C06089">
          <w:rPr>
            <w:rStyle w:val="Hyperlink"/>
            <w:noProof/>
          </w:rPr>
          <w:t xml:space="preserve"> Baseline azithromycin resistance in PPB study 1</w:t>
        </w:r>
        <w:r w:rsidR="0055667E">
          <w:rPr>
            <w:noProof/>
            <w:webHidden/>
          </w:rPr>
          <w:tab/>
        </w:r>
        <w:r w:rsidR="0055667E">
          <w:rPr>
            <w:noProof/>
            <w:webHidden/>
          </w:rPr>
          <w:fldChar w:fldCharType="begin"/>
        </w:r>
        <w:r w:rsidR="0055667E">
          <w:rPr>
            <w:noProof/>
            <w:webHidden/>
          </w:rPr>
          <w:instrText xml:space="preserve"> PAGEREF _Toc117780254 \h </w:instrText>
        </w:r>
        <w:r w:rsidR="0055667E">
          <w:rPr>
            <w:noProof/>
            <w:webHidden/>
          </w:rPr>
        </w:r>
        <w:r w:rsidR="0055667E">
          <w:rPr>
            <w:noProof/>
            <w:webHidden/>
          </w:rPr>
          <w:fldChar w:fldCharType="separate"/>
        </w:r>
        <w:r w:rsidR="0055667E">
          <w:rPr>
            <w:noProof/>
            <w:webHidden/>
          </w:rPr>
          <w:t>120</w:t>
        </w:r>
        <w:r w:rsidR="0055667E">
          <w:rPr>
            <w:noProof/>
            <w:webHidden/>
          </w:rPr>
          <w:fldChar w:fldCharType="end"/>
        </w:r>
      </w:hyperlink>
    </w:p>
    <w:p w14:paraId="5C407132" w14:textId="7BAF6842" w:rsidR="0055667E" w:rsidRDefault="00000000">
      <w:pPr>
        <w:pStyle w:val="TableofFigures"/>
        <w:tabs>
          <w:tab w:val="right" w:leader="dot" w:pos="9350"/>
        </w:tabs>
        <w:rPr>
          <w:rFonts w:eastAsiaTheme="minorEastAsia"/>
          <w:noProof/>
          <w:lang w:eastAsia="en-GB"/>
        </w:rPr>
      </w:pPr>
      <w:hyperlink w:anchor="_Toc117780255" w:history="1">
        <w:r w:rsidR="0055667E" w:rsidRPr="00C06089">
          <w:rPr>
            <w:rStyle w:val="Hyperlink"/>
            <w:b/>
            <w:bCs/>
            <w:noProof/>
          </w:rPr>
          <w:t>Table 14:</w:t>
        </w:r>
        <w:r w:rsidR="0055667E" w:rsidRPr="00C06089">
          <w:rPr>
            <w:rStyle w:val="Hyperlink"/>
            <w:noProof/>
          </w:rPr>
          <w:t xml:space="preserve"> Azithromycin resistant isolates found during the course of PBB study 1</w:t>
        </w:r>
        <w:r w:rsidR="0055667E">
          <w:rPr>
            <w:noProof/>
            <w:webHidden/>
          </w:rPr>
          <w:tab/>
        </w:r>
        <w:r w:rsidR="0055667E">
          <w:rPr>
            <w:noProof/>
            <w:webHidden/>
          </w:rPr>
          <w:fldChar w:fldCharType="begin"/>
        </w:r>
        <w:r w:rsidR="0055667E">
          <w:rPr>
            <w:noProof/>
            <w:webHidden/>
          </w:rPr>
          <w:instrText xml:space="preserve"> PAGEREF _Toc117780255 \h </w:instrText>
        </w:r>
        <w:r w:rsidR="0055667E">
          <w:rPr>
            <w:noProof/>
            <w:webHidden/>
          </w:rPr>
        </w:r>
        <w:r w:rsidR="0055667E">
          <w:rPr>
            <w:noProof/>
            <w:webHidden/>
          </w:rPr>
          <w:fldChar w:fldCharType="separate"/>
        </w:r>
        <w:r w:rsidR="0055667E">
          <w:rPr>
            <w:noProof/>
            <w:webHidden/>
          </w:rPr>
          <w:t>120</w:t>
        </w:r>
        <w:r w:rsidR="0055667E">
          <w:rPr>
            <w:noProof/>
            <w:webHidden/>
          </w:rPr>
          <w:fldChar w:fldCharType="end"/>
        </w:r>
      </w:hyperlink>
    </w:p>
    <w:p w14:paraId="2F43651E" w14:textId="4DECFAC0" w:rsidR="0055667E" w:rsidRDefault="00000000">
      <w:pPr>
        <w:pStyle w:val="TableofFigures"/>
        <w:tabs>
          <w:tab w:val="right" w:leader="dot" w:pos="9350"/>
        </w:tabs>
        <w:rPr>
          <w:rFonts w:eastAsiaTheme="minorEastAsia"/>
          <w:noProof/>
          <w:lang w:eastAsia="en-GB"/>
        </w:rPr>
      </w:pPr>
      <w:hyperlink w:anchor="_Toc117780256" w:history="1">
        <w:r w:rsidR="0055667E" w:rsidRPr="00C06089">
          <w:rPr>
            <w:rStyle w:val="Hyperlink"/>
            <w:b/>
            <w:bCs/>
            <w:noProof/>
          </w:rPr>
          <w:t>Table 15:</w:t>
        </w:r>
        <w:r w:rsidR="0055667E" w:rsidRPr="00C06089">
          <w:rPr>
            <w:rStyle w:val="Hyperlink"/>
            <w:noProof/>
          </w:rPr>
          <w:t xml:space="preserve"> Type of antibiotic prescribed for participants during the study period PBB 1</w:t>
        </w:r>
        <w:r w:rsidR="0055667E">
          <w:rPr>
            <w:noProof/>
            <w:webHidden/>
          </w:rPr>
          <w:tab/>
        </w:r>
        <w:r w:rsidR="0055667E">
          <w:rPr>
            <w:noProof/>
            <w:webHidden/>
          </w:rPr>
          <w:fldChar w:fldCharType="begin"/>
        </w:r>
        <w:r w:rsidR="0055667E">
          <w:rPr>
            <w:noProof/>
            <w:webHidden/>
          </w:rPr>
          <w:instrText xml:space="preserve"> PAGEREF _Toc117780256 \h </w:instrText>
        </w:r>
        <w:r w:rsidR="0055667E">
          <w:rPr>
            <w:noProof/>
            <w:webHidden/>
          </w:rPr>
        </w:r>
        <w:r w:rsidR="0055667E">
          <w:rPr>
            <w:noProof/>
            <w:webHidden/>
          </w:rPr>
          <w:fldChar w:fldCharType="separate"/>
        </w:r>
        <w:r w:rsidR="0055667E">
          <w:rPr>
            <w:noProof/>
            <w:webHidden/>
          </w:rPr>
          <w:t>127</w:t>
        </w:r>
        <w:r w:rsidR="0055667E">
          <w:rPr>
            <w:noProof/>
            <w:webHidden/>
          </w:rPr>
          <w:fldChar w:fldCharType="end"/>
        </w:r>
      </w:hyperlink>
    </w:p>
    <w:p w14:paraId="478AF8E1" w14:textId="7FD3163E" w:rsidR="0055667E" w:rsidRDefault="00000000">
      <w:pPr>
        <w:pStyle w:val="TableofFigures"/>
        <w:tabs>
          <w:tab w:val="right" w:leader="dot" w:pos="9350"/>
        </w:tabs>
        <w:rPr>
          <w:rFonts w:eastAsiaTheme="minorEastAsia"/>
          <w:noProof/>
          <w:lang w:eastAsia="en-GB"/>
        </w:rPr>
      </w:pPr>
      <w:hyperlink w:anchor="_Toc117780257" w:history="1">
        <w:r w:rsidR="0055667E" w:rsidRPr="00C06089">
          <w:rPr>
            <w:rStyle w:val="Hyperlink"/>
            <w:b/>
            <w:bCs/>
            <w:noProof/>
          </w:rPr>
          <w:t>Table 16:</w:t>
        </w:r>
        <w:r w:rsidR="0055667E" w:rsidRPr="00C06089">
          <w:rPr>
            <w:rStyle w:val="Hyperlink"/>
            <w:noProof/>
          </w:rPr>
          <w:t xml:space="preserve"> Recruitment demographics for children in PBB study 2</w:t>
        </w:r>
        <w:r w:rsidR="0055667E">
          <w:rPr>
            <w:noProof/>
            <w:webHidden/>
          </w:rPr>
          <w:tab/>
        </w:r>
        <w:r w:rsidR="0055667E">
          <w:rPr>
            <w:noProof/>
            <w:webHidden/>
          </w:rPr>
          <w:fldChar w:fldCharType="begin"/>
        </w:r>
        <w:r w:rsidR="0055667E">
          <w:rPr>
            <w:noProof/>
            <w:webHidden/>
          </w:rPr>
          <w:instrText xml:space="preserve"> PAGEREF _Toc117780257 \h </w:instrText>
        </w:r>
        <w:r w:rsidR="0055667E">
          <w:rPr>
            <w:noProof/>
            <w:webHidden/>
          </w:rPr>
        </w:r>
        <w:r w:rsidR="0055667E">
          <w:rPr>
            <w:noProof/>
            <w:webHidden/>
          </w:rPr>
          <w:fldChar w:fldCharType="separate"/>
        </w:r>
        <w:r w:rsidR="0055667E">
          <w:rPr>
            <w:noProof/>
            <w:webHidden/>
          </w:rPr>
          <w:t>133</w:t>
        </w:r>
        <w:r w:rsidR="0055667E">
          <w:rPr>
            <w:noProof/>
            <w:webHidden/>
          </w:rPr>
          <w:fldChar w:fldCharType="end"/>
        </w:r>
      </w:hyperlink>
    </w:p>
    <w:p w14:paraId="397AA66E" w14:textId="0CA3A3E6" w:rsidR="0055667E" w:rsidRDefault="00000000">
      <w:pPr>
        <w:pStyle w:val="TableofFigures"/>
        <w:tabs>
          <w:tab w:val="right" w:leader="dot" w:pos="9350"/>
        </w:tabs>
        <w:rPr>
          <w:rFonts w:eastAsiaTheme="minorEastAsia"/>
          <w:noProof/>
          <w:lang w:eastAsia="en-GB"/>
        </w:rPr>
      </w:pPr>
      <w:hyperlink w:anchor="_Toc117780258" w:history="1">
        <w:r w:rsidR="0055667E" w:rsidRPr="00C06089">
          <w:rPr>
            <w:rStyle w:val="Hyperlink"/>
            <w:b/>
            <w:bCs/>
            <w:noProof/>
          </w:rPr>
          <w:t>Table 17:</w:t>
        </w:r>
        <w:r w:rsidR="0055667E" w:rsidRPr="00C06089">
          <w:rPr>
            <w:rStyle w:val="Hyperlink"/>
            <w:noProof/>
          </w:rPr>
          <w:t xml:space="preserve"> Antibiotic exposure of participants prior to commencing the study</w:t>
        </w:r>
        <w:r w:rsidR="0055667E">
          <w:rPr>
            <w:noProof/>
            <w:webHidden/>
          </w:rPr>
          <w:tab/>
        </w:r>
        <w:r w:rsidR="0055667E">
          <w:rPr>
            <w:noProof/>
            <w:webHidden/>
          </w:rPr>
          <w:fldChar w:fldCharType="begin"/>
        </w:r>
        <w:r w:rsidR="0055667E">
          <w:rPr>
            <w:noProof/>
            <w:webHidden/>
          </w:rPr>
          <w:instrText xml:space="preserve"> PAGEREF _Toc117780258 \h </w:instrText>
        </w:r>
        <w:r w:rsidR="0055667E">
          <w:rPr>
            <w:noProof/>
            <w:webHidden/>
          </w:rPr>
        </w:r>
        <w:r w:rsidR="0055667E">
          <w:rPr>
            <w:noProof/>
            <w:webHidden/>
          </w:rPr>
          <w:fldChar w:fldCharType="separate"/>
        </w:r>
        <w:r w:rsidR="0055667E">
          <w:rPr>
            <w:noProof/>
            <w:webHidden/>
          </w:rPr>
          <w:t>134</w:t>
        </w:r>
        <w:r w:rsidR="0055667E">
          <w:rPr>
            <w:noProof/>
            <w:webHidden/>
          </w:rPr>
          <w:fldChar w:fldCharType="end"/>
        </w:r>
      </w:hyperlink>
    </w:p>
    <w:p w14:paraId="314FA9DF" w14:textId="43A1D5AA" w:rsidR="0055667E" w:rsidRDefault="00000000">
      <w:pPr>
        <w:pStyle w:val="TableofFigures"/>
        <w:tabs>
          <w:tab w:val="right" w:leader="dot" w:pos="9350"/>
        </w:tabs>
        <w:rPr>
          <w:rFonts w:eastAsiaTheme="minorEastAsia"/>
          <w:noProof/>
          <w:lang w:eastAsia="en-GB"/>
        </w:rPr>
      </w:pPr>
      <w:hyperlink w:anchor="_Toc117780259" w:history="1">
        <w:r w:rsidR="0055667E" w:rsidRPr="00C06089">
          <w:rPr>
            <w:rStyle w:val="Hyperlink"/>
            <w:b/>
            <w:bCs/>
            <w:noProof/>
          </w:rPr>
          <w:t>Table 18</w:t>
        </w:r>
        <w:r w:rsidR="0055667E" w:rsidRPr="00C06089">
          <w:rPr>
            <w:rStyle w:val="Hyperlink"/>
            <w:noProof/>
          </w:rPr>
          <w:t>: Baseline azithromycin resistance in PBB study 2</w:t>
        </w:r>
        <w:r w:rsidR="0055667E">
          <w:rPr>
            <w:noProof/>
            <w:webHidden/>
          </w:rPr>
          <w:tab/>
        </w:r>
        <w:r w:rsidR="0055667E">
          <w:rPr>
            <w:noProof/>
            <w:webHidden/>
          </w:rPr>
          <w:fldChar w:fldCharType="begin"/>
        </w:r>
        <w:r w:rsidR="0055667E">
          <w:rPr>
            <w:noProof/>
            <w:webHidden/>
          </w:rPr>
          <w:instrText xml:space="preserve"> PAGEREF _Toc117780259 \h </w:instrText>
        </w:r>
        <w:r w:rsidR="0055667E">
          <w:rPr>
            <w:noProof/>
            <w:webHidden/>
          </w:rPr>
        </w:r>
        <w:r w:rsidR="0055667E">
          <w:rPr>
            <w:noProof/>
            <w:webHidden/>
          </w:rPr>
          <w:fldChar w:fldCharType="separate"/>
        </w:r>
        <w:r w:rsidR="0055667E">
          <w:rPr>
            <w:noProof/>
            <w:webHidden/>
          </w:rPr>
          <w:t>136</w:t>
        </w:r>
        <w:r w:rsidR="0055667E">
          <w:rPr>
            <w:noProof/>
            <w:webHidden/>
          </w:rPr>
          <w:fldChar w:fldCharType="end"/>
        </w:r>
      </w:hyperlink>
    </w:p>
    <w:p w14:paraId="583496AB" w14:textId="24F50E4B" w:rsidR="0055667E" w:rsidRDefault="00000000">
      <w:pPr>
        <w:pStyle w:val="TableofFigures"/>
        <w:tabs>
          <w:tab w:val="right" w:leader="dot" w:pos="9350"/>
        </w:tabs>
        <w:rPr>
          <w:rFonts w:eastAsiaTheme="minorEastAsia"/>
          <w:noProof/>
          <w:lang w:eastAsia="en-GB"/>
        </w:rPr>
      </w:pPr>
      <w:hyperlink w:anchor="_Toc117780260" w:history="1">
        <w:r w:rsidR="0055667E" w:rsidRPr="00C06089">
          <w:rPr>
            <w:rStyle w:val="Hyperlink"/>
            <w:b/>
            <w:bCs/>
            <w:noProof/>
          </w:rPr>
          <w:t>Table 19</w:t>
        </w:r>
        <w:r w:rsidR="0055667E" w:rsidRPr="00C06089">
          <w:rPr>
            <w:rStyle w:val="Hyperlink"/>
            <w:noProof/>
          </w:rPr>
          <w:t>: Azithromycin resistance of bacterial isolates during PBB study 2</w:t>
        </w:r>
        <w:r w:rsidR="0055667E">
          <w:rPr>
            <w:noProof/>
            <w:webHidden/>
          </w:rPr>
          <w:tab/>
        </w:r>
        <w:r w:rsidR="0055667E">
          <w:rPr>
            <w:noProof/>
            <w:webHidden/>
          </w:rPr>
          <w:fldChar w:fldCharType="begin"/>
        </w:r>
        <w:r w:rsidR="0055667E">
          <w:rPr>
            <w:noProof/>
            <w:webHidden/>
          </w:rPr>
          <w:instrText xml:space="preserve"> PAGEREF _Toc117780260 \h </w:instrText>
        </w:r>
        <w:r w:rsidR="0055667E">
          <w:rPr>
            <w:noProof/>
            <w:webHidden/>
          </w:rPr>
        </w:r>
        <w:r w:rsidR="0055667E">
          <w:rPr>
            <w:noProof/>
            <w:webHidden/>
          </w:rPr>
          <w:fldChar w:fldCharType="separate"/>
        </w:r>
        <w:r w:rsidR="0055667E">
          <w:rPr>
            <w:noProof/>
            <w:webHidden/>
          </w:rPr>
          <w:t>138</w:t>
        </w:r>
        <w:r w:rsidR="0055667E">
          <w:rPr>
            <w:noProof/>
            <w:webHidden/>
          </w:rPr>
          <w:fldChar w:fldCharType="end"/>
        </w:r>
      </w:hyperlink>
    </w:p>
    <w:p w14:paraId="748502F9" w14:textId="4E2E8801" w:rsidR="0055667E" w:rsidRDefault="00000000">
      <w:pPr>
        <w:pStyle w:val="TableofFigures"/>
        <w:tabs>
          <w:tab w:val="right" w:leader="dot" w:pos="9350"/>
        </w:tabs>
        <w:rPr>
          <w:rFonts w:eastAsiaTheme="minorEastAsia"/>
          <w:noProof/>
          <w:lang w:eastAsia="en-GB"/>
        </w:rPr>
      </w:pPr>
      <w:hyperlink w:anchor="_Toc117780261" w:history="1">
        <w:r w:rsidR="0055667E" w:rsidRPr="00C06089">
          <w:rPr>
            <w:rStyle w:val="Hyperlink"/>
            <w:b/>
            <w:bCs/>
            <w:noProof/>
          </w:rPr>
          <w:t>Table 20</w:t>
        </w:r>
        <w:r w:rsidR="0055667E" w:rsidRPr="00C06089">
          <w:rPr>
            <w:rStyle w:val="Hyperlink"/>
            <w:noProof/>
          </w:rPr>
          <w:t>: Antibiotics courses prescribed during PBB study 2</w:t>
        </w:r>
        <w:r w:rsidR="0055667E">
          <w:rPr>
            <w:noProof/>
            <w:webHidden/>
          </w:rPr>
          <w:tab/>
        </w:r>
        <w:r w:rsidR="0055667E">
          <w:rPr>
            <w:noProof/>
            <w:webHidden/>
          </w:rPr>
          <w:fldChar w:fldCharType="begin"/>
        </w:r>
        <w:r w:rsidR="0055667E">
          <w:rPr>
            <w:noProof/>
            <w:webHidden/>
          </w:rPr>
          <w:instrText xml:space="preserve"> PAGEREF _Toc117780261 \h </w:instrText>
        </w:r>
        <w:r w:rsidR="0055667E">
          <w:rPr>
            <w:noProof/>
            <w:webHidden/>
          </w:rPr>
        </w:r>
        <w:r w:rsidR="0055667E">
          <w:rPr>
            <w:noProof/>
            <w:webHidden/>
          </w:rPr>
          <w:fldChar w:fldCharType="separate"/>
        </w:r>
        <w:r w:rsidR="0055667E">
          <w:rPr>
            <w:noProof/>
            <w:webHidden/>
          </w:rPr>
          <w:t>144</w:t>
        </w:r>
        <w:r w:rsidR="0055667E">
          <w:rPr>
            <w:noProof/>
            <w:webHidden/>
          </w:rPr>
          <w:fldChar w:fldCharType="end"/>
        </w:r>
      </w:hyperlink>
    </w:p>
    <w:p w14:paraId="2DCFF708" w14:textId="29D50917" w:rsidR="0055667E" w:rsidRDefault="00000000">
      <w:pPr>
        <w:pStyle w:val="TableofFigures"/>
        <w:tabs>
          <w:tab w:val="right" w:leader="dot" w:pos="9350"/>
        </w:tabs>
        <w:rPr>
          <w:rFonts w:eastAsiaTheme="minorEastAsia"/>
          <w:noProof/>
          <w:lang w:eastAsia="en-GB"/>
        </w:rPr>
      </w:pPr>
      <w:hyperlink w:anchor="_Toc117780262" w:history="1">
        <w:r w:rsidR="0055667E" w:rsidRPr="00C06089">
          <w:rPr>
            <w:rStyle w:val="Hyperlink"/>
            <w:b/>
            <w:bCs/>
            <w:noProof/>
          </w:rPr>
          <w:t>Table 21</w:t>
        </w:r>
        <w:r w:rsidR="0055667E" w:rsidRPr="00C06089">
          <w:rPr>
            <w:rStyle w:val="Hyperlink"/>
            <w:noProof/>
          </w:rPr>
          <w:t>: Viral swab results taken during exacerbations of PBB in PBB study 2</w:t>
        </w:r>
        <w:r w:rsidR="0055667E">
          <w:rPr>
            <w:noProof/>
            <w:webHidden/>
          </w:rPr>
          <w:tab/>
        </w:r>
        <w:r w:rsidR="0055667E">
          <w:rPr>
            <w:noProof/>
            <w:webHidden/>
          </w:rPr>
          <w:fldChar w:fldCharType="begin"/>
        </w:r>
        <w:r w:rsidR="0055667E">
          <w:rPr>
            <w:noProof/>
            <w:webHidden/>
          </w:rPr>
          <w:instrText xml:space="preserve"> PAGEREF _Toc117780262 \h </w:instrText>
        </w:r>
        <w:r w:rsidR="0055667E">
          <w:rPr>
            <w:noProof/>
            <w:webHidden/>
          </w:rPr>
        </w:r>
        <w:r w:rsidR="0055667E">
          <w:rPr>
            <w:noProof/>
            <w:webHidden/>
          </w:rPr>
          <w:fldChar w:fldCharType="separate"/>
        </w:r>
        <w:r w:rsidR="0055667E">
          <w:rPr>
            <w:noProof/>
            <w:webHidden/>
          </w:rPr>
          <w:t>145</w:t>
        </w:r>
        <w:r w:rsidR="0055667E">
          <w:rPr>
            <w:noProof/>
            <w:webHidden/>
          </w:rPr>
          <w:fldChar w:fldCharType="end"/>
        </w:r>
      </w:hyperlink>
    </w:p>
    <w:p w14:paraId="1E44A907" w14:textId="2E822B91" w:rsidR="0055667E" w:rsidRDefault="00000000">
      <w:pPr>
        <w:pStyle w:val="TableofFigures"/>
        <w:tabs>
          <w:tab w:val="right" w:leader="dot" w:pos="9350"/>
        </w:tabs>
        <w:rPr>
          <w:rFonts w:eastAsiaTheme="minorEastAsia"/>
          <w:noProof/>
          <w:lang w:eastAsia="en-GB"/>
        </w:rPr>
      </w:pPr>
      <w:hyperlink w:anchor="_Toc117780263" w:history="1">
        <w:r w:rsidR="0055667E" w:rsidRPr="00C06089">
          <w:rPr>
            <w:rStyle w:val="Hyperlink"/>
            <w:b/>
            <w:bCs/>
            <w:noProof/>
          </w:rPr>
          <w:t>Table 22</w:t>
        </w:r>
        <w:r w:rsidR="0055667E" w:rsidRPr="00C06089">
          <w:rPr>
            <w:rStyle w:val="Hyperlink"/>
            <w:noProof/>
          </w:rPr>
          <w:t>: Combined demographic data from PBB studies 1 &amp; 2</w:t>
        </w:r>
        <w:r w:rsidR="0055667E">
          <w:rPr>
            <w:noProof/>
            <w:webHidden/>
          </w:rPr>
          <w:tab/>
        </w:r>
        <w:r w:rsidR="0055667E">
          <w:rPr>
            <w:noProof/>
            <w:webHidden/>
          </w:rPr>
          <w:fldChar w:fldCharType="begin"/>
        </w:r>
        <w:r w:rsidR="0055667E">
          <w:rPr>
            <w:noProof/>
            <w:webHidden/>
          </w:rPr>
          <w:instrText xml:space="preserve"> PAGEREF _Toc117780263 \h </w:instrText>
        </w:r>
        <w:r w:rsidR="0055667E">
          <w:rPr>
            <w:noProof/>
            <w:webHidden/>
          </w:rPr>
        </w:r>
        <w:r w:rsidR="0055667E">
          <w:rPr>
            <w:noProof/>
            <w:webHidden/>
          </w:rPr>
          <w:fldChar w:fldCharType="separate"/>
        </w:r>
        <w:r w:rsidR="0055667E">
          <w:rPr>
            <w:noProof/>
            <w:webHidden/>
          </w:rPr>
          <w:t>147</w:t>
        </w:r>
        <w:r w:rsidR="0055667E">
          <w:rPr>
            <w:noProof/>
            <w:webHidden/>
          </w:rPr>
          <w:fldChar w:fldCharType="end"/>
        </w:r>
      </w:hyperlink>
    </w:p>
    <w:p w14:paraId="4B153115" w14:textId="6FA798A2" w:rsidR="0055667E" w:rsidRDefault="00000000">
      <w:pPr>
        <w:pStyle w:val="TableofFigures"/>
        <w:tabs>
          <w:tab w:val="right" w:leader="dot" w:pos="9350"/>
        </w:tabs>
        <w:rPr>
          <w:rFonts w:eastAsiaTheme="minorEastAsia"/>
          <w:noProof/>
          <w:lang w:eastAsia="en-GB"/>
        </w:rPr>
      </w:pPr>
      <w:hyperlink w:anchor="_Toc117780264" w:history="1">
        <w:r w:rsidR="0055667E" w:rsidRPr="00C06089">
          <w:rPr>
            <w:rStyle w:val="Hyperlink"/>
            <w:b/>
            <w:bCs/>
            <w:noProof/>
          </w:rPr>
          <w:t>Table 23:</w:t>
        </w:r>
        <w:r w:rsidR="0055667E" w:rsidRPr="00C06089">
          <w:rPr>
            <w:rStyle w:val="Hyperlink"/>
            <w:noProof/>
          </w:rPr>
          <w:t xml:space="preserve"> Antibiotic exposure at baseline for PBB studies 1 and 2</w:t>
        </w:r>
        <w:r w:rsidR="0055667E">
          <w:rPr>
            <w:noProof/>
            <w:webHidden/>
          </w:rPr>
          <w:tab/>
        </w:r>
        <w:r w:rsidR="0055667E">
          <w:rPr>
            <w:noProof/>
            <w:webHidden/>
          </w:rPr>
          <w:fldChar w:fldCharType="begin"/>
        </w:r>
        <w:r w:rsidR="0055667E">
          <w:rPr>
            <w:noProof/>
            <w:webHidden/>
          </w:rPr>
          <w:instrText xml:space="preserve"> PAGEREF _Toc117780264 \h </w:instrText>
        </w:r>
        <w:r w:rsidR="0055667E">
          <w:rPr>
            <w:noProof/>
            <w:webHidden/>
          </w:rPr>
        </w:r>
        <w:r w:rsidR="0055667E">
          <w:rPr>
            <w:noProof/>
            <w:webHidden/>
          </w:rPr>
          <w:fldChar w:fldCharType="separate"/>
        </w:r>
        <w:r w:rsidR="0055667E">
          <w:rPr>
            <w:noProof/>
            <w:webHidden/>
          </w:rPr>
          <w:t>148</w:t>
        </w:r>
        <w:r w:rsidR="0055667E">
          <w:rPr>
            <w:noProof/>
            <w:webHidden/>
          </w:rPr>
          <w:fldChar w:fldCharType="end"/>
        </w:r>
      </w:hyperlink>
    </w:p>
    <w:p w14:paraId="0708CDAC" w14:textId="0894CE38" w:rsidR="0055667E" w:rsidRDefault="00000000">
      <w:pPr>
        <w:pStyle w:val="TableofFigures"/>
        <w:tabs>
          <w:tab w:val="right" w:leader="dot" w:pos="9350"/>
        </w:tabs>
        <w:rPr>
          <w:rFonts w:eastAsiaTheme="minorEastAsia"/>
          <w:noProof/>
          <w:lang w:eastAsia="en-GB"/>
        </w:rPr>
      </w:pPr>
      <w:hyperlink w:anchor="_Toc117780265" w:history="1">
        <w:r w:rsidR="0055667E" w:rsidRPr="00C06089">
          <w:rPr>
            <w:rStyle w:val="Hyperlink"/>
            <w:b/>
            <w:bCs/>
            <w:noProof/>
          </w:rPr>
          <w:t>Table 24</w:t>
        </w:r>
        <w:r w:rsidR="0055667E" w:rsidRPr="00C06089">
          <w:rPr>
            <w:rStyle w:val="Hyperlink"/>
            <w:noProof/>
          </w:rPr>
          <w:t>: Combined baseline swab results from PBB studies 1 &amp; 2</w:t>
        </w:r>
        <w:r w:rsidR="0055667E">
          <w:rPr>
            <w:noProof/>
            <w:webHidden/>
          </w:rPr>
          <w:tab/>
        </w:r>
        <w:r w:rsidR="0055667E">
          <w:rPr>
            <w:noProof/>
            <w:webHidden/>
          </w:rPr>
          <w:fldChar w:fldCharType="begin"/>
        </w:r>
        <w:r w:rsidR="0055667E">
          <w:rPr>
            <w:noProof/>
            <w:webHidden/>
          </w:rPr>
          <w:instrText xml:space="preserve"> PAGEREF _Toc117780265 \h </w:instrText>
        </w:r>
        <w:r w:rsidR="0055667E">
          <w:rPr>
            <w:noProof/>
            <w:webHidden/>
          </w:rPr>
        </w:r>
        <w:r w:rsidR="0055667E">
          <w:rPr>
            <w:noProof/>
            <w:webHidden/>
          </w:rPr>
          <w:fldChar w:fldCharType="separate"/>
        </w:r>
        <w:r w:rsidR="0055667E">
          <w:rPr>
            <w:noProof/>
            <w:webHidden/>
          </w:rPr>
          <w:t>150</w:t>
        </w:r>
        <w:r w:rsidR="0055667E">
          <w:rPr>
            <w:noProof/>
            <w:webHidden/>
          </w:rPr>
          <w:fldChar w:fldCharType="end"/>
        </w:r>
      </w:hyperlink>
    </w:p>
    <w:p w14:paraId="77C6E731" w14:textId="67FBE9EA" w:rsidR="0055667E" w:rsidRDefault="00000000">
      <w:pPr>
        <w:pStyle w:val="TableofFigures"/>
        <w:tabs>
          <w:tab w:val="right" w:leader="dot" w:pos="9350"/>
        </w:tabs>
        <w:rPr>
          <w:rFonts w:eastAsiaTheme="minorEastAsia"/>
          <w:noProof/>
          <w:lang w:eastAsia="en-GB"/>
        </w:rPr>
      </w:pPr>
      <w:hyperlink w:anchor="_Toc117780266" w:history="1">
        <w:r w:rsidR="0055667E" w:rsidRPr="00C06089">
          <w:rPr>
            <w:rStyle w:val="Hyperlink"/>
            <w:b/>
            <w:bCs/>
            <w:noProof/>
          </w:rPr>
          <w:t>Table 25</w:t>
        </w:r>
        <w:r w:rsidR="0055667E" w:rsidRPr="00C06089">
          <w:rPr>
            <w:rStyle w:val="Hyperlink"/>
            <w:noProof/>
          </w:rPr>
          <w:t>: Combined swab result data during PBB studies 1 &amp; 2</w:t>
        </w:r>
        <w:r w:rsidR="0055667E">
          <w:rPr>
            <w:noProof/>
            <w:webHidden/>
          </w:rPr>
          <w:tab/>
        </w:r>
        <w:r w:rsidR="0055667E">
          <w:rPr>
            <w:noProof/>
            <w:webHidden/>
          </w:rPr>
          <w:fldChar w:fldCharType="begin"/>
        </w:r>
        <w:r w:rsidR="0055667E">
          <w:rPr>
            <w:noProof/>
            <w:webHidden/>
          </w:rPr>
          <w:instrText xml:space="preserve"> PAGEREF _Toc117780266 \h </w:instrText>
        </w:r>
        <w:r w:rsidR="0055667E">
          <w:rPr>
            <w:noProof/>
            <w:webHidden/>
          </w:rPr>
        </w:r>
        <w:r w:rsidR="0055667E">
          <w:rPr>
            <w:noProof/>
            <w:webHidden/>
          </w:rPr>
          <w:fldChar w:fldCharType="separate"/>
        </w:r>
        <w:r w:rsidR="0055667E">
          <w:rPr>
            <w:noProof/>
            <w:webHidden/>
          </w:rPr>
          <w:t>151</w:t>
        </w:r>
        <w:r w:rsidR="0055667E">
          <w:rPr>
            <w:noProof/>
            <w:webHidden/>
          </w:rPr>
          <w:fldChar w:fldCharType="end"/>
        </w:r>
      </w:hyperlink>
    </w:p>
    <w:p w14:paraId="24A04D58" w14:textId="1CDEA12B" w:rsidR="0055667E" w:rsidRDefault="00000000">
      <w:pPr>
        <w:pStyle w:val="TableofFigures"/>
        <w:tabs>
          <w:tab w:val="right" w:leader="dot" w:pos="9350"/>
        </w:tabs>
        <w:rPr>
          <w:rFonts w:eastAsiaTheme="minorEastAsia"/>
          <w:noProof/>
          <w:lang w:eastAsia="en-GB"/>
        </w:rPr>
      </w:pPr>
      <w:hyperlink w:anchor="_Toc117780267" w:history="1">
        <w:r w:rsidR="0055667E" w:rsidRPr="00C06089">
          <w:rPr>
            <w:rStyle w:val="Hyperlink"/>
            <w:b/>
            <w:bCs/>
            <w:noProof/>
          </w:rPr>
          <w:t>Table 26</w:t>
        </w:r>
        <w:r w:rsidR="0055667E" w:rsidRPr="00C06089">
          <w:rPr>
            <w:rStyle w:val="Hyperlink"/>
            <w:noProof/>
          </w:rPr>
          <w:t>: Combined antibiotics prescribing data for PBB studies 1 &amp; 2</w:t>
        </w:r>
        <w:r w:rsidR="0055667E">
          <w:rPr>
            <w:noProof/>
            <w:webHidden/>
          </w:rPr>
          <w:tab/>
        </w:r>
        <w:r w:rsidR="0055667E">
          <w:rPr>
            <w:noProof/>
            <w:webHidden/>
          </w:rPr>
          <w:fldChar w:fldCharType="begin"/>
        </w:r>
        <w:r w:rsidR="0055667E">
          <w:rPr>
            <w:noProof/>
            <w:webHidden/>
          </w:rPr>
          <w:instrText xml:space="preserve"> PAGEREF _Toc117780267 \h </w:instrText>
        </w:r>
        <w:r w:rsidR="0055667E">
          <w:rPr>
            <w:noProof/>
            <w:webHidden/>
          </w:rPr>
        </w:r>
        <w:r w:rsidR="0055667E">
          <w:rPr>
            <w:noProof/>
            <w:webHidden/>
          </w:rPr>
          <w:fldChar w:fldCharType="separate"/>
        </w:r>
        <w:r w:rsidR="0055667E">
          <w:rPr>
            <w:noProof/>
            <w:webHidden/>
          </w:rPr>
          <w:t>154</w:t>
        </w:r>
        <w:r w:rsidR="0055667E">
          <w:rPr>
            <w:noProof/>
            <w:webHidden/>
          </w:rPr>
          <w:fldChar w:fldCharType="end"/>
        </w:r>
      </w:hyperlink>
    </w:p>
    <w:p w14:paraId="34C3FD44" w14:textId="1E9FC197" w:rsidR="0055667E" w:rsidRDefault="00000000">
      <w:pPr>
        <w:pStyle w:val="TableofFigures"/>
        <w:tabs>
          <w:tab w:val="right" w:leader="dot" w:pos="9350"/>
        </w:tabs>
        <w:rPr>
          <w:rFonts w:eastAsiaTheme="minorEastAsia"/>
          <w:noProof/>
          <w:lang w:eastAsia="en-GB"/>
        </w:rPr>
      </w:pPr>
      <w:hyperlink w:anchor="_Toc117780268" w:history="1">
        <w:r w:rsidR="0055667E" w:rsidRPr="00C06089">
          <w:rPr>
            <w:rStyle w:val="Hyperlink"/>
            <w:b/>
            <w:bCs/>
            <w:noProof/>
          </w:rPr>
          <w:t>Table 27</w:t>
        </w:r>
        <w:r w:rsidR="0055667E" w:rsidRPr="00C06089">
          <w:rPr>
            <w:rStyle w:val="Hyperlink"/>
            <w:noProof/>
          </w:rPr>
          <w:t>: Antibiotic susceptibility of S. pneumoniae isolates</w:t>
        </w:r>
        <w:r w:rsidR="0055667E">
          <w:rPr>
            <w:noProof/>
            <w:webHidden/>
          </w:rPr>
          <w:tab/>
        </w:r>
        <w:r w:rsidR="0055667E">
          <w:rPr>
            <w:noProof/>
            <w:webHidden/>
          </w:rPr>
          <w:fldChar w:fldCharType="begin"/>
        </w:r>
        <w:r w:rsidR="0055667E">
          <w:rPr>
            <w:noProof/>
            <w:webHidden/>
          </w:rPr>
          <w:instrText xml:space="preserve"> PAGEREF _Toc117780268 \h </w:instrText>
        </w:r>
        <w:r w:rsidR="0055667E">
          <w:rPr>
            <w:noProof/>
            <w:webHidden/>
          </w:rPr>
        </w:r>
        <w:r w:rsidR="0055667E">
          <w:rPr>
            <w:noProof/>
            <w:webHidden/>
          </w:rPr>
          <w:fldChar w:fldCharType="separate"/>
        </w:r>
        <w:r w:rsidR="0055667E">
          <w:rPr>
            <w:noProof/>
            <w:webHidden/>
          </w:rPr>
          <w:t>155</w:t>
        </w:r>
        <w:r w:rsidR="0055667E">
          <w:rPr>
            <w:noProof/>
            <w:webHidden/>
          </w:rPr>
          <w:fldChar w:fldCharType="end"/>
        </w:r>
      </w:hyperlink>
    </w:p>
    <w:p w14:paraId="5DD7DA71" w14:textId="5947351D" w:rsidR="0055667E" w:rsidRDefault="00000000">
      <w:pPr>
        <w:pStyle w:val="TableofFigures"/>
        <w:tabs>
          <w:tab w:val="right" w:leader="dot" w:pos="9350"/>
        </w:tabs>
        <w:rPr>
          <w:rFonts w:eastAsiaTheme="minorEastAsia"/>
          <w:noProof/>
          <w:lang w:eastAsia="en-GB"/>
        </w:rPr>
      </w:pPr>
      <w:hyperlink w:anchor="_Toc117780269" w:history="1">
        <w:r w:rsidR="0055667E" w:rsidRPr="00C06089">
          <w:rPr>
            <w:rStyle w:val="Hyperlink"/>
            <w:b/>
            <w:bCs/>
            <w:noProof/>
          </w:rPr>
          <w:t>Table 28</w:t>
        </w:r>
        <w:r w:rsidR="0055667E" w:rsidRPr="00C06089">
          <w:rPr>
            <w:rStyle w:val="Hyperlink"/>
            <w:noProof/>
          </w:rPr>
          <w:t>: Antibiotics susceptibility of H. influenzae isolates</w:t>
        </w:r>
        <w:r w:rsidR="0055667E">
          <w:rPr>
            <w:noProof/>
            <w:webHidden/>
          </w:rPr>
          <w:tab/>
        </w:r>
        <w:r w:rsidR="0055667E">
          <w:rPr>
            <w:noProof/>
            <w:webHidden/>
          </w:rPr>
          <w:fldChar w:fldCharType="begin"/>
        </w:r>
        <w:r w:rsidR="0055667E">
          <w:rPr>
            <w:noProof/>
            <w:webHidden/>
          </w:rPr>
          <w:instrText xml:space="preserve"> PAGEREF _Toc117780269 \h </w:instrText>
        </w:r>
        <w:r w:rsidR="0055667E">
          <w:rPr>
            <w:noProof/>
            <w:webHidden/>
          </w:rPr>
        </w:r>
        <w:r w:rsidR="0055667E">
          <w:rPr>
            <w:noProof/>
            <w:webHidden/>
          </w:rPr>
          <w:fldChar w:fldCharType="separate"/>
        </w:r>
        <w:r w:rsidR="0055667E">
          <w:rPr>
            <w:noProof/>
            <w:webHidden/>
          </w:rPr>
          <w:t>156</w:t>
        </w:r>
        <w:r w:rsidR="0055667E">
          <w:rPr>
            <w:noProof/>
            <w:webHidden/>
          </w:rPr>
          <w:fldChar w:fldCharType="end"/>
        </w:r>
      </w:hyperlink>
    </w:p>
    <w:p w14:paraId="3CE3F87E" w14:textId="7C588A02" w:rsidR="0055667E" w:rsidRDefault="00000000">
      <w:pPr>
        <w:pStyle w:val="TableofFigures"/>
        <w:tabs>
          <w:tab w:val="right" w:leader="dot" w:pos="9350"/>
        </w:tabs>
        <w:rPr>
          <w:rFonts w:eastAsiaTheme="minorEastAsia"/>
          <w:noProof/>
          <w:lang w:eastAsia="en-GB"/>
        </w:rPr>
      </w:pPr>
      <w:hyperlink w:anchor="_Toc117780270" w:history="1">
        <w:r w:rsidR="0055667E" w:rsidRPr="00C06089">
          <w:rPr>
            <w:rStyle w:val="Hyperlink"/>
            <w:b/>
            <w:bCs/>
            <w:noProof/>
          </w:rPr>
          <w:t>Table 29</w:t>
        </w:r>
        <w:r w:rsidR="0055667E" w:rsidRPr="00C06089">
          <w:rPr>
            <w:rStyle w:val="Hyperlink"/>
            <w:noProof/>
          </w:rPr>
          <w:t>: Antibiotic susceptibility of M. catarrhalis isolates</w:t>
        </w:r>
        <w:r w:rsidR="0055667E">
          <w:rPr>
            <w:noProof/>
            <w:webHidden/>
          </w:rPr>
          <w:tab/>
        </w:r>
        <w:r w:rsidR="0055667E">
          <w:rPr>
            <w:noProof/>
            <w:webHidden/>
          </w:rPr>
          <w:fldChar w:fldCharType="begin"/>
        </w:r>
        <w:r w:rsidR="0055667E">
          <w:rPr>
            <w:noProof/>
            <w:webHidden/>
          </w:rPr>
          <w:instrText xml:space="preserve"> PAGEREF _Toc117780270 \h </w:instrText>
        </w:r>
        <w:r w:rsidR="0055667E">
          <w:rPr>
            <w:noProof/>
            <w:webHidden/>
          </w:rPr>
        </w:r>
        <w:r w:rsidR="0055667E">
          <w:rPr>
            <w:noProof/>
            <w:webHidden/>
          </w:rPr>
          <w:fldChar w:fldCharType="separate"/>
        </w:r>
        <w:r w:rsidR="0055667E">
          <w:rPr>
            <w:noProof/>
            <w:webHidden/>
          </w:rPr>
          <w:t>156</w:t>
        </w:r>
        <w:r w:rsidR="0055667E">
          <w:rPr>
            <w:noProof/>
            <w:webHidden/>
          </w:rPr>
          <w:fldChar w:fldCharType="end"/>
        </w:r>
      </w:hyperlink>
    </w:p>
    <w:p w14:paraId="10C0D2A4" w14:textId="4650B380" w:rsidR="0055667E" w:rsidRDefault="00000000">
      <w:pPr>
        <w:pStyle w:val="TableofFigures"/>
        <w:tabs>
          <w:tab w:val="right" w:leader="dot" w:pos="9350"/>
        </w:tabs>
        <w:rPr>
          <w:rFonts w:eastAsiaTheme="minorEastAsia"/>
          <w:noProof/>
          <w:lang w:eastAsia="en-GB"/>
        </w:rPr>
      </w:pPr>
      <w:hyperlink w:anchor="_Toc117780271" w:history="1">
        <w:r w:rsidR="0055667E" w:rsidRPr="00C06089">
          <w:rPr>
            <w:rStyle w:val="Hyperlink"/>
            <w:b/>
            <w:bCs/>
            <w:noProof/>
          </w:rPr>
          <w:t>Table 30</w:t>
        </w:r>
        <w:r w:rsidR="0055667E" w:rsidRPr="00C06089">
          <w:rPr>
            <w:rStyle w:val="Hyperlink"/>
            <w:noProof/>
          </w:rPr>
          <w:t>: Antibiotic susceptibility of S. aureus isolates</w:t>
        </w:r>
        <w:r w:rsidR="0055667E">
          <w:rPr>
            <w:noProof/>
            <w:webHidden/>
          </w:rPr>
          <w:tab/>
        </w:r>
        <w:r w:rsidR="0055667E">
          <w:rPr>
            <w:noProof/>
            <w:webHidden/>
          </w:rPr>
          <w:fldChar w:fldCharType="begin"/>
        </w:r>
        <w:r w:rsidR="0055667E">
          <w:rPr>
            <w:noProof/>
            <w:webHidden/>
          </w:rPr>
          <w:instrText xml:space="preserve"> PAGEREF _Toc117780271 \h </w:instrText>
        </w:r>
        <w:r w:rsidR="0055667E">
          <w:rPr>
            <w:noProof/>
            <w:webHidden/>
          </w:rPr>
        </w:r>
        <w:r w:rsidR="0055667E">
          <w:rPr>
            <w:noProof/>
            <w:webHidden/>
          </w:rPr>
          <w:fldChar w:fldCharType="separate"/>
        </w:r>
        <w:r w:rsidR="0055667E">
          <w:rPr>
            <w:noProof/>
            <w:webHidden/>
          </w:rPr>
          <w:t>156</w:t>
        </w:r>
        <w:r w:rsidR="0055667E">
          <w:rPr>
            <w:noProof/>
            <w:webHidden/>
          </w:rPr>
          <w:fldChar w:fldCharType="end"/>
        </w:r>
      </w:hyperlink>
    </w:p>
    <w:p w14:paraId="505DA163" w14:textId="50D6AC9A" w:rsidR="0055667E" w:rsidRDefault="00000000">
      <w:pPr>
        <w:pStyle w:val="TableofFigures"/>
        <w:tabs>
          <w:tab w:val="right" w:leader="dot" w:pos="9350"/>
        </w:tabs>
        <w:rPr>
          <w:rFonts w:eastAsiaTheme="minorEastAsia"/>
          <w:noProof/>
          <w:lang w:eastAsia="en-GB"/>
        </w:rPr>
      </w:pPr>
      <w:hyperlink w:anchor="_Toc117780272" w:history="1">
        <w:r w:rsidR="0055667E" w:rsidRPr="00C06089">
          <w:rPr>
            <w:rStyle w:val="Hyperlink"/>
            <w:b/>
            <w:bCs/>
            <w:noProof/>
          </w:rPr>
          <w:t>Table 31</w:t>
        </w:r>
        <w:r w:rsidR="0055667E" w:rsidRPr="00C06089">
          <w:rPr>
            <w:rStyle w:val="Hyperlink"/>
            <w:noProof/>
          </w:rPr>
          <w:t>: Repeat parallel susceptibility testing of a subset of S. pneumoniae isolates</w:t>
        </w:r>
        <w:r w:rsidR="0055667E">
          <w:rPr>
            <w:noProof/>
            <w:webHidden/>
          </w:rPr>
          <w:tab/>
        </w:r>
        <w:r w:rsidR="0055667E">
          <w:rPr>
            <w:noProof/>
            <w:webHidden/>
          </w:rPr>
          <w:fldChar w:fldCharType="begin"/>
        </w:r>
        <w:r w:rsidR="0055667E">
          <w:rPr>
            <w:noProof/>
            <w:webHidden/>
          </w:rPr>
          <w:instrText xml:space="preserve"> PAGEREF _Toc117780272 \h </w:instrText>
        </w:r>
        <w:r w:rsidR="0055667E">
          <w:rPr>
            <w:noProof/>
            <w:webHidden/>
          </w:rPr>
        </w:r>
        <w:r w:rsidR="0055667E">
          <w:rPr>
            <w:noProof/>
            <w:webHidden/>
          </w:rPr>
          <w:fldChar w:fldCharType="separate"/>
        </w:r>
        <w:r w:rsidR="0055667E">
          <w:rPr>
            <w:noProof/>
            <w:webHidden/>
          </w:rPr>
          <w:t>157</w:t>
        </w:r>
        <w:r w:rsidR="0055667E">
          <w:rPr>
            <w:noProof/>
            <w:webHidden/>
          </w:rPr>
          <w:fldChar w:fldCharType="end"/>
        </w:r>
      </w:hyperlink>
    </w:p>
    <w:p w14:paraId="33053B91" w14:textId="31A45178" w:rsidR="0055667E" w:rsidRDefault="00000000">
      <w:pPr>
        <w:pStyle w:val="TableofFigures"/>
        <w:tabs>
          <w:tab w:val="right" w:leader="dot" w:pos="9350"/>
        </w:tabs>
        <w:rPr>
          <w:rFonts w:eastAsiaTheme="minorEastAsia"/>
          <w:noProof/>
          <w:lang w:eastAsia="en-GB"/>
        </w:rPr>
      </w:pPr>
      <w:hyperlink w:anchor="_Toc117780273" w:history="1">
        <w:r w:rsidR="0055667E" w:rsidRPr="00C06089">
          <w:rPr>
            <w:rStyle w:val="Hyperlink"/>
            <w:b/>
            <w:bCs/>
            <w:noProof/>
          </w:rPr>
          <w:t>Table 32</w:t>
        </w:r>
        <w:r w:rsidR="0055667E" w:rsidRPr="00C06089">
          <w:rPr>
            <w:rStyle w:val="Hyperlink"/>
            <w:noProof/>
          </w:rPr>
          <w:t>: Quality assessment of genome assemblies provided by MicrobesNG</w:t>
        </w:r>
        <w:r w:rsidR="0055667E">
          <w:rPr>
            <w:noProof/>
            <w:webHidden/>
          </w:rPr>
          <w:tab/>
        </w:r>
        <w:r w:rsidR="0055667E">
          <w:rPr>
            <w:noProof/>
            <w:webHidden/>
          </w:rPr>
          <w:fldChar w:fldCharType="begin"/>
        </w:r>
        <w:r w:rsidR="0055667E">
          <w:rPr>
            <w:noProof/>
            <w:webHidden/>
          </w:rPr>
          <w:instrText xml:space="preserve"> PAGEREF _Toc117780273 \h </w:instrText>
        </w:r>
        <w:r w:rsidR="0055667E">
          <w:rPr>
            <w:noProof/>
            <w:webHidden/>
          </w:rPr>
        </w:r>
        <w:r w:rsidR="0055667E">
          <w:rPr>
            <w:noProof/>
            <w:webHidden/>
          </w:rPr>
          <w:fldChar w:fldCharType="separate"/>
        </w:r>
        <w:r w:rsidR="0055667E">
          <w:rPr>
            <w:noProof/>
            <w:webHidden/>
          </w:rPr>
          <w:t>160</w:t>
        </w:r>
        <w:r w:rsidR="0055667E">
          <w:rPr>
            <w:noProof/>
            <w:webHidden/>
          </w:rPr>
          <w:fldChar w:fldCharType="end"/>
        </w:r>
      </w:hyperlink>
    </w:p>
    <w:p w14:paraId="6ACAF307" w14:textId="7062DE92" w:rsidR="0055667E" w:rsidRDefault="00000000">
      <w:pPr>
        <w:pStyle w:val="TableofFigures"/>
        <w:tabs>
          <w:tab w:val="right" w:leader="dot" w:pos="9350"/>
        </w:tabs>
        <w:rPr>
          <w:rFonts w:eastAsiaTheme="minorEastAsia"/>
          <w:noProof/>
          <w:lang w:eastAsia="en-GB"/>
        </w:rPr>
      </w:pPr>
      <w:hyperlink w:anchor="_Toc117780274" w:history="1">
        <w:r w:rsidR="0055667E" w:rsidRPr="00C06089">
          <w:rPr>
            <w:rStyle w:val="Hyperlink"/>
            <w:b/>
            <w:bCs/>
            <w:noProof/>
          </w:rPr>
          <w:t>Table 33</w:t>
        </w:r>
        <w:r w:rsidR="0055667E" w:rsidRPr="00C06089">
          <w:rPr>
            <w:rStyle w:val="Hyperlink"/>
            <w:noProof/>
          </w:rPr>
          <w:t>:Results of mass screening of contigs for antimicrobial resistance genes</w:t>
        </w:r>
        <w:r w:rsidR="0055667E">
          <w:rPr>
            <w:noProof/>
            <w:webHidden/>
          </w:rPr>
          <w:tab/>
        </w:r>
        <w:r w:rsidR="0055667E">
          <w:rPr>
            <w:noProof/>
            <w:webHidden/>
          </w:rPr>
          <w:fldChar w:fldCharType="begin"/>
        </w:r>
        <w:r w:rsidR="0055667E">
          <w:rPr>
            <w:noProof/>
            <w:webHidden/>
          </w:rPr>
          <w:instrText xml:space="preserve"> PAGEREF _Toc117780274 \h </w:instrText>
        </w:r>
        <w:r w:rsidR="0055667E">
          <w:rPr>
            <w:noProof/>
            <w:webHidden/>
          </w:rPr>
        </w:r>
        <w:r w:rsidR="0055667E">
          <w:rPr>
            <w:noProof/>
            <w:webHidden/>
          </w:rPr>
          <w:fldChar w:fldCharType="separate"/>
        </w:r>
        <w:r w:rsidR="0055667E">
          <w:rPr>
            <w:noProof/>
            <w:webHidden/>
          </w:rPr>
          <w:t>162</w:t>
        </w:r>
        <w:r w:rsidR="0055667E">
          <w:rPr>
            <w:noProof/>
            <w:webHidden/>
          </w:rPr>
          <w:fldChar w:fldCharType="end"/>
        </w:r>
      </w:hyperlink>
    </w:p>
    <w:p w14:paraId="06DA4D15" w14:textId="799AE4E6" w:rsidR="0055667E" w:rsidRDefault="00000000">
      <w:pPr>
        <w:pStyle w:val="TableofFigures"/>
        <w:tabs>
          <w:tab w:val="right" w:leader="dot" w:pos="9350"/>
        </w:tabs>
        <w:rPr>
          <w:rFonts w:eastAsiaTheme="minorEastAsia"/>
          <w:noProof/>
          <w:lang w:eastAsia="en-GB"/>
        </w:rPr>
      </w:pPr>
      <w:hyperlink w:anchor="_Toc117780275" w:history="1">
        <w:r w:rsidR="0055667E" w:rsidRPr="00C06089">
          <w:rPr>
            <w:rStyle w:val="Hyperlink"/>
            <w:b/>
            <w:bCs/>
            <w:noProof/>
          </w:rPr>
          <w:t>Table 34:</w:t>
        </w:r>
        <w:r w:rsidR="0055667E" w:rsidRPr="00C06089">
          <w:rPr>
            <w:rStyle w:val="Hyperlink"/>
            <w:noProof/>
          </w:rPr>
          <w:t xml:space="preserve"> </w:t>
        </w:r>
        <w:r w:rsidR="0055667E" w:rsidRPr="00C06089">
          <w:rPr>
            <w:rStyle w:val="Hyperlink"/>
            <w:rFonts w:ascii="Calibri" w:eastAsia="Calibri" w:hAnsi="Calibri" w:cs="Times New Roman"/>
            <w:noProof/>
          </w:rPr>
          <w:t>Details of azithromycin exposure and time to final swab following exposure in PBB study 2</w:t>
        </w:r>
        <w:r w:rsidR="0055667E">
          <w:rPr>
            <w:noProof/>
            <w:webHidden/>
          </w:rPr>
          <w:tab/>
        </w:r>
        <w:r w:rsidR="0055667E">
          <w:rPr>
            <w:noProof/>
            <w:webHidden/>
          </w:rPr>
          <w:fldChar w:fldCharType="begin"/>
        </w:r>
        <w:r w:rsidR="0055667E">
          <w:rPr>
            <w:noProof/>
            <w:webHidden/>
          </w:rPr>
          <w:instrText xml:space="preserve"> PAGEREF _Toc117780275 \h </w:instrText>
        </w:r>
        <w:r w:rsidR="0055667E">
          <w:rPr>
            <w:noProof/>
            <w:webHidden/>
          </w:rPr>
        </w:r>
        <w:r w:rsidR="0055667E">
          <w:rPr>
            <w:noProof/>
            <w:webHidden/>
          </w:rPr>
          <w:fldChar w:fldCharType="separate"/>
        </w:r>
        <w:r w:rsidR="0055667E">
          <w:rPr>
            <w:noProof/>
            <w:webHidden/>
          </w:rPr>
          <w:t>191</w:t>
        </w:r>
        <w:r w:rsidR="0055667E">
          <w:rPr>
            <w:noProof/>
            <w:webHidden/>
          </w:rPr>
          <w:fldChar w:fldCharType="end"/>
        </w:r>
      </w:hyperlink>
    </w:p>
    <w:p w14:paraId="7FCBC3B7" w14:textId="0E1DA9C2" w:rsidR="0055667E" w:rsidRDefault="00000000">
      <w:pPr>
        <w:pStyle w:val="TableofFigures"/>
        <w:tabs>
          <w:tab w:val="right" w:leader="dot" w:pos="9350"/>
        </w:tabs>
        <w:rPr>
          <w:rFonts w:eastAsiaTheme="minorEastAsia"/>
          <w:noProof/>
          <w:lang w:eastAsia="en-GB"/>
        </w:rPr>
      </w:pPr>
      <w:hyperlink w:anchor="_Toc117780276" w:history="1">
        <w:r w:rsidR="0055667E" w:rsidRPr="00C06089">
          <w:rPr>
            <w:rStyle w:val="Hyperlink"/>
            <w:b/>
            <w:bCs/>
            <w:noProof/>
          </w:rPr>
          <w:t>Table 35</w:t>
        </w:r>
        <w:r w:rsidR="0055667E" w:rsidRPr="00C06089">
          <w:rPr>
            <w:rStyle w:val="Hyperlink"/>
            <w:noProof/>
          </w:rPr>
          <w:t>: Differential abundance testing between active and comparison groups at baseline, second and final sets of swabs</w:t>
        </w:r>
        <w:r w:rsidR="0055667E">
          <w:rPr>
            <w:noProof/>
            <w:webHidden/>
          </w:rPr>
          <w:tab/>
        </w:r>
        <w:r w:rsidR="0055667E">
          <w:rPr>
            <w:noProof/>
            <w:webHidden/>
          </w:rPr>
          <w:fldChar w:fldCharType="begin"/>
        </w:r>
        <w:r w:rsidR="0055667E">
          <w:rPr>
            <w:noProof/>
            <w:webHidden/>
          </w:rPr>
          <w:instrText xml:space="preserve"> PAGEREF _Toc117780276 \h </w:instrText>
        </w:r>
        <w:r w:rsidR="0055667E">
          <w:rPr>
            <w:noProof/>
            <w:webHidden/>
          </w:rPr>
        </w:r>
        <w:r w:rsidR="0055667E">
          <w:rPr>
            <w:noProof/>
            <w:webHidden/>
          </w:rPr>
          <w:fldChar w:fldCharType="separate"/>
        </w:r>
        <w:r w:rsidR="0055667E">
          <w:rPr>
            <w:noProof/>
            <w:webHidden/>
          </w:rPr>
          <w:t>192</w:t>
        </w:r>
        <w:r w:rsidR="0055667E">
          <w:rPr>
            <w:noProof/>
            <w:webHidden/>
          </w:rPr>
          <w:fldChar w:fldCharType="end"/>
        </w:r>
      </w:hyperlink>
    </w:p>
    <w:p w14:paraId="47204050" w14:textId="0DBA8C27" w:rsidR="0055667E" w:rsidRDefault="00000000">
      <w:pPr>
        <w:pStyle w:val="TableofFigures"/>
        <w:tabs>
          <w:tab w:val="right" w:leader="dot" w:pos="9350"/>
        </w:tabs>
        <w:rPr>
          <w:rFonts w:eastAsiaTheme="minorEastAsia"/>
          <w:noProof/>
          <w:lang w:eastAsia="en-GB"/>
        </w:rPr>
      </w:pPr>
      <w:hyperlink w:anchor="_Toc117780277" w:history="1">
        <w:r w:rsidR="0055667E" w:rsidRPr="00C06089">
          <w:rPr>
            <w:rStyle w:val="Hyperlink"/>
            <w:b/>
            <w:bCs/>
            <w:noProof/>
          </w:rPr>
          <w:t>Table 38</w:t>
        </w:r>
        <w:r w:rsidR="0055667E" w:rsidRPr="00C06089">
          <w:rPr>
            <w:rStyle w:val="Hyperlink"/>
            <w:noProof/>
          </w:rPr>
          <w:t>: Mean Shannon indexes for each of the 4 sets of swabs</w:t>
        </w:r>
        <w:r w:rsidR="0055667E">
          <w:rPr>
            <w:noProof/>
            <w:webHidden/>
          </w:rPr>
          <w:tab/>
        </w:r>
        <w:r w:rsidR="0055667E">
          <w:rPr>
            <w:noProof/>
            <w:webHidden/>
          </w:rPr>
          <w:fldChar w:fldCharType="begin"/>
        </w:r>
        <w:r w:rsidR="0055667E">
          <w:rPr>
            <w:noProof/>
            <w:webHidden/>
          </w:rPr>
          <w:instrText xml:space="preserve"> PAGEREF _Toc117780277 \h </w:instrText>
        </w:r>
        <w:r w:rsidR="0055667E">
          <w:rPr>
            <w:noProof/>
            <w:webHidden/>
          </w:rPr>
        </w:r>
        <w:r w:rsidR="0055667E">
          <w:rPr>
            <w:noProof/>
            <w:webHidden/>
          </w:rPr>
          <w:fldChar w:fldCharType="separate"/>
        </w:r>
        <w:r w:rsidR="0055667E">
          <w:rPr>
            <w:noProof/>
            <w:webHidden/>
          </w:rPr>
          <w:t>194</w:t>
        </w:r>
        <w:r w:rsidR="0055667E">
          <w:rPr>
            <w:noProof/>
            <w:webHidden/>
          </w:rPr>
          <w:fldChar w:fldCharType="end"/>
        </w:r>
      </w:hyperlink>
    </w:p>
    <w:p w14:paraId="734CF1DB" w14:textId="3B500837" w:rsidR="00C12841" w:rsidRPr="00541066" w:rsidRDefault="009F7D80" w:rsidP="005D31BA">
      <w:pPr>
        <w:spacing w:line="360" w:lineRule="auto"/>
      </w:pPr>
      <w:r w:rsidRPr="00B42561">
        <w:fldChar w:fldCharType="end"/>
      </w:r>
      <w:r w:rsidR="00BA4059">
        <w:br w:type="page"/>
      </w:r>
    </w:p>
    <w:p w14:paraId="69E758EA" w14:textId="77777777" w:rsidR="00D50D14" w:rsidRPr="00241369" w:rsidRDefault="00C93C4B" w:rsidP="009C1849">
      <w:pPr>
        <w:pStyle w:val="Heading1"/>
        <w:numPr>
          <w:ilvl w:val="0"/>
          <w:numId w:val="0"/>
        </w:numPr>
        <w:ind w:left="432" w:hanging="432"/>
      </w:pPr>
      <w:bookmarkStart w:id="5" w:name="_Toc117765875"/>
      <w:r w:rsidRPr="00241369">
        <w:lastRenderedPageBreak/>
        <w:t>Abbreviations</w:t>
      </w:r>
      <w:bookmarkEnd w:id="5"/>
    </w:p>
    <w:p w14:paraId="367F8761" w14:textId="76F3E420" w:rsidR="0016262D" w:rsidRPr="005C4356" w:rsidRDefault="0016262D" w:rsidP="003C117D">
      <w:pPr>
        <w:spacing w:line="360" w:lineRule="auto"/>
        <w:rPr>
          <w:rFonts w:eastAsia="Calibri" w:cstheme="minorHAnsi"/>
        </w:rPr>
      </w:pPr>
      <w:r w:rsidRPr="005C4356">
        <w:rPr>
          <w:rFonts w:eastAsia="Calibri" w:cstheme="minorHAnsi"/>
        </w:rPr>
        <w:t>AMR</w:t>
      </w:r>
      <w:r w:rsidRPr="005C4356">
        <w:rPr>
          <w:rFonts w:eastAsia="Calibri" w:cstheme="minorHAnsi"/>
        </w:rPr>
        <w:tab/>
      </w:r>
      <w:r w:rsidRPr="005C4356">
        <w:rPr>
          <w:rFonts w:eastAsia="Calibri" w:cstheme="minorHAnsi"/>
        </w:rPr>
        <w:tab/>
      </w:r>
      <w:r w:rsidRPr="005C4356">
        <w:rPr>
          <w:rFonts w:eastAsia="Calibri" w:cstheme="minorHAnsi"/>
        </w:rPr>
        <w:tab/>
        <w:t xml:space="preserve">Antimicrobial resistance </w:t>
      </w:r>
    </w:p>
    <w:p w14:paraId="0583AA19" w14:textId="6781B9DB" w:rsidR="00673B55" w:rsidRPr="005C4356" w:rsidRDefault="00673B55" w:rsidP="003C117D">
      <w:pPr>
        <w:spacing w:line="360" w:lineRule="auto"/>
        <w:rPr>
          <w:rFonts w:eastAsia="Calibri" w:cstheme="minorHAnsi"/>
        </w:rPr>
      </w:pPr>
      <w:r w:rsidRPr="005C4356">
        <w:rPr>
          <w:rFonts w:eastAsia="Calibri" w:cstheme="minorHAnsi"/>
        </w:rPr>
        <w:t>ASV</w:t>
      </w:r>
      <w:r w:rsidRPr="005C4356">
        <w:rPr>
          <w:rFonts w:eastAsia="Calibri" w:cstheme="minorHAnsi"/>
        </w:rPr>
        <w:tab/>
      </w:r>
      <w:r w:rsidRPr="005C4356">
        <w:rPr>
          <w:rFonts w:eastAsia="Calibri" w:cstheme="minorHAnsi"/>
        </w:rPr>
        <w:tab/>
      </w:r>
      <w:r w:rsidRPr="005C4356">
        <w:rPr>
          <w:rFonts w:eastAsia="Calibri" w:cstheme="minorHAnsi"/>
        </w:rPr>
        <w:tab/>
        <w:t>Amplicon sequence variant</w:t>
      </w:r>
    </w:p>
    <w:p w14:paraId="5579677C" w14:textId="77777777" w:rsidR="00C93C4B" w:rsidRPr="005C4356" w:rsidRDefault="00C93C4B" w:rsidP="003C117D">
      <w:pPr>
        <w:spacing w:line="360" w:lineRule="auto"/>
        <w:rPr>
          <w:rFonts w:eastAsia="Calibri" w:cstheme="minorHAnsi"/>
        </w:rPr>
      </w:pPr>
      <w:r w:rsidRPr="005C4356">
        <w:rPr>
          <w:rFonts w:eastAsia="Calibri" w:cstheme="minorHAnsi"/>
        </w:rPr>
        <w:t>BAL</w:t>
      </w:r>
      <w:r w:rsidRPr="005C4356">
        <w:rPr>
          <w:rFonts w:eastAsia="Calibri" w:cstheme="minorHAnsi"/>
        </w:rPr>
        <w:tab/>
      </w:r>
      <w:r w:rsidRPr="005C4356">
        <w:rPr>
          <w:rFonts w:eastAsia="Calibri" w:cstheme="minorHAnsi"/>
        </w:rPr>
        <w:tab/>
      </w:r>
      <w:r w:rsidRPr="005C4356">
        <w:rPr>
          <w:rFonts w:eastAsia="Calibri" w:cstheme="minorHAnsi"/>
        </w:rPr>
        <w:tab/>
        <w:t>Bronchoalveolar lavage</w:t>
      </w:r>
    </w:p>
    <w:p w14:paraId="2D83D252" w14:textId="77777777" w:rsidR="00C93C4B" w:rsidRPr="005C4356" w:rsidRDefault="00C93C4B" w:rsidP="003C117D">
      <w:pPr>
        <w:spacing w:line="360" w:lineRule="auto"/>
        <w:rPr>
          <w:rFonts w:eastAsia="Calibri" w:cstheme="minorHAnsi"/>
        </w:rPr>
      </w:pPr>
      <w:r w:rsidRPr="005C4356">
        <w:rPr>
          <w:rFonts w:eastAsia="Calibri" w:cstheme="minorHAnsi"/>
        </w:rPr>
        <w:t>BTS</w:t>
      </w:r>
      <w:r w:rsidRPr="005C4356">
        <w:rPr>
          <w:rFonts w:eastAsia="Calibri" w:cstheme="minorHAnsi"/>
        </w:rPr>
        <w:tab/>
      </w:r>
      <w:r w:rsidRPr="005C4356">
        <w:rPr>
          <w:rFonts w:eastAsia="Calibri" w:cstheme="minorHAnsi"/>
        </w:rPr>
        <w:tab/>
      </w:r>
      <w:r w:rsidRPr="005C4356">
        <w:rPr>
          <w:rFonts w:eastAsia="Calibri" w:cstheme="minorHAnsi"/>
        </w:rPr>
        <w:tab/>
        <w:t>British Thoracic Society</w:t>
      </w:r>
    </w:p>
    <w:p w14:paraId="35285833" w14:textId="0646F5F6" w:rsidR="00C93C4B" w:rsidRDefault="00C93C4B" w:rsidP="003C117D">
      <w:pPr>
        <w:spacing w:line="360" w:lineRule="auto"/>
        <w:rPr>
          <w:rFonts w:eastAsia="Calibri" w:cstheme="minorHAnsi"/>
        </w:rPr>
      </w:pPr>
      <w:r w:rsidRPr="005C4356">
        <w:rPr>
          <w:rFonts w:eastAsia="Calibri" w:cstheme="minorHAnsi"/>
        </w:rPr>
        <w:t>CF</w:t>
      </w:r>
      <w:r w:rsidRPr="005C4356">
        <w:rPr>
          <w:rFonts w:eastAsia="Calibri" w:cstheme="minorHAnsi"/>
        </w:rPr>
        <w:tab/>
      </w:r>
      <w:r w:rsidRPr="005C4356">
        <w:rPr>
          <w:rFonts w:eastAsia="Calibri" w:cstheme="minorHAnsi"/>
        </w:rPr>
        <w:tab/>
      </w:r>
      <w:r w:rsidRPr="005C4356">
        <w:rPr>
          <w:rFonts w:eastAsia="Calibri" w:cstheme="minorHAnsi"/>
        </w:rPr>
        <w:tab/>
        <w:t>Cystic fibrosis</w:t>
      </w:r>
    </w:p>
    <w:p w14:paraId="6B56839B" w14:textId="1C87E62B" w:rsidR="002F3722" w:rsidRPr="005C4356" w:rsidRDefault="002F3722" w:rsidP="003C117D">
      <w:pPr>
        <w:spacing w:line="360" w:lineRule="auto"/>
        <w:rPr>
          <w:rFonts w:eastAsia="Calibri" w:cstheme="minorHAnsi"/>
        </w:rPr>
      </w:pPr>
      <w:r>
        <w:rPr>
          <w:rFonts w:eastAsia="Calibri" w:cstheme="minorHAnsi"/>
        </w:rPr>
        <w:t>CFTR</w:t>
      </w:r>
      <w:r>
        <w:rPr>
          <w:rFonts w:eastAsia="Calibri" w:cstheme="minorHAnsi"/>
        </w:rPr>
        <w:tab/>
      </w:r>
      <w:r>
        <w:rPr>
          <w:rFonts w:eastAsia="Calibri" w:cstheme="minorHAnsi"/>
        </w:rPr>
        <w:tab/>
      </w:r>
      <w:r>
        <w:rPr>
          <w:rFonts w:eastAsia="Calibri" w:cstheme="minorHAnsi"/>
        </w:rPr>
        <w:tab/>
        <w:t>Cystic fibrosis transmembrane regulator</w:t>
      </w:r>
    </w:p>
    <w:p w14:paraId="67CC7025" w14:textId="77777777" w:rsidR="00C93C4B" w:rsidRPr="005C4356" w:rsidRDefault="00C93C4B" w:rsidP="003C117D">
      <w:pPr>
        <w:spacing w:line="360" w:lineRule="auto"/>
        <w:rPr>
          <w:rFonts w:eastAsia="Calibri" w:cstheme="minorHAnsi"/>
        </w:rPr>
      </w:pPr>
      <w:r w:rsidRPr="005C4356">
        <w:rPr>
          <w:rFonts w:eastAsia="Calibri" w:cstheme="minorHAnsi"/>
        </w:rPr>
        <w:t>CI</w:t>
      </w:r>
      <w:r w:rsidRPr="005C4356">
        <w:rPr>
          <w:rFonts w:eastAsia="Calibri" w:cstheme="minorHAnsi"/>
        </w:rPr>
        <w:tab/>
      </w:r>
      <w:r w:rsidRPr="005C4356">
        <w:rPr>
          <w:rFonts w:eastAsia="Calibri" w:cstheme="minorHAnsi"/>
        </w:rPr>
        <w:tab/>
      </w:r>
      <w:r w:rsidRPr="005C4356">
        <w:rPr>
          <w:rFonts w:eastAsia="Calibri" w:cstheme="minorHAnsi"/>
        </w:rPr>
        <w:tab/>
        <w:t>Confidence interval</w:t>
      </w:r>
    </w:p>
    <w:p w14:paraId="28F7308E" w14:textId="07EBF035" w:rsidR="00C93C4B" w:rsidRPr="005C4356" w:rsidRDefault="00C93C4B" w:rsidP="003C117D">
      <w:pPr>
        <w:spacing w:line="360" w:lineRule="auto"/>
        <w:rPr>
          <w:rFonts w:eastAsia="Calibri" w:cstheme="minorHAnsi"/>
        </w:rPr>
      </w:pPr>
      <w:r w:rsidRPr="005C4356">
        <w:rPr>
          <w:rFonts w:eastAsia="Calibri" w:cstheme="minorHAnsi"/>
        </w:rPr>
        <w:t>COPD</w:t>
      </w:r>
      <w:r w:rsidRPr="005C4356">
        <w:rPr>
          <w:rFonts w:eastAsia="Calibri" w:cstheme="minorHAnsi"/>
        </w:rPr>
        <w:tab/>
      </w:r>
      <w:r w:rsidRPr="005C4356">
        <w:rPr>
          <w:rFonts w:eastAsia="Calibri" w:cstheme="minorHAnsi"/>
        </w:rPr>
        <w:tab/>
      </w:r>
      <w:r w:rsidRPr="005C4356">
        <w:rPr>
          <w:rFonts w:eastAsia="Calibri" w:cstheme="minorHAnsi"/>
        </w:rPr>
        <w:tab/>
        <w:t>Chronic obstructive pulmonary disease</w:t>
      </w:r>
    </w:p>
    <w:p w14:paraId="016ACD04" w14:textId="0AD478F3" w:rsidR="00914AD1" w:rsidRPr="005C4356" w:rsidRDefault="00914AD1" w:rsidP="003C117D">
      <w:pPr>
        <w:spacing w:line="360" w:lineRule="auto"/>
        <w:rPr>
          <w:rFonts w:eastAsia="Calibri" w:cstheme="minorHAnsi"/>
        </w:rPr>
      </w:pPr>
      <w:r w:rsidRPr="005C4356">
        <w:rPr>
          <w:rFonts w:eastAsia="Calibri" w:cstheme="minorHAnsi"/>
        </w:rPr>
        <w:t>DNA</w:t>
      </w:r>
      <w:r w:rsidRPr="005C4356">
        <w:rPr>
          <w:rFonts w:eastAsia="Calibri" w:cstheme="minorHAnsi"/>
        </w:rPr>
        <w:tab/>
      </w:r>
      <w:r w:rsidRPr="005C4356">
        <w:rPr>
          <w:rFonts w:eastAsia="Calibri" w:cstheme="minorHAnsi"/>
        </w:rPr>
        <w:tab/>
      </w:r>
      <w:r w:rsidRPr="005C4356">
        <w:rPr>
          <w:rFonts w:eastAsia="Calibri" w:cstheme="minorHAnsi"/>
        </w:rPr>
        <w:tab/>
        <w:t>Deoxyribonucleic acid</w:t>
      </w:r>
    </w:p>
    <w:p w14:paraId="13601EB9" w14:textId="6987559A" w:rsidR="00914AD1" w:rsidRPr="005C4356" w:rsidRDefault="00167CD9" w:rsidP="003C117D">
      <w:pPr>
        <w:spacing w:line="360" w:lineRule="auto"/>
        <w:rPr>
          <w:rFonts w:eastAsia="Calibri" w:cstheme="minorHAnsi"/>
        </w:rPr>
      </w:pPr>
      <w:r w:rsidRPr="005C4356">
        <w:rPr>
          <w:rFonts w:eastAsia="Calibri" w:cstheme="minorHAnsi"/>
        </w:rPr>
        <w:t>DNPS</w:t>
      </w:r>
      <w:r w:rsidRPr="005C4356">
        <w:rPr>
          <w:rFonts w:eastAsia="Calibri" w:cstheme="minorHAnsi"/>
        </w:rPr>
        <w:tab/>
      </w:r>
      <w:r w:rsidRPr="005C4356">
        <w:rPr>
          <w:rFonts w:eastAsia="Calibri" w:cstheme="minorHAnsi"/>
        </w:rPr>
        <w:tab/>
      </w:r>
      <w:r w:rsidRPr="005C4356">
        <w:rPr>
          <w:rFonts w:eastAsia="Calibri" w:cstheme="minorHAnsi"/>
        </w:rPr>
        <w:tab/>
        <w:t>Deep nasopharyngeal swab</w:t>
      </w:r>
    </w:p>
    <w:p w14:paraId="7F60FA9A" w14:textId="77777777" w:rsidR="008909C1" w:rsidRPr="005C4356" w:rsidRDefault="008909C1" w:rsidP="003C117D">
      <w:pPr>
        <w:spacing w:line="360" w:lineRule="auto"/>
        <w:rPr>
          <w:rFonts w:eastAsia="Calibri" w:cstheme="minorHAnsi"/>
        </w:rPr>
      </w:pPr>
      <w:r w:rsidRPr="005C4356">
        <w:rPr>
          <w:rFonts w:eastAsia="Calibri" w:cstheme="minorHAnsi"/>
        </w:rPr>
        <w:t>EUCAST</w:t>
      </w:r>
      <w:r w:rsidRPr="005C4356">
        <w:rPr>
          <w:rFonts w:eastAsia="Calibri" w:cstheme="minorHAnsi"/>
        </w:rPr>
        <w:tab/>
      </w:r>
      <w:r w:rsidRPr="005C4356">
        <w:rPr>
          <w:rFonts w:eastAsia="Calibri" w:cstheme="minorHAnsi"/>
        </w:rPr>
        <w:tab/>
        <w:t>European Committee on Antimicrobial Susceptibility Testing</w:t>
      </w:r>
    </w:p>
    <w:p w14:paraId="467AEFD0" w14:textId="77777777" w:rsidR="00C93C4B" w:rsidRPr="005C4356" w:rsidRDefault="00C93C4B" w:rsidP="003C117D">
      <w:pPr>
        <w:spacing w:line="360" w:lineRule="auto"/>
        <w:rPr>
          <w:rFonts w:eastAsia="Calibri" w:cstheme="minorHAnsi"/>
        </w:rPr>
      </w:pPr>
      <w:r w:rsidRPr="005C4356">
        <w:rPr>
          <w:rFonts w:eastAsia="Calibri" w:cstheme="minorHAnsi"/>
        </w:rPr>
        <w:t>FEV1</w:t>
      </w:r>
      <w:r w:rsidRPr="005C4356">
        <w:rPr>
          <w:rFonts w:eastAsia="Calibri" w:cstheme="minorHAnsi"/>
        </w:rPr>
        <w:tab/>
      </w:r>
      <w:r w:rsidRPr="005C4356">
        <w:rPr>
          <w:rFonts w:eastAsia="Calibri" w:cstheme="minorHAnsi"/>
        </w:rPr>
        <w:tab/>
      </w:r>
      <w:r w:rsidRPr="005C4356">
        <w:rPr>
          <w:rFonts w:eastAsia="Calibri" w:cstheme="minorHAnsi"/>
        </w:rPr>
        <w:tab/>
        <w:t>Forced expiratory volume in 1 second</w:t>
      </w:r>
    </w:p>
    <w:p w14:paraId="6E12AA9A" w14:textId="77777777" w:rsidR="00C93C4B" w:rsidRPr="005C4356" w:rsidRDefault="00C93C4B" w:rsidP="003C117D">
      <w:pPr>
        <w:spacing w:line="360" w:lineRule="auto"/>
        <w:rPr>
          <w:rFonts w:eastAsia="Calibri" w:cstheme="minorHAnsi"/>
        </w:rPr>
      </w:pPr>
      <w:r w:rsidRPr="005C4356">
        <w:rPr>
          <w:rFonts w:eastAsia="Calibri" w:cstheme="minorHAnsi"/>
        </w:rPr>
        <w:t>GP</w:t>
      </w:r>
      <w:r w:rsidRPr="005C4356">
        <w:rPr>
          <w:rFonts w:eastAsia="Calibri" w:cstheme="minorHAnsi"/>
        </w:rPr>
        <w:tab/>
      </w:r>
      <w:r w:rsidRPr="005C4356">
        <w:rPr>
          <w:rFonts w:eastAsia="Calibri" w:cstheme="minorHAnsi"/>
        </w:rPr>
        <w:tab/>
      </w:r>
      <w:r w:rsidRPr="005C4356">
        <w:rPr>
          <w:rFonts w:eastAsia="Calibri" w:cstheme="minorHAnsi"/>
        </w:rPr>
        <w:tab/>
        <w:t>General Practitioner</w:t>
      </w:r>
    </w:p>
    <w:p w14:paraId="5D27D4A6" w14:textId="3AA71506" w:rsidR="00C93C4B" w:rsidRPr="005C4356" w:rsidRDefault="00C93C4B" w:rsidP="003C117D">
      <w:pPr>
        <w:spacing w:line="360" w:lineRule="auto"/>
        <w:rPr>
          <w:rFonts w:eastAsia="Calibri" w:cstheme="minorHAnsi"/>
        </w:rPr>
      </w:pPr>
      <w:r w:rsidRPr="005C4356">
        <w:rPr>
          <w:rFonts w:eastAsia="Calibri" w:cstheme="minorHAnsi"/>
          <w:i/>
          <w:iCs/>
        </w:rPr>
        <w:t>H. influenza</w:t>
      </w:r>
      <w:r w:rsidR="00B73D27">
        <w:rPr>
          <w:rFonts w:eastAsia="Calibri" w:cstheme="minorHAnsi"/>
          <w:i/>
          <w:iCs/>
        </w:rPr>
        <w:t>e</w:t>
      </w:r>
      <w:r w:rsidRPr="005C4356">
        <w:rPr>
          <w:rFonts w:eastAsia="Calibri" w:cstheme="minorHAnsi"/>
        </w:rPr>
        <w:tab/>
      </w:r>
      <w:r w:rsidRPr="005C4356">
        <w:rPr>
          <w:rFonts w:eastAsia="Calibri" w:cstheme="minorHAnsi"/>
        </w:rPr>
        <w:tab/>
      </w:r>
      <w:r w:rsidRPr="005C4356">
        <w:rPr>
          <w:rFonts w:eastAsia="Calibri" w:cstheme="minorHAnsi"/>
          <w:i/>
          <w:iCs/>
        </w:rPr>
        <w:t>Haemophilus influenzae</w:t>
      </w:r>
    </w:p>
    <w:p w14:paraId="5C15C423" w14:textId="77777777" w:rsidR="00C93C4B" w:rsidRPr="005C4356" w:rsidRDefault="00C93C4B" w:rsidP="003C117D">
      <w:pPr>
        <w:spacing w:line="360" w:lineRule="auto"/>
        <w:rPr>
          <w:rFonts w:eastAsia="Calibri" w:cstheme="minorHAnsi"/>
        </w:rPr>
      </w:pPr>
      <w:r w:rsidRPr="005C4356">
        <w:rPr>
          <w:rFonts w:eastAsia="Calibri" w:cstheme="minorHAnsi"/>
        </w:rPr>
        <w:t>HIV</w:t>
      </w:r>
      <w:r w:rsidRPr="005C4356">
        <w:rPr>
          <w:rFonts w:eastAsia="Calibri" w:cstheme="minorHAnsi"/>
        </w:rPr>
        <w:tab/>
      </w:r>
      <w:r w:rsidRPr="005C4356">
        <w:rPr>
          <w:rFonts w:eastAsia="Calibri" w:cstheme="minorHAnsi"/>
        </w:rPr>
        <w:tab/>
      </w:r>
      <w:r w:rsidRPr="005C4356">
        <w:rPr>
          <w:rFonts w:eastAsia="Calibri" w:cstheme="minorHAnsi"/>
        </w:rPr>
        <w:tab/>
        <w:t xml:space="preserve">Human </w:t>
      </w:r>
      <w:r w:rsidR="00897D89" w:rsidRPr="005C4356">
        <w:rPr>
          <w:rFonts w:eastAsia="Calibri" w:cstheme="minorHAnsi"/>
        </w:rPr>
        <w:t>immunodeficiency</w:t>
      </w:r>
      <w:r w:rsidRPr="005C4356">
        <w:rPr>
          <w:rFonts w:eastAsia="Calibri" w:cstheme="minorHAnsi"/>
        </w:rPr>
        <w:t xml:space="preserve"> virus</w:t>
      </w:r>
    </w:p>
    <w:p w14:paraId="4A1258C4" w14:textId="77777777" w:rsidR="00C93C4B" w:rsidRPr="005C4356" w:rsidRDefault="00C93C4B" w:rsidP="003C117D">
      <w:pPr>
        <w:spacing w:line="360" w:lineRule="auto"/>
        <w:rPr>
          <w:rFonts w:eastAsia="Calibri" w:cstheme="minorHAnsi"/>
        </w:rPr>
      </w:pPr>
      <w:r w:rsidRPr="005C4356">
        <w:rPr>
          <w:rFonts w:eastAsia="Calibri" w:cstheme="minorHAnsi"/>
        </w:rPr>
        <w:t>HRCT</w:t>
      </w:r>
      <w:r w:rsidRPr="005C4356">
        <w:rPr>
          <w:rFonts w:eastAsia="Calibri" w:cstheme="minorHAnsi"/>
        </w:rPr>
        <w:tab/>
      </w:r>
      <w:r w:rsidRPr="005C4356">
        <w:rPr>
          <w:rFonts w:eastAsia="Calibri" w:cstheme="minorHAnsi"/>
        </w:rPr>
        <w:tab/>
      </w:r>
      <w:r w:rsidRPr="005C4356">
        <w:rPr>
          <w:rFonts w:eastAsia="Calibri" w:cstheme="minorHAnsi"/>
        </w:rPr>
        <w:tab/>
        <w:t xml:space="preserve">High resolution computed tomography </w:t>
      </w:r>
    </w:p>
    <w:p w14:paraId="3CE4402E" w14:textId="5493D260" w:rsidR="00C93C4B" w:rsidRDefault="00C93C4B" w:rsidP="003C117D">
      <w:pPr>
        <w:spacing w:line="360" w:lineRule="auto"/>
        <w:rPr>
          <w:rFonts w:eastAsia="Calibri" w:cstheme="minorHAnsi"/>
        </w:rPr>
      </w:pPr>
      <w:r w:rsidRPr="005C4356">
        <w:rPr>
          <w:rFonts w:eastAsia="Calibri" w:cstheme="minorHAnsi"/>
        </w:rPr>
        <w:t>IL</w:t>
      </w:r>
      <w:r w:rsidRPr="005C4356">
        <w:rPr>
          <w:rFonts w:eastAsia="Calibri" w:cstheme="minorHAnsi"/>
        </w:rPr>
        <w:tab/>
      </w:r>
      <w:r w:rsidRPr="005C4356">
        <w:rPr>
          <w:rFonts w:eastAsia="Calibri" w:cstheme="minorHAnsi"/>
        </w:rPr>
        <w:tab/>
      </w:r>
      <w:r w:rsidRPr="005C4356">
        <w:rPr>
          <w:rFonts w:eastAsia="Calibri" w:cstheme="minorHAnsi"/>
        </w:rPr>
        <w:tab/>
        <w:t>Interleukin</w:t>
      </w:r>
    </w:p>
    <w:p w14:paraId="45FA8AAF" w14:textId="660DD51F" w:rsidR="00DB069C" w:rsidRPr="005C4356" w:rsidRDefault="00DB069C" w:rsidP="003C117D">
      <w:pPr>
        <w:spacing w:line="360" w:lineRule="auto"/>
        <w:rPr>
          <w:rFonts w:eastAsia="Calibri" w:cstheme="minorHAnsi"/>
        </w:rPr>
      </w:pPr>
      <w:r>
        <w:rPr>
          <w:rFonts w:eastAsia="Calibri" w:cstheme="minorHAnsi"/>
        </w:rPr>
        <w:t>IRR</w:t>
      </w:r>
      <w:r>
        <w:rPr>
          <w:rFonts w:eastAsia="Calibri" w:cstheme="minorHAnsi"/>
        </w:rPr>
        <w:tab/>
      </w:r>
      <w:r>
        <w:rPr>
          <w:rFonts w:eastAsia="Calibri" w:cstheme="minorHAnsi"/>
        </w:rPr>
        <w:tab/>
      </w:r>
      <w:r>
        <w:rPr>
          <w:rFonts w:eastAsia="Calibri" w:cstheme="minorHAnsi"/>
        </w:rPr>
        <w:tab/>
        <w:t>Incidence rate ra</w:t>
      </w:r>
      <w:r w:rsidR="00521FC2">
        <w:rPr>
          <w:rFonts w:eastAsia="Calibri" w:cstheme="minorHAnsi"/>
        </w:rPr>
        <w:t>t</w:t>
      </w:r>
      <w:r>
        <w:rPr>
          <w:rFonts w:eastAsia="Calibri" w:cstheme="minorHAnsi"/>
        </w:rPr>
        <w:t>io</w:t>
      </w:r>
    </w:p>
    <w:p w14:paraId="1B7EEA8C" w14:textId="77777777" w:rsidR="00C93C4B" w:rsidRPr="005C4356" w:rsidRDefault="00C93C4B" w:rsidP="003C117D">
      <w:pPr>
        <w:spacing w:line="360" w:lineRule="auto"/>
        <w:rPr>
          <w:rFonts w:eastAsia="Calibri" w:cstheme="minorHAnsi"/>
        </w:rPr>
      </w:pPr>
      <w:r w:rsidRPr="005C4356">
        <w:rPr>
          <w:rFonts w:eastAsia="Calibri" w:cstheme="minorHAnsi"/>
        </w:rPr>
        <w:t>LCQ</w:t>
      </w:r>
      <w:r w:rsidRPr="005C4356">
        <w:rPr>
          <w:rFonts w:eastAsia="Calibri" w:cstheme="minorHAnsi"/>
        </w:rPr>
        <w:tab/>
      </w:r>
      <w:r w:rsidRPr="005C4356">
        <w:rPr>
          <w:rFonts w:eastAsia="Calibri" w:cstheme="minorHAnsi"/>
        </w:rPr>
        <w:tab/>
      </w:r>
      <w:r w:rsidRPr="005C4356">
        <w:rPr>
          <w:rFonts w:eastAsia="Calibri" w:cstheme="minorHAnsi"/>
        </w:rPr>
        <w:tab/>
        <w:t>Leicester cough questionnaire</w:t>
      </w:r>
    </w:p>
    <w:p w14:paraId="6EF8BB6C" w14:textId="77777777" w:rsidR="000D4C74" w:rsidRPr="005C4356" w:rsidRDefault="000D4C74" w:rsidP="003C117D">
      <w:pPr>
        <w:spacing w:line="360" w:lineRule="auto"/>
        <w:rPr>
          <w:rFonts w:eastAsia="Calibri" w:cstheme="minorHAnsi"/>
        </w:rPr>
      </w:pPr>
      <w:r w:rsidRPr="005C4356">
        <w:rPr>
          <w:rFonts w:eastAsia="Calibri" w:cstheme="minorHAnsi"/>
        </w:rPr>
        <w:t>LRTI</w:t>
      </w:r>
      <w:r w:rsidRPr="005C4356">
        <w:rPr>
          <w:rFonts w:eastAsia="Calibri" w:cstheme="minorHAnsi"/>
        </w:rPr>
        <w:tab/>
      </w:r>
      <w:r w:rsidRPr="005C4356">
        <w:rPr>
          <w:rFonts w:eastAsia="Calibri" w:cstheme="minorHAnsi"/>
        </w:rPr>
        <w:tab/>
      </w:r>
      <w:r w:rsidRPr="005C4356">
        <w:rPr>
          <w:rFonts w:eastAsia="Calibri" w:cstheme="minorHAnsi"/>
        </w:rPr>
        <w:tab/>
        <w:t>Lower respiratory tract infection</w:t>
      </w:r>
    </w:p>
    <w:p w14:paraId="573B11C6" w14:textId="2FF6EDB7" w:rsidR="00C93C4B" w:rsidRPr="005C4356" w:rsidRDefault="00C93C4B" w:rsidP="003C117D">
      <w:pPr>
        <w:spacing w:line="360" w:lineRule="auto"/>
        <w:rPr>
          <w:rFonts w:eastAsia="Calibri" w:cstheme="minorHAnsi"/>
          <w:i/>
          <w:iCs/>
        </w:rPr>
      </w:pPr>
      <w:r w:rsidRPr="005C4356">
        <w:rPr>
          <w:rFonts w:eastAsia="Calibri" w:cstheme="minorHAnsi"/>
          <w:i/>
          <w:iCs/>
        </w:rPr>
        <w:t xml:space="preserve">M. </w:t>
      </w:r>
      <w:proofErr w:type="spellStart"/>
      <w:r w:rsidRPr="005C4356">
        <w:rPr>
          <w:rFonts w:eastAsia="Calibri" w:cstheme="minorHAnsi"/>
          <w:i/>
          <w:iCs/>
        </w:rPr>
        <w:t>abscessus</w:t>
      </w:r>
      <w:proofErr w:type="spellEnd"/>
      <w:r w:rsidRPr="005C4356">
        <w:rPr>
          <w:rFonts w:eastAsia="Calibri" w:cstheme="minorHAnsi"/>
        </w:rPr>
        <w:tab/>
      </w:r>
      <w:r w:rsidR="005C4356">
        <w:rPr>
          <w:rFonts w:eastAsia="Calibri" w:cstheme="minorHAnsi"/>
        </w:rPr>
        <w:tab/>
      </w:r>
      <w:r w:rsidRPr="005C4356">
        <w:rPr>
          <w:rFonts w:eastAsia="Calibri" w:cstheme="minorHAnsi"/>
          <w:i/>
          <w:iCs/>
        </w:rPr>
        <w:t xml:space="preserve">Mycobacterium </w:t>
      </w:r>
      <w:proofErr w:type="spellStart"/>
      <w:r w:rsidR="00897D89" w:rsidRPr="005C4356">
        <w:rPr>
          <w:rFonts w:eastAsia="Calibri" w:cstheme="minorHAnsi"/>
          <w:i/>
          <w:iCs/>
        </w:rPr>
        <w:t>abscessus</w:t>
      </w:r>
      <w:proofErr w:type="spellEnd"/>
    </w:p>
    <w:p w14:paraId="27C01ED5" w14:textId="1CB3920E" w:rsidR="008F6455" w:rsidRPr="005C4356" w:rsidRDefault="00C93C4B" w:rsidP="003C117D">
      <w:pPr>
        <w:spacing w:line="360" w:lineRule="auto"/>
        <w:rPr>
          <w:rFonts w:eastAsia="Calibri" w:cstheme="minorHAnsi"/>
          <w:i/>
          <w:iCs/>
        </w:rPr>
      </w:pPr>
      <w:r w:rsidRPr="005C4356">
        <w:rPr>
          <w:rFonts w:eastAsia="Calibri" w:cstheme="minorHAnsi"/>
          <w:i/>
          <w:iCs/>
        </w:rPr>
        <w:t>M. catarrhalis</w:t>
      </w:r>
      <w:r w:rsidRPr="005C4356">
        <w:rPr>
          <w:rFonts w:eastAsia="Calibri" w:cstheme="minorHAnsi"/>
          <w:i/>
          <w:iCs/>
        </w:rPr>
        <w:tab/>
      </w:r>
      <w:r w:rsidR="005C4356">
        <w:rPr>
          <w:rFonts w:eastAsia="Calibri" w:cstheme="minorHAnsi"/>
          <w:i/>
          <w:iCs/>
        </w:rPr>
        <w:tab/>
      </w:r>
      <w:r w:rsidRPr="005C4356">
        <w:rPr>
          <w:rFonts w:eastAsia="Calibri" w:cstheme="minorHAnsi"/>
          <w:i/>
          <w:iCs/>
        </w:rPr>
        <w:t>Moraxella catarrhalis</w:t>
      </w:r>
    </w:p>
    <w:p w14:paraId="11D1FB09" w14:textId="300343F7" w:rsidR="00C93C4B" w:rsidRPr="005C4356" w:rsidRDefault="00C93C4B" w:rsidP="003C117D">
      <w:pPr>
        <w:spacing w:line="360" w:lineRule="auto"/>
        <w:rPr>
          <w:rFonts w:eastAsia="Calibri" w:cstheme="minorHAnsi"/>
        </w:rPr>
      </w:pPr>
      <w:r w:rsidRPr="005C4356">
        <w:rPr>
          <w:rFonts w:eastAsia="Calibri" w:cstheme="minorHAnsi"/>
        </w:rPr>
        <w:t>MIC</w:t>
      </w:r>
      <w:r w:rsidRPr="005C4356">
        <w:rPr>
          <w:rFonts w:eastAsia="Calibri" w:cstheme="minorHAnsi"/>
        </w:rPr>
        <w:tab/>
      </w:r>
      <w:r w:rsidRPr="005C4356">
        <w:rPr>
          <w:rFonts w:eastAsia="Calibri" w:cstheme="minorHAnsi"/>
        </w:rPr>
        <w:tab/>
      </w:r>
      <w:r w:rsidRPr="005C4356">
        <w:rPr>
          <w:rFonts w:eastAsia="Calibri" w:cstheme="minorHAnsi"/>
        </w:rPr>
        <w:tab/>
        <w:t>Minimum inhibitory concentratio</w:t>
      </w:r>
      <w:r w:rsidR="000754FB" w:rsidRPr="005C4356">
        <w:rPr>
          <w:rFonts w:eastAsia="Calibri" w:cstheme="minorHAnsi"/>
        </w:rPr>
        <w:t>n</w:t>
      </w:r>
    </w:p>
    <w:p w14:paraId="08531D0C" w14:textId="0FFFC443" w:rsidR="000754FB" w:rsidRDefault="000754FB" w:rsidP="003C117D">
      <w:pPr>
        <w:spacing w:line="360" w:lineRule="auto"/>
        <w:rPr>
          <w:rFonts w:eastAsia="Calibri" w:cstheme="minorHAnsi"/>
        </w:rPr>
      </w:pPr>
      <w:r w:rsidRPr="005C4356">
        <w:rPr>
          <w:rFonts w:eastAsia="Calibri" w:cstheme="minorHAnsi"/>
        </w:rPr>
        <w:t>NBR</w:t>
      </w:r>
      <w:r w:rsidRPr="005C4356">
        <w:rPr>
          <w:rFonts w:eastAsia="Calibri" w:cstheme="minorHAnsi"/>
        </w:rPr>
        <w:tab/>
      </w:r>
      <w:r w:rsidRPr="005C4356">
        <w:rPr>
          <w:rFonts w:eastAsia="Calibri" w:cstheme="minorHAnsi"/>
        </w:rPr>
        <w:tab/>
      </w:r>
      <w:r w:rsidRPr="005C4356">
        <w:rPr>
          <w:rFonts w:eastAsia="Calibri" w:cstheme="minorHAnsi"/>
        </w:rPr>
        <w:tab/>
        <w:t>Negative binomial regression</w:t>
      </w:r>
    </w:p>
    <w:p w14:paraId="6218FF4D" w14:textId="7D5EFD55" w:rsidR="006B5543" w:rsidRPr="005C4356" w:rsidRDefault="006B5543" w:rsidP="003C117D">
      <w:pPr>
        <w:spacing w:line="360" w:lineRule="auto"/>
        <w:rPr>
          <w:rFonts w:eastAsia="Calibri" w:cstheme="minorHAnsi"/>
        </w:rPr>
      </w:pPr>
      <w:r>
        <w:rPr>
          <w:rFonts w:eastAsia="Calibri" w:cstheme="minorHAnsi"/>
        </w:rPr>
        <w:t>NCBI</w:t>
      </w:r>
      <w:r>
        <w:rPr>
          <w:rFonts w:eastAsia="Calibri" w:cstheme="minorHAnsi"/>
        </w:rPr>
        <w:tab/>
      </w:r>
      <w:r>
        <w:rPr>
          <w:rFonts w:eastAsia="Calibri" w:cstheme="minorHAnsi"/>
        </w:rPr>
        <w:tab/>
      </w:r>
      <w:r>
        <w:rPr>
          <w:rFonts w:eastAsia="Calibri" w:cstheme="minorHAnsi"/>
        </w:rPr>
        <w:tab/>
        <w:t>National Centre for Biotechnology Information</w:t>
      </w:r>
    </w:p>
    <w:p w14:paraId="3F98354D" w14:textId="55864FE3" w:rsidR="00C93C4B" w:rsidRPr="005C4356" w:rsidRDefault="00C93C4B" w:rsidP="003C117D">
      <w:pPr>
        <w:spacing w:line="360" w:lineRule="auto"/>
        <w:rPr>
          <w:rFonts w:eastAsia="Calibri" w:cstheme="minorHAnsi"/>
          <w:i/>
          <w:iCs/>
        </w:rPr>
      </w:pPr>
      <w:r w:rsidRPr="005C4356">
        <w:rPr>
          <w:rFonts w:eastAsia="Calibri" w:cstheme="minorHAnsi"/>
          <w:i/>
          <w:iCs/>
        </w:rPr>
        <w:t xml:space="preserve">N. </w:t>
      </w:r>
      <w:r w:rsidR="00897D89" w:rsidRPr="005C4356">
        <w:rPr>
          <w:rFonts w:eastAsia="Calibri" w:cstheme="minorHAnsi"/>
          <w:i/>
          <w:iCs/>
        </w:rPr>
        <w:t>gonorrhoea</w:t>
      </w:r>
      <w:r w:rsidRPr="005C4356">
        <w:rPr>
          <w:rFonts w:eastAsia="Calibri" w:cstheme="minorHAnsi"/>
          <w:i/>
          <w:iCs/>
        </w:rPr>
        <w:tab/>
      </w:r>
      <w:r w:rsidR="005C4356">
        <w:rPr>
          <w:rFonts w:eastAsia="Calibri" w:cstheme="minorHAnsi"/>
          <w:i/>
          <w:iCs/>
        </w:rPr>
        <w:tab/>
      </w:r>
      <w:r w:rsidRPr="005C4356">
        <w:rPr>
          <w:rFonts w:eastAsia="Calibri" w:cstheme="minorHAnsi"/>
          <w:i/>
          <w:iCs/>
        </w:rPr>
        <w:t xml:space="preserve">Neisseria </w:t>
      </w:r>
      <w:r w:rsidR="00897D89" w:rsidRPr="005C4356">
        <w:rPr>
          <w:rFonts w:eastAsia="Calibri" w:cstheme="minorHAnsi"/>
          <w:i/>
          <w:iCs/>
        </w:rPr>
        <w:t>gonorrhoea</w:t>
      </w:r>
    </w:p>
    <w:p w14:paraId="4D41AB2E" w14:textId="03B562CD" w:rsidR="00C93C4B" w:rsidRPr="005C4356" w:rsidRDefault="00C93C4B" w:rsidP="003C117D">
      <w:pPr>
        <w:spacing w:line="360" w:lineRule="auto"/>
        <w:rPr>
          <w:rFonts w:eastAsia="Calibri" w:cstheme="minorHAnsi"/>
        </w:rPr>
      </w:pPr>
      <w:r w:rsidRPr="005C4356">
        <w:rPr>
          <w:rFonts w:eastAsia="Calibri" w:cstheme="minorHAnsi"/>
        </w:rPr>
        <w:t>NICE</w:t>
      </w:r>
      <w:r w:rsidRPr="005C4356">
        <w:rPr>
          <w:rFonts w:eastAsia="Calibri" w:cstheme="minorHAnsi"/>
        </w:rPr>
        <w:tab/>
      </w:r>
      <w:r w:rsidRPr="005C4356">
        <w:rPr>
          <w:rFonts w:eastAsia="Calibri" w:cstheme="minorHAnsi"/>
        </w:rPr>
        <w:tab/>
      </w:r>
      <w:r w:rsidRPr="005C4356">
        <w:rPr>
          <w:rFonts w:eastAsia="Calibri" w:cstheme="minorHAnsi"/>
        </w:rPr>
        <w:tab/>
        <w:t>National Institute for Health and Care Excellence</w:t>
      </w:r>
    </w:p>
    <w:p w14:paraId="609BF6E3" w14:textId="01B6C726" w:rsidR="00F11812" w:rsidRPr="005C4356" w:rsidRDefault="00F11812" w:rsidP="003C117D">
      <w:pPr>
        <w:spacing w:line="360" w:lineRule="auto"/>
        <w:rPr>
          <w:rFonts w:eastAsia="Calibri" w:cstheme="minorHAnsi"/>
          <w:lang w:val="es-ES"/>
        </w:rPr>
      </w:pPr>
      <w:r w:rsidRPr="005C4356">
        <w:rPr>
          <w:rFonts w:eastAsia="Calibri" w:cstheme="minorHAnsi"/>
          <w:lang w:val="es-ES"/>
        </w:rPr>
        <w:t>O</w:t>
      </w:r>
      <w:r w:rsidR="00350138" w:rsidRPr="005C4356">
        <w:rPr>
          <w:rFonts w:eastAsia="Calibri" w:cstheme="minorHAnsi"/>
          <w:lang w:val="es-ES"/>
        </w:rPr>
        <w:t>TU</w:t>
      </w:r>
      <w:r w:rsidRPr="005C4356">
        <w:rPr>
          <w:rFonts w:eastAsia="Calibri" w:cstheme="minorHAnsi"/>
          <w:lang w:val="es-ES"/>
        </w:rPr>
        <w:tab/>
      </w:r>
      <w:r w:rsidRPr="005C4356">
        <w:rPr>
          <w:rFonts w:eastAsia="Calibri" w:cstheme="minorHAnsi"/>
          <w:lang w:val="es-ES"/>
        </w:rPr>
        <w:tab/>
      </w:r>
      <w:r w:rsidRPr="005C4356">
        <w:rPr>
          <w:rFonts w:eastAsia="Calibri" w:cstheme="minorHAnsi"/>
          <w:lang w:val="es-ES"/>
        </w:rPr>
        <w:tab/>
      </w:r>
      <w:r w:rsidR="00350138" w:rsidRPr="00C47244">
        <w:rPr>
          <w:rFonts w:eastAsia="Calibri" w:cstheme="minorHAnsi"/>
        </w:rPr>
        <w:t>Operational</w:t>
      </w:r>
      <w:r w:rsidR="00350138" w:rsidRPr="005C4356">
        <w:rPr>
          <w:rFonts w:eastAsia="Calibri" w:cstheme="minorHAnsi"/>
          <w:lang w:val="es-ES"/>
        </w:rPr>
        <w:t xml:space="preserve"> </w:t>
      </w:r>
      <w:proofErr w:type="spellStart"/>
      <w:r w:rsidR="00350138" w:rsidRPr="005C4356">
        <w:rPr>
          <w:rFonts w:eastAsia="Calibri" w:cstheme="minorHAnsi"/>
          <w:lang w:val="es-ES"/>
        </w:rPr>
        <w:t>taxonomic</w:t>
      </w:r>
      <w:proofErr w:type="spellEnd"/>
      <w:r w:rsidR="00350138" w:rsidRPr="005C4356">
        <w:rPr>
          <w:rFonts w:eastAsia="Calibri" w:cstheme="minorHAnsi"/>
          <w:lang w:val="es-ES"/>
        </w:rPr>
        <w:t xml:space="preserve"> </w:t>
      </w:r>
      <w:proofErr w:type="spellStart"/>
      <w:r w:rsidR="00350138" w:rsidRPr="005C4356">
        <w:rPr>
          <w:rFonts w:eastAsia="Calibri" w:cstheme="minorHAnsi"/>
          <w:lang w:val="es-ES"/>
        </w:rPr>
        <w:t>unit</w:t>
      </w:r>
      <w:proofErr w:type="spellEnd"/>
    </w:p>
    <w:p w14:paraId="6B50E63D" w14:textId="2F0A5C06" w:rsidR="00C93C4B" w:rsidRPr="005C4356" w:rsidRDefault="00C93C4B" w:rsidP="003C117D">
      <w:pPr>
        <w:spacing w:line="360" w:lineRule="auto"/>
        <w:rPr>
          <w:rFonts w:eastAsia="Calibri" w:cstheme="minorHAnsi"/>
          <w:i/>
          <w:iCs/>
          <w:lang w:val="es-ES"/>
        </w:rPr>
      </w:pPr>
      <w:r w:rsidRPr="005C4356">
        <w:rPr>
          <w:rFonts w:eastAsia="Calibri" w:cstheme="minorHAnsi"/>
          <w:i/>
          <w:iCs/>
          <w:lang w:val="es-ES"/>
        </w:rPr>
        <w:t xml:space="preserve">P. </w:t>
      </w:r>
      <w:proofErr w:type="spellStart"/>
      <w:r w:rsidRPr="005C4356">
        <w:rPr>
          <w:rFonts w:eastAsia="Calibri" w:cstheme="minorHAnsi"/>
          <w:i/>
          <w:iCs/>
          <w:lang w:val="es-ES"/>
        </w:rPr>
        <w:t>aeruginosa</w:t>
      </w:r>
      <w:proofErr w:type="spellEnd"/>
      <w:r w:rsidRPr="005C4356">
        <w:rPr>
          <w:rFonts w:eastAsia="Calibri" w:cstheme="minorHAnsi"/>
          <w:i/>
          <w:iCs/>
          <w:lang w:val="es-ES"/>
        </w:rPr>
        <w:tab/>
      </w:r>
      <w:r w:rsidR="005C4356">
        <w:rPr>
          <w:rFonts w:eastAsia="Calibri" w:cstheme="minorHAnsi"/>
          <w:i/>
          <w:iCs/>
          <w:lang w:val="es-ES"/>
        </w:rPr>
        <w:tab/>
      </w:r>
      <w:r w:rsidRPr="005C4356">
        <w:rPr>
          <w:rFonts w:eastAsia="Calibri" w:cstheme="minorHAnsi"/>
          <w:i/>
          <w:iCs/>
          <w:lang w:val="es-ES"/>
        </w:rPr>
        <w:t xml:space="preserve">Pseudomonas </w:t>
      </w:r>
      <w:proofErr w:type="spellStart"/>
      <w:r w:rsidRPr="005C4356">
        <w:rPr>
          <w:rFonts w:eastAsia="Calibri" w:cstheme="minorHAnsi"/>
          <w:i/>
          <w:iCs/>
          <w:lang w:val="es-ES"/>
        </w:rPr>
        <w:t>aeruginosa</w:t>
      </w:r>
      <w:proofErr w:type="spellEnd"/>
      <w:r w:rsidRPr="005C4356">
        <w:rPr>
          <w:rFonts w:eastAsia="Calibri" w:cstheme="minorHAnsi"/>
          <w:i/>
          <w:iCs/>
          <w:lang w:val="es-ES"/>
        </w:rPr>
        <w:t xml:space="preserve"> </w:t>
      </w:r>
    </w:p>
    <w:p w14:paraId="199DACE5" w14:textId="7493CB8B" w:rsidR="00C93C4B" w:rsidRDefault="00C93C4B" w:rsidP="003C117D">
      <w:pPr>
        <w:spacing w:line="360" w:lineRule="auto"/>
        <w:rPr>
          <w:rFonts w:eastAsia="Calibri" w:cstheme="minorHAnsi"/>
        </w:rPr>
      </w:pPr>
      <w:r w:rsidRPr="005C4356">
        <w:rPr>
          <w:rFonts w:eastAsia="Calibri" w:cstheme="minorHAnsi"/>
        </w:rPr>
        <w:t>PBB</w:t>
      </w:r>
      <w:r w:rsidRPr="005C4356">
        <w:rPr>
          <w:rFonts w:eastAsia="Calibri" w:cstheme="minorHAnsi"/>
        </w:rPr>
        <w:tab/>
      </w:r>
      <w:r w:rsidRPr="005C4356">
        <w:rPr>
          <w:rFonts w:eastAsia="Calibri" w:cstheme="minorHAnsi"/>
        </w:rPr>
        <w:tab/>
      </w:r>
      <w:r w:rsidRPr="005C4356">
        <w:rPr>
          <w:rFonts w:eastAsia="Calibri" w:cstheme="minorHAnsi"/>
        </w:rPr>
        <w:tab/>
        <w:t>Protracted bacterial bronchitis</w:t>
      </w:r>
    </w:p>
    <w:p w14:paraId="64F49485" w14:textId="254E57E3" w:rsidR="004817F0" w:rsidRPr="005C4356" w:rsidRDefault="004817F0" w:rsidP="003C117D">
      <w:pPr>
        <w:spacing w:line="360" w:lineRule="auto"/>
        <w:rPr>
          <w:rFonts w:eastAsia="Calibri" w:cstheme="minorHAnsi"/>
        </w:rPr>
      </w:pPr>
      <w:r w:rsidRPr="00EE7B0C">
        <w:lastRenderedPageBreak/>
        <w:t>PBP</w:t>
      </w:r>
      <w:r>
        <w:tab/>
      </w:r>
      <w:r>
        <w:tab/>
      </w:r>
      <w:r>
        <w:tab/>
        <w:t>Penicillin-binding protein</w:t>
      </w:r>
    </w:p>
    <w:p w14:paraId="50FE950C" w14:textId="77777777" w:rsidR="00C93C4B" w:rsidRPr="005C4356" w:rsidRDefault="00C93C4B" w:rsidP="003C117D">
      <w:pPr>
        <w:spacing w:line="360" w:lineRule="auto"/>
        <w:rPr>
          <w:rFonts w:eastAsia="Calibri" w:cstheme="minorHAnsi"/>
        </w:rPr>
      </w:pPr>
      <w:r w:rsidRPr="005C4356">
        <w:rPr>
          <w:rFonts w:eastAsia="Calibri" w:cstheme="minorHAnsi"/>
        </w:rPr>
        <w:t>PCV7</w:t>
      </w:r>
      <w:r w:rsidRPr="005C4356">
        <w:rPr>
          <w:rFonts w:eastAsia="Calibri" w:cstheme="minorHAnsi"/>
        </w:rPr>
        <w:tab/>
      </w:r>
      <w:r w:rsidRPr="005C4356">
        <w:rPr>
          <w:rFonts w:eastAsia="Calibri" w:cstheme="minorHAnsi"/>
        </w:rPr>
        <w:tab/>
      </w:r>
      <w:r w:rsidRPr="005C4356">
        <w:rPr>
          <w:rFonts w:eastAsia="Calibri" w:cstheme="minorHAnsi"/>
        </w:rPr>
        <w:tab/>
        <w:t>Pneumococcal conjugate vaccine – heptavalent</w:t>
      </w:r>
    </w:p>
    <w:p w14:paraId="51A8CE9E" w14:textId="77777777" w:rsidR="00C93C4B" w:rsidRPr="005C4356" w:rsidRDefault="00C93C4B" w:rsidP="003C117D">
      <w:pPr>
        <w:spacing w:line="360" w:lineRule="auto"/>
        <w:rPr>
          <w:rFonts w:eastAsia="Calibri" w:cstheme="minorHAnsi"/>
        </w:rPr>
      </w:pPr>
      <w:r w:rsidRPr="005C4356">
        <w:rPr>
          <w:rFonts w:eastAsia="Calibri" w:cstheme="minorHAnsi"/>
        </w:rPr>
        <w:t>QTc</w:t>
      </w:r>
      <w:r w:rsidRPr="005C4356">
        <w:rPr>
          <w:rFonts w:eastAsia="Calibri" w:cstheme="minorHAnsi"/>
        </w:rPr>
        <w:tab/>
      </w:r>
      <w:r w:rsidRPr="005C4356">
        <w:rPr>
          <w:rFonts w:eastAsia="Calibri" w:cstheme="minorHAnsi"/>
        </w:rPr>
        <w:tab/>
      </w:r>
      <w:r w:rsidRPr="005C4356">
        <w:rPr>
          <w:rFonts w:eastAsia="Calibri" w:cstheme="minorHAnsi"/>
        </w:rPr>
        <w:tab/>
        <w:t>Corrected QT interval (electrocardiogram)</w:t>
      </w:r>
    </w:p>
    <w:p w14:paraId="540B5465" w14:textId="7406200C" w:rsidR="00C93C4B" w:rsidRPr="005C4356" w:rsidRDefault="00C93C4B" w:rsidP="003C117D">
      <w:pPr>
        <w:spacing w:line="360" w:lineRule="auto"/>
        <w:rPr>
          <w:rFonts w:eastAsia="Calibri" w:cstheme="minorHAnsi"/>
        </w:rPr>
      </w:pPr>
      <w:r w:rsidRPr="005C4356">
        <w:rPr>
          <w:rFonts w:eastAsia="Calibri" w:cstheme="minorHAnsi"/>
        </w:rPr>
        <w:t>RCT</w:t>
      </w:r>
      <w:r w:rsidRPr="005C4356">
        <w:rPr>
          <w:rFonts w:eastAsia="Calibri" w:cstheme="minorHAnsi"/>
        </w:rPr>
        <w:tab/>
      </w:r>
      <w:r w:rsidRPr="005C4356">
        <w:rPr>
          <w:rFonts w:eastAsia="Calibri" w:cstheme="minorHAnsi"/>
        </w:rPr>
        <w:tab/>
      </w:r>
      <w:r w:rsidRPr="005C4356">
        <w:rPr>
          <w:rFonts w:eastAsia="Calibri" w:cstheme="minorHAnsi"/>
        </w:rPr>
        <w:tab/>
        <w:t>Randomised controlled trial</w:t>
      </w:r>
    </w:p>
    <w:p w14:paraId="2A08673E" w14:textId="1430B89A" w:rsidR="005747DC" w:rsidRPr="005C4356" w:rsidRDefault="005747DC" w:rsidP="003C117D">
      <w:pPr>
        <w:spacing w:line="360" w:lineRule="auto"/>
        <w:rPr>
          <w:rFonts w:eastAsia="Calibri" w:cstheme="minorHAnsi"/>
        </w:rPr>
      </w:pPr>
      <w:r w:rsidRPr="005C4356">
        <w:rPr>
          <w:rFonts w:eastAsia="Calibri" w:cstheme="minorHAnsi"/>
        </w:rPr>
        <w:t>REC</w:t>
      </w:r>
      <w:r w:rsidRPr="005C4356">
        <w:rPr>
          <w:rFonts w:eastAsia="Calibri" w:cstheme="minorHAnsi"/>
        </w:rPr>
        <w:tab/>
      </w:r>
      <w:r w:rsidRPr="005C4356">
        <w:rPr>
          <w:rFonts w:eastAsia="Calibri" w:cstheme="minorHAnsi"/>
        </w:rPr>
        <w:tab/>
      </w:r>
      <w:r w:rsidRPr="005C4356">
        <w:rPr>
          <w:rFonts w:eastAsia="Calibri" w:cstheme="minorHAnsi"/>
        </w:rPr>
        <w:tab/>
        <w:t>Research ethics committee</w:t>
      </w:r>
    </w:p>
    <w:p w14:paraId="2C26B9DF" w14:textId="03DE5AB0" w:rsidR="00914AD1" w:rsidRPr="005C4356" w:rsidRDefault="00914AD1" w:rsidP="003C117D">
      <w:pPr>
        <w:spacing w:line="360" w:lineRule="auto"/>
        <w:rPr>
          <w:rFonts w:eastAsia="Calibri" w:cstheme="minorHAnsi"/>
        </w:rPr>
      </w:pPr>
      <w:r w:rsidRPr="005C4356">
        <w:rPr>
          <w:rFonts w:eastAsia="Calibri" w:cstheme="minorHAnsi"/>
        </w:rPr>
        <w:t>RNA</w:t>
      </w:r>
      <w:r w:rsidRPr="005C4356">
        <w:rPr>
          <w:rFonts w:eastAsia="Calibri" w:cstheme="minorHAnsi"/>
        </w:rPr>
        <w:tab/>
      </w:r>
      <w:r w:rsidRPr="005C4356">
        <w:rPr>
          <w:rFonts w:eastAsia="Calibri" w:cstheme="minorHAnsi"/>
        </w:rPr>
        <w:tab/>
      </w:r>
      <w:r w:rsidRPr="005C4356">
        <w:rPr>
          <w:rFonts w:eastAsia="Calibri" w:cstheme="minorHAnsi"/>
        </w:rPr>
        <w:tab/>
        <w:t>Ribonucleic acid</w:t>
      </w:r>
    </w:p>
    <w:p w14:paraId="51B18E17" w14:textId="77777777" w:rsidR="00C93C4B" w:rsidRPr="005C4356" w:rsidRDefault="00C93C4B" w:rsidP="003C117D">
      <w:pPr>
        <w:spacing w:line="360" w:lineRule="auto"/>
        <w:rPr>
          <w:rFonts w:eastAsia="Calibri" w:cstheme="minorHAnsi"/>
          <w:lang w:val="fr-FR"/>
        </w:rPr>
      </w:pPr>
      <w:r w:rsidRPr="005C4356">
        <w:rPr>
          <w:rFonts w:eastAsia="Calibri" w:cstheme="minorHAnsi"/>
          <w:lang w:val="fr-FR"/>
        </w:rPr>
        <w:t>RR</w:t>
      </w:r>
      <w:r w:rsidRPr="005C4356">
        <w:rPr>
          <w:rFonts w:eastAsia="Calibri" w:cstheme="minorHAnsi"/>
          <w:lang w:val="fr-FR"/>
        </w:rPr>
        <w:tab/>
      </w:r>
      <w:r w:rsidRPr="005C4356">
        <w:rPr>
          <w:rFonts w:eastAsia="Calibri" w:cstheme="minorHAnsi"/>
          <w:lang w:val="fr-FR"/>
        </w:rPr>
        <w:tab/>
      </w:r>
      <w:r w:rsidRPr="005C4356">
        <w:rPr>
          <w:rFonts w:eastAsia="Calibri" w:cstheme="minorHAnsi"/>
          <w:lang w:val="fr-FR"/>
        </w:rPr>
        <w:tab/>
        <w:t xml:space="preserve">Relative </w:t>
      </w:r>
      <w:proofErr w:type="spellStart"/>
      <w:r w:rsidRPr="005C4356">
        <w:rPr>
          <w:rFonts w:eastAsia="Calibri" w:cstheme="minorHAnsi"/>
          <w:lang w:val="fr-FR"/>
        </w:rPr>
        <w:t>risk</w:t>
      </w:r>
      <w:proofErr w:type="spellEnd"/>
    </w:p>
    <w:p w14:paraId="23A4FBAC" w14:textId="6DC13A06" w:rsidR="00C93C4B" w:rsidRPr="005C4356" w:rsidRDefault="00C93C4B" w:rsidP="003C117D">
      <w:pPr>
        <w:spacing w:line="360" w:lineRule="auto"/>
        <w:rPr>
          <w:rFonts w:eastAsia="Calibri" w:cstheme="minorHAnsi"/>
          <w:i/>
          <w:iCs/>
          <w:lang w:val="fr-FR"/>
        </w:rPr>
      </w:pPr>
      <w:r w:rsidRPr="005C4356">
        <w:rPr>
          <w:rFonts w:eastAsia="Calibri" w:cstheme="minorHAnsi"/>
          <w:i/>
          <w:iCs/>
          <w:lang w:val="fr-FR"/>
        </w:rPr>
        <w:t>S. aureus</w:t>
      </w:r>
      <w:r w:rsidRPr="005C4356">
        <w:rPr>
          <w:rFonts w:eastAsia="Calibri" w:cstheme="minorHAnsi"/>
          <w:i/>
          <w:iCs/>
          <w:lang w:val="fr-FR"/>
        </w:rPr>
        <w:tab/>
      </w:r>
      <w:r w:rsidRPr="005C4356">
        <w:rPr>
          <w:rFonts w:eastAsia="Calibri" w:cstheme="minorHAnsi"/>
          <w:i/>
          <w:iCs/>
          <w:lang w:val="fr-FR"/>
        </w:rPr>
        <w:tab/>
        <w:t>Staphylococcus aureus</w:t>
      </w:r>
    </w:p>
    <w:p w14:paraId="28DBEDD2" w14:textId="381F0758" w:rsidR="003F0AF2" w:rsidRPr="005C4356" w:rsidRDefault="003F0AF2" w:rsidP="003C117D">
      <w:pPr>
        <w:spacing w:line="360" w:lineRule="auto"/>
        <w:rPr>
          <w:rFonts w:eastAsia="Calibri" w:cstheme="minorHAnsi"/>
        </w:rPr>
      </w:pPr>
      <w:r w:rsidRPr="005C4356">
        <w:rPr>
          <w:rFonts w:eastAsia="Calibri" w:cstheme="minorHAnsi"/>
        </w:rPr>
        <w:t>SCFA</w:t>
      </w:r>
      <w:r w:rsidRPr="005C4356">
        <w:rPr>
          <w:rFonts w:eastAsia="Calibri" w:cstheme="minorHAnsi"/>
        </w:rPr>
        <w:tab/>
      </w:r>
      <w:r w:rsidRPr="005C4356">
        <w:rPr>
          <w:rFonts w:eastAsia="Calibri" w:cstheme="minorHAnsi"/>
        </w:rPr>
        <w:tab/>
      </w:r>
      <w:r w:rsidRPr="005C4356">
        <w:rPr>
          <w:rFonts w:eastAsia="Calibri" w:cstheme="minorHAnsi"/>
        </w:rPr>
        <w:tab/>
        <w:t>Short chain fatty acids</w:t>
      </w:r>
    </w:p>
    <w:p w14:paraId="0B57BDDE" w14:textId="77777777" w:rsidR="00C93C4B" w:rsidRPr="005C4356" w:rsidRDefault="00C93C4B" w:rsidP="003C117D">
      <w:pPr>
        <w:spacing w:line="360" w:lineRule="auto"/>
        <w:rPr>
          <w:rFonts w:eastAsia="Calibri" w:cstheme="minorHAnsi"/>
        </w:rPr>
      </w:pPr>
      <w:r w:rsidRPr="005C4356">
        <w:rPr>
          <w:rFonts w:eastAsia="Calibri" w:cstheme="minorHAnsi"/>
        </w:rPr>
        <w:t>SCH</w:t>
      </w:r>
      <w:r w:rsidRPr="005C4356">
        <w:rPr>
          <w:rFonts w:eastAsia="Calibri" w:cstheme="minorHAnsi"/>
        </w:rPr>
        <w:tab/>
      </w:r>
      <w:r w:rsidRPr="005C4356">
        <w:rPr>
          <w:rFonts w:eastAsia="Calibri" w:cstheme="minorHAnsi"/>
        </w:rPr>
        <w:tab/>
      </w:r>
      <w:r w:rsidRPr="005C4356">
        <w:rPr>
          <w:rFonts w:eastAsia="Calibri" w:cstheme="minorHAnsi"/>
        </w:rPr>
        <w:tab/>
        <w:t>Sheffield Children’s NHS Foundation Trust</w:t>
      </w:r>
    </w:p>
    <w:p w14:paraId="01AD3B85" w14:textId="3B792427" w:rsidR="00C93C4B" w:rsidRPr="005C4356" w:rsidRDefault="00C93C4B" w:rsidP="003C117D">
      <w:pPr>
        <w:spacing w:line="360" w:lineRule="auto"/>
        <w:rPr>
          <w:rFonts w:eastAsia="Calibri" w:cstheme="minorHAnsi"/>
          <w:i/>
          <w:iCs/>
        </w:rPr>
      </w:pPr>
      <w:r w:rsidRPr="005C4356">
        <w:rPr>
          <w:rFonts w:eastAsia="Calibri" w:cstheme="minorHAnsi"/>
          <w:i/>
          <w:iCs/>
        </w:rPr>
        <w:t xml:space="preserve">S. </w:t>
      </w:r>
      <w:r w:rsidR="00A14CB0" w:rsidRPr="005C4356">
        <w:rPr>
          <w:rFonts w:eastAsia="Calibri" w:cstheme="minorHAnsi"/>
          <w:i/>
          <w:iCs/>
        </w:rPr>
        <w:t>pneumoniae</w:t>
      </w:r>
      <w:r w:rsidRPr="005C4356">
        <w:rPr>
          <w:rFonts w:eastAsia="Calibri" w:cstheme="minorHAnsi"/>
          <w:i/>
          <w:iCs/>
        </w:rPr>
        <w:tab/>
      </w:r>
      <w:r w:rsidR="005C4356">
        <w:rPr>
          <w:rFonts w:eastAsia="Calibri" w:cstheme="minorHAnsi"/>
          <w:i/>
          <w:iCs/>
        </w:rPr>
        <w:tab/>
      </w:r>
      <w:r w:rsidRPr="005C4356">
        <w:rPr>
          <w:rFonts w:eastAsia="Calibri" w:cstheme="minorHAnsi"/>
          <w:i/>
          <w:iCs/>
        </w:rPr>
        <w:t xml:space="preserve">Streptococcus </w:t>
      </w:r>
      <w:r w:rsidR="00E45E66" w:rsidRPr="005C4356">
        <w:rPr>
          <w:rFonts w:eastAsia="Calibri" w:cstheme="minorHAnsi"/>
          <w:i/>
          <w:iCs/>
        </w:rPr>
        <w:t>pneumonia</w:t>
      </w:r>
      <w:r w:rsidR="00206907" w:rsidRPr="005C4356">
        <w:rPr>
          <w:rFonts w:eastAsia="Calibri" w:cstheme="minorHAnsi"/>
          <w:i/>
          <w:iCs/>
        </w:rPr>
        <w:t>e</w:t>
      </w:r>
    </w:p>
    <w:p w14:paraId="6DD120F9" w14:textId="77777777" w:rsidR="00E45E66" w:rsidRPr="005C4356" w:rsidRDefault="00E45E66" w:rsidP="003C117D">
      <w:pPr>
        <w:spacing w:line="360" w:lineRule="auto"/>
        <w:rPr>
          <w:rFonts w:eastAsia="Calibri" w:cstheme="minorHAnsi"/>
        </w:rPr>
      </w:pPr>
      <w:r w:rsidRPr="005C4356">
        <w:rPr>
          <w:rFonts w:eastAsia="Calibri" w:cstheme="minorHAnsi"/>
        </w:rPr>
        <w:t>STH</w:t>
      </w:r>
      <w:r w:rsidRPr="005C4356">
        <w:rPr>
          <w:rFonts w:eastAsia="Calibri" w:cstheme="minorHAnsi"/>
        </w:rPr>
        <w:tab/>
      </w:r>
      <w:r w:rsidRPr="005C4356">
        <w:rPr>
          <w:rFonts w:eastAsia="Calibri" w:cstheme="minorHAnsi"/>
        </w:rPr>
        <w:tab/>
      </w:r>
      <w:r w:rsidRPr="005C4356">
        <w:rPr>
          <w:rFonts w:eastAsia="Calibri" w:cstheme="minorHAnsi"/>
        </w:rPr>
        <w:tab/>
        <w:t>Sheffield Teaching Hospitals NHS Foundation Trust</w:t>
      </w:r>
    </w:p>
    <w:p w14:paraId="0AEAF17D" w14:textId="77777777" w:rsidR="00C93C4B" w:rsidRPr="005C4356" w:rsidRDefault="00C93C4B" w:rsidP="003C117D">
      <w:pPr>
        <w:spacing w:line="360" w:lineRule="auto"/>
        <w:rPr>
          <w:rFonts w:eastAsia="Calibri" w:cstheme="minorHAnsi"/>
        </w:rPr>
      </w:pPr>
      <w:r w:rsidRPr="005C4356">
        <w:rPr>
          <w:rFonts w:eastAsia="Calibri" w:cstheme="minorHAnsi"/>
        </w:rPr>
        <w:t>UK</w:t>
      </w:r>
      <w:r w:rsidRPr="005C4356">
        <w:rPr>
          <w:rFonts w:eastAsia="Calibri" w:cstheme="minorHAnsi"/>
        </w:rPr>
        <w:tab/>
      </w:r>
      <w:r w:rsidRPr="005C4356">
        <w:rPr>
          <w:rFonts w:eastAsia="Calibri" w:cstheme="minorHAnsi"/>
        </w:rPr>
        <w:tab/>
      </w:r>
      <w:r w:rsidRPr="005C4356">
        <w:rPr>
          <w:rFonts w:eastAsia="Calibri" w:cstheme="minorHAnsi"/>
        </w:rPr>
        <w:tab/>
        <w:t>United Kingdom</w:t>
      </w:r>
    </w:p>
    <w:p w14:paraId="723F0AB8" w14:textId="41BFB22B" w:rsidR="007F7FFB" w:rsidRPr="005C4356" w:rsidRDefault="007F7FFB" w:rsidP="003C117D">
      <w:pPr>
        <w:spacing w:line="360" w:lineRule="auto"/>
        <w:rPr>
          <w:rFonts w:eastAsia="Calibri" w:cstheme="minorHAnsi"/>
        </w:rPr>
      </w:pPr>
      <w:r w:rsidRPr="005C4356">
        <w:rPr>
          <w:rFonts w:eastAsia="Calibri" w:cstheme="minorHAnsi"/>
        </w:rPr>
        <w:t>URTI</w:t>
      </w:r>
      <w:r w:rsidRPr="005C4356">
        <w:rPr>
          <w:rFonts w:eastAsia="Calibri" w:cstheme="minorHAnsi"/>
        </w:rPr>
        <w:tab/>
      </w:r>
      <w:r w:rsidRPr="005C4356">
        <w:rPr>
          <w:rFonts w:eastAsia="Calibri" w:cstheme="minorHAnsi"/>
        </w:rPr>
        <w:tab/>
      </w:r>
      <w:r w:rsidRPr="005C4356">
        <w:rPr>
          <w:rFonts w:eastAsia="Calibri" w:cstheme="minorHAnsi"/>
        </w:rPr>
        <w:tab/>
        <w:t>Upper respiratory tract infection</w:t>
      </w:r>
    </w:p>
    <w:p w14:paraId="7222EAD1" w14:textId="3395119F" w:rsidR="00D144AB" w:rsidRPr="005C4356" w:rsidRDefault="00D144AB" w:rsidP="003C117D">
      <w:pPr>
        <w:spacing w:line="360" w:lineRule="auto"/>
        <w:rPr>
          <w:rFonts w:eastAsia="Calibri" w:cstheme="minorHAnsi"/>
        </w:rPr>
      </w:pPr>
      <w:r w:rsidRPr="005C4356">
        <w:rPr>
          <w:rFonts w:eastAsia="Calibri" w:cstheme="minorHAnsi"/>
        </w:rPr>
        <w:t>UTI</w:t>
      </w:r>
      <w:r w:rsidRPr="005C4356">
        <w:rPr>
          <w:rFonts w:eastAsia="Calibri" w:cstheme="minorHAnsi"/>
        </w:rPr>
        <w:tab/>
      </w:r>
      <w:r w:rsidRPr="005C4356">
        <w:rPr>
          <w:rFonts w:eastAsia="Calibri" w:cstheme="minorHAnsi"/>
        </w:rPr>
        <w:tab/>
      </w:r>
      <w:r w:rsidRPr="005C4356">
        <w:rPr>
          <w:rFonts w:eastAsia="Calibri" w:cstheme="minorHAnsi"/>
        </w:rPr>
        <w:tab/>
        <w:t>Urinary tract infection</w:t>
      </w:r>
    </w:p>
    <w:p w14:paraId="778B2B87" w14:textId="77777777" w:rsidR="00C93C4B" w:rsidRPr="005C4356" w:rsidRDefault="00C93C4B" w:rsidP="003C117D">
      <w:pPr>
        <w:spacing w:line="360" w:lineRule="auto"/>
        <w:rPr>
          <w:rFonts w:eastAsia="Calibri" w:cstheme="minorHAnsi"/>
        </w:rPr>
      </w:pPr>
      <w:r w:rsidRPr="005C4356">
        <w:rPr>
          <w:rFonts w:eastAsia="Calibri" w:cstheme="minorHAnsi"/>
        </w:rPr>
        <w:t>16S</w:t>
      </w:r>
      <w:r w:rsidR="00093AD3" w:rsidRPr="005C4356">
        <w:rPr>
          <w:rFonts w:eastAsia="Calibri" w:cstheme="minorHAnsi"/>
        </w:rPr>
        <w:t xml:space="preserve"> rRNA</w:t>
      </w:r>
      <w:r w:rsidRPr="005C4356">
        <w:rPr>
          <w:rFonts w:eastAsia="Calibri" w:cstheme="minorHAnsi"/>
        </w:rPr>
        <w:tab/>
      </w:r>
      <w:r w:rsidRPr="005C4356">
        <w:rPr>
          <w:rFonts w:eastAsia="Calibri" w:cstheme="minorHAnsi"/>
        </w:rPr>
        <w:tab/>
        <w:t>16S ribosomal ribonucleic acid</w:t>
      </w:r>
    </w:p>
    <w:p w14:paraId="3111CF75" w14:textId="77777777" w:rsidR="00C93C4B" w:rsidRPr="00241369" w:rsidRDefault="00C93C4B" w:rsidP="003C117D">
      <w:pPr>
        <w:spacing w:line="360" w:lineRule="auto"/>
        <w:rPr>
          <w:rFonts w:ascii="Arial" w:eastAsia="Calibri" w:hAnsi="Arial" w:cs="Arial"/>
        </w:rPr>
      </w:pPr>
    </w:p>
    <w:p w14:paraId="13508742" w14:textId="77777777" w:rsidR="00C715AC" w:rsidRPr="00241369" w:rsidRDefault="00C715AC" w:rsidP="003C117D">
      <w:pPr>
        <w:spacing w:line="360" w:lineRule="auto"/>
        <w:rPr>
          <w:rFonts w:ascii="Arial" w:eastAsia="Calibri" w:hAnsi="Arial" w:cs="Arial"/>
        </w:rPr>
      </w:pPr>
    </w:p>
    <w:p w14:paraId="1361BAF5" w14:textId="77777777" w:rsidR="00C715AC" w:rsidRPr="00241369" w:rsidRDefault="00C715AC" w:rsidP="003C117D">
      <w:pPr>
        <w:spacing w:line="360" w:lineRule="auto"/>
        <w:rPr>
          <w:rFonts w:ascii="Arial" w:eastAsia="Calibri" w:hAnsi="Arial" w:cs="Arial"/>
        </w:rPr>
      </w:pPr>
    </w:p>
    <w:p w14:paraId="274E0386" w14:textId="77777777" w:rsidR="00C715AC" w:rsidRPr="00241369" w:rsidRDefault="00C715AC" w:rsidP="003C117D">
      <w:pPr>
        <w:spacing w:line="360" w:lineRule="auto"/>
        <w:rPr>
          <w:rFonts w:ascii="Arial" w:eastAsia="Calibri" w:hAnsi="Arial" w:cs="Arial"/>
        </w:rPr>
      </w:pPr>
    </w:p>
    <w:p w14:paraId="76EA0032" w14:textId="77777777" w:rsidR="00C715AC" w:rsidRPr="00241369" w:rsidRDefault="00C715AC" w:rsidP="003C117D">
      <w:pPr>
        <w:spacing w:line="360" w:lineRule="auto"/>
        <w:rPr>
          <w:rFonts w:ascii="Arial" w:eastAsia="Calibri" w:hAnsi="Arial" w:cs="Arial"/>
        </w:rPr>
      </w:pPr>
    </w:p>
    <w:p w14:paraId="0A167A2D" w14:textId="77777777" w:rsidR="00C715AC" w:rsidRPr="00241369" w:rsidRDefault="00C715AC" w:rsidP="003C117D">
      <w:pPr>
        <w:spacing w:line="360" w:lineRule="auto"/>
        <w:rPr>
          <w:rFonts w:ascii="Arial" w:eastAsia="Calibri" w:hAnsi="Arial" w:cs="Arial"/>
        </w:rPr>
      </w:pPr>
    </w:p>
    <w:p w14:paraId="1B59B524" w14:textId="77777777" w:rsidR="00C715AC" w:rsidRPr="00241369" w:rsidRDefault="00C715AC" w:rsidP="003C117D">
      <w:pPr>
        <w:spacing w:line="360" w:lineRule="auto"/>
        <w:rPr>
          <w:rFonts w:ascii="Arial" w:eastAsia="Calibri" w:hAnsi="Arial" w:cs="Arial"/>
        </w:rPr>
      </w:pPr>
    </w:p>
    <w:p w14:paraId="5B86E0AC" w14:textId="77777777" w:rsidR="00C715AC" w:rsidRPr="00241369" w:rsidRDefault="00C715AC" w:rsidP="003C117D">
      <w:pPr>
        <w:spacing w:line="360" w:lineRule="auto"/>
        <w:rPr>
          <w:rFonts w:ascii="Arial" w:eastAsia="Calibri" w:hAnsi="Arial" w:cs="Arial"/>
        </w:rPr>
      </w:pPr>
    </w:p>
    <w:p w14:paraId="606601F8" w14:textId="77777777" w:rsidR="00C715AC" w:rsidRPr="00241369" w:rsidRDefault="00C715AC" w:rsidP="003C117D">
      <w:pPr>
        <w:spacing w:line="360" w:lineRule="auto"/>
        <w:rPr>
          <w:rFonts w:ascii="Arial" w:eastAsia="Calibri" w:hAnsi="Arial" w:cs="Arial"/>
        </w:rPr>
      </w:pPr>
    </w:p>
    <w:p w14:paraId="44667EFB" w14:textId="77777777" w:rsidR="00C715AC" w:rsidRPr="00241369" w:rsidRDefault="00C715AC" w:rsidP="003C117D">
      <w:pPr>
        <w:spacing w:line="360" w:lineRule="auto"/>
        <w:rPr>
          <w:rFonts w:ascii="Arial" w:eastAsia="Calibri" w:hAnsi="Arial" w:cs="Arial"/>
        </w:rPr>
      </w:pPr>
    </w:p>
    <w:p w14:paraId="2B222EA3" w14:textId="77777777" w:rsidR="00C715AC" w:rsidRPr="00241369" w:rsidRDefault="00C715AC" w:rsidP="003C117D">
      <w:pPr>
        <w:spacing w:line="360" w:lineRule="auto"/>
        <w:rPr>
          <w:rFonts w:ascii="Arial" w:eastAsia="Calibri" w:hAnsi="Arial" w:cs="Arial"/>
        </w:rPr>
      </w:pPr>
    </w:p>
    <w:p w14:paraId="5963F9AE" w14:textId="77777777" w:rsidR="00C715AC" w:rsidRPr="00241369" w:rsidRDefault="00C715AC" w:rsidP="003C117D">
      <w:pPr>
        <w:spacing w:line="360" w:lineRule="auto"/>
        <w:rPr>
          <w:rFonts w:ascii="Arial" w:eastAsia="Calibri" w:hAnsi="Arial" w:cs="Arial"/>
        </w:rPr>
      </w:pPr>
    </w:p>
    <w:p w14:paraId="6B6E7993" w14:textId="77777777" w:rsidR="00C715AC" w:rsidRPr="00241369" w:rsidRDefault="00C715AC" w:rsidP="003C117D">
      <w:pPr>
        <w:spacing w:line="360" w:lineRule="auto"/>
        <w:rPr>
          <w:rFonts w:ascii="Arial" w:eastAsia="Calibri" w:hAnsi="Arial" w:cs="Arial"/>
        </w:rPr>
      </w:pPr>
    </w:p>
    <w:p w14:paraId="083AF5CA" w14:textId="77777777" w:rsidR="00C715AC" w:rsidRPr="00241369" w:rsidRDefault="00C715AC" w:rsidP="003C117D">
      <w:pPr>
        <w:spacing w:line="360" w:lineRule="auto"/>
        <w:rPr>
          <w:rFonts w:ascii="Arial" w:eastAsia="Calibri" w:hAnsi="Arial" w:cs="Arial"/>
        </w:rPr>
      </w:pPr>
    </w:p>
    <w:p w14:paraId="4BAF0519" w14:textId="77777777" w:rsidR="00C93C4B" w:rsidRPr="00241369" w:rsidRDefault="00C93C4B" w:rsidP="003C117D">
      <w:pPr>
        <w:spacing w:line="360" w:lineRule="auto"/>
      </w:pPr>
    </w:p>
    <w:p w14:paraId="146363DB" w14:textId="77777777" w:rsidR="00D50D14" w:rsidRPr="008F33C8" w:rsidRDefault="006554F0" w:rsidP="009C1849">
      <w:pPr>
        <w:pStyle w:val="Heading1"/>
        <w:numPr>
          <w:ilvl w:val="0"/>
          <w:numId w:val="0"/>
        </w:numPr>
        <w:ind w:left="432" w:hanging="432"/>
      </w:pPr>
      <w:bookmarkStart w:id="6" w:name="_Toc117765876"/>
      <w:r w:rsidRPr="008F33C8">
        <w:lastRenderedPageBreak/>
        <w:t>Glossary</w:t>
      </w:r>
      <w:bookmarkEnd w:id="6"/>
    </w:p>
    <w:p w14:paraId="43FA7EE2" w14:textId="77777777" w:rsidR="006554F0" w:rsidRPr="005C4356" w:rsidRDefault="006554F0">
      <w:pPr>
        <w:pStyle w:val="ListParagraph"/>
        <w:numPr>
          <w:ilvl w:val="0"/>
          <w:numId w:val="13"/>
        </w:numPr>
        <w:spacing w:line="360" w:lineRule="auto"/>
        <w:rPr>
          <w:rFonts w:cstheme="minorHAnsi"/>
          <w:sz w:val="24"/>
          <w:szCs w:val="24"/>
        </w:rPr>
      </w:pPr>
      <w:r w:rsidRPr="005C4356">
        <w:rPr>
          <w:rFonts w:cstheme="minorHAnsi"/>
          <w:b/>
          <w:bCs/>
          <w:sz w:val="24"/>
          <w:szCs w:val="24"/>
        </w:rPr>
        <w:t>Minimum inhibitory concentration</w:t>
      </w:r>
      <w:r w:rsidR="008909C1" w:rsidRPr="005C4356">
        <w:rPr>
          <w:rFonts w:cstheme="minorHAnsi"/>
          <w:sz w:val="24"/>
          <w:szCs w:val="24"/>
        </w:rPr>
        <w:t>: The lowest concentration of an antimicrobial that will inhibit the visible growth of a microorganism</w:t>
      </w:r>
    </w:p>
    <w:p w14:paraId="7BE27206" w14:textId="77777777" w:rsidR="002A0C8E" w:rsidRPr="005C4356" w:rsidRDefault="002A0C8E">
      <w:pPr>
        <w:pStyle w:val="ListParagraph"/>
        <w:numPr>
          <w:ilvl w:val="0"/>
          <w:numId w:val="13"/>
        </w:numPr>
        <w:spacing w:line="360" w:lineRule="auto"/>
        <w:rPr>
          <w:rFonts w:cstheme="minorHAnsi"/>
          <w:b/>
          <w:bCs/>
          <w:sz w:val="24"/>
          <w:szCs w:val="24"/>
        </w:rPr>
      </w:pPr>
      <w:r w:rsidRPr="005C4356">
        <w:rPr>
          <w:rFonts w:cstheme="minorHAnsi"/>
          <w:b/>
          <w:bCs/>
          <w:sz w:val="24"/>
          <w:szCs w:val="24"/>
        </w:rPr>
        <w:t xml:space="preserve">EUCAST susceptibilities </w:t>
      </w:r>
      <w:r w:rsidR="008909C1" w:rsidRPr="005C4356">
        <w:rPr>
          <w:rFonts w:cstheme="minorHAnsi"/>
          <w:b/>
          <w:bCs/>
          <w:sz w:val="24"/>
          <w:szCs w:val="24"/>
        </w:rPr>
        <w:t>categories</w:t>
      </w:r>
      <w:r w:rsidRPr="005C4356">
        <w:rPr>
          <w:rFonts w:cstheme="minorHAnsi"/>
          <w:b/>
          <w:bCs/>
          <w:sz w:val="24"/>
          <w:szCs w:val="24"/>
        </w:rPr>
        <w:t>:</w:t>
      </w:r>
    </w:p>
    <w:p w14:paraId="393D4CC9" w14:textId="77777777" w:rsidR="003C117D" w:rsidRPr="005C4356" w:rsidRDefault="002A0C8E">
      <w:pPr>
        <w:pStyle w:val="ListParagraph"/>
        <w:numPr>
          <w:ilvl w:val="1"/>
          <w:numId w:val="13"/>
        </w:numPr>
        <w:spacing w:line="360" w:lineRule="auto"/>
        <w:rPr>
          <w:rFonts w:cstheme="minorHAnsi"/>
          <w:sz w:val="24"/>
          <w:szCs w:val="24"/>
        </w:rPr>
      </w:pPr>
      <w:r w:rsidRPr="005C4356">
        <w:rPr>
          <w:rFonts w:cstheme="minorHAnsi"/>
          <w:sz w:val="24"/>
          <w:szCs w:val="24"/>
        </w:rPr>
        <w:t xml:space="preserve">Susceptible: </w:t>
      </w:r>
      <w:r w:rsidRPr="005C4356">
        <w:rPr>
          <w:rFonts w:cstheme="minorHAnsi"/>
          <w:sz w:val="24"/>
          <w:szCs w:val="24"/>
        </w:rPr>
        <w:tab/>
        <w:t>High likelihood of therapeutic success using a standard dosing regimen of the agent.</w:t>
      </w:r>
    </w:p>
    <w:p w14:paraId="7FB7978D" w14:textId="77777777" w:rsidR="002A0C8E" w:rsidRPr="005C4356" w:rsidRDefault="002A0C8E">
      <w:pPr>
        <w:pStyle w:val="ListParagraph"/>
        <w:numPr>
          <w:ilvl w:val="1"/>
          <w:numId w:val="13"/>
        </w:numPr>
        <w:spacing w:line="360" w:lineRule="auto"/>
        <w:rPr>
          <w:rFonts w:cstheme="minorHAnsi"/>
          <w:sz w:val="24"/>
          <w:szCs w:val="24"/>
        </w:rPr>
      </w:pPr>
      <w:r w:rsidRPr="005C4356">
        <w:rPr>
          <w:rFonts w:cstheme="minorHAnsi"/>
          <w:sz w:val="24"/>
          <w:szCs w:val="24"/>
        </w:rPr>
        <w:t>Intermediate:</w:t>
      </w:r>
      <w:r w:rsidRPr="005C4356">
        <w:rPr>
          <w:rFonts w:cstheme="minorHAnsi"/>
          <w:sz w:val="24"/>
          <w:szCs w:val="24"/>
        </w:rPr>
        <w:tab/>
        <w:t>Susceptible, increased exposure. High likelihood of therapeutic success because exposure to the agent is increased by adjusting the dosing regimen or by its concentration at the site of infection.</w:t>
      </w:r>
    </w:p>
    <w:p w14:paraId="413E08F0" w14:textId="3E8C67AB" w:rsidR="002A0C8E" w:rsidRPr="005C4356" w:rsidRDefault="002A0C8E">
      <w:pPr>
        <w:pStyle w:val="ListParagraph"/>
        <w:numPr>
          <w:ilvl w:val="1"/>
          <w:numId w:val="13"/>
        </w:numPr>
        <w:spacing w:line="360" w:lineRule="auto"/>
        <w:rPr>
          <w:rFonts w:cstheme="minorHAnsi"/>
          <w:sz w:val="24"/>
          <w:szCs w:val="24"/>
        </w:rPr>
      </w:pPr>
      <w:r w:rsidRPr="005C4356">
        <w:rPr>
          <w:rFonts w:cstheme="minorHAnsi"/>
          <w:sz w:val="24"/>
          <w:szCs w:val="24"/>
        </w:rPr>
        <w:t>Resistant:  High likelihood of therapeutic failure even when there is increased exposure</w:t>
      </w:r>
    </w:p>
    <w:p w14:paraId="2B71E8DC" w14:textId="36B683E1" w:rsidR="00C74402" w:rsidRPr="005C4356" w:rsidRDefault="00C74402">
      <w:pPr>
        <w:pStyle w:val="ListParagraph"/>
        <w:numPr>
          <w:ilvl w:val="0"/>
          <w:numId w:val="13"/>
        </w:numPr>
        <w:spacing w:line="360" w:lineRule="auto"/>
        <w:rPr>
          <w:rFonts w:cstheme="minorHAnsi"/>
          <w:b/>
          <w:bCs/>
          <w:sz w:val="24"/>
          <w:szCs w:val="24"/>
        </w:rPr>
      </w:pPr>
      <w:r w:rsidRPr="005C4356">
        <w:rPr>
          <w:rFonts w:cstheme="minorHAnsi"/>
          <w:b/>
          <w:bCs/>
          <w:sz w:val="24"/>
          <w:szCs w:val="24"/>
        </w:rPr>
        <w:t xml:space="preserve">Incident rate ratio: </w:t>
      </w:r>
      <w:r w:rsidR="00BC4E0B" w:rsidRPr="005C4356">
        <w:rPr>
          <w:rFonts w:cstheme="minorHAnsi"/>
          <w:sz w:val="24"/>
          <w:szCs w:val="24"/>
        </w:rPr>
        <w:t>A measure used to compare the incident rates of events occurring at any given time point. A value of 1 indicates no difference, a value of &gt; 1 demonstrates increased risk of the outcome in the exposed group whilst a value of &lt;1 indicates a reduced risk of the exposure in the exposed group.</w:t>
      </w:r>
    </w:p>
    <w:p w14:paraId="03E9BDD3" w14:textId="77777777" w:rsidR="00C715AC" w:rsidRPr="005C4356" w:rsidRDefault="00C715AC">
      <w:pPr>
        <w:pStyle w:val="ListParagraph"/>
        <w:numPr>
          <w:ilvl w:val="0"/>
          <w:numId w:val="13"/>
        </w:numPr>
        <w:spacing w:line="360" w:lineRule="auto"/>
        <w:rPr>
          <w:rFonts w:eastAsia="Calibri" w:cstheme="minorHAnsi"/>
          <w:sz w:val="24"/>
          <w:szCs w:val="24"/>
        </w:rPr>
      </w:pPr>
      <w:r w:rsidRPr="005C4356">
        <w:rPr>
          <w:rFonts w:eastAsia="Calibri" w:cstheme="minorHAnsi"/>
          <w:b/>
          <w:bCs/>
          <w:sz w:val="24"/>
          <w:szCs w:val="24"/>
        </w:rPr>
        <w:t>Microbiota:</w:t>
      </w:r>
      <w:r w:rsidR="008909C1" w:rsidRPr="005C4356">
        <w:rPr>
          <w:rFonts w:eastAsia="Calibri" w:cstheme="minorHAnsi"/>
          <w:sz w:val="24"/>
          <w:szCs w:val="24"/>
        </w:rPr>
        <w:t xml:space="preserve"> </w:t>
      </w:r>
      <w:r w:rsidRPr="005C4356">
        <w:rPr>
          <w:rFonts w:eastAsia="Calibri" w:cstheme="minorHAnsi"/>
          <w:sz w:val="24"/>
          <w:szCs w:val="24"/>
        </w:rPr>
        <w:t xml:space="preserve">The collective microorganisms within a defined area which may include bacteria, viruses, fungi and protozoa. </w:t>
      </w:r>
    </w:p>
    <w:p w14:paraId="39240AF0" w14:textId="45B4E140" w:rsidR="00C715AC" w:rsidRPr="005C4356" w:rsidRDefault="00C715AC">
      <w:pPr>
        <w:pStyle w:val="ListParagraph"/>
        <w:numPr>
          <w:ilvl w:val="0"/>
          <w:numId w:val="13"/>
        </w:numPr>
        <w:spacing w:line="360" w:lineRule="auto"/>
        <w:rPr>
          <w:rFonts w:eastAsia="Calibri" w:cstheme="minorHAnsi"/>
          <w:sz w:val="24"/>
          <w:szCs w:val="24"/>
        </w:rPr>
      </w:pPr>
      <w:r w:rsidRPr="005C4356">
        <w:rPr>
          <w:rFonts w:eastAsia="Calibri" w:cstheme="minorHAnsi"/>
          <w:b/>
          <w:bCs/>
          <w:sz w:val="24"/>
          <w:szCs w:val="24"/>
        </w:rPr>
        <w:t>Microbiome:</w:t>
      </w:r>
      <w:r w:rsidR="008909C1" w:rsidRPr="005C4356">
        <w:rPr>
          <w:rFonts w:eastAsia="Calibri" w:cstheme="minorHAnsi"/>
          <w:sz w:val="24"/>
          <w:szCs w:val="24"/>
        </w:rPr>
        <w:t xml:space="preserve"> </w:t>
      </w:r>
      <w:r w:rsidRPr="005C4356">
        <w:rPr>
          <w:rFonts w:eastAsia="Calibri" w:cstheme="minorHAnsi"/>
          <w:sz w:val="24"/>
          <w:szCs w:val="24"/>
        </w:rPr>
        <w:t>The collective genomes from all the microorganisms found in a particular area</w:t>
      </w:r>
    </w:p>
    <w:p w14:paraId="473229D1" w14:textId="7063A079" w:rsidR="003D1908" w:rsidRPr="005C4356" w:rsidRDefault="003D1908">
      <w:pPr>
        <w:pStyle w:val="ListParagraph"/>
        <w:numPr>
          <w:ilvl w:val="0"/>
          <w:numId w:val="13"/>
        </w:numPr>
        <w:spacing w:line="360" w:lineRule="auto"/>
        <w:rPr>
          <w:rFonts w:eastAsia="Calibri" w:cstheme="minorHAnsi"/>
          <w:sz w:val="24"/>
          <w:szCs w:val="24"/>
        </w:rPr>
      </w:pPr>
      <w:r w:rsidRPr="005C4356">
        <w:rPr>
          <w:rFonts w:eastAsia="Calibri" w:cstheme="minorHAnsi"/>
          <w:b/>
          <w:bCs/>
          <w:sz w:val="24"/>
          <w:szCs w:val="24"/>
        </w:rPr>
        <w:t>Metagenomics:</w:t>
      </w:r>
      <w:r w:rsidRPr="005C4356">
        <w:rPr>
          <w:rFonts w:eastAsia="Calibri" w:cstheme="minorHAnsi"/>
          <w:sz w:val="24"/>
          <w:szCs w:val="24"/>
        </w:rPr>
        <w:t xml:space="preserve"> The </w:t>
      </w:r>
      <w:r w:rsidR="00A04E03" w:rsidRPr="005C4356">
        <w:rPr>
          <w:rFonts w:eastAsia="Calibri" w:cstheme="minorHAnsi"/>
          <w:sz w:val="24"/>
          <w:szCs w:val="24"/>
        </w:rPr>
        <w:t xml:space="preserve">study of </w:t>
      </w:r>
      <w:r w:rsidRPr="005C4356">
        <w:rPr>
          <w:rFonts w:eastAsia="Calibri" w:cstheme="minorHAnsi"/>
          <w:sz w:val="24"/>
          <w:szCs w:val="24"/>
        </w:rPr>
        <w:t>collective genome</w:t>
      </w:r>
      <w:r w:rsidR="00A04E03" w:rsidRPr="005C4356">
        <w:rPr>
          <w:rFonts w:eastAsia="Calibri" w:cstheme="minorHAnsi"/>
          <w:sz w:val="24"/>
          <w:szCs w:val="24"/>
        </w:rPr>
        <w:t>s</w:t>
      </w:r>
      <w:r w:rsidRPr="005C4356">
        <w:rPr>
          <w:rFonts w:eastAsia="Calibri" w:cstheme="minorHAnsi"/>
          <w:sz w:val="24"/>
          <w:szCs w:val="24"/>
        </w:rPr>
        <w:t xml:space="preserve"> of </w:t>
      </w:r>
      <w:r w:rsidR="00A04E03" w:rsidRPr="005C4356">
        <w:rPr>
          <w:rFonts w:eastAsia="Calibri" w:cstheme="minorHAnsi"/>
          <w:sz w:val="24"/>
          <w:szCs w:val="24"/>
        </w:rPr>
        <w:t xml:space="preserve">a mixed community of </w:t>
      </w:r>
      <w:r w:rsidRPr="005C4356">
        <w:rPr>
          <w:rFonts w:eastAsia="Calibri" w:cstheme="minorHAnsi"/>
          <w:sz w:val="24"/>
          <w:szCs w:val="24"/>
        </w:rPr>
        <w:t>microorganisms.</w:t>
      </w:r>
    </w:p>
    <w:p w14:paraId="36C47760" w14:textId="568F26EF" w:rsidR="00C715AC" w:rsidRPr="005C4356" w:rsidRDefault="00C715AC">
      <w:pPr>
        <w:pStyle w:val="ListParagraph"/>
        <w:numPr>
          <w:ilvl w:val="0"/>
          <w:numId w:val="13"/>
        </w:numPr>
        <w:spacing w:line="360" w:lineRule="auto"/>
        <w:jc w:val="both"/>
        <w:rPr>
          <w:rFonts w:cstheme="minorHAnsi"/>
          <w:sz w:val="24"/>
          <w:szCs w:val="24"/>
        </w:rPr>
      </w:pPr>
      <w:r w:rsidRPr="005C4356">
        <w:rPr>
          <w:rFonts w:cstheme="minorHAnsi"/>
          <w:b/>
          <w:bCs/>
          <w:sz w:val="24"/>
          <w:szCs w:val="24"/>
        </w:rPr>
        <w:t>Protracted Bacterial Bronchitis:</w:t>
      </w:r>
      <w:r w:rsidRPr="005C4356">
        <w:rPr>
          <w:rFonts w:cstheme="minorHAnsi"/>
          <w:sz w:val="24"/>
          <w:szCs w:val="24"/>
        </w:rPr>
        <w:t xml:space="preserve"> A history of chronic (≥ 4 weeks) wet cough, response to 2 weeks of appropriate antimicrobial therapy and an absence of clinical indicators suggesting an alternative cause for the cough</w:t>
      </w:r>
      <w:r w:rsidR="00E6351C" w:rsidRPr="005C4356">
        <w:rPr>
          <w:rFonts w:cstheme="minorHAnsi"/>
          <w:sz w:val="24"/>
          <w:szCs w:val="24"/>
        </w:rPr>
        <w:t xml:space="preserve"> </w:t>
      </w:r>
      <w:r w:rsidR="00ED0001" w:rsidRPr="005C4356">
        <w:rPr>
          <w:rFonts w:cstheme="minorHAnsi"/>
          <w:sz w:val="24"/>
          <w:szCs w:val="24"/>
        </w:rPr>
        <w:fldChar w:fldCharType="begin">
          <w:fldData xml:space="preserve">PEVuZE5vdGU+PENpdGU+PEF1dGhvcj5NYXJjaGFudDwvQXV0aG9yPjxZZWFyPjIwMDY8L1llYXI+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=
</w:fldData>
        </w:fldChar>
      </w:r>
      <w:r w:rsidR="00CD2C33">
        <w:rPr>
          <w:rFonts w:cstheme="minorHAnsi"/>
          <w:sz w:val="24"/>
          <w:szCs w:val="24"/>
        </w:rPr>
        <w:instrText xml:space="preserve"> ADDIN EN.CITE </w:instrText>
      </w:r>
      <w:r w:rsidR="00CD2C33">
        <w:rPr>
          <w:rFonts w:cstheme="minorHAnsi"/>
          <w:sz w:val="24"/>
          <w:szCs w:val="24"/>
        </w:rPr>
        <w:fldChar w:fldCharType="begin">
          <w:fldData xml:space="preserve">PEVuZE5vdGU+PENpdGU+PEF1dGhvcj5NYXJjaGFudDwvQXV0aG9yPjxZZWFyPjIwMDY8L1llYXI+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=
</w:fldData>
        </w:fldChar>
      </w:r>
      <w:r w:rsidR="00CD2C33">
        <w:rPr>
          <w:rFonts w:cstheme="minorHAnsi"/>
          <w:sz w:val="24"/>
          <w:szCs w:val="24"/>
        </w:rPr>
        <w:instrText xml:space="preserve"> ADDIN EN.CITE.DATA </w:instrText>
      </w:r>
      <w:r w:rsidR="00CD2C33">
        <w:rPr>
          <w:rFonts w:cstheme="minorHAnsi"/>
          <w:sz w:val="24"/>
          <w:szCs w:val="24"/>
        </w:rPr>
      </w:r>
      <w:r w:rsidR="00CD2C33">
        <w:rPr>
          <w:rFonts w:cstheme="minorHAnsi"/>
          <w:sz w:val="24"/>
          <w:szCs w:val="24"/>
        </w:rPr>
        <w:fldChar w:fldCharType="end"/>
      </w:r>
      <w:r w:rsidR="00ED0001" w:rsidRPr="005C4356">
        <w:rPr>
          <w:rFonts w:cstheme="minorHAnsi"/>
          <w:sz w:val="24"/>
          <w:szCs w:val="24"/>
        </w:rPr>
      </w:r>
      <w:r w:rsidR="00ED0001" w:rsidRPr="005C4356">
        <w:rPr>
          <w:rFonts w:cstheme="minorHAnsi"/>
          <w:sz w:val="24"/>
          <w:szCs w:val="24"/>
        </w:rPr>
        <w:fldChar w:fldCharType="separate"/>
      </w:r>
      <w:r w:rsidR="00CD2C33">
        <w:rPr>
          <w:rFonts w:cstheme="minorHAnsi"/>
          <w:noProof/>
          <w:sz w:val="24"/>
          <w:szCs w:val="24"/>
        </w:rPr>
        <w:t>(Marchant et al., 2006; Shields MD, 2008)</w:t>
      </w:r>
      <w:r w:rsidR="00ED0001" w:rsidRPr="005C4356">
        <w:rPr>
          <w:rFonts w:cstheme="minorHAnsi"/>
          <w:sz w:val="24"/>
          <w:szCs w:val="24"/>
        </w:rPr>
        <w:fldChar w:fldCharType="end"/>
      </w:r>
      <w:r w:rsidR="00E6351C" w:rsidRPr="005C4356">
        <w:rPr>
          <w:rFonts w:cstheme="minorHAnsi"/>
          <w:sz w:val="24"/>
          <w:szCs w:val="24"/>
        </w:rPr>
        <w:t xml:space="preserve">      </w:t>
      </w:r>
    </w:p>
    <w:p w14:paraId="2A245DB7" w14:textId="4F64FE75" w:rsidR="00C715AC" w:rsidRPr="005C4356" w:rsidRDefault="00C715AC">
      <w:pPr>
        <w:pStyle w:val="ListParagraph"/>
        <w:numPr>
          <w:ilvl w:val="0"/>
          <w:numId w:val="13"/>
        </w:numPr>
        <w:spacing w:line="360" w:lineRule="auto"/>
        <w:jc w:val="both"/>
        <w:rPr>
          <w:rFonts w:cstheme="minorHAnsi"/>
          <w:sz w:val="24"/>
          <w:szCs w:val="24"/>
        </w:rPr>
      </w:pPr>
      <w:r w:rsidRPr="005C4356">
        <w:rPr>
          <w:rFonts w:cstheme="minorHAnsi"/>
          <w:b/>
          <w:bCs/>
          <w:sz w:val="24"/>
          <w:szCs w:val="24"/>
        </w:rPr>
        <w:t>Bronchiectasis</w:t>
      </w:r>
      <w:r w:rsidR="00832C2A" w:rsidRPr="005C4356">
        <w:rPr>
          <w:rFonts w:cstheme="minorHAnsi"/>
          <w:sz w:val="24"/>
          <w:szCs w:val="24"/>
        </w:rPr>
        <w:t xml:space="preserve">: </w:t>
      </w:r>
      <w:r w:rsidR="00B73D27" w:rsidRPr="005C4356">
        <w:rPr>
          <w:rFonts w:cstheme="minorHAnsi"/>
          <w:sz w:val="24"/>
          <w:szCs w:val="24"/>
        </w:rPr>
        <w:t xml:space="preserve">Bronchiectasis is defined in terms of “irreversible dilatation of peripheral airways” as diagnosed by chest- high resolution computerised tomography (c-HRCT) </w:t>
      </w:r>
      <w:r w:rsidR="00B73D27" w:rsidRPr="005C4356">
        <w:rPr>
          <w:rFonts w:cstheme="minorHAnsi"/>
          <w:sz w:val="24"/>
          <w:szCs w:val="24"/>
        </w:rPr>
        <w:fldChar w:fldCharType="begin"/>
      </w:r>
      <w:r w:rsidR="00B73D27" w:rsidRPr="005C4356">
        <w:rPr>
          <w:rFonts w:cstheme="minorHAnsi"/>
          <w:sz w:val="24"/>
          <w:szCs w:val="24"/>
        </w:rPr>
        <w:instrText xml:space="preserve"> ADDIN EN.CITE &lt;EndNote&gt;&lt;Cite&gt;&lt;Author&gt;Chang AB&lt;/Author&gt;&lt;Year&gt;2008&lt;/Year&gt;&lt;RecNum&gt;3&lt;/RecNum&gt;&lt;DisplayText&gt;(Chang AB, 2008)&lt;/DisplayText&gt;&lt;record&gt;&lt;rec-number&gt;3&lt;/rec-number&gt;&lt;foreign-keys&gt;&lt;key app="EN" db-id="r0w0afw0b0x0s5epavcvt5d5xv200etfe9at" timestamp="1580209226"&gt;3&lt;/key&gt;&lt;/foreign-keys&gt;&lt;ref-type name="Journal Article"&gt;17&lt;/ref-type&gt;&lt;contributors&gt;&lt;authors&gt;&lt;author&gt;Chang AB, Grimwood K, Maguire G et al,&lt;/author&gt;&lt;/authors&gt;&lt;/contributors&gt;&lt;titles&gt;&lt;title&gt;Management of bronchiectasis and chronic suppurative lung disease in Indigenous chidlren and adults from rural and remote Australian communities&lt;/title&gt;&lt;secondary-title&gt;MJA&lt;/secondary-title&gt;&lt;/titles&gt;&lt;pages&gt;189:386-393&lt;/pages&gt;&lt;dates&gt;&lt;year&gt;2008&lt;/year&gt;&lt;/dates&gt;&lt;urls&gt;&lt;/urls&gt;&lt;/record&gt;&lt;/Cite&gt;&lt;/EndNote&gt;</w:instrText>
      </w:r>
      <w:r w:rsidR="00B73D27" w:rsidRPr="005C4356">
        <w:rPr>
          <w:rFonts w:cstheme="minorHAnsi"/>
          <w:sz w:val="24"/>
          <w:szCs w:val="24"/>
        </w:rPr>
        <w:fldChar w:fldCharType="separate"/>
      </w:r>
      <w:r w:rsidR="00B73D27" w:rsidRPr="005C4356">
        <w:rPr>
          <w:rFonts w:cstheme="minorHAnsi"/>
          <w:noProof/>
          <w:sz w:val="24"/>
          <w:szCs w:val="24"/>
        </w:rPr>
        <w:t>(Chang AB, 2008)</w:t>
      </w:r>
      <w:r w:rsidR="00B73D27" w:rsidRPr="005C4356">
        <w:rPr>
          <w:rFonts w:cstheme="minorHAnsi"/>
          <w:sz w:val="24"/>
          <w:szCs w:val="24"/>
        </w:rPr>
        <w:fldChar w:fldCharType="end"/>
      </w:r>
      <w:r w:rsidR="00B73D27" w:rsidRPr="005C4356">
        <w:rPr>
          <w:rFonts w:cstheme="minorHAnsi"/>
          <w:noProof/>
          <w:sz w:val="24"/>
          <w:szCs w:val="24"/>
        </w:rPr>
        <w:t>.</w:t>
      </w:r>
      <w:r w:rsidR="00B73D27">
        <w:rPr>
          <w:rFonts w:cstheme="minorHAnsi"/>
          <w:noProof/>
          <w:sz w:val="24"/>
          <w:szCs w:val="24"/>
        </w:rPr>
        <w:t xml:space="preserve"> Symptoms include </w:t>
      </w:r>
      <w:r w:rsidRPr="005C4356">
        <w:rPr>
          <w:rFonts w:cstheme="minorHAnsi"/>
          <w:sz w:val="24"/>
          <w:szCs w:val="24"/>
        </w:rPr>
        <w:t xml:space="preserve">prolonged (&gt;12 weeks) wet cough, exertional dyspnoea, asthma-like symptoms and recurrent chest infections. Clinical signs, which are </w:t>
      </w:r>
      <w:r w:rsidRPr="005C4356">
        <w:rPr>
          <w:rFonts w:cstheme="minorHAnsi"/>
          <w:sz w:val="24"/>
          <w:szCs w:val="24"/>
        </w:rPr>
        <w:lastRenderedPageBreak/>
        <w:t xml:space="preserve">often delayed, </w:t>
      </w:r>
      <w:r w:rsidR="00B73D27">
        <w:rPr>
          <w:rFonts w:cstheme="minorHAnsi"/>
          <w:sz w:val="24"/>
          <w:szCs w:val="24"/>
        </w:rPr>
        <w:t xml:space="preserve">may </w:t>
      </w:r>
      <w:r w:rsidRPr="005C4356">
        <w:rPr>
          <w:rFonts w:cstheme="minorHAnsi"/>
          <w:sz w:val="24"/>
          <w:szCs w:val="24"/>
        </w:rPr>
        <w:t>include growth failure, digital clubbing, chest wall deformity, hyperinflation and adventitial sounds</w:t>
      </w:r>
      <w:r w:rsidR="00B73D27">
        <w:rPr>
          <w:rFonts w:cstheme="minorHAnsi"/>
          <w:sz w:val="24"/>
          <w:szCs w:val="24"/>
        </w:rPr>
        <w:t xml:space="preserve"> (‘wet’ crackles)</w:t>
      </w:r>
      <w:r w:rsidRPr="005C4356">
        <w:rPr>
          <w:rFonts w:cstheme="minorHAnsi"/>
          <w:sz w:val="24"/>
          <w:szCs w:val="24"/>
        </w:rPr>
        <w:t xml:space="preserve"> on chest auscultation. </w:t>
      </w:r>
    </w:p>
    <w:p w14:paraId="502C0607" w14:textId="4E22FFCB" w:rsidR="00C715AC" w:rsidRPr="005C4356" w:rsidRDefault="00DF2A87">
      <w:pPr>
        <w:pStyle w:val="ListParagraph"/>
        <w:numPr>
          <w:ilvl w:val="0"/>
          <w:numId w:val="13"/>
        </w:numPr>
        <w:spacing w:line="360" w:lineRule="auto"/>
        <w:rPr>
          <w:rFonts w:cstheme="minorHAnsi"/>
          <w:sz w:val="24"/>
          <w:szCs w:val="24"/>
        </w:rPr>
      </w:pPr>
      <w:r w:rsidRPr="005C4356">
        <w:rPr>
          <w:rFonts w:cstheme="minorHAnsi"/>
          <w:b/>
          <w:bCs/>
          <w:sz w:val="24"/>
          <w:szCs w:val="24"/>
        </w:rPr>
        <w:t>Alpha diversity</w:t>
      </w:r>
      <w:r w:rsidR="008909C1" w:rsidRPr="005C4356">
        <w:rPr>
          <w:rFonts w:cstheme="minorHAnsi"/>
          <w:b/>
          <w:bCs/>
          <w:sz w:val="24"/>
          <w:szCs w:val="24"/>
        </w:rPr>
        <w:t>:</w:t>
      </w:r>
      <w:r w:rsidR="008909C1" w:rsidRPr="005C4356">
        <w:rPr>
          <w:rFonts w:cstheme="minorHAnsi"/>
          <w:sz w:val="24"/>
          <w:szCs w:val="24"/>
        </w:rPr>
        <w:t xml:space="preserve"> </w:t>
      </w:r>
      <w:r w:rsidR="00C4781A" w:rsidRPr="005C4356">
        <w:rPr>
          <w:rFonts w:cstheme="minorHAnsi"/>
          <w:sz w:val="24"/>
          <w:szCs w:val="24"/>
        </w:rPr>
        <w:t xml:space="preserve">Measures </w:t>
      </w:r>
      <w:r w:rsidR="00832C2A" w:rsidRPr="005C4356">
        <w:rPr>
          <w:rFonts w:cstheme="minorHAnsi"/>
          <w:sz w:val="24"/>
          <w:szCs w:val="24"/>
        </w:rPr>
        <w:t xml:space="preserve">of </w:t>
      </w:r>
      <w:r w:rsidR="00C4781A" w:rsidRPr="005C4356">
        <w:rPr>
          <w:rFonts w:cstheme="minorHAnsi"/>
          <w:sz w:val="24"/>
          <w:szCs w:val="24"/>
        </w:rPr>
        <w:t>the structure of an ecological community with regards to richness (number of taxonomic groups), evenness (distribution of abundances of the groups) or both</w:t>
      </w:r>
      <w:r w:rsidR="00E6351C" w:rsidRPr="005C4356">
        <w:rPr>
          <w:rFonts w:cstheme="minorHAnsi"/>
          <w:sz w:val="24"/>
          <w:szCs w:val="24"/>
        </w:rPr>
        <w:t xml:space="preserve"> </w:t>
      </w:r>
      <w:r w:rsidR="00ED0001" w:rsidRPr="005C4356">
        <w:rPr>
          <w:rFonts w:cstheme="minorHAnsi"/>
          <w:sz w:val="24"/>
          <w:szCs w:val="24"/>
        </w:rPr>
        <w:fldChar w:fldCharType="begin"/>
      </w:r>
      <w:r w:rsidR="005B4EFC">
        <w:rPr>
          <w:rFonts w:cstheme="minorHAnsi"/>
          <w:sz w:val="24"/>
          <w:szCs w:val="24"/>
        </w:rPr>
        <w:instrText xml:space="preserve"> ADDIN EN.CITE &lt;EndNote&gt;&lt;Cite&gt;&lt;Author&gt;Willis&lt;/Author&gt;&lt;Year&gt;2019&lt;/Year&gt;&lt;RecNum&gt;287&lt;/RecNum&gt;&lt;DisplayText&gt;(Willis, 2019a)&lt;/DisplayText&gt;&lt;record&gt;&lt;rec-number&gt;287&lt;/rec-number&gt;&lt;foreign-keys&gt;&lt;key app="EN" db-id="pr9rwt2w8padxcerwx6prd0a9wtda2w5fw2t" timestamp="1629731697"&gt;287&lt;/key&gt;&lt;/foreign-keys&gt;&lt;ref-type name="Journal Article"&gt;17&lt;/ref-type&gt;&lt;contributors&gt;&lt;authors&gt;&lt;author&gt;Willis,Amy D.&lt;/author&gt;&lt;/authors&gt;&lt;/contributors&gt;&lt;titles&gt;&lt;title&gt;Rarefaction, Alpha Diversity, and Statistics&lt;/title&gt;&lt;secondary-title&gt;Frontiers in Microbiology&lt;/secondary-title&gt;&lt;short-title&gt;Rarefaction, alpha diversity, and statistics&lt;/short-title&gt;&lt;/titles&gt;&lt;periodical&gt;&lt;full-title&gt;Frontiers in Microbiology&lt;/full-title&gt;&lt;/periodical&gt;&lt;volume&gt;10&lt;/volume&gt;&lt;number&gt;2407&lt;/number&gt;&lt;keywords&gt;&lt;keyword&gt;Bioinformatics &amp;amp; Computational Biology,ecological data analysis,latent variable model,reproducibility,measurement error&lt;/keyword&gt;&lt;/keywords&gt;&lt;dates&gt;&lt;year&gt;2019&lt;/year&gt;&lt;pub-dates&gt;&lt;date&gt;2019-October-23&lt;/date&gt;&lt;/pub-dates&gt;&lt;/dates&gt;&lt;isbn&gt;1664-302X&lt;/isbn&gt;&lt;work-type&gt;Perspective&lt;/work-type&gt;&lt;urls&gt;&lt;related-urls&gt;&lt;url&gt;https://www.frontiersin.org/article/10.3389/fmicb.2019.02407&lt;/url&gt;&lt;/related-urls&gt;&lt;/urls&gt;&lt;electronic-resource-num&gt;10.3389/fmicb.2019.02407&lt;/electronic-resource-num&gt;&lt;language&gt;English&lt;/language&gt;&lt;/record&gt;&lt;/Cite&gt;&lt;/EndNote&gt;</w:instrText>
      </w:r>
      <w:r w:rsidR="00ED0001" w:rsidRPr="005C4356">
        <w:rPr>
          <w:rFonts w:cstheme="minorHAnsi"/>
          <w:sz w:val="24"/>
          <w:szCs w:val="24"/>
        </w:rPr>
        <w:fldChar w:fldCharType="separate"/>
      </w:r>
      <w:r w:rsidR="005B4EFC">
        <w:rPr>
          <w:rFonts w:cstheme="minorHAnsi"/>
          <w:noProof/>
          <w:sz w:val="24"/>
          <w:szCs w:val="24"/>
        </w:rPr>
        <w:t>(Willis, 2019a)</w:t>
      </w:r>
      <w:r w:rsidR="00ED0001" w:rsidRPr="005C4356">
        <w:rPr>
          <w:rFonts w:cstheme="minorHAnsi"/>
          <w:sz w:val="24"/>
          <w:szCs w:val="24"/>
        </w:rPr>
        <w:fldChar w:fldCharType="end"/>
      </w:r>
      <w:r w:rsidR="00E6351C" w:rsidRPr="005C4356">
        <w:rPr>
          <w:rFonts w:cstheme="minorHAnsi"/>
          <w:sz w:val="24"/>
          <w:szCs w:val="24"/>
        </w:rPr>
        <w:t>.</w:t>
      </w:r>
    </w:p>
    <w:p w14:paraId="43F01E7F" w14:textId="0BFB09E4" w:rsidR="00DF2A87" w:rsidRPr="005C4356" w:rsidRDefault="00DF2A87">
      <w:pPr>
        <w:pStyle w:val="ListParagraph"/>
        <w:numPr>
          <w:ilvl w:val="0"/>
          <w:numId w:val="13"/>
        </w:numPr>
        <w:spacing w:line="360" w:lineRule="auto"/>
        <w:rPr>
          <w:rFonts w:cstheme="minorHAnsi"/>
          <w:sz w:val="24"/>
          <w:szCs w:val="24"/>
        </w:rPr>
      </w:pPr>
      <w:r w:rsidRPr="005C4356">
        <w:rPr>
          <w:rFonts w:cstheme="minorHAnsi"/>
          <w:b/>
          <w:bCs/>
          <w:sz w:val="24"/>
          <w:szCs w:val="24"/>
        </w:rPr>
        <w:t>Beta diversity</w:t>
      </w:r>
      <w:r w:rsidR="00C4781A" w:rsidRPr="005C4356">
        <w:rPr>
          <w:rFonts w:cstheme="minorHAnsi"/>
          <w:b/>
          <w:bCs/>
          <w:sz w:val="24"/>
          <w:szCs w:val="24"/>
        </w:rPr>
        <w:t>:</w:t>
      </w:r>
      <w:r w:rsidR="00C4781A" w:rsidRPr="005C4356">
        <w:rPr>
          <w:rFonts w:cstheme="minorHAnsi"/>
          <w:sz w:val="24"/>
          <w:szCs w:val="24"/>
        </w:rPr>
        <w:t xml:space="preserve"> Measures </w:t>
      </w:r>
      <w:r w:rsidR="00832C2A" w:rsidRPr="005C4356">
        <w:rPr>
          <w:rFonts w:cstheme="minorHAnsi"/>
          <w:sz w:val="24"/>
          <w:szCs w:val="24"/>
        </w:rPr>
        <w:t xml:space="preserve">of </w:t>
      </w:r>
      <w:r w:rsidR="00C4781A" w:rsidRPr="005C4356">
        <w:rPr>
          <w:rFonts w:cstheme="minorHAnsi"/>
          <w:sz w:val="24"/>
          <w:szCs w:val="24"/>
        </w:rPr>
        <w:t>the variation in species composition among communities</w:t>
      </w:r>
      <w:r w:rsidR="00E6351C" w:rsidRPr="005C4356">
        <w:rPr>
          <w:rFonts w:cstheme="minorHAnsi"/>
          <w:sz w:val="24"/>
          <w:szCs w:val="24"/>
        </w:rPr>
        <w:t xml:space="preserve"> </w:t>
      </w:r>
      <w:r w:rsidR="00ED0001" w:rsidRPr="005C4356">
        <w:rPr>
          <w:rFonts w:cstheme="minorHAnsi"/>
          <w:sz w:val="24"/>
          <w:szCs w:val="24"/>
        </w:rPr>
        <w:fldChar w:fldCharType="begin"/>
      </w:r>
      <w:r w:rsidR="00930AD0" w:rsidRPr="005C4356">
        <w:rPr>
          <w:rFonts w:cstheme="minorHAnsi"/>
          <w:sz w:val="24"/>
          <w:szCs w:val="24"/>
        </w:rPr>
        <w:instrText xml:space="preserve"> ADDIN EN.CITE &lt;EndNote&gt;&lt;Cite&gt;&lt;Author&gt;Ricotta&lt;/Author&gt;&lt;Year&gt;2017&lt;/Year&gt;&lt;RecNum&gt;288&lt;/RecNum&gt;&lt;DisplayText&gt;(Ricotta, 2017)&lt;/DisplayText&gt;&lt;record&gt;&lt;rec-number&gt;288&lt;/rec-number&gt;&lt;foreign-keys&gt;&lt;key app="EN" db-id="pr9rwt2w8padxcerwx6prd0a9wtda2w5fw2t" timestamp="1629731697"&gt;288&lt;/key&gt;&lt;/foreign-keys&gt;&lt;ref-type name="Journal Article"&gt;17&lt;/ref-type&gt;&lt;contributors&gt;&lt;authors&gt;&lt;author&gt;Ricotta, Carlo&lt;/author&gt;&lt;/authors&gt;&lt;/contributors&gt;&lt;titles&gt;&lt;title&gt;Of beta diversity, variance, evenness, and dissimilarity&lt;/title&gt;&lt;secondary-title&gt;Ecology and Evolution&lt;/secondary-title&gt;&lt;/titles&gt;&lt;periodical&gt;&lt;full-title&gt;Ecology and Evolution&lt;/full-title&gt;&lt;/periodical&gt;&lt;pages&gt;4835-4843&lt;/pages&gt;&lt;volume&gt;7&lt;/volume&gt;&lt;number&gt;13&lt;/number&gt;&lt;dates&gt;&lt;year&gt;2017&lt;/year&gt;&lt;/dates&gt;&lt;isbn&gt;2045-7758&lt;/isbn&gt;&lt;urls&gt;&lt;related-urls&gt;&lt;url&gt;https://onlinelibrary.wiley.com/doi/abs/10.1002/ece3.2980&lt;/url&gt;&lt;/related-urls&gt;&lt;/urls&gt;&lt;electronic-resource-num&gt;10.1002/ece3.2980&lt;/electronic-resource-num&gt;&lt;/record&gt;&lt;/Cite&gt;&lt;/EndNote&gt;</w:instrText>
      </w:r>
      <w:r w:rsidR="00ED0001" w:rsidRPr="005C4356">
        <w:rPr>
          <w:rFonts w:cstheme="minorHAnsi"/>
          <w:sz w:val="24"/>
          <w:szCs w:val="24"/>
        </w:rPr>
        <w:fldChar w:fldCharType="separate"/>
      </w:r>
      <w:r w:rsidR="00ED0001" w:rsidRPr="005C4356">
        <w:rPr>
          <w:rFonts w:cstheme="minorHAnsi"/>
          <w:noProof/>
          <w:sz w:val="24"/>
          <w:szCs w:val="24"/>
        </w:rPr>
        <w:t>(Ricotta, 2017)</w:t>
      </w:r>
      <w:r w:rsidR="00ED0001" w:rsidRPr="005C4356">
        <w:rPr>
          <w:rFonts w:cstheme="minorHAnsi"/>
          <w:sz w:val="24"/>
          <w:szCs w:val="24"/>
        </w:rPr>
        <w:fldChar w:fldCharType="end"/>
      </w:r>
      <w:r w:rsidR="00C4781A" w:rsidRPr="005C4356">
        <w:rPr>
          <w:rFonts w:cstheme="minorHAnsi"/>
          <w:sz w:val="24"/>
          <w:szCs w:val="24"/>
        </w:rPr>
        <w:t xml:space="preserve">. </w:t>
      </w:r>
    </w:p>
    <w:p w14:paraId="38B7154B" w14:textId="4291E226" w:rsidR="00A04E03" w:rsidRPr="005C4356" w:rsidRDefault="00A04E03">
      <w:pPr>
        <w:pStyle w:val="ListParagraph"/>
        <w:numPr>
          <w:ilvl w:val="0"/>
          <w:numId w:val="13"/>
        </w:numPr>
        <w:spacing w:line="360" w:lineRule="auto"/>
        <w:rPr>
          <w:rFonts w:cstheme="minorHAnsi"/>
          <w:sz w:val="24"/>
          <w:szCs w:val="24"/>
        </w:rPr>
      </w:pPr>
      <w:r w:rsidRPr="005C4356">
        <w:rPr>
          <w:rFonts w:cstheme="minorHAnsi"/>
          <w:b/>
          <w:bCs/>
          <w:sz w:val="24"/>
          <w:szCs w:val="24"/>
        </w:rPr>
        <w:t>OTU clustering:</w:t>
      </w:r>
      <w:r w:rsidRPr="005C4356">
        <w:rPr>
          <w:rFonts w:cstheme="minorHAnsi"/>
          <w:sz w:val="24"/>
          <w:szCs w:val="24"/>
        </w:rPr>
        <w:t xml:space="preserve"> </w:t>
      </w:r>
      <w:r w:rsidR="007C1BC3" w:rsidRPr="005C4356">
        <w:rPr>
          <w:rFonts w:cstheme="minorHAnsi"/>
          <w:sz w:val="24"/>
          <w:szCs w:val="24"/>
        </w:rPr>
        <w:t>Operational Taxonomic Unit clustering is a</w:t>
      </w:r>
      <w:r w:rsidR="008003DD" w:rsidRPr="005C4356">
        <w:rPr>
          <w:rFonts w:cstheme="minorHAnsi"/>
          <w:sz w:val="24"/>
          <w:szCs w:val="24"/>
        </w:rPr>
        <w:t xml:space="preserve"> metagenomic analysis</w:t>
      </w:r>
      <w:r w:rsidR="007C1BC3" w:rsidRPr="005C4356">
        <w:rPr>
          <w:rFonts w:cstheme="minorHAnsi"/>
          <w:sz w:val="24"/>
          <w:szCs w:val="24"/>
        </w:rPr>
        <w:t xml:space="preserve"> approach t</w:t>
      </w:r>
      <w:r w:rsidR="008003DD" w:rsidRPr="005C4356">
        <w:rPr>
          <w:rFonts w:cstheme="minorHAnsi"/>
          <w:sz w:val="24"/>
          <w:szCs w:val="24"/>
        </w:rPr>
        <w:t>hat</w:t>
      </w:r>
      <w:r w:rsidR="007C1BC3" w:rsidRPr="005C4356">
        <w:rPr>
          <w:rFonts w:cstheme="minorHAnsi"/>
          <w:sz w:val="24"/>
          <w:szCs w:val="24"/>
        </w:rPr>
        <w:t xml:space="preserve"> categorise</w:t>
      </w:r>
      <w:r w:rsidR="008003DD" w:rsidRPr="005C4356">
        <w:rPr>
          <w:rFonts w:cstheme="minorHAnsi"/>
          <w:sz w:val="24"/>
          <w:szCs w:val="24"/>
        </w:rPr>
        <w:t>s</w:t>
      </w:r>
      <w:r w:rsidR="007C1BC3" w:rsidRPr="005C4356">
        <w:rPr>
          <w:rFonts w:cstheme="minorHAnsi"/>
          <w:sz w:val="24"/>
          <w:szCs w:val="24"/>
        </w:rPr>
        <w:t xml:space="preserve"> bacteria based on sequence similarity, whereby each cluster represents a taxonomic unit of species or genus</w:t>
      </w:r>
      <w:r w:rsidR="001246D5" w:rsidRPr="005C4356">
        <w:rPr>
          <w:rFonts w:cstheme="minorHAnsi"/>
          <w:sz w:val="24"/>
          <w:szCs w:val="24"/>
        </w:rPr>
        <w:t xml:space="preserve">. </w:t>
      </w:r>
    </w:p>
    <w:p w14:paraId="719DABC9" w14:textId="3E677C4E" w:rsidR="007E2968" w:rsidRPr="005C4356" w:rsidRDefault="006B561E">
      <w:pPr>
        <w:pStyle w:val="ListParagraph"/>
        <w:numPr>
          <w:ilvl w:val="0"/>
          <w:numId w:val="13"/>
        </w:numPr>
        <w:spacing w:line="360" w:lineRule="auto"/>
        <w:rPr>
          <w:rFonts w:cstheme="minorHAnsi"/>
          <w:sz w:val="24"/>
          <w:szCs w:val="24"/>
        </w:rPr>
      </w:pPr>
      <w:r w:rsidRPr="005C4356">
        <w:rPr>
          <w:rFonts w:cstheme="minorHAnsi"/>
          <w:b/>
          <w:bCs/>
          <w:sz w:val="24"/>
          <w:szCs w:val="24"/>
        </w:rPr>
        <w:t>ASV analysis:</w:t>
      </w:r>
      <w:r w:rsidRPr="005C4356">
        <w:rPr>
          <w:rFonts w:cstheme="minorHAnsi"/>
          <w:sz w:val="24"/>
          <w:szCs w:val="24"/>
        </w:rPr>
        <w:t xml:space="preserve"> Amplicon Sequence Variant analysis is a metagenomic approach that determines the exact sequences recovered from high throughput gene marker (often 16s rRNA). Rather than clustering, an error model is used to determine the probability of sequence errors. ASVs infer true biological origin as opposed to a clustering approach</w:t>
      </w:r>
    </w:p>
    <w:p w14:paraId="2D4DD9BA" w14:textId="781823B2" w:rsidR="00B301A9" w:rsidRPr="00541066" w:rsidRDefault="003C117D">
      <w:pPr>
        <w:pStyle w:val="Heading1"/>
        <w:numPr>
          <w:ilvl w:val="0"/>
          <w:numId w:val="54"/>
        </w:numPr>
        <w:spacing w:line="360" w:lineRule="auto"/>
        <w:rPr>
          <w:rFonts w:cstheme="majorHAnsi"/>
          <w:b/>
        </w:rPr>
      </w:pPr>
      <w:r w:rsidRPr="00241369">
        <w:br w:type="page"/>
      </w:r>
      <w:bookmarkStart w:id="7" w:name="_Ref105444103"/>
      <w:bookmarkStart w:id="8" w:name="_Toc117765877"/>
      <w:r w:rsidR="00F309E1" w:rsidRPr="00541066">
        <w:rPr>
          <w:rFonts w:cstheme="majorHAnsi"/>
          <w:b/>
        </w:rPr>
        <w:lastRenderedPageBreak/>
        <w:t xml:space="preserve">Chapter </w:t>
      </w:r>
      <w:r w:rsidR="009536B5">
        <w:rPr>
          <w:rFonts w:cstheme="majorHAnsi"/>
          <w:b/>
        </w:rPr>
        <w:t xml:space="preserve">1. </w:t>
      </w:r>
      <w:r w:rsidR="00B301A9" w:rsidRPr="00541066">
        <w:rPr>
          <w:rFonts w:cstheme="majorHAnsi"/>
          <w:b/>
        </w:rPr>
        <w:t>Introduction</w:t>
      </w:r>
      <w:bookmarkEnd w:id="7"/>
      <w:bookmarkEnd w:id="8"/>
    </w:p>
    <w:p w14:paraId="34621151" w14:textId="77777777" w:rsidR="00507365" w:rsidRPr="00241369" w:rsidRDefault="00507365" w:rsidP="00507365">
      <w:pPr>
        <w:pStyle w:val="Heading2"/>
      </w:pPr>
      <w:bookmarkStart w:id="9" w:name="_Toc117765878"/>
      <w:bookmarkStart w:id="10" w:name="_Toc28850810"/>
      <w:bookmarkStart w:id="11" w:name="_Toc28850809"/>
      <w:r w:rsidRPr="00241369">
        <w:t>Chronic cough in children</w:t>
      </w:r>
      <w:bookmarkEnd w:id="9"/>
    </w:p>
    <w:p w14:paraId="313F1B48" w14:textId="77777777" w:rsidR="00507365" w:rsidRDefault="00507365" w:rsidP="00507365">
      <w:pPr>
        <w:spacing w:after="160" w:line="360" w:lineRule="auto"/>
      </w:pPr>
      <w:r w:rsidRPr="00241369">
        <w:t>Chronic cough in children is very common</w:t>
      </w:r>
      <w:r>
        <w:t>,</w:t>
      </w:r>
      <w:r w:rsidRPr="00241369">
        <w:t xml:space="preserve"> with a prevalence of around 13% in one multi-centre study of 7-11 year olds </w:t>
      </w:r>
      <w:r>
        <w:fldChar w:fldCharType="begin"/>
      </w:r>
      <w:r>
        <w:instrText xml:space="preserve"> ADDIN EN.CITE &lt;EndNote&gt;&lt;Cite&gt;&lt;Author&gt;Leonardi&lt;/Author&gt;&lt;Year&gt;2002&lt;/Year&gt;&lt;RecNum&gt;133&lt;/RecNum&gt;&lt;DisplayText&gt;(Leonardi et al., 2002)&lt;/DisplayText&gt;&lt;record&gt;&lt;rec-number&gt;133&lt;/rec-number&gt;&lt;foreign-keys&gt;&lt;key app="EN" db-id="pr9rwt2w8padxcerwx6prd0a9wtda2w5fw2t" timestamp="1629731697"&gt;133&lt;/key&gt;&lt;/foreign-keys&gt;&lt;ref-type name="Journal Article"&gt;17&lt;/ref-type&gt;&lt;contributors&gt;&lt;authors&gt;&lt;author&gt;Leonardi, G.S.&lt;/author&gt;&lt;author&gt;Houthuijs, D.&lt;/author&gt;&lt;author&gt;Nikiforov, B.&lt;/author&gt;&lt;author&gt;Volf, J.&lt;/author&gt;&lt;author&gt;Rudnai, P.&lt;/author&gt;&lt;author&gt;Zejda, J.&lt;/author&gt;&lt;author&gt;Gurzau, E.&lt;/author&gt;&lt;author&gt;Fabianova, E.&lt;/author&gt;&lt;author&gt;Fletcher, T.&lt;/author&gt;&lt;author&gt;Brunekreef, B.&lt;/author&gt;&lt;/authors&gt;&lt;/contributors&gt;&lt;titles&gt;&lt;title&gt;Respiratory symptoms, bronchitis and asthma in children of Central and Eastern Europe&lt;/title&gt;&lt;secondary-title&gt;European Respiratory Journal&lt;/secondary-title&gt;&lt;/titles&gt;&lt;periodical&gt;&lt;full-title&gt;European Respiratory Journal&lt;/full-title&gt;&lt;/periodical&gt;&lt;pages&gt;890-898&lt;/pages&gt;&lt;volume&gt;20&lt;/volume&gt;&lt;number&gt;4&lt;/number&gt;&lt;dates&gt;&lt;year&gt;2002&lt;/year&gt;&lt;/dates&gt;&lt;urls&gt;&lt;related-urls&gt;&lt;url&gt;https://erj.ersjournals.com/content/erj/20/4/890.full.pdf&lt;/url&gt;&lt;/related-urls&gt;&lt;/urls&gt;&lt;electronic-resource-num&gt;10.1183/09031936.02.00260802&lt;/electronic-resource-num&gt;&lt;/record&gt;&lt;/Cite&gt;&lt;/EndNote&gt;</w:instrText>
      </w:r>
      <w:r>
        <w:fldChar w:fldCharType="separate"/>
      </w:r>
      <w:r>
        <w:rPr>
          <w:noProof/>
        </w:rPr>
        <w:t>(Leonardi et al., 2002)</w:t>
      </w:r>
      <w:r>
        <w:fldChar w:fldCharType="end"/>
      </w:r>
      <w:r w:rsidRPr="00241369">
        <w:t xml:space="preserve">. It causes significant worry, stress and sleepless nights for parents and can affect their reporting of the burden of illness </w:t>
      </w:r>
      <w:r>
        <w:fldChar w:fldCharType="begin">
          <w:fldData xml:space="preserve">PEVuZE5vdGU+PENpdGU+PEF1dGhvcj5NYXJjaGFudDwvQXV0aG9yPjxZZWFyPjIwMDg8L1llYXI+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PEVuZE5vdGU+PENpdGU+PEF1dGhvcj5NYXJjaGFudDwvQXV0aG9yPjxZZWFyPjIwMDg8L1llYXI+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(Marchant et al., 2008)</w:t>
      </w:r>
      <w:r>
        <w:fldChar w:fldCharType="end"/>
      </w:r>
      <w:r w:rsidRPr="00241369">
        <w:t xml:space="preserve">. Of 190 children referred to a tertiary centre in Australia, &gt;80% had sought medical advice on 5 or more occasions over the past 12-months making it a </w:t>
      </w:r>
      <w:r>
        <w:t xml:space="preserve">very </w:t>
      </w:r>
      <w:r w:rsidRPr="00241369">
        <w:t xml:space="preserve">common presenting complaint </w:t>
      </w:r>
      <w:r>
        <w:fldChar w:fldCharType="begin">
          <w:fldData xml:space="preserve">PEVuZE5vdGU+PENpdGU+PEF1dGhvcj5NYXJjaGFudDwvQXV0aG9yPjxZZWFyPjIwMDg8L1llYXI+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</w:fldData>
        </w:fldChar>
      </w:r>
      <w:r>
        <w:instrText xml:space="preserve"> ADDIN EN.CITE </w:instrText>
      </w:r>
      <w:r>
        <w:fldChar w:fldCharType="begin">
          <w:fldData xml:space="preserve">PEVuZE5vdGU+PENpdGU+PEF1dGhvcj5NYXJjaGFudDwvQXV0aG9yPjxZZWFyPjIwMDg8L1llYXI+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</w:fldData>
        </w:fldChar>
      </w:r>
      <w:r>
        <w:instrText xml:space="preserve"> ADDIN EN.CITE.DATA </w:instrText>
      </w:r>
      <w:r>
        <w:fldChar w:fldCharType="end"/>
      </w:r>
      <w:r>
        <w:fldChar w:fldCharType="separate"/>
      </w:r>
      <w:r>
        <w:rPr>
          <w:noProof/>
        </w:rPr>
        <w:t>(Marchant et al., 2008)</w:t>
      </w:r>
      <w:r>
        <w:fldChar w:fldCharType="end"/>
      </w:r>
      <w:r w:rsidRPr="00241369">
        <w:t xml:space="preserve">. The commonest causes in children include asthma, protracted bacterial bronchitis (PBB), gastro-oesophageal </w:t>
      </w:r>
      <w:r>
        <w:t xml:space="preserve">reflux </w:t>
      </w:r>
      <w:r w:rsidRPr="00241369">
        <w:t>disease and tuberculosis</w:t>
      </w:r>
      <w:r>
        <w:t>,</w:t>
      </w:r>
      <w:r w:rsidRPr="00241369">
        <w:t xml:space="preserve"> depending on the population studied.</w:t>
      </w:r>
    </w:p>
    <w:p w14:paraId="5D065E3D" w14:textId="4E630BC3" w:rsidR="00507365" w:rsidRDefault="00507365" w:rsidP="00507365">
      <w:pPr>
        <w:spacing w:line="360" w:lineRule="auto"/>
      </w:pPr>
      <w:r w:rsidRPr="000044FE">
        <w:t xml:space="preserve">Guidelines for the investigation and management of chronic cough in children have recently been published by the European Respiratory Society </w:t>
      </w:r>
      <w:r w:rsidRPr="000044FE">
        <w:fldChar w:fldCharType="begin"/>
      </w:r>
      <w:r>
        <w:instrText xml:space="preserve"> ADDIN EN.CITE &lt;EndNote&gt;&lt;Cite&gt;&lt;Author&gt;Morice&lt;/Author&gt;&lt;Year&gt;2020&lt;/Year&gt;&lt;RecNum&gt;359&lt;/RecNum&gt;&lt;DisplayText&gt;(Morice et al., 2020)&lt;/DisplayText&gt;&lt;record&gt;&lt;rec-number&gt;359&lt;/rec-number&gt;&lt;foreign-keys&gt;&lt;key app="EN" db-id="pr9rwt2w8padxcerwx6prd0a9wtda2w5fw2t" timestamp="1629808168"&gt;359&lt;/key&gt;&lt;/foreign-keys&gt;&lt;ref-type name="Journal Article"&gt;17&lt;/ref-type&gt;&lt;contributors&gt;&lt;authors&gt;&lt;author&gt;Morice, Alyn H.&lt;/author&gt;&lt;author&gt;Millqvist, Eva&lt;/author&gt;&lt;author&gt;Bieksiene, Kristina&lt;/author&gt;&lt;author&gt;Birring, Surinder S.&lt;/author&gt;&lt;author&gt;Dicpinigaitis, Peter&lt;/author&gt;&lt;author&gt;Domingo Ribas, Christian&lt;/author&gt;&lt;author&gt;Hilton Boon, Michele&lt;/author&gt;&lt;author&gt;Kantar, Ahmad&lt;/author&gt;&lt;author&gt;Lai, Kefang&lt;/author&gt;&lt;author&gt;McGarvey, Lorcan&lt;/author&gt;&lt;author&gt;Rigau, David&lt;/author&gt;&lt;author&gt;Satia, Imran&lt;/author&gt;&lt;author&gt;Smith, Jacky&lt;/author&gt;&lt;author&gt;Song, Woo-Jung&lt;/author&gt;&lt;author&gt;Tonia, Thomy&lt;/author&gt;&lt;author&gt;van den Berg, Jan W.K.&lt;/author&gt;&lt;author&gt;van Manen, Mirjam J.G.&lt;/author&gt;&lt;author&gt;Zacharasiewicz, Angela&lt;/author&gt;&lt;/authors&gt;&lt;/contributors&gt;&lt;titles&gt;&lt;title&gt;ERS guidelines on the diagnosis and treatment of chronic cough in adults and children&lt;/title&gt;&lt;secondary-title&gt;European Respiratory Journal&lt;/secondary-title&gt;&lt;/titles&gt;&lt;periodical&gt;&lt;full-title&gt;European Respiratory Journal&lt;/full-title&gt;&lt;/periodical&gt;&lt;pages&gt;1901136&lt;/pages&gt;&lt;volume&gt;55&lt;/volume&gt;&lt;number&gt;1&lt;/number&gt;&lt;dates&gt;&lt;year&gt;2020&lt;/year&gt;&lt;/dates&gt;&lt;urls&gt;&lt;related-urls&gt;&lt;url&gt;https://erj.ersjournals.com/content/erj/55/1/1901136.full.pdf&lt;/url&gt;&lt;/related-urls&gt;&lt;/urls&gt;&lt;electronic-resource-num&gt;10.1183/13993003.01136-2019&lt;/electronic-resource-num&gt;&lt;/record&gt;&lt;/Cite&gt;&lt;/EndNote&gt;</w:instrText>
      </w:r>
      <w:r w:rsidRPr="000044FE">
        <w:fldChar w:fldCharType="separate"/>
      </w:r>
      <w:r>
        <w:rPr>
          <w:noProof/>
        </w:rPr>
        <w:t>(Morice et al., 2020)</w:t>
      </w:r>
      <w:r w:rsidRPr="000044FE">
        <w:fldChar w:fldCharType="end"/>
      </w:r>
      <w:r w:rsidRPr="000044FE">
        <w:t xml:space="preserve">. </w:t>
      </w:r>
      <w:r>
        <w:t>These state that, f</w:t>
      </w:r>
      <w:r w:rsidRPr="000044FE">
        <w:t>ollowing a detailed history and examination for signs and symptoms of specific disease</w:t>
      </w:r>
      <w:r>
        <w:t>,</w:t>
      </w:r>
      <w:r w:rsidRPr="000044FE">
        <w:t xml:space="preserve"> a chest radiograph and spirometry (if older than 5 years) should be performed. If no specific pointers of disease are identified, the cough should be categorised as either wet or dry. If wet, a sputum sample should be obtained</w:t>
      </w:r>
      <w:r>
        <w:t xml:space="preserve"> i</w:t>
      </w:r>
      <w:r w:rsidR="00950353">
        <w:t>f</w:t>
      </w:r>
      <w:r>
        <w:t xml:space="preserve"> possible</w:t>
      </w:r>
      <w:r w:rsidRPr="000044FE">
        <w:t>, and antibiotics started to treat for possible protracted bacterial bronchitis.</w:t>
      </w:r>
    </w:p>
    <w:p w14:paraId="585A3621" w14:textId="77777777" w:rsidR="00507365" w:rsidRPr="00241369" w:rsidRDefault="00507365" w:rsidP="00507365">
      <w:pPr>
        <w:spacing w:line="360" w:lineRule="auto"/>
      </w:pPr>
    </w:p>
    <w:p w14:paraId="2E864F53" w14:textId="77777777" w:rsidR="00C320B6" w:rsidRPr="00241369" w:rsidRDefault="00C320B6" w:rsidP="00C320B6">
      <w:pPr>
        <w:pStyle w:val="Heading2"/>
      </w:pPr>
      <w:bookmarkStart w:id="12" w:name="_Toc117765879"/>
      <w:r w:rsidRPr="00241369">
        <w:t>Protracted bacterial bronchitis</w:t>
      </w:r>
      <w:bookmarkEnd w:id="12"/>
    </w:p>
    <w:p w14:paraId="719DEE14" w14:textId="6307094F" w:rsidR="00C320B6" w:rsidRPr="009043C6" w:rsidRDefault="00C320B6" w:rsidP="00C320B6">
      <w:pPr>
        <w:spacing w:line="360" w:lineRule="auto"/>
        <w:rPr>
          <w:color w:val="000000" w:themeColor="text1"/>
        </w:rPr>
      </w:pPr>
      <w:r>
        <w:t>Protracted bacterial bronchitis (</w:t>
      </w:r>
      <w:r w:rsidRPr="00241369">
        <w:t>PBB</w:t>
      </w:r>
      <w:r>
        <w:t>)</w:t>
      </w:r>
      <w:r w:rsidRPr="00241369">
        <w:t xml:space="preserve"> is characterised by an isolated wet cough, growth of respiratory pathogens</w:t>
      </w:r>
      <w:r>
        <w:t xml:space="preserve"> (which may require bronchoalveolar lavage in children, hence not always proven)</w:t>
      </w:r>
      <w:r w:rsidRPr="00241369">
        <w:t xml:space="preserve"> and response to 2-4 weeks of appropriate oral antibiotics. It is most often described in pre-school children although it may be diagnosed in those over 12-years, and has been identified as the commonest cause of chronic cough in younger children referred to paediatric hospital specialists, accounting for up to 40% of cases</w:t>
      </w:r>
      <w:r>
        <w:t xml:space="preserve"> </w:t>
      </w:r>
      <w:r>
        <w:fldChar w:fldCharType="begin"/>
      </w:r>
      <w:r>
        <w:instrText xml:space="preserve"> ADDIN EN.CITE &lt;EndNote&gt;&lt;Cite&gt;&lt;Author&gt;Marchant&lt;/Author&gt;&lt;Year&gt;2006&lt;/Year&gt;&lt;RecNum&gt;4&lt;/RecNum&gt;&lt;DisplayText&gt;(Marchant et al., 2006)&lt;/DisplayText&gt;&lt;record&gt;&lt;rec-number&gt;4&lt;/rec-number&gt;&lt;foreign-keys&gt;&lt;key app="EN" db-id="z50rresss5e5vfe0s2qpewtuxsprsrse5fff" timestamp="1560936383"&gt;4&lt;/key&gt;&lt;/foreign-keys&gt;&lt;ref-type name="Journal Article"&gt;17&lt;/ref-type&gt;&lt;contributors&gt;&lt;authors&gt;&lt;author&gt;Marchant, J. M.&lt;/author&gt;&lt;author&gt;Masters, I. B.&lt;/author&gt;&lt;author&gt;Taylor, S. M.&lt;/author&gt;&lt;author&gt;Cox, N. C.&lt;/author&gt;&lt;author&gt;Seymour, G. J.&lt;/author&gt;&lt;author&gt;Chang, A. B.&lt;/author&gt;&lt;/authors&gt;&lt;/contributors&gt;&lt;auth-address&gt;Department of Respiratory Medicine, Royal Children&amp;apos;s Hospital, Herston 4029, QLD, Australia. Julie_Marchant@health.qld.gov.au&lt;/auth-address&gt;&lt;titles&gt;&lt;title&gt;Evaluation and outcome of young children with chronic cough&lt;/title&gt;&lt;secondary-title&gt;Chest&lt;/secondary-title&gt;&lt;/titles&gt;&lt;periodical&gt;&lt;full-title&gt;Chest&lt;/full-title&gt;&lt;/periodical&gt;&lt;pages&gt;1132-41&lt;/pages&gt;&lt;volume&gt;129&lt;/volume&gt;&lt;number&gt;5&lt;/number&gt;&lt;edition&gt;2006/05/11&lt;/edition&gt;&lt;keywords&gt;&lt;keyword&gt;Algorithms&lt;/keyword&gt;&lt;keyword&gt;Bronchitis/complications/diagnosis&lt;/keyword&gt;&lt;keyword&gt;Bronchoalveolar Lavage Fluid/cytology&lt;/keyword&gt;&lt;keyword&gt;Bronchoscopy&lt;/keyword&gt;&lt;keyword&gt;Child&lt;/keyword&gt;&lt;keyword&gt;Child, Preschool&lt;/keyword&gt;&lt;keyword&gt;Chronic Disease&lt;/keyword&gt;&lt;keyword&gt;Cough/*diagnosis/etiology&lt;/keyword&gt;&lt;keyword&gt;Diagnosis, Differential&lt;/keyword&gt;&lt;keyword&gt;Female&lt;/keyword&gt;&lt;keyword&gt;Follow-Up Studies&lt;/keyword&gt;&lt;keyword&gt;Gastroesophageal Reflux/complications/diagnosis&lt;/keyword&gt;&lt;keyword&gt;Humans&lt;/keyword&gt;&lt;keyword&gt;Infant&lt;/keyword&gt;&lt;keyword&gt;Male&lt;/keyword&gt;&lt;keyword&gt;Prospective Studies&lt;/keyword&gt;&lt;/keywords&gt;&lt;dates&gt;&lt;year&gt;2006&lt;/year&gt;&lt;pub-dates&gt;&lt;date&gt;May&lt;/date&gt;&lt;/pub-dates&gt;&lt;/dates&gt;&lt;isbn&gt;0012-3692 (Print)&amp;#xD;0012-3692&lt;/isbn&gt;&lt;accession-num&gt;16685002&lt;/accession-num&gt;&lt;urls&gt;&lt;/urls&gt;&lt;electronic-resource-num&gt;10.1378/chest.129.5.1132&lt;/electronic-resource-num&gt;&lt;remote-database-provider&gt;NLM&lt;/remote-database-provider&gt;&lt;language&gt;eng&lt;/language&gt;&lt;/record&gt;&lt;/Cite&gt;&lt;/EndNote&gt;</w:instrText>
      </w:r>
      <w:r>
        <w:fldChar w:fldCharType="separate"/>
      </w:r>
      <w:r>
        <w:rPr>
          <w:noProof/>
        </w:rPr>
        <w:t>(Marchant et al., 2006)</w:t>
      </w:r>
      <w:r>
        <w:fldChar w:fldCharType="end"/>
      </w:r>
      <w:r w:rsidRPr="00241369">
        <w:t xml:space="preserve">. PBB may be defined by one of three sets of criteria; clinical PBB, microbiological PBB and extended PBB </w:t>
      </w:r>
      <w:r w:rsidRPr="00C735E9">
        <w:t>(</w:t>
      </w:r>
      <w:r w:rsidRPr="00301FB2">
        <w:fldChar w:fldCharType="begin"/>
      </w:r>
      <w:r w:rsidRPr="00301FB2">
        <w:instrText xml:space="preserve"> REF _Ref105525693 \h  \* MERGEFORMAT </w:instrText>
      </w:r>
      <w:r w:rsidRPr="00301FB2">
        <w:fldChar w:fldCharType="separate"/>
      </w:r>
      <w:r w:rsidR="009043C6" w:rsidRPr="009043C6">
        <w:rPr>
          <w:color w:val="000000" w:themeColor="text1"/>
        </w:rPr>
        <w:t xml:space="preserve">Table </w:t>
      </w:r>
      <w:r w:rsidR="009043C6" w:rsidRPr="009043C6">
        <w:rPr>
          <w:noProof/>
          <w:color w:val="000000" w:themeColor="text1"/>
        </w:rPr>
        <w:t>1</w:t>
      </w:r>
      <w:r w:rsidRPr="00301FB2">
        <w:fldChar w:fldCharType="end"/>
      </w:r>
      <w:r w:rsidRPr="00241369">
        <w:t>). A suggested pathway for diagnosis is provided by the European Respiratory Society statement on PBB (</w:t>
      </w:r>
      <w:r w:rsidRPr="009043C6">
        <w:fldChar w:fldCharType="begin"/>
      </w:r>
      <w:r w:rsidRPr="009043C6">
        <w:instrText xml:space="preserve"> REF _Ref105444275 \h  \* MERGEFORMAT </w:instrText>
      </w:r>
      <w:r w:rsidRPr="009043C6">
        <w:fldChar w:fldCharType="separate"/>
      </w:r>
      <w:r w:rsidR="009043C6" w:rsidRPr="009043C6">
        <w:rPr>
          <w:noProof/>
          <w:color w:val="000000" w:themeColor="text1"/>
        </w:rPr>
        <w:t>Figure 1</w:t>
      </w:r>
      <w:r w:rsidR="009043C6" w:rsidRPr="009043C6">
        <w:rPr>
          <w:color w:val="000000" w:themeColor="text1"/>
        </w:rPr>
        <w:noBreakHyphen/>
      </w:r>
      <w:r w:rsidR="009043C6" w:rsidRPr="009043C6">
        <w:rPr>
          <w:noProof/>
          <w:color w:val="000000" w:themeColor="text1"/>
        </w:rPr>
        <w:t>1</w:t>
      </w:r>
      <w:r w:rsidRPr="009043C6">
        <w:fldChar w:fldCharType="end"/>
      </w:r>
      <w:r w:rsidRPr="00C735E9">
        <w:t>)</w:t>
      </w:r>
      <w:r w:rsidRPr="00377BEB">
        <w:t>.</w:t>
      </w:r>
    </w:p>
    <w:p w14:paraId="52C367AE" w14:textId="77777777" w:rsidR="00C320B6" w:rsidRPr="000742AF" w:rsidRDefault="00C320B6" w:rsidP="00C320B6">
      <w:pPr>
        <w:spacing w:line="360" w:lineRule="auto"/>
      </w:pPr>
    </w:p>
    <w:p w14:paraId="2D6D6623" w14:textId="32B11D49" w:rsidR="00C320B6" w:rsidRPr="00AF1292" w:rsidRDefault="00C320B6" w:rsidP="00C320B6">
      <w:pPr>
        <w:pStyle w:val="Caption"/>
        <w:keepNext/>
        <w:rPr>
          <w:i w:val="0"/>
          <w:iCs w:val="0"/>
          <w:color w:val="000000" w:themeColor="text1"/>
          <w:sz w:val="24"/>
          <w:szCs w:val="24"/>
        </w:rPr>
      </w:pPr>
      <w:bookmarkStart w:id="13" w:name="_Ref105525693"/>
      <w:bookmarkStart w:id="14" w:name="_Toc117780242"/>
      <w:r w:rsidRPr="00AF1292">
        <w:rPr>
          <w:b/>
          <w:bCs/>
          <w:i w:val="0"/>
          <w:iCs w:val="0"/>
          <w:color w:val="000000" w:themeColor="text1"/>
          <w:sz w:val="24"/>
          <w:szCs w:val="24"/>
        </w:rPr>
        <w:lastRenderedPageBreak/>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sidR="009043C6">
        <w:rPr>
          <w:b/>
          <w:bCs/>
          <w:i w:val="0"/>
          <w:iCs w:val="0"/>
          <w:noProof/>
          <w:color w:val="000000" w:themeColor="text1"/>
          <w:sz w:val="24"/>
          <w:szCs w:val="24"/>
        </w:rPr>
        <w:t>1</w:t>
      </w:r>
      <w:r>
        <w:rPr>
          <w:b/>
          <w:bCs/>
          <w:i w:val="0"/>
          <w:iCs w:val="0"/>
          <w:color w:val="000000" w:themeColor="text1"/>
          <w:sz w:val="24"/>
          <w:szCs w:val="24"/>
        </w:rPr>
        <w:fldChar w:fldCharType="end"/>
      </w:r>
      <w:bookmarkEnd w:id="13"/>
      <w:r w:rsidRPr="00AF1292">
        <w:rPr>
          <w:b/>
          <w:bCs/>
          <w:i w:val="0"/>
          <w:iCs w:val="0"/>
          <w:color w:val="000000" w:themeColor="text1"/>
          <w:sz w:val="24"/>
          <w:szCs w:val="24"/>
        </w:rPr>
        <w:t>:</w:t>
      </w:r>
      <w:r w:rsidRPr="00AF1292">
        <w:rPr>
          <w:i w:val="0"/>
          <w:iCs w:val="0"/>
          <w:color w:val="000000" w:themeColor="text1"/>
          <w:sz w:val="24"/>
          <w:szCs w:val="24"/>
        </w:rPr>
        <w:t xml:space="preserve"> Diagnostic classification of PBB (Kantar et al., 2017)</w:t>
      </w:r>
      <w:bookmarkEnd w:id="14"/>
    </w:p>
    <w:tbl>
      <w:tblPr>
        <w:tblW w:w="93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2708"/>
        <w:gridCol w:w="2967"/>
        <w:gridCol w:w="2481"/>
      </w:tblGrid>
      <w:tr w:rsidR="00C320B6" w:rsidRPr="008F33C8" w14:paraId="092F2774" w14:textId="77777777" w:rsidTr="00F96262">
        <w:trPr>
          <w:trHeight w:val="494"/>
        </w:trPr>
        <w:tc>
          <w:tcPr>
            <w:tcW w:w="1181" w:type="dxa"/>
            <w:shd w:val="clear" w:color="auto" w:fill="DEEAF6"/>
          </w:tcPr>
          <w:p w14:paraId="58F42414" w14:textId="77777777" w:rsidR="00C320B6" w:rsidRPr="008F33C8" w:rsidRDefault="00C320B6" w:rsidP="00F96262">
            <w:pPr>
              <w:spacing w:line="288" w:lineRule="auto"/>
            </w:pPr>
            <w:r w:rsidRPr="008F33C8">
              <w:t>PBB Definition</w:t>
            </w:r>
          </w:p>
        </w:tc>
        <w:tc>
          <w:tcPr>
            <w:tcW w:w="2717" w:type="dxa"/>
            <w:shd w:val="clear" w:color="auto" w:fill="DEEAF6"/>
          </w:tcPr>
          <w:p w14:paraId="29190B87" w14:textId="77777777" w:rsidR="00C320B6" w:rsidRPr="008F33C8" w:rsidRDefault="00C320B6" w:rsidP="00F96262">
            <w:pPr>
              <w:spacing w:line="288" w:lineRule="auto"/>
            </w:pPr>
            <w:r w:rsidRPr="008B30F0">
              <w:rPr>
                <w:b/>
                <w:bCs/>
              </w:rPr>
              <w:t xml:space="preserve">Clinical </w:t>
            </w:r>
            <w:r w:rsidRPr="008F33C8">
              <w:t>PBB</w:t>
            </w:r>
          </w:p>
        </w:tc>
        <w:tc>
          <w:tcPr>
            <w:tcW w:w="2975" w:type="dxa"/>
            <w:shd w:val="clear" w:color="auto" w:fill="DEEAF6"/>
          </w:tcPr>
          <w:p w14:paraId="40DC01F9" w14:textId="77777777" w:rsidR="00C320B6" w:rsidRPr="008F33C8" w:rsidRDefault="00C320B6" w:rsidP="00F96262">
            <w:pPr>
              <w:spacing w:line="288" w:lineRule="auto"/>
            </w:pPr>
            <w:r w:rsidRPr="008B30F0">
              <w:rPr>
                <w:b/>
                <w:bCs/>
              </w:rPr>
              <w:t>Microbiological</w:t>
            </w:r>
            <w:r w:rsidRPr="008F33C8">
              <w:t xml:space="preserve"> PBB</w:t>
            </w:r>
          </w:p>
        </w:tc>
        <w:tc>
          <w:tcPr>
            <w:tcW w:w="2486" w:type="dxa"/>
            <w:shd w:val="clear" w:color="auto" w:fill="DEEAF6"/>
          </w:tcPr>
          <w:p w14:paraId="534495AE" w14:textId="77777777" w:rsidR="00C320B6" w:rsidRPr="008F33C8" w:rsidRDefault="00C320B6" w:rsidP="00F96262">
            <w:pPr>
              <w:spacing w:line="288" w:lineRule="auto"/>
            </w:pPr>
            <w:r w:rsidRPr="008B30F0">
              <w:rPr>
                <w:b/>
                <w:bCs/>
              </w:rPr>
              <w:t>Extended</w:t>
            </w:r>
            <w:r w:rsidRPr="008F33C8">
              <w:t xml:space="preserve"> PBB</w:t>
            </w:r>
          </w:p>
        </w:tc>
      </w:tr>
      <w:tr w:rsidR="00C320B6" w:rsidRPr="008F33C8" w14:paraId="4543AC24" w14:textId="77777777" w:rsidTr="00F96262">
        <w:trPr>
          <w:trHeight w:val="1266"/>
        </w:trPr>
        <w:tc>
          <w:tcPr>
            <w:tcW w:w="1181" w:type="dxa"/>
          </w:tcPr>
          <w:p w14:paraId="71094E8D" w14:textId="77777777" w:rsidR="00C320B6" w:rsidRPr="008F33C8" w:rsidRDefault="00C320B6" w:rsidP="00F96262">
            <w:pPr>
              <w:spacing w:line="288" w:lineRule="auto"/>
            </w:pPr>
            <w:r w:rsidRPr="008F33C8">
              <w:t>Clinical Criteria</w:t>
            </w:r>
          </w:p>
        </w:tc>
        <w:tc>
          <w:tcPr>
            <w:tcW w:w="2717" w:type="dxa"/>
          </w:tcPr>
          <w:p w14:paraId="0D176705" w14:textId="77777777" w:rsidR="00C320B6" w:rsidRPr="008F33C8" w:rsidRDefault="00C320B6" w:rsidP="00F96262">
            <w:pPr>
              <w:spacing w:line="288" w:lineRule="auto"/>
            </w:pPr>
            <w:r w:rsidRPr="008F33C8">
              <w:t xml:space="preserve">•Chronic wet cough </w:t>
            </w:r>
          </w:p>
          <w:p w14:paraId="55D7DE97" w14:textId="77777777" w:rsidR="00C320B6" w:rsidRPr="008F33C8" w:rsidRDefault="00C320B6" w:rsidP="00F96262">
            <w:pPr>
              <w:spacing w:line="288" w:lineRule="auto"/>
            </w:pPr>
            <w:r w:rsidRPr="008F33C8">
              <w:t>&gt; 4 weeks</w:t>
            </w:r>
          </w:p>
          <w:p w14:paraId="55833466" w14:textId="77777777" w:rsidR="00C320B6" w:rsidRPr="008F33C8" w:rsidRDefault="00C320B6" w:rsidP="00F96262">
            <w:pPr>
              <w:spacing w:line="288" w:lineRule="auto"/>
            </w:pPr>
            <w:r w:rsidRPr="008F33C8">
              <w:t>•Absence of signs of other causes</w:t>
            </w:r>
          </w:p>
          <w:p w14:paraId="257E1C53" w14:textId="77777777" w:rsidR="00C320B6" w:rsidRPr="008F33C8" w:rsidRDefault="00C320B6" w:rsidP="00F96262">
            <w:pPr>
              <w:spacing w:line="288" w:lineRule="auto"/>
            </w:pPr>
            <w:r w:rsidRPr="008F33C8">
              <w:t>•Cough resolves with 2 weeks of appropriate oral antibiotic treatment</w:t>
            </w:r>
          </w:p>
        </w:tc>
        <w:tc>
          <w:tcPr>
            <w:tcW w:w="2975" w:type="dxa"/>
          </w:tcPr>
          <w:p w14:paraId="72116BE0" w14:textId="77777777" w:rsidR="00C320B6" w:rsidRPr="008F33C8" w:rsidRDefault="00C320B6" w:rsidP="00F96262">
            <w:pPr>
              <w:spacing w:line="288" w:lineRule="auto"/>
            </w:pPr>
            <w:r w:rsidRPr="008F33C8">
              <w:t>•Chronic wet cough &gt; 4 weeks</w:t>
            </w:r>
          </w:p>
          <w:p w14:paraId="21645468" w14:textId="77777777" w:rsidR="00C320B6" w:rsidRPr="008F33C8" w:rsidRDefault="00C320B6" w:rsidP="00F96262">
            <w:pPr>
              <w:spacing w:line="288" w:lineRule="auto"/>
            </w:pPr>
            <w:r w:rsidRPr="008F33C8">
              <w:t xml:space="preserve">•Lower airway infection </w:t>
            </w:r>
            <w:r>
              <w:t>(</w:t>
            </w:r>
            <w:r w:rsidRPr="008F33C8">
              <w:t>isolation of a single bacterial species greater 10</w:t>
            </w:r>
            <w:r w:rsidRPr="008F33C8">
              <w:rPr>
                <w:vertAlign w:val="superscript"/>
              </w:rPr>
              <w:t>4</w:t>
            </w:r>
            <w:r w:rsidRPr="008F33C8">
              <w:t xml:space="preserve"> colony-forming units/ml in sputum or BAL</w:t>
            </w:r>
            <w:r>
              <w:t>)</w:t>
            </w:r>
          </w:p>
          <w:p w14:paraId="2106E024" w14:textId="77777777" w:rsidR="00C320B6" w:rsidRPr="008F33C8" w:rsidRDefault="00C320B6" w:rsidP="00F96262">
            <w:pPr>
              <w:spacing w:line="288" w:lineRule="auto"/>
            </w:pPr>
            <w:r w:rsidRPr="008F33C8">
              <w:t>•Cough resolves with 2 weeks of appropriate oral antibiotic</w:t>
            </w:r>
          </w:p>
        </w:tc>
        <w:tc>
          <w:tcPr>
            <w:tcW w:w="2486" w:type="dxa"/>
          </w:tcPr>
          <w:p w14:paraId="1FD18E10" w14:textId="77777777" w:rsidR="00C320B6" w:rsidRPr="008F33C8" w:rsidRDefault="00C320B6" w:rsidP="00F96262">
            <w:pPr>
              <w:spacing w:line="288" w:lineRule="auto"/>
            </w:pPr>
            <w:r w:rsidRPr="008F33C8">
              <w:t xml:space="preserve">•PBB clinical or PBB microbiological but cough resolves after 4 weeks of </w:t>
            </w:r>
            <w:r>
              <w:t xml:space="preserve">oral </w:t>
            </w:r>
            <w:r w:rsidRPr="008F33C8">
              <w:t>antibiotics.</w:t>
            </w:r>
          </w:p>
        </w:tc>
      </w:tr>
    </w:tbl>
    <w:p w14:paraId="502FC0FC" w14:textId="2F9911F1" w:rsidR="00C320B6" w:rsidRDefault="00C320B6" w:rsidP="00C320B6">
      <w:pPr>
        <w:spacing w:line="360" w:lineRule="auto"/>
        <w:rPr>
          <w:bCs/>
        </w:rPr>
      </w:pPr>
    </w:p>
    <w:p w14:paraId="1E521DF3" w14:textId="4F53AD1F" w:rsidR="00BD3B7E" w:rsidRDefault="00BD3B7E" w:rsidP="00C320B6">
      <w:pPr>
        <w:spacing w:line="360" w:lineRule="auto"/>
        <w:rPr>
          <w:bCs/>
        </w:rPr>
      </w:pPr>
    </w:p>
    <w:p w14:paraId="582560CB" w14:textId="17DB3CAE" w:rsidR="00BD3B7E" w:rsidRDefault="00BD3B7E" w:rsidP="00C320B6">
      <w:pPr>
        <w:spacing w:line="360" w:lineRule="auto"/>
        <w:rPr>
          <w:bCs/>
        </w:rPr>
      </w:pPr>
    </w:p>
    <w:p w14:paraId="50B39AC7" w14:textId="3ABA433C" w:rsidR="00BD3B7E" w:rsidRDefault="00BD3B7E" w:rsidP="00C320B6">
      <w:pPr>
        <w:spacing w:line="360" w:lineRule="auto"/>
        <w:rPr>
          <w:bCs/>
        </w:rPr>
      </w:pPr>
    </w:p>
    <w:p w14:paraId="16B21C0E" w14:textId="00AAFC7A" w:rsidR="00BD3B7E" w:rsidRDefault="00BD3B7E" w:rsidP="00C320B6">
      <w:pPr>
        <w:spacing w:line="360" w:lineRule="auto"/>
        <w:rPr>
          <w:bCs/>
        </w:rPr>
      </w:pPr>
    </w:p>
    <w:p w14:paraId="3AA476CA" w14:textId="5908A3BE" w:rsidR="00BD3B7E" w:rsidRDefault="00BD3B7E" w:rsidP="00C320B6">
      <w:pPr>
        <w:spacing w:line="360" w:lineRule="auto"/>
        <w:rPr>
          <w:bCs/>
        </w:rPr>
      </w:pPr>
    </w:p>
    <w:p w14:paraId="3B7E9FD1" w14:textId="5F13F59A" w:rsidR="00BD3B7E" w:rsidRDefault="00BD3B7E" w:rsidP="00C320B6">
      <w:pPr>
        <w:spacing w:line="360" w:lineRule="auto"/>
        <w:rPr>
          <w:bCs/>
        </w:rPr>
      </w:pPr>
    </w:p>
    <w:p w14:paraId="1BC1F30F" w14:textId="77777777" w:rsidR="00BD3B7E" w:rsidRPr="00241369" w:rsidRDefault="00BD3B7E" w:rsidP="00C320B6">
      <w:pPr>
        <w:spacing w:line="360" w:lineRule="auto"/>
        <w:rPr>
          <w:bCs/>
        </w:rPr>
      </w:pPr>
    </w:p>
    <w:p w14:paraId="530B7091" w14:textId="736AA875" w:rsidR="00C320B6" w:rsidRDefault="00C320B6" w:rsidP="00C320B6">
      <w:pPr>
        <w:keepNext/>
        <w:spacing w:line="360" w:lineRule="auto"/>
      </w:pPr>
      <w:r w:rsidRPr="00241369">
        <w:rPr>
          <w:noProof/>
        </w:rPr>
        <w:lastRenderedPageBreak/>
        <w:drawing>
          <wp:inline distT="0" distB="0" distL="0" distR="0" wp14:anchorId="41ADC0EE" wp14:editId="705C6013">
            <wp:extent cx="5742957" cy="328612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832" cy="3289487"/>
                    </a:xfrm>
                    <a:prstGeom prst="rect">
                      <a:avLst/>
                    </a:prstGeom>
                    <a:noFill/>
                  </pic:spPr>
                </pic:pic>
              </a:graphicData>
            </a:graphic>
          </wp:inline>
        </w:drawing>
      </w:r>
    </w:p>
    <w:p w14:paraId="78EA4F87" w14:textId="77777777" w:rsidR="00C320B6" w:rsidRDefault="00C320B6" w:rsidP="00C320B6">
      <w:pPr>
        <w:pStyle w:val="Caption"/>
        <w:rPr>
          <w:b/>
          <w:bCs/>
          <w:i w:val="0"/>
          <w:iCs w:val="0"/>
          <w:color w:val="000000" w:themeColor="text1"/>
          <w:sz w:val="24"/>
          <w:szCs w:val="24"/>
        </w:rPr>
      </w:pPr>
      <w:bookmarkStart w:id="15" w:name="_Ref105444275"/>
    </w:p>
    <w:p w14:paraId="4FF9DA9D" w14:textId="730A4643" w:rsidR="00C320B6" w:rsidRPr="00605502" w:rsidRDefault="00C320B6" w:rsidP="00C320B6">
      <w:pPr>
        <w:pStyle w:val="Caption"/>
        <w:rPr>
          <w:i w:val="0"/>
          <w:iCs w:val="0"/>
          <w:color w:val="000000" w:themeColor="text1"/>
          <w:sz w:val="24"/>
          <w:szCs w:val="24"/>
        </w:rPr>
      </w:pPr>
      <w:bookmarkStart w:id="16" w:name="_Toc117780208"/>
      <w:r w:rsidRPr="00605502">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bookmarkEnd w:id="15"/>
      <w:r w:rsidRPr="00605502">
        <w:rPr>
          <w:b/>
          <w:bCs/>
          <w:i w:val="0"/>
          <w:iCs w:val="0"/>
          <w:color w:val="000000" w:themeColor="text1"/>
          <w:sz w:val="24"/>
          <w:szCs w:val="24"/>
        </w:rPr>
        <w:t xml:space="preserve">: </w:t>
      </w:r>
      <w:r w:rsidRPr="00284867">
        <w:rPr>
          <w:i w:val="0"/>
          <w:iCs w:val="0"/>
          <w:color w:val="000000" w:themeColor="text1"/>
          <w:sz w:val="24"/>
          <w:szCs w:val="24"/>
        </w:rPr>
        <w:t>Proposed diagnostic pathway for children with chronic cough</w:t>
      </w:r>
      <w:bookmarkEnd w:id="16"/>
    </w:p>
    <w:p w14:paraId="3F449A84" w14:textId="77777777" w:rsidR="00C320B6" w:rsidRDefault="00C320B6" w:rsidP="00C320B6">
      <w:pPr>
        <w:spacing w:line="360" w:lineRule="auto"/>
        <w:rPr>
          <w:i/>
          <w:iCs/>
          <w:color w:val="000000" w:themeColor="text1"/>
        </w:rPr>
      </w:pPr>
      <w:r w:rsidRPr="00284867">
        <w:rPr>
          <w:b/>
          <w:bCs/>
          <w:i/>
          <w:iCs/>
        </w:rPr>
        <w:t>*</w:t>
      </w:r>
      <w:r w:rsidRPr="00284867">
        <w:rPr>
          <w:bCs/>
          <w:i/>
          <w:iCs/>
        </w:rPr>
        <w:t>Specific cough pointers include symptoms of haemoptysis, feeding difficulties, recurrent sinopulmonary infections and signs such as digital clubbing or chest wall deformities. (See appendix 1 for more comprehensive list)</w:t>
      </w:r>
      <w:r w:rsidRPr="00284867">
        <w:rPr>
          <w:i/>
          <w:iCs/>
        </w:rPr>
        <w:t xml:space="preserve">. If no cough pointers are present and the cough resolves with a trial of an appropriate course of oral antibiotics, a clinical diagnosis of PBB can be made.  </w:t>
      </w:r>
      <w:r w:rsidRPr="00284867">
        <w:rPr>
          <w:i/>
          <w:iCs/>
          <w:color w:val="000000" w:themeColor="text1"/>
        </w:rPr>
        <w:t xml:space="preserve">(Adapted from </w:t>
      </w:r>
      <w:r w:rsidRPr="00284867">
        <w:rPr>
          <w:i/>
          <w:iCs/>
          <w:color w:val="000000" w:themeColor="text1"/>
        </w:rPr>
        <w:fldChar w:fldCharType="begin"/>
      </w:r>
      <w:r w:rsidRPr="00284867">
        <w:rPr>
          <w:i/>
          <w:iCs/>
          <w:color w:val="000000" w:themeColor="text1"/>
        </w:rPr>
        <w:instrText xml:space="preserve"> ADDIN EN.CITE &lt;EndNote&gt;&lt;Cite&gt;&lt;Author&gt;Kantar&lt;/Author&gt;&lt;Year&gt;2017&lt;/Year&gt;&lt;RecNum&gt;5&lt;/RecNum&gt;&lt;DisplayText&gt;(Kantar et al., 2017)&lt;/DisplayText&gt;&lt;record&gt;&lt;rec-number&gt;5&lt;/rec-number&gt;&lt;foreign-keys&gt;&lt;key app="EN" db-id="pr9rwt2w8padxcerwx6prd0a9wtda2w5fw2t" timestamp="1616077277"&gt;5&lt;/key&gt;&lt;/foreign-keys&gt;&lt;ref-type name="Journal Article"&gt;17&lt;/ref-type&gt;&lt;contributors&gt;&lt;authors&gt;&lt;author&gt;Kantar, Ahmad&lt;/author&gt;&lt;author&gt;Chang, Anne B.&lt;/author&gt;&lt;author&gt;Shields, Mike D.&lt;/author&gt;&lt;author&gt;Marchant, Julie M.&lt;/author&gt;&lt;author&gt;Grimwood, Keith&lt;/author&gt;&lt;author&gt;Grigg, Jonathan&lt;/author&gt;&lt;author&gt;Priftis, Kostas N.&lt;/author&gt;&lt;author&gt;Cutrera, Renato&lt;/author&gt;&lt;author&gt;Midulla, Fabio&lt;/author&gt;&lt;author&gt;Brand, Paul L.P.&lt;/author&gt;&lt;author&gt;Everard, Mark L.&lt;/author&gt;&lt;/authors&gt;&lt;/contributors&gt;&lt;titles&gt;&lt;title&gt;ERS statement on protracted bacterial bronchitis in children&lt;/title&gt;&lt;secondary-title&gt;European Respiratory Journal&lt;/secondary-title&gt;&lt;/titles&gt;&lt;periodical&gt;&lt;full-title&gt;European Respiratory Journal&lt;/full-title&gt;&lt;/periodical&gt;&lt;pages&gt;1602139&lt;/pages&gt;&lt;volume&gt;50&lt;/volume&gt;&lt;number&gt;2&lt;/number&gt;&lt;dates&gt;&lt;year&gt;2017&lt;/year&gt;&lt;/dates&gt;&lt;urls&gt;&lt;related-urls&gt;&lt;url&gt;https://erj.ersjournals.com/content/erj/50/2/1602139.full.pdf&lt;/url&gt;&lt;/related-urls&gt;&lt;/urls&gt;&lt;electronic-resource-num&gt;10.1183/13993003.02139-2016&lt;/electronic-resource-num&gt;&lt;/record&gt;&lt;/Cite&gt;&lt;/EndNote&gt;</w:instrText>
      </w:r>
      <w:r w:rsidRPr="00284867">
        <w:rPr>
          <w:i/>
          <w:iCs/>
          <w:color w:val="000000" w:themeColor="text1"/>
        </w:rPr>
        <w:fldChar w:fldCharType="separate"/>
      </w:r>
      <w:r w:rsidRPr="00284867">
        <w:rPr>
          <w:i/>
          <w:iCs/>
          <w:noProof/>
          <w:color w:val="000000" w:themeColor="text1"/>
        </w:rPr>
        <w:t>(Kantar et al., 2017)</w:t>
      </w:r>
      <w:r w:rsidRPr="00284867">
        <w:rPr>
          <w:i/>
          <w:iCs/>
          <w:color w:val="000000" w:themeColor="text1"/>
        </w:rPr>
        <w:fldChar w:fldCharType="end"/>
      </w:r>
      <w:r w:rsidRPr="00284867">
        <w:rPr>
          <w:i/>
          <w:iCs/>
          <w:color w:val="000000" w:themeColor="text1"/>
        </w:rPr>
        <w:t>)</w:t>
      </w:r>
    </w:p>
    <w:p w14:paraId="08496F9A" w14:textId="77777777" w:rsidR="00C320B6" w:rsidRPr="00284867" w:rsidRDefault="00C320B6" w:rsidP="00C320B6">
      <w:pPr>
        <w:rPr>
          <w:i/>
          <w:iCs/>
        </w:rPr>
      </w:pPr>
    </w:p>
    <w:p w14:paraId="044B0EA9" w14:textId="699ED60D" w:rsidR="00C320B6" w:rsidRDefault="00C320B6" w:rsidP="00C320B6">
      <w:pPr>
        <w:spacing w:after="160" w:line="360" w:lineRule="auto"/>
      </w:pPr>
      <w:r w:rsidRPr="000742AF">
        <w:t xml:space="preserve">Children are rarely able to produce a sputum sample and the only way of obtaining uncontaminated lower airways samples </w:t>
      </w:r>
      <w:r>
        <w:t xml:space="preserve">may be </w:t>
      </w:r>
      <w:r w:rsidRPr="000742AF">
        <w:t xml:space="preserve">by bronchoscopy, which requires a general anaesthetic in this age group. Due to the risk/benefit balance of invasive sampling, the diagnosis of PBB is often made on clinical grounds. The European Respiratory Statement on PBB recommends a ≥2-week course of </w:t>
      </w:r>
      <w:r>
        <w:t xml:space="preserve">oral </w:t>
      </w:r>
      <w:r w:rsidRPr="000742AF">
        <w:t>antibiotics</w:t>
      </w:r>
      <w:r>
        <w:t xml:space="preserve"> (most widely used antibiotic is amoxicillin-clavulanate)</w:t>
      </w:r>
      <w:r>
        <w:rPr>
          <w:rFonts w:ascii="Source Sans Pro" w:hAnsi="Source Sans Pro"/>
          <w:color w:val="505050"/>
          <w:sz w:val="26"/>
          <w:szCs w:val="26"/>
          <w:shd w:val="clear" w:color="auto" w:fill="FFFFFF"/>
        </w:rPr>
        <w:t>,</w:t>
      </w:r>
      <w:r w:rsidRPr="000742AF">
        <w:t xml:space="preserve"> active against typical respiratory bacterial</w:t>
      </w:r>
      <w:r>
        <w:t xml:space="preserve"> </w:t>
      </w:r>
      <w:r w:rsidRPr="00241369">
        <w:t xml:space="preserve">pathogens found in the </w:t>
      </w:r>
      <w:r>
        <w:t xml:space="preserve">lower airways of these children </w:t>
      </w:r>
      <w:r>
        <w:fldChar w:fldCharType="begin"/>
      </w:r>
      <w:r>
        <w:instrText xml:space="preserve"> ADDIN EN.CITE &lt;EndNote&gt;&lt;Cite&gt;&lt;Author&gt;Kantar&lt;/Author&gt;&lt;Year&gt;2017&lt;/Year&gt;&lt;RecNum&gt;5&lt;/RecNum&gt;&lt;DisplayText&gt;(Kantar et al., 2017)&lt;/DisplayText&gt;&lt;record&gt;&lt;rec-number&gt;5&lt;/rec-number&gt;&lt;foreign-keys&gt;&lt;key app="EN" db-id="z50rresss5e5vfe0s2qpewtuxsprsrse5fff" timestamp="1560936901"&gt;5&lt;/key&gt;&lt;/foreign-keys&gt;&lt;ref-type name="Journal Article"&gt;17&lt;/ref-type&gt;&lt;contributors&gt;&lt;authors&gt;&lt;author&gt;Kantar, Ahmad&lt;/author&gt;&lt;author&gt;Chang, Anne B.&lt;/author&gt;&lt;author&gt;Shields, Mike D.&lt;/author&gt;&lt;author&gt;Marchant, Julie M.&lt;/author&gt;&lt;author&gt;Grimwood, Keith&lt;/author&gt;&lt;author&gt;Grigg, Jonathan&lt;/author&gt;&lt;author&gt;Priftis, Kostas N.&lt;/author&gt;&lt;author&gt;Cutrera, Renato&lt;/author&gt;&lt;author&gt;Midulla, Fabio&lt;/author&gt;&lt;author&gt;Brand, Paul L.P.&lt;/author&gt;&lt;author&gt;Everard, Mark L.&lt;/author&gt;&lt;/authors&gt;&lt;/contributors&gt;&lt;titles&gt;&lt;title&gt;ERS statement on protracted bacterial bronchitis in children&lt;/title&gt;&lt;secondary-title&gt;European Respiratory Journal&lt;/secondary-title&gt;&lt;/titles&gt;&lt;periodical&gt;&lt;full-title&gt;European Respiratory Journal&lt;/full-title&gt;&lt;/periodical&gt;&lt;pages&gt;1602139&lt;/pages&gt;&lt;volume&gt;50&lt;/volume&gt;&lt;number&gt;2&lt;/number&gt;&lt;dates&gt;&lt;year&gt;2017&lt;/year&gt;&lt;/dates&gt;&lt;urls&gt;&lt;related-urls&gt;&lt;url&gt;https://erj.ersjournals.com/content/erj/50/2/1602139.full.pdf&lt;/url&gt;&lt;/related-urls&gt;&lt;/urls&gt;&lt;electronic-resource-num&gt;10.1183/13993003.02139-2016&lt;/electronic-resource-num&gt;&lt;/record&gt;&lt;/Cite&gt;&lt;/EndNote&gt;</w:instrText>
      </w:r>
      <w:r>
        <w:fldChar w:fldCharType="separate"/>
      </w:r>
      <w:r>
        <w:rPr>
          <w:noProof/>
        </w:rPr>
        <w:t>(Kantar et al., 2017)</w:t>
      </w:r>
      <w:r>
        <w:fldChar w:fldCharType="end"/>
      </w:r>
      <w:r>
        <w:t>.</w:t>
      </w:r>
      <w:r w:rsidRPr="00241369">
        <w:t xml:space="preserve"> Following successful treatment, some children have further pulmonary exacerbations characterised by increased cough, volume of sputum and</w:t>
      </w:r>
      <w:r>
        <w:t xml:space="preserve"> often</w:t>
      </w:r>
      <w:r w:rsidRPr="00241369">
        <w:t xml:space="preserve"> associated with new chest signs such as crackles. Limited retrospective studies with a variety of PBB definitions have looked at recurrence rates and report up to 75% have multiple episodes</w:t>
      </w:r>
      <w:r>
        <w:t xml:space="preserve"> of </w:t>
      </w:r>
      <w:r>
        <w:lastRenderedPageBreak/>
        <w:t>PBB</w:t>
      </w:r>
      <w:r w:rsidRPr="00241369">
        <w:t xml:space="preserve"> </w:t>
      </w:r>
      <w:r>
        <w:fldChar w:fldCharType="begin"/>
      </w:r>
      <w:r>
        <w:instrText xml:space="preserve"> ADDIN EN.CITE &lt;EndNote&gt;&lt;Cite&gt;&lt;Author&gt;Kantar&lt;/Author&gt;&lt;Year&gt;2017&lt;/Year&gt;&lt;RecNum&gt;5&lt;/RecNum&gt;&lt;DisplayText&gt;(Kantar et al., 2017)&lt;/DisplayText&gt;&lt;record&gt;&lt;rec-number&gt;5&lt;/rec-number&gt;&lt;foreign-keys&gt;&lt;key app="EN" db-id="z50rresss5e5vfe0s2qpewtuxsprsrse5fff" timestamp="1560936901"&gt;5&lt;/key&gt;&lt;/foreign-keys&gt;&lt;ref-type name="Journal Article"&gt;17&lt;/ref-type&gt;&lt;contributors&gt;&lt;authors&gt;&lt;author&gt;Kantar, Ahmad&lt;/author&gt;&lt;author&gt;Chang, Anne B.&lt;/author&gt;&lt;author&gt;Shields, Mike D.&lt;/author&gt;&lt;author&gt;Marchant, Julie M.&lt;/author&gt;&lt;author&gt;Grimwood, Keith&lt;/author&gt;&lt;author&gt;Grigg, Jonathan&lt;/author&gt;&lt;author&gt;Priftis, Kostas N.&lt;/author&gt;&lt;author&gt;Cutrera, Renato&lt;/author&gt;&lt;author&gt;Midulla, Fabio&lt;/author&gt;&lt;author&gt;Brand, Paul L.P.&lt;/author&gt;&lt;author&gt;Everard, Mark L.&lt;/author&gt;&lt;/authors&gt;&lt;/contributors&gt;&lt;titles&gt;&lt;title&gt;ERS statement on protracted bacterial bronchitis in children&lt;/title&gt;&lt;secondary-title&gt;European Respiratory Journal&lt;/secondary-title&gt;&lt;/titles&gt;&lt;periodical&gt;&lt;full-title&gt;European Respiratory Journal&lt;/full-title&gt;&lt;/periodical&gt;&lt;pages&gt;1602139&lt;/pages&gt;&lt;volume&gt;50&lt;/volume&gt;&lt;number&gt;2&lt;/number&gt;&lt;dates&gt;&lt;year&gt;2017&lt;/year&gt;&lt;/dates&gt;&lt;urls&gt;&lt;related-urls&gt;&lt;url&gt;https://erj.ersjournals.com/content/erj/50/2/1602139.full.pdf&lt;/url&gt;&lt;/related-urls&gt;&lt;/urls&gt;&lt;electronic-resource-num&gt;10.1183/13993003.02139-2016&lt;/electronic-resource-num&gt;&lt;/record&gt;&lt;/Cite&gt;&lt;/EndNote&gt;</w:instrText>
      </w:r>
      <w:r>
        <w:fldChar w:fldCharType="separate"/>
      </w:r>
      <w:r>
        <w:rPr>
          <w:noProof/>
        </w:rPr>
        <w:t>(Kantar et al., 2017)</w:t>
      </w:r>
      <w:r>
        <w:fldChar w:fldCharType="end"/>
      </w:r>
      <w:r w:rsidRPr="00241369">
        <w:t xml:space="preserve">. These recurrent episodes may be due to bacterial or viral causes </w:t>
      </w:r>
      <w:r>
        <w:t>- without sampling,</w:t>
      </w:r>
      <w:r w:rsidRPr="00241369">
        <w:t xml:space="preserve"> it is difficult to tell them apart. </w:t>
      </w:r>
      <w:r>
        <w:t>F</w:t>
      </w:r>
      <w:r w:rsidRPr="00241369">
        <w:t xml:space="preserve">actors </w:t>
      </w:r>
      <w:r>
        <w:t xml:space="preserve">thought to be </w:t>
      </w:r>
      <w:r w:rsidRPr="00241369">
        <w:t>involved in</w:t>
      </w:r>
      <w:r>
        <w:t xml:space="preserve"> driving</w:t>
      </w:r>
      <w:r w:rsidRPr="00241369">
        <w:t xml:space="preserve"> the pathophysiology </w:t>
      </w:r>
      <w:r>
        <w:t xml:space="preserve">of PBB include high bacterial loads and neutrophilic inflammation as detected by bronchoalveolar lavage (BAL). </w:t>
      </w:r>
      <w:r w:rsidRPr="001D04B2">
        <w:rPr>
          <w:i/>
          <w:iCs/>
        </w:rPr>
        <w:t>H. influenzae</w:t>
      </w:r>
      <w:r>
        <w:t xml:space="preserve"> is the most common organism found on BAL in PBB, and it is likely that the presence of biofilms contributes to a state of chronic inflammation </w:t>
      </w:r>
      <w:r>
        <w:fldChar w:fldCharType="begin">
          <w:fldData xml:space="preserve">PEVuZE5vdGU+PENpdGU+PEF1dGhvcj5DaGFuZzwvQXV0aG9yPjxZZWFyPjIwMTY8L1llYXI+PFJl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</w:fldData>
        </w:fldChar>
      </w:r>
      <w:r>
        <w:instrText xml:space="preserve"> ADDIN EN.CITE </w:instrText>
      </w:r>
      <w:r>
        <w:fldChar w:fldCharType="begin">
          <w:fldData xml:space="preserve">PEVuZE5vdGU+PENpdGU+PEF1dGhvcj5DaGFuZzwvQXV0aG9yPjxZZWFyPjIwMTY8L1llYXI+PFJl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</w:fldData>
        </w:fldChar>
      </w:r>
      <w:r>
        <w:instrText xml:space="preserve"> ADDIN EN.CITE.DATA </w:instrText>
      </w:r>
      <w:r>
        <w:fldChar w:fldCharType="end"/>
      </w:r>
      <w:r>
        <w:fldChar w:fldCharType="separate"/>
      </w:r>
      <w:r>
        <w:rPr>
          <w:noProof/>
        </w:rPr>
        <w:t>(Chang et al., 2016)</w:t>
      </w:r>
      <w:r>
        <w:fldChar w:fldCharType="end"/>
      </w:r>
      <w:r>
        <w:t>. Airway ‘</w:t>
      </w:r>
      <w:proofErr w:type="spellStart"/>
      <w:r>
        <w:t>malacia</w:t>
      </w:r>
      <w:proofErr w:type="spellEnd"/>
      <w:r>
        <w:t xml:space="preserve">’ is a condition whereby there is laxity of the cartilaginous airway walls allowing for a degree of collapse of the airway. Large airway </w:t>
      </w:r>
      <w:proofErr w:type="spellStart"/>
      <w:r>
        <w:t>malacia</w:t>
      </w:r>
      <w:proofErr w:type="spellEnd"/>
      <w:r>
        <w:t xml:space="preserve"> was reported to be </w:t>
      </w:r>
      <w:r w:rsidRPr="0067224F">
        <w:t xml:space="preserve">unexpectedly common (44% of PBB cases), predominantly in children less than 1 year of age </w:t>
      </w:r>
      <w:r w:rsidRPr="0067224F">
        <w:fldChar w:fldCharType="begin"/>
      </w:r>
      <w:r w:rsidRPr="0067224F">
        <w:instrText xml:space="preserve"> ADDIN EN.CITE &lt;EndNote&gt;&lt;Cite&gt;&lt;Author&gt;Wang&lt;/Author&gt;&lt;Year&gt;2015&lt;/Year&gt;&lt;RecNum&gt;434&lt;/RecNum&gt;&lt;DisplayText&gt;(Wang et al., 2015)&lt;/DisplayText&gt;&lt;record&gt;&lt;rec-number&gt;434&lt;/rec-number&gt;&lt;foreign-keys&gt;&lt;key app="EN" db-id="pr9rwt2w8padxcerwx6prd0a9wtda2w5fw2t" timestamp="1648157207"&gt;434&lt;/key&gt;&lt;/foreign-keys&gt;&lt;ref-type name="Journal Article"&gt;17&lt;/ref-type&gt;&lt;contributors&gt;&lt;authors&gt;&lt;author&gt;Wang, Yuqing&lt;/author&gt;&lt;author&gt;Hao, Chuangli&lt;/author&gt;&lt;author&gt;Chi, FanFan&lt;/author&gt;&lt;author&gt;Yu, Xingmei&lt;/author&gt;&lt;author&gt;Sun, Huiquan&lt;/author&gt;&lt;author&gt;Huang, Li&lt;/author&gt;&lt;author&gt;Wang, Meijuan&lt;/author&gt;&lt;author&gt;Ji, Wei&lt;/author&gt;&lt;author&gt;Yan, Yongdong&lt;/author&gt;&lt;author&gt;Zhu, Hong&lt;/author&gt;&lt;author&gt;Shao, Xuejun&lt;/author&gt;&lt;/authors&gt;&lt;/contributors&gt;&lt;titles&gt;&lt;title&gt;Clinical characteristics of protracted bacterial bronchitis in Chinese infants&lt;/title&gt;&lt;secondary-title&gt;Scientific Reports&lt;/secondary-title&gt;&lt;/titles&gt;&lt;periodical&gt;&lt;full-title&gt;Scientific reports&lt;/full-title&gt;&lt;abbr-1&gt;Sci Rep&lt;/abbr-1&gt;&lt;/periodical&gt;&lt;pages&gt;13731&lt;/pages&gt;&lt;volume&gt;5&lt;/volume&gt;&lt;number&gt;1&lt;/number&gt;&lt;dates&gt;&lt;year&gt;2015&lt;/year&gt;&lt;pub-dates&gt;&lt;date&gt;2015/09/04&lt;/date&gt;&lt;/pub-dates&gt;&lt;/dates&gt;&lt;isbn&gt;2045-2322&lt;/isbn&gt;&lt;urls&gt;&lt;related-urls&gt;&lt;url&gt;https://doi.org/10.1038/srep13731&lt;/url&gt;&lt;/related-urls&gt;&lt;/urls&gt;&lt;electronic-resource-num&gt;10.1038/srep13731&lt;/electronic-resource-num&gt;&lt;/record&gt;&lt;/Cite&gt;&lt;/EndNote&gt;</w:instrText>
      </w:r>
      <w:r w:rsidRPr="0067224F">
        <w:fldChar w:fldCharType="separate"/>
      </w:r>
      <w:r w:rsidRPr="0067224F">
        <w:rPr>
          <w:noProof/>
        </w:rPr>
        <w:t>(Wang et al., 2015)</w:t>
      </w:r>
      <w:r w:rsidRPr="0067224F">
        <w:fldChar w:fldCharType="end"/>
      </w:r>
      <w:r w:rsidRPr="0067224F">
        <w:t xml:space="preserve">; however, a prospective study of 104 children with PBB (Wurzel et al., 2014) found that </w:t>
      </w:r>
      <w:proofErr w:type="spellStart"/>
      <w:r w:rsidRPr="0067224F">
        <w:t>malacia</w:t>
      </w:r>
      <w:proofErr w:type="spellEnd"/>
      <w:r w:rsidRPr="0067224F">
        <w:t xml:space="preserve"> was not significantly more common in children with PBB than in those undergoing bronchoscopy for other respiratory indications (68% vs. 53% respectively). The role of viruses is unclear, given that similar rates of viruses have been found in BAL of children</w:t>
      </w:r>
      <w:r>
        <w:t xml:space="preserve"> with PBB and healthy controls </w:t>
      </w:r>
      <w:r>
        <w:fldChar w:fldCharType="begin">
          <w:fldData xml:space="preserve">PEVuZE5vdGU+PENpdGU+PEF1dGhvcj5XYW5nPC9BdXRob3I+PFllYXI+MjAxOTwvWWVhcj48UmVj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</w:fldData>
        </w:fldChar>
      </w:r>
      <w:r>
        <w:instrText xml:space="preserve"> ADDIN EN.CITE </w:instrText>
      </w:r>
      <w:r>
        <w:fldChar w:fldCharType="begin">
          <w:fldData xml:space="preserve">PEVuZE5vdGU+PENpdGU+PEF1dGhvcj5XYW5nPC9BdXRob3I+PFllYXI+MjAxOTwvWWVhcj48UmVj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</w:fldData>
        </w:fldChar>
      </w:r>
      <w:r>
        <w:instrText xml:space="preserve"> ADDIN EN.CITE.DATA </w:instrText>
      </w:r>
      <w:r>
        <w:fldChar w:fldCharType="end"/>
      </w:r>
      <w:r>
        <w:fldChar w:fldCharType="separate"/>
      </w:r>
      <w:r>
        <w:rPr>
          <w:noProof/>
        </w:rPr>
        <w:t>(Y. Wang et al., 2019)</w:t>
      </w:r>
      <w:r>
        <w:fldChar w:fldCharType="end"/>
      </w:r>
      <w:r>
        <w:t xml:space="preserve">. </w:t>
      </w:r>
      <w:r w:rsidRPr="00E76046">
        <w:rPr>
          <w:color w:val="000000" w:themeColor="text1"/>
        </w:rPr>
        <w:fldChar w:fldCharType="begin"/>
      </w:r>
      <w:r w:rsidRPr="00E76046">
        <w:rPr>
          <w:color w:val="000000" w:themeColor="text1"/>
        </w:rPr>
        <w:instrText xml:space="preserve"> REF _Ref105444388 \h  \* MERGEFORMAT </w:instrText>
      </w:r>
      <w:r w:rsidRPr="00E76046">
        <w:rPr>
          <w:color w:val="000000" w:themeColor="text1"/>
        </w:rPr>
      </w:r>
      <w:r w:rsidRPr="00E76046">
        <w:rPr>
          <w:color w:val="000000" w:themeColor="text1"/>
        </w:rPr>
        <w:fldChar w:fldCharType="separate"/>
      </w:r>
      <w:r w:rsidR="006F0F10" w:rsidRPr="006F0F10">
        <w:rPr>
          <w:color w:val="000000" w:themeColor="text1"/>
        </w:rPr>
        <w:t xml:space="preserve">Figure </w:t>
      </w:r>
      <w:r w:rsidR="006F0F10" w:rsidRPr="006F0F10">
        <w:rPr>
          <w:noProof/>
          <w:color w:val="000000" w:themeColor="text1"/>
        </w:rPr>
        <w:t>1</w:t>
      </w:r>
      <w:r w:rsidR="006F0F10" w:rsidRPr="006F0F10">
        <w:rPr>
          <w:noProof/>
          <w:color w:val="000000" w:themeColor="text1"/>
        </w:rPr>
        <w:noBreakHyphen/>
        <w:t>2</w:t>
      </w:r>
      <w:r w:rsidRPr="00E76046">
        <w:rPr>
          <w:color w:val="000000" w:themeColor="text1"/>
        </w:rPr>
        <w:fldChar w:fldCharType="end"/>
      </w:r>
      <w:r>
        <w:t xml:space="preserve"> summarises the pathophysiological features.</w:t>
      </w:r>
      <w:r w:rsidRPr="00241369">
        <w:t xml:space="preserve"> The natural history of mild disease remains unclear, however, recurrent PBB (&gt;3 episodes per year) has been reported to be predictive of the future diagnosis of bronchiectasis </w:t>
      </w:r>
      <w:r>
        <w:fldChar w:fldCharType="begin">
          <w:fldData xml:space="preserve">PEVuZE5vdGU+PENpdGU+PEF1dGhvcj5Hb3lhbDwvQXV0aG9yPjxZZWFyPjIwMTQ8L1llYXI+PFJl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PEVuZE5vdGU+PENpdGU+PEF1dGhvcj5Hb3lhbDwvQXV0aG9yPjxZZWFyPjIwMTQ8L1llYXI+PFJl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fldChar w:fldCharType="separate"/>
      </w:r>
      <w:r>
        <w:rPr>
          <w:noProof/>
        </w:rPr>
        <w:t>(Goyal et al., 2014; Wurzel et al., 2016)</w:t>
      </w:r>
      <w:r>
        <w:fldChar w:fldCharType="end"/>
      </w:r>
      <w:r w:rsidRPr="00241369">
        <w:t>, which confers lifelong susceptibility to respiratory infection and increased risk of p</w:t>
      </w:r>
      <w:r>
        <w:t xml:space="preserve">remature death </w:t>
      </w:r>
      <w:r>
        <w:fldChar w:fldCharType="begin">
          <w:fldData xml:space="preserve">PEVuZE5vdGU+PENpdGU+PEF1dGhvcj5RdWludDwvQXV0aG9yPjxZZWFyPjIwMTY8L1llYXI+PFJl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=
</w:fldData>
        </w:fldChar>
      </w:r>
      <w:r>
        <w:instrText xml:space="preserve"> ADDIN EN.CITE </w:instrText>
      </w:r>
      <w:r>
        <w:fldChar w:fldCharType="begin">
          <w:fldData xml:space="preserve">PEVuZE5vdGU+PENpdGU+PEF1dGhvcj5RdWludDwvQXV0aG9yPjxZZWFyPjIwMTY8L1llYXI+PFJl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=
</w:fldData>
        </w:fldChar>
      </w:r>
      <w:r>
        <w:instrText xml:space="preserve"> ADDIN EN.CITE.DATA </w:instrText>
      </w:r>
      <w:r>
        <w:fldChar w:fldCharType="end"/>
      </w:r>
      <w:r>
        <w:fldChar w:fldCharType="separate"/>
      </w:r>
      <w:r>
        <w:rPr>
          <w:noProof/>
        </w:rPr>
        <w:t>(Quint et al., 2016)</w:t>
      </w:r>
      <w:r>
        <w:fldChar w:fldCharType="end"/>
      </w:r>
      <w:r w:rsidRPr="00241369">
        <w:t>.</w:t>
      </w:r>
      <w:r>
        <w:t xml:space="preserve"> Data from a cohort of 166 children with PBB and 28 controls report an overall 3-fold reduction in PBB exacerbations during the 5-year follow up period. However, 67.5% had ongoing symptoms with 27% having clinician-diagnosed asthma (Ruffles et al 2020). Due to the young age of children within this cohort, the diagnosis of asthma may not have been accurate in all cases (median age during follow up 8 years, IQR 4-20 years). A diagnosis of bronchiectasis was made in 9.6% with significant predictors of bronchiectasis being recurrent episodes of PBB in year one of follow up and the presence of </w:t>
      </w:r>
      <w:r w:rsidRPr="00C04328">
        <w:rPr>
          <w:i/>
        </w:rPr>
        <w:t>H. influenzae</w:t>
      </w:r>
      <w:r>
        <w:t xml:space="preserve"> on BAL </w:t>
      </w:r>
      <w:r>
        <w:fldChar w:fldCharType="begin">
          <w:fldData xml:space="preserve">PEVuZE5vdGU+PENpdGU+PEF1dGhvcj5SdWZmbGVzPC9BdXRob3I+PFllYXI+MjAyMTwvWWVhcj48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PEVuZE5vdGU+PENpdGU+PEF1dGhvcj5SdWZmbGVzPC9BdXRob3I+PFllYXI+MjAyMTwvWWVhcj48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Pr>
          <w:noProof/>
        </w:rPr>
        <w:t>(Ruffles et al., 2021)</w:t>
      </w:r>
      <w:r>
        <w:fldChar w:fldCharType="end"/>
      </w:r>
      <w:r>
        <w:t>.</w:t>
      </w:r>
    </w:p>
    <w:p w14:paraId="4A012BB0" w14:textId="5A7B3A15" w:rsidR="007B2BDE" w:rsidRDefault="00C320B6" w:rsidP="007B2BDE">
      <w:pPr>
        <w:spacing w:after="160" w:line="360" w:lineRule="auto"/>
      </w:pPr>
      <w:r w:rsidRPr="00241369">
        <w:t>Controversy exists regarding the diagnosis and treatment of PBB</w:t>
      </w:r>
      <w:r>
        <w:t>,</w:t>
      </w:r>
      <w:r w:rsidRPr="00241369">
        <w:t xml:space="preserve"> with some critics questioning whether the clinical diagnostic criteria are robust enough to distinguish between PBB, a prolonged post-viral cough and other causes</w:t>
      </w:r>
      <w:r>
        <w:t xml:space="preserve"> </w:t>
      </w:r>
      <w:r>
        <w:fldChar w:fldCharType="begin"/>
      </w:r>
      <w:r>
        <w:instrText xml:space="preserve"> ADDIN EN.CITE &lt;EndNote&gt;&lt;Cite&gt;&lt;Author&gt;Bidiwala&lt;/Author&gt;&lt;Year&gt;2015&lt;/Year&gt;&lt;RecNum&gt;361&lt;/RecNum&gt;&lt;DisplayText&gt;(Bidiwala et al., 2015)&lt;/DisplayText&gt;&lt;record&gt;&lt;rec-number&gt;361&lt;/rec-number&gt;&lt;foreign-keys&gt;&lt;key app="EN" db-id="pr9rwt2w8padxcerwx6prd0a9wtda2w5fw2t" timestamp="1629808664"&gt;361&lt;/key&gt;&lt;/foreign-keys&gt;&lt;ref-type name="Journal Article"&gt;17&lt;/ref-type&gt;&lt;contributors&gt;&lt;authors&gt;&lt;author&gt;Bidiwala, A.&lt;/author&gt;&lt;author&gt;Krilov, L. R.&lt;/author&gt;&lt;author&gt;Pirzada, M.&lt;/author&gt;&lt;author&gt;Patel, S. J.&lt;/author&gt;&lt;/authors&gt;&lt;/contributors&gt;&lt;titles&gt;&lt;title&gt;Pro-Con Debate: Protracted Bacterial Bronchitis as a Cause of Chronic Cough in Children&lt;/title&gt;&lt;secondary-title&gt;Pediatr Ann&lt;/secondary-title&gt;&lt;/titles&gt;&lt;periodical&gt;&lt;full-title&gt;Pediatr Ann&lt;/full-title&gt;&lt;/periodical&gt;&lt;pages&gt;329-36&lt;/pages&gt;&lt;volume&gt;44&lt;/volume&gt;&lt;number&gt;8&lt;/number&gt;&lt;edition&gt;2015/08/28&lt;/edition&gt;&lt;keywords&gt;&lt;keyword&gt;Anti-Bacterial Agents/therapeutic use&lt;/keyword&gt;&lt;keyword&gt;Bacterial Infections/drug therapy/*microbiology&lt;/keyword&gt;&lt;keyword&gt;Bronchitis/drug therapy/*microbiology&lt;/keyword&gt;&lt;keyword&gt;Child&lt;/keyword&gt;&lt;keyword&gt;Child, Preschool&lt;/keyword&gt;&lt;keyword&gt;Chronic Disease&lt;/keyword&gt;&lt;keyword&gt;Cough/*etiology&lt;/keyword&gt;&lt;keyword&gt;Diagnosis, Differential&lt;/keyword&gt;&lt;keyword&gt;Humans&lt;/keyword&gt;&lt;keyword&gt;Infant&lt;/keyword&gt;&lt;/keywords&gt;&lt;dates&gt;&lt;year&gt;2015&lt;/year&gt;&lt;pub-dates&gt;&lt;date&gt;Aug&lt;/date&gt;&lt;/pub-dates&gt;&lt;/dates&gt;&lt;isbn&gt;0090-4481&lt;/isbn&gt;&lt;accession-num&gt;26312591&lt;/accession-num&gt;&lt;urls&gt;&lt;/urls&gt;&lt;electronic-resource-num&gt;10.3928/00904481-20150812-11&lt;/electronic-resource-num&gt;&lt;remote-database-provider&gt;NLM&lt;/remote-database-provider&gt;&lt;language&gt;eng&lt;/language&gt;&lt;/record&gt;&lt;/Cite&gt;&lt;/EndNote&gt;</w:instrText>
      </w:r>
      <w:r>
        <w:fldChar w:fldCharType="separate"/>
      </w:r>
      <w:r>
        <w:rPr>
          <w:noProof/>
        </w:rPr>
        <w:t>(Bidiwala et al., 2015)</w:t>
      </w:r>
      <w:r>
        <w:fldChar w:fldCharType="end"/>
      </w:r>
      <w:r w:rsidRPr="00241369">
        <w:t>. The concern is that over diagnosis will lead to unnecessary antibiotic use</w:t>
      </w:r>
      <w:r w:rsidR="00CA3194">
        <w:t xml:space="preserve"> (</w:t>
      </w:r>
      <w:proofErr w:type="spellStart"/>
      <w:r w:rsidR="00CA3194">
        <w:t>Bidiwala</w:t>
      </w:r>
      <w:proofErr w:type="spellEnd"/>
      <w:r w:rsidR="00CA3194">
        <w:t xml:space="preserve"> et al., 2015)</w:t>
      </w:r>
      <w:r w:rsidRPr="00241369">
        <w:t>.</w:t>
      </w:r>
      <w:r>
        <w:t xml:space="preserve"> </w:t>
      </w:r>
      <w:r w:rsidRPr="00241369">
        <w:t>Long-term azithromycin is often prescribed</w:t>
      </w:r>
      <w:r w:rsidRPr="00147988">
        <w:t xml:space="preserve"> </w:t>
      </w:r>
      <w:r>
        <w:t>in PBB</w:t>
      </w:r>
      <w:r w:rsidRPr="00241369">
        <w:t xml:space="preserve"> to reduce infection burden and thus the risk of developing bronchiectasis</w:t>
      </w:r>
      <w:r w:rsidRPr="007B2BDE">
        <w:t>.</w:t>
      </w:r>
      <w:r w:rsidR="007B2BDE" w:rsidRPr="00752DA8">
        <w:t xml:space="preserve"> This may be given as a 6-month prescription to cover the winter months or throughout the year, for several years</w:t>
      </w:r>
      <w:r w:rsidR="007B2BDE" w:rsidRPr="007B2BDE">
        <w:t>.</w:t>
      </w:r>
      <w:r w:rsidR="007B2BDE" w:rsidRPr="00241369">
        <w:t xml:space="preserve"> </w:t>
      </w:r>
    </w:p>
    <w:p w14:paraId="4E7E2736" w14:textId="29F5EC69" w:rsidR="00C320B6" w:rsidRDefault="00C320B6" w:rsidP="00C320B6">
      <w:pPr>
        <w:spacing w:line="360" w:lineRule="auto"/>
      </w:pPr>
    </w:p>
    <w:p w14:paraId="58B316D6" w14:textId="77777777" w:rsidR="00C320B6" w:rsidRPr="00284867" w:rsidRDefault="00C320B6" w:rsidP="00C320B6">
      <w:pPr>
        <w:spacing w:line="360" w:lineRule="auto"/>
        <w:rPr>
          <w:rFonts w:asciiTheme="minorHAnsi" w:hAnsiTheme="minorHAnsi" w:cstheme="minorBidi"/>
        </w:rPr>
      </w:pPr>
    </w:p>
    <w:p w14:paraId="697FEFDF" w14:textId="77777777" w:rsidR="00C320B6" w:rsidRDefault="00C320B6" w:rsidP="00C320B6">
      <w:pPr>
        <w:keepNext/>
        <w:spacing w:line="360" w:lineRule="auto"/>
      </w:pPr>
      <w:r>
        <w:rPr>
          <w:noProof/>
        </w:rPr>
        <w:drawing>
          <wp:inline distT="0" distB="0" distL="0" distR="0" wp14:anchorId="49565A4E" wp14:editId="1648AD36">
            <wp:extent cx="5943600" cy="4109720"/>
            <wp:effectExtent l="0" t="0" r="0" b="50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Diagram&#10;&#10;Description automatically generated"/>
                    <pic:cNvPicPr/>
                  </pic:nvPicPr>
                  <pic:blipFill>
                    <a:blip r:embed="rId14"/>
                    <a:stretch>
                      <a:fillRect/>
                    </a:stretch>
                  </pic:blipFill>
                  <pic:spPr>
                    <a:xfrm>
                      <a:off x="0" y="0"/>
                      <a:ext cx="5943600" cy="4109720"/>
                    </a:xfrm>
                    <a:prstGeom prst="rect">
                      <a:avLst/>
                    </a:prstGeom>
                  </pic:spPr>
                </pic:pic>
              </a:graphicData>
            </a:graphic>
          </wp:inline>
        </w:drawing>
      </w:r>
    </w:p>
    <w:p w14:paraId="6C223FEF" w14:textId="323E141A" w:rsidR="00C320B6" w:rsidRPr="00E76046" w:rsidRDefault="00C320B6" w:rsidP="00C320B6">
      <w:pPr>
        <w:pStyle w:val="Caption"/>
        <w:rPr>
          <w:i w:val="0"/>
          <w:iCs w:val="0"/>
          <w:color w:val="000000" w:themeColor="text1"/>
          <w:sz w:val="24"/>
          <w:szCs w:val="24"/>
        </w:rPr>
      </w:pPr>
      <w:bookmarkStart w:id="17" w:name="_Ref105444388"/>
      <w:bookmarkStart w:id="18" w:name="_Toc117780209"/>
      <w:r w:rsidRPr="00E76046">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2</w:t>
      </w:r>
      <w:r w:rsidR="00F42C6F">
        <w:rPr>
          <w:b/>
          <w:bCs/>
          <w:i w:val="0"/>
          <w:iCs w:val="0"/>
          <w:color w:val="000000" w:themeColor="text1"/>
          <w:sz w:val="24"/>
          <w:szCs w:val="24"/>
        </w:rPr>
        <w:fldChar w:fldCharType="end"/>
      </w:r>
      <w:bookmarkEnd w:id="17"/>
      <w:r w:rsidRPr="00E76046">
        <w:rPr>
          <w:b/>
          <w:bCs/>
          <w:i w:val="0"/>
          <w:iCs w:val="0"/>
          <w:color w:val="000000" w:themeColor="text1"/>
          <w:sz w:val="24"/>
          <w:szCs w:val="24"/>
        </w:rPr>
        <w:t>:</w:t>
      </w:r>
      <w:r w:rsidRPr="00E76046">
        <w:rPr>
          <w:i w:val="0"/>
          <w:iCs w:val="0"/>
          <w:color w:val="000000" w:themeColor="text1"/>
          <w:sz w:val="24"/>
          <w:szCs w:val="24"/>
        </w:rPr>
        <w:t xml:space="preserve"> The pathophysiology of Protracted Bacterial Bronchitis (PBB)</w:t>
      </w:r>
      <w:bookmarkEnd w:id="18"/>
    </w:p>
    <w:p w14:paraId="78FBB2AD" w14:textId="77777777" w:rsidR="00C320B6" w:rsidRDefault="00C320B6" w:rsidP="00C320B6">
      <w:pPr>
        <w:spacing w:line="360" w:lineRule="auto"/>
        <w:rPr>
          <w:i/>
          <w:iCs/>
        </w:rPr>
      </w:pPr>
      <w:r w:rsidRPr="00E76046">
        <w:rPr>
          <w:i/>
          <w:iCs/>
        </w:rPr>
        <w:t>Comparison of the bronchioles in health and in children with PBB. Both clinical and pathophysiological factors underlying PBB are described. Clinically PBB is defined as a chronic wet cough (&gt;4weeks), the absence of symptoms or signs of other causes of a wet cough and resolution following 2-4 weeks of oral antibiotics. The underlying pathophysiology involves the presence of respiratory bacterial pathogens in BAL cultures at high bacterial loads</w:t>
      </w:r>
      <w:r>
        <w:rPr>
          <w:i/>
          <w:iCs/>
        </w:rPr>
        <w:t xml:space="preserve">                  </w:t>
      </w:r>
      <w:r w:rsidRPr="00E76046">
        <w:rPr>
          <w:i/>
          <w:iCs/>
        </w:rPr>
        <w:t>(&gt;10</w:t>
      </w:r>
      <w:r w:rsidRPr="00E76046">
        <w:rPr>
          <w:i/>
          <w:iCs/>
          <w:vertAlign w:val="superscript"/>
        </w:rPr>
        <w:t>5</w:t>
      </w:r>
      <w:r w:rsidRPr="00E76046">
        <w:rPr>
          <w:i/>
          <w:iCs/>
        </w:rPr>
        <w:t xml:space="preserve"> CFU</w:t>
      </w:r>
      <w:r>
        <w:rPr>
          <w:i/>
          <w:iCs/>
        </w:rPr>
        <w:t>/</w:t>
      </w:r>
      <w:r w:rsidRPr="00E76046">
        <w:rPr>
          <w:i/>
          <w:iCs/>
        </w:rPr>
        <w:t xml:space="preserve"> mL</w:t>
      </w:r>
      <w:r w:rsidRPr="00E76046">
        <w:rPr>
          <w:i/>
          <w:iCs/>
          <w:vertAlign w:val="superscript"/>
        </w:rPr>
        <w:t>-1</w:t>
      </w:r>
      <w:r>
        <w:rPr>
          <w:i/>
          <w:iCs/>
        </w:rPr>
        <w:t>).</w:t>
      </w:r>
      <w:r w:rsidRPr="00E76046">
        <w:rPr>
          <w:i/>
          <w:iCs/>
        </w:rPr>
        <w:t xml:space="preserve"> BAL fluid has demonstrated intense airway neutrophilia and associated inflammatory mediator response with increased levels of pro-inflammatory mediators and cytokines. Bronchoscopy findings have also shown that large airway </w:t>
      </w:r>
      <w:proofErr w:type="spellStart"/>
      <w:r w:rsidRPr="00E76046">
        <w:rPr>
          <w:i/>
          <w:iCs/>
        </w:rPr>
        <w:t>malacia</w:t>
      </w:r>
      <w:proofErr w:type="spellEnd"/>
      <w:r w:rsidRPr="00E76046">
        <w:rPr>
          <w:i/>
          <w:iCs/>
        </w:rPr>
        <w:t xml:space="preserve"> is common although it is unclear if this is a</w:t>
      </w:r>
      <w:r>
        <w:rPr>
          <w:i/>
          <w:iCs/>
        </w:rPr>
        <w:t xml:space="preserve"> significant</w:t>
      </w:r>
      <w:r w:rsidRPr="00E76046">
        <w:rPr>
          <w:i/>
          <w:iCs/>
        </w:rPr>
        <w:t xml:space="preserve"> predisposing factor </w:t>
      </w:r>
      <w:r>
        <w:rPr>
          <w:i/>
          <w:iCs/>
        </w:rPr>
        <w:t>for</w:t>
      </w:r>
      <w:r w:rsidRPr="00E76046">
        <w:rPr>
          <w:i/>
          <w:iCs/>
        </w:rPr>
        <w:t xml:space="preserve"> PBB</w:t>
      </w:r>
      <w:r>
        <w:rPr>
          <w:i/>
          <w:iCs/>
        </w:rPr>
        <w:t>,</w:t>
      </w:r>
      <w:r w:rsidRPr="00E76046">
        <w:rPr>
          <w:i/>
          <w:iCs/>
        </w:rPr>
        <w:t xml:space="preserve"> whether inflammation leads to secondary airway </w:t>
      </w:r>
      <w:proofErr w:type="spellStart"/>
      <w:r w:rsidRPr="00E76046">
        <w:rPr>
          <w:i/>
          <w:iCs/>
        </w:rPr>
        <w:t>malacia</w:t>
      </w:r>
      <w:proofErr w:type="spellEnd"/>
      <w:r>
        <w:rPr>
          <w:i/>
          <w:iCs/>
        </w:rPr>
        <w:t>, or whether it is a non-specific finding in young children with respiratory disease.</w:t>
      </w:r>
    </w:p>
    <w:p w14:paraId="5AA67F48" w14:textId="36A6ED71" w:rsidR="00C320B6" w:rsidRDefault="00C320B6" w:rsidP="00C320B6">
      <w:pPr>
        <w:spacing w:line="360" w:lineRule="auto"/>
      </w:pPr>
      <w:r w:rsidRPr="00E76046">
        <w:rPr>
          <w:i/>
          <w:iCs/>
        </w:rPr>
        <w:t xml:space="preserve">(Designed using </w:t>
      </w:r>
      <w:proofErr w:type="spellStart"/>
      <w:r w:rsidRPr="00E76046">
        <w:rPr>
          <w:i/>
          <w:iCs/>
        </w:rPr>
        <w:t>Biorender</w:t>
      </w:r>
      <w:proofErr w:type="spellEnd"/>
      <w:r w:rsidRPr="00E76046">
        <w:rPr>
          <w:i/>
          <w:iCs/>
        </w:rPr>
        <w:t xml:space="preserve"> and </w:t>
      </w:r>
      <w:hyperlink r:id="rId15" w:history="1">
        <w:r w:rsidRPr="00E76046">
          <w:rPr>
            <w:rStyle w:val="Hyperlink"/>
            <w:i/>
            <w:iCs/>
          </w:rPr>
          <w:t>http://clipart-library.com/mucus-cliparts.html</w:t>
        </w:r>
      </w:hyperlink>
    </w:p>
    <w:p w14:paraId="406DDDEC" w14:textId="23FE974F" w:rsidR="00C320B6" w:rsidRDefault="00651424" w:rsidP="00C320B6">
      <w:pPr>
        <w:spacing w:after="160" w:line="360" w:lineRule="auto"/>
      </w:pPr>
      <w:r>
        <w:lastRenderedPageBreak/>
        <w:t>T</w:t>
      </w:r>
      <w:r w:rsidRPr="008F33C8">
        <w:t xml:space="preserve">here are </w:t>
      </w:r>
      <w:r>
        <w:t>approximately</w:t>
      </w:r>
      <w:r w:rsidRPr="008F33C8">
        <w:t xml:space="preserve"> 525 children </w:t>
      </w:r>
      <w:r>
        <w:t>under review</w:t>
      </w:r>
      <w:r w:rsidRPr="008F33C8">
        <w:t xml:space="preserve"> with a primary diagnosis of PBB and of these, </w:t>
      </w:r>
      <w:r>
        <w:t xml:space="preserve">approximately </w:t>
      </w:r>
      <w:r w:rsidRPr="008F33C8">
        <w:t xml:space="preserve">180 </w:t>
      </w:r>
      <w:r>
        <w:t xml:space="preserve">receive </w:t>
      </w:r>
      <w:r w:rsidRPr="008F33C8">
        <w:t xml:space="preserve">prophylactic antibiotics (Dr Kelechi Ugonna, personal communication). </w:t>
      </w:r>
      <w:r>
        <w:t xml:space="preserve">Although no national guideline exists, the practice of prescribing long-term prophylactic antibiotics is included in the Sheffield Children’s Hospital guideline </w:t>
      </w:r>
      <w:r w:rsidRPr="008F33C8">
        <w:t>for the management of PBB</w:t>
      </w:r>
      <w:r>
        <w:t xml:space="preserve"> and</w:t>
      </w:r>
      <w:r w:rsidRPr="008F33C8">
        <w:t xml:space="preserve"> states</w:t>
      </w:r>
      <w:r>
        <w:t xml:space="preserve"> that</w:t>
      </w:r>
      <w:r w:rsidRPr="008F33C8">
        <w:t xml:space="preserve"> azithromycin should be the first line antibiotic of choice for prophylaxis in </w:t>
      </w:r>
      <w:r>
        <w:t xml:space="preserve">children experiencing more than three exacerbations of PBB a year </w:t>
      </w:r>
      <w:r w:rsidRPr="008F33C8">
        <w:t>(</w:t>
      </w:r>
      <w:r>
        <w:t>s</w:t>
      </w:r>
      <w:r w:rsidRPr="008F33C8">
        <w:t>ee appendix</w:t>
      </w:r>
      <w:r>
        <w:t xml:space="preserve"> 2</w:t>
      </w:r>
      <w:r w:rsidRPr="008F33C8">
        <w:t>).</w:t>
      </w:r>
      <w:r>
        <w:t xml:space="preserve"> The use of prophylactic antibiotics has also been adopted by o</w:t>
      </w:r>
      <w:r w:rsidR="00C320B6" w:rsidRPr="00241369">
        <w:t>ther local paediatric hospitals (Manchester and Nottingham Children’s Hospitals – personal communication from Dr Kelechi Ugonna, paediatric respiratory consultant S</w:t>
      </w:r>
      <w:r w:rsidR="00C320B6">
        <w:t xml:space="preserve">heffield </w:t>
      </w:r>
      <w:r w:rsidR="00C320B6" w:rsidRPr="00241369">
        <w:t>C</w:t>
      </w:r>
      <w:r w:rsidR="00C320B6">
        <w:t xml:space="preserve">hildren’s </w:t>
      </w:r>
      <w:r w:rsidR="00C320B6" w:rsidRPr="00241369">
        <w:t>H</w:t>
      </w:r>
      <w:r w:rsidR="00C320B6">
        <w:t>ospital</w:t>
      </w:r>
      <w:r w:rsidR="00C320B6" w:rsidRPr="00241369">
        <w:t xml:space="preserve">) and included in a recent article reviewing the management of PBB </w:t>
      </w:r>
      <w:r w:rsidR="00C320B6">
        <w:fldChar w:fldCharType="begin"/>
      </w:r>
      <w:r w:rsidR="00C320B6">
        <w:instrText xml:space="preserve"> ADDIN EN.CITE &lt;EndNote&gt;&lt;Cite&gt;&lt;Author&gt;Gilchrist&lt;/Author&gt;&lt;Year&gt;2019&lt;/Year&gt;&lt;RecNum&gt;184&lt;/RecNum&gt;&lt;DisplayText&gt;(Gilchrist, 2019)&lt;/DisplayText&gt;&lt;record&gt;&lt;rec-number&gt;184&lt;/rec-number&gt;&lt;foreign-keys&gt;&lt;key app="EN" db-id="pr9rwt2w8padxcerwx6prd0a9wtda2w5fw2t" timestamp="1629731697"&gt;184&lt;/key&gt;&lt;/foreign-keys&gt;&lt;ref-type name="Journal Article"&gt;17&lt;/ref-type&gt;&lt;contributors&gt;&lt;authors&gt;&lt;author&gt;Gilchrist, Francis J.&lt;/author&gt;&lt;/authors&gt;&lt;/contributors&gt;&lt;titles&gt;&lt;title&gt;Protracted bacterial bronchitis&lt;/title&gt;&lt;secondary-title&gt;Paediatrics and Child Health&lt;/secondary-title&gt;&lt;/titles&gt;&lt;periodical&gt;&lt;full-title&gt;Paediatrics and Child Health&lt;/full-title&gt;&lt;/periodical&gt;&lt;pages&gt;158-160&lt;/pages&gt;&lt;volume&gt;29&lt;/volume&gt;&lt;number&gt;4&lt;/number&gt;&lt;dates&gt;&lt;year&gt;2019&lt;/year&gt;&lt;/dates&gt;&lt;publisher&gt;Elsevier&lt;/publisher&gt;&lt;isbn&gt;1751-7222&lt;/isbn&gt;&lt;urls&gt;&lt;related-urls&gt;&lt;url&gt;https://doi.org/10.1016/j.paed.2019.01.012&lt;/url&gt;&lt;/related-urls&gt;&lt;/urls&gt;&lt;electronic-resource-num&gt;10.1016/j.paed.2019.01.012&lt;/electronic-resource-num&gt;&lt;access-date&gt;2019/07/22&lt;/access-date&gt;&lt;/record&gt;&lt;/Cite&gt;&lt;/EndNote&gt;</w:instrText>
      </w:r>
      <w:r w:rsidR="00C320B6">
        <w:fldChar w:fldCharType="separate"/>
      </w:r>
      <w:r w:rsidR="00C320B6">
        <w:rPr>
          <w:noProof/>
        </w:rPr>
        <w:t>(Gilchrist, 2019)</w:t>
      </w:r>
      <w:r w:rsidR="00C320B6">
        <w:fldChar w:fldCharType="end"/>
      </w:r>
      <w:r w:rsidR="00C320B6">
        <w:t>.</w:t>
      </w:r>
    </w:p>
    <w:p w14:paraId="2B0C560F" w14:textId="3859F34B" w:rsidR="00507365" w:rsidRDefault="00C320B6" w:rsidP="00C320B6">
      <w:pPr>
        <w:spacing w:after="160" w:line="360" w:lineRule="auto"/>
        <w:rPr>
          <w:bCs/>
        </w:rPr>
      </w:pPr>
      <w:r w:rsidRPr="00241369">
        <w:rPr>
          <w:bCs/>
        </w:rPr>
        <w:t xml:space="preserve">Importantly, </w:t>
      </w:r>
      <w:r>
        <w:rPr>
          <w:bCs/>
        </w:rPr>
        <w:t xml:space="preserve">my </w:t>
      </w:r>
      <w:r w:rsidRPr="00241369">
        <w:rPr>
          <w:bCs/>
        </w:rPr>
        <w:t>review of the literature did not find any studies investigating either recurrent or long-term macrolide use in children with PBB with regards to efficacy or impact on antimicrobial resistance</w:t>
      </w:r>
      <w:r>
        <w:rPr>
          <w:bCs/>
        </w:rPr>
        <w:t xml:space="preserve"> or microbiota</w:t>
      </w:r>
      <w:r w:rsidRPr="00241369">
        <w:rPr>
          <w:bCs/>
        </w:rPr>
        <w:t xml:space="preserve">. The </w:t>
      </w:r>
      <w:r>
        <w:rPr>
          <w:bCs/>
        </w:rPr>
        <w:t xml:space="preserve">recognition of </w:t>
      </w:r>
      <w:r w:rsidRPr="00241369">
        <w:rPr>
          <w:bCs/>
        </w:rPr>
        <w:t xml:space="preserve">persistence of bacterial respiratory pathogens associated with a chronic cough is not new. The term </w:t>
      </w:r>
      <w:r>
        <w:rPr>
          <w:bCs/>
        </w:rPr>
        <w:t>‘</w:t>
      </w:r>
      <w:r w:rsidRPr="00241369">
        <w:rPr>
          <w:bCs/>
        </w:rPr>
        <w:t>protracted bacterial bronchitis</w:t>
      </w:r>
      <w:r>
        <w:rPr>
          <w:bCs/>
        </w:rPr>
        <w:t>’</w:t>
      </w:r>
      <w:r w:rsidRPr="00241369">
        <w:rPr>
          <w:bCs/>
        </w:rPr>
        <w:t xml:space="preserve"> was however first used in 2006 and hence only more recent studies may have used this term. Despite using other search terms, no studies in this field were found.</w:t>
      </w:r>
    </w:p>
    <w:p w14:paraId="6DD75CBC" w14:textId="77777777" w:rsidR="00892868" w:rsidRPr="00453E1C" w:rsidRDefault="00892868" w:rsidP="00C320B6">
      <w:pPr>
        <w:spacing w:after="160" w:line="360" w:lineRule="auto"/>
        <w:rPr>
          <w:bCs/>
        </w:rPr>
      </w:pPr>
    </w:p>
    <w:p w14:paraId="1810D193" w14:textId="77777777" w:rsidR="00E428B4" w:rsidRPr="00E428B4" w:rsidRDefault="00E428B4" w:rsidP="004F3338">
      <w:pPr>
        <w:pStyle w:val="Heading2"/>
      </w:pPr>
      <w:bookmarkStart w:id="19" w:name="_Toc117765880"/>
      <w:r w:rsidRPr="00E428B4">
        <w:t>Antibiotic</w:t>
      </w:r>
      <w:bookmarkEnd w:id="10"/>
      <w:r>
        <w:t>s</w:t>
      </w:r>
      <w:bookmarkEnd w:id="19"/>
    </w:p>
    <w:p w14:paraId="5844A208" w14:textId="3CEFDEE5" w:rsidR="00E428B4" w:rsidRDefault="00E428B4" w:rsidP="001F2604">
      <w:pPr>
        <w:spacing w:line="360" w:lineRule="auto"/>
      </w:pPr>
      <w:r w:rsidRPr="00CA20A3">
        <w:t>An antibiotic is an antimicrobial substance which can either kill bacteria or limit bacterial growth. Since the discovery of penicillin in 1928 antibiotics have been used to treat or prevent bacterial infections, and a range of different antibiotics have been developed to treat diverse bacterial pathogens. Antibiotics are commonly classified based on their mechanism of action. Those that target the bacterial cell wall (</w:t>
      </w:r>
      <w:r w:rsidR="00B73D27">
        <w:t xml:space="preserve">including </w:t>
      </w:r>
      <w:proofErr w:type="spellStart"/>
      <w:r w:rsidRPr="00CA20A3">
        <w:t>penicillins</w:t>
      </w:r>
      <w:proofErr w:type="spellEnd"/>
      <w:r w:rsidRPr="00CA20A3">
        <w:t xml:space="preserve">, cephalosporins, </w:t>
      </w:r>
      <w:r w:rsidR="00973F78">
        <w:t>glycopeptides</w:t>
      </w:r>
      <w:r w:rsidRPr="00CA20A3">
        <w:t>) or the cell membrane (for example, daptomycin), or interfere with essential bacterial enzymes (such as quinolones, trim</w:t>
      </w:r>
      <w:r w:rsidR="0055384B">
        <w:t>e</w:t>
      </w:r>
      <w:r w:rsidRPr="00CA20A3">
        <w:t xml:space="preserve">thoprim and </w:t>
      </w:r>
      <w:r w:rsidR="0055384B" w:rsidRPr="00CA20A3">
        <w:t>sulphonamides</w:t>
      </w:r>
      <w:r w:rsidRPr="00CA20A3">
        <w:t>) are usually bactericidal</w:t>
      </w:r>
      <w:r w:rsidR="00382F0A">
        <w:t xml:space="preserve"> and</w:t>
      </w:r>
      <w:r w:rsidR="00C90C05">
        <w:t xml:space="preserve"> thus</w:t>
      </w:r>
      <w:r w:rsidR="00382F0A">
        <w:t xml:space="preserve"> have the ability to kill bacteria</w:t>
      </w:r>
      <w:r w:rsidRPr="00CA20A3">
        <w:t>. Protein synthesis inhibitors (macrolides, linezolid and tetracyclines) are usually bacteriostatic</w:t>
      </w:r>
      <w:r w:rsidR="00382F0A">
        <w:t xml:space="preserve"> and inhibit the growth of bacteria rather than kill them </w:t>
      </w:r>
      <w:r w:rsidRPr="00CA20A3">
        <w:t xml:space="preserve">(with the exception of the bactericidal aminoglycosides such as gentamicin and </w:t>
      </w:r>
      <w:r w:rsidR="0055384B" w:rsidRPr="00CA20A3">
        <w:t>tobramycin</w:t>
      </w:r>
      <w:r w:rsidRPr="00CA20A3">
        <w:t>).</w:t>
      </w:r>
    </w:p>
    <w:p w14:paraId="009153C2" w14:textId="77777777" w:rsidR="008E1EFC" w:rsidRDefault="008E1EFC" w:rsidP="001F2604">
      <w:pPr>
        <w:spacing w:line="360" w:lineRule="auto"/>
      </w:pPr>
    </w:p>
    <w:p w14:paraId="0D38294E" w14:textId="77777777" w:rsidR="00E428B4" w:rsidRDefault="00E428B4" w:rsidP="004F3338">
      <w:pPr>
        <w:pStyle w:val="Heading2"/>
      </w:pPr>
      <w:bookmarkStart w:id="20" w:name="_Toc117765881"/>
      <w:r>
        <w:lastRenderedPageBreak/>
        <w:t>Antibiotic resistance</w:t>
      </w:r>
      <w:bookmarkEnd w:id="20"/>
    </w:p>
    <w:p w14:paraId="3E95564D" w14:textId="7D404CE6" w:rsidR="00E428B4" w:rsidRDefault="00E428B4" w:rsidP="00521FC2">
      <w:pPr>
        <w:spacing w:after="160" w:line="360" w:lineRule="auto"/>
      </w:pPr>
      <w:r>
        <w:t>There are major concerns about the spread of antibiotic resistance, which may be promoted by excessive or inappropriate antibiotic use.  Antibiotic resistance o</w:t>
      </w:r>
      <w:r w:rsidRPr="009A7C17">
        <w:t xml:space="preserve">ccurs when </w:t>
      </w:r>
      <w:r>
        <w:t>bacteria</w:t>
      </w:r>
      <w:r w:rsidRPr="009A7C17">
        <w:t xml:space="preserve"> evolve </w:t>
      </w:r>
      <w:r w:rsidR="00B73D27">
        <w:t xml:space="preserve">or acquire </w:t>
      </w:r>
      <w:r w:rsidRPr="009A7C17">
        <w:t xml:space="preserve">mechanisms that protect them from the effects of </w:t>
      </w:r>
      <w:r>
        <w:t>antibiotics; resistant organisms may be selected for by the use of antibiotics.</w:t>
      </w:r>
      <w:r w:rsidR="0055384B">
        <w:t xml:space="preserve"> </w:t>
      </w:r>
      <w:r w:rsidRPr="009A7C17">
        <w:t xml:space="preserve">Resistant </w:t>
      </w:r>
      <w:r>
        <w:t>bacteria</w:t>
      </w:r>
      <w:r w:rsidRPr="009A7C17">
        <w:t xml:space="preserve"> </w:t>
      </w:r>
      <w:r>
        <w:t>a</w:t>
      </w:r>
      <w:r w:rsidRPr="009A7C17">
        <w:t>re more difficult to treat, requiring higher</w:t>
      </w:r>
      <w:r>
        <w:t xml:space="preserve"> antibiotic</w:t>
      </w:r>
      <w:r w:rsidRPr="009A7C17">
        <w:t xml:space="preserve"> doses, </w:t>
      </w:r>
      <w:r>
        <w:t xml:space="preserve">antibiotic combinations </w:t>
      </w:r>
      <w:r w:rsidRPr="009A7C17">
        <w:t xml:space="preserve">or alternative </w:t>
      </w:r>
      <w:r>
        <w:t>treatments</w:t>
      </w:r>
      <w:r w:rsidRPr="009A7C17">
        <w:t xml:space="preserve"> which may prove more toxic. Microbes resistant to multiple antimicrobials are called multidrug resistant</w:t>
      </w:r>
      <w:r>
        <w:t xml:space="preserve">. </w:t>
      </w:r>
      <w:r w:rsidRPr="00241369">
        <w:t>Antibiotic resistance poses a serious threat to global health</w:t>
      </w:r>
      <w:r>
        <w:t xml:space="preserve"> </w:t>
      </w:r>
      <w:r>
        <w:fldChar w:fldCharType="begin"/>
      </w:r>
      <w:r>
        <w:instrText xml:space="preserve"> ADDIN EN.CITE &lt;EndNote&gt;&lt;Cite&gt;&lt;Author&gt;WHO&lt;/Author&gt;&lt;Year&gt;2020&lt;/Year&gt;&lt;RecNum&gt;415&lt;/RecNum&gt;&lt;DisplayText&gt;(WHO, 2020)&lt;/DisplayText&gt;&lt;record&gt;&lt;rec-number&gt;415&lt;/rec-number&gt;&lt;foreign-keys&gt;&lt;key app="EN" db-id="pr9rwt2w8padxcerwx6prd0a9wtda2w5fw2t" timestamp="1648034122"&gt;415&lt;/key&gt;&lt;/foreign-keys&gt;&lt;ref-type name="Web Page"&gt;12&lt;/ref-type&gt;&lt;contributors&gt;&lt;authors&gt;&lt;author&gt;WHO&lt;/author&gt;&lt;/authors&gt;&lt;/contributors&gt;&lt;titles&gt;&lt;title&gt;Antibiotic resistance&lt;/title&gt;&lt;/titles&gt;&lt;dates&gt;&lt;year&gt;2020&lt;/year&gt;&lt;/dates&gt;&lt;urls&gt;&lt;related-urls&gt;&lt;url&gt;https://www.who.int/news-room/fact-sheets/detail/antibiotic-resistance&lt;/url&gt;&lt;/related-urls&gt;&lt;/urls&gt;&lt;/record&gt;&lt;/Cite&gt;&lt;/EndNote&gt;</w:instrText>
      </w:r>
      <w:r>
        <w:fldChar w:fldCharType="separate"/>
      </w:r>
      <w:r>
        <w:rPr>
          <w:noProof/>
        </w:rPr>
        <w:t>(WHO, 2020)</w:t>
      </w:r>
      <w:r>
        <w:fldChar w:fldCharType="end"/>
      </w:r>
      <w:r w:rsidRPr="00241369">
        <w:t>. In 2016, the UK government published its final report on</w:t>
      </w:r>
      <w:r>
        <w:t xml:space="preserve"> AMR</w:t>
      </w:r>
      <w:r w:rsidRPr="00241369">
        <w:t xml:space="preserve">. It was estimated that 10 million lives could be at risk by 2050 if the problem of drug resistance was not addressed </w:t>
      </w:r>
      <w:r>
        <w:fldChar w:fldCharType="begin"/>
      </w:r>
      <w:r w:rsidR="00A67C03">
        <w:instrText xml:space="preserve"> ADDIN EN.CITE &lt;EndNote&gt;&lt;Cite&gt;&lt;Author&gt;O&amp;apos;Neill&lt;/Author&gt;&lt;Year&gt;2014&lt;/Year&gt;&lt;RecNum&gt;253&lt;/RecNum&gt;&lt;DisplayText&gt;(O&amp;apos;Neill, 2014)&lt;/DisplayText&gt;&lt;record&gt;&lt;rec-number&gt;253&lt;/rec-number&gt;&lt;foreign-keys&gt;&lt;key app="EN" db-id="pr9rwt2w8padxcerwx6prd0a9wtda2w5fw2t" timestamp="1629731697"&gt;253&lt;/key&gt;&lt;/foreign-keys&gt;&lt;ref-type name="Journal Article"&gt;17&lt;/ref-type&gt;&lt;contributors&gt;&lt;authors&gt;&lt;author&gt;Jim O&amp;apos;Neill&lt;/author&gt;&lt;/authors&gt;&lt;/contributors&gt;&lt;titles&gt;&lt;title&gt;Antimicrobial resistance: Tackling a crisis for the health and wealth of nations&lt;/title&gt;&lt;/titles&gt;&lt;dates&gt;&lt;year&gt;2014&lt;/year&gt;&lt;/dates&gt;&lt;urls&gt;&lt;related-urls&gt;&lt;url&gt;https://amr-review.org/&lt;/url&gt;&lt;/related-urls&gt;&lt;/urls&gt;&lt;/record&gt;&lt;/Cite&gt;&lt;/EndNote&gt;</w:instrText>
      </w:r>
      <w:r>
        <w:fldChar w:fldCharType="separate"/>
      </w:r>
      <w:r>
        <w:rPr>
          <w:noProof/>
        </w:rPr>
        <w:t>(O'Neill, 2014)</w:t>
      </w:r>
      <w:r>
        <w:fldChar w:fldCharType="end"/>
      </w:r>
      <w:r>
        <w:t>.</w:t>
      </w:r>
      <w:r w:rsidRPr="00241369">
        <w:t xml:space="preserve"> In order to tackle this problem, ten recommendations were made. These included global public awareness campaigns, reduction of unnecessary use of antimicrobials in both agriculture and health care, improving global surveillance of drug resistance and promoting rapid diagnostic tests</w:t>
      </w:r>
      <w:r>
        <w:t xml:space="preserve"> </w:t>
      </w:r>
      <w:r>
        <w:fldChar w:fldCharType="begin"/>
      </w:r>
      <w:r w:rsidR="00A67C03">
        <w:instrText xml:space="preserve"> ADDIN EN.CITE &lt;EndNote&gt;&lt;Cite&gt;&lt;Author&gt;O&amp;apos;Neill&lt;/Author&gt;&lt;Year&gt;2014&lt;/Year&gt;&lt;RecNum&gt;253&lt;/RecNum&gt;&lt;DisplayText&gt;(O&amp;apos;Neill, 2014)&lt;/DisplayText&gt;&lt;record&gt;&lt;rec-number&gt;253&lt;/rec-number&gt;&lt;foreign-keys&gt;&lt;key app="EN" db-id="pr9rwt2w8padxcerwx6prd0a9wtda2w5fw2t" timestamp="1629731697"&gt;253&lt;/key&gt;&lt;/foreign-keys&gt;&lt;ref-type name="Journal Article"&gt;17&lt;/ref-type&gt;&lt;contributors&gt;&lt;authors&gt;&lt;author&gt;Jim O&amp;apos;Neill&lt;/author&gt;&lt;/authors&gt;&lt;/contributors&gt;&lt;titles&gt;&lt;title&gt;Antimicrobial resistance: Tackling a crisis for the health and wealth of nations&lt;/title&gt;&lt;/titles&gt;&lt;dates&gt;&lt;year&gt;2014&lt;/year&gt;&lt;/dates&gt;&lt;urls&gt;&lt;related-urls&gt;&lt;url&gt;https://amr-review.org/&lt;/url&gt;&lt;/related-urls&gt;&lt;/urls&gt;&lt;/record&gt;&lt;/Cite&gt;&lt;/EndNote&gt;</w:instrText>
      </w:r>
      <w:r>
        <w:fldChar w:fldCharType="separate"/>
      </w:r>
      <w:r>
        <w:rPr>
          <w:noProof/>
        </w:rPr>
        <w:t>(O'Neill, 2014)</w:t>
      </w:r>
      <w:r>
        <w:fldChar w:fldCharType="end"/>
      </w:r>
      <w:r>
        <w:t>.</w:t>
      </w:r>
      <w:r w:rsidRPr="00241369">
        <w:t xml:space="preserve"> To address these concerns, antibiotic stewardship programmes </w:t>
      </w:r>
      <w:r>
        <w:t xml:space="preserve">and frameworks such as the “One Health” initiative </w:t>
      </w:r>
      <w:r w:rsidRPr="00241369">
        <w:t>have been instituted to promote the judicious use of antibiotics</w:t>
      </w:r>
      <w:r>
        <w:t xml:space="preserve"> across a multitude of sectors. </w:t>
      </w:r>
    </w:p>
    <w:p w14:paraId="7646B6F2" w14:textId="14625BD4" w:rsidR="00AD243B" w:rsidRDefault="00E428B4" w:rsidP="00521FC2">
      <w:pPr>
        <w:spacing w:after="160" w:line="360" w:lineRule="auto"/>
      </w:pPr>
      <w:r w:rsidRPr="00EE7B0C">
        <w:t>A number of key mechanisms enable bacteria to develop resistance to antibiotics</w:t>
      </w:r>
      <w:r w:rsidR="009818AB">
        <w:t>, with antibiotic exposure providing evolutionary pressure to select for resistant organisms</w:t>
      </w:r>
      <w:r w:rsidRPr="00EE7B0C">
        <w:t xml:space="preserve">. </w:t>
      </w:r>
      <w:r w:rsidR="009818AB">
        <w:t>A</w:t>
      </w:r>
      <w:r w:rsidR="009818AB" w:rsidRPr="00EE7B0C">
        <w:t xml:space="preserve">ntibiotic resistance may be acquired through horizontal acquisition of genetic material </w:t>
      </w:r>
      <w:r w:rsidR="009818AB">
        <w:t xml:space="preserve">(via mobile genetic elements, see below) </w:t>
      </w:r>
      <w:r w:rsidR="009818AB" w:rsidRPr="00EE7B0C">
        <w:t xml:space="preserve">or </w:t>
      </w:r>
      <w:r w:rsidR="009818AB">
        <w:t xml:space="preserve">by </w:t>
      </w:r>
      <w:r w:rsidR="009818AB" w:rsidRPr="00EE7B0C">
        <w:t xml:space="preserve">mutations within the bacteria’s own DNA. </w:t>
      </w:r>
      <w:r w:rsidR="00A96C44">
        <w:t>Antibiotic</w:t>
      </w:r>
      <w:r w:rsidR="009818AB">
        <w:t xml:space="preserve"> resistance</w:t>
      </w:r>
      <w:r w:rsidR="00A96C44">
        <w:t xml:space="preserve"> may be conferred </w:t>
      </w:r>
      <w:r w:rsidR="009818AB" w:rsidRPr="00EE7B0C">
        <w:t xml:space="preserve"> </w:t>
      </w:r>
      <w:r w:rsidR="00A96C44">
        <w:t>by</w:t>
      </w:r>
      <w:r w:rsidR="00A96C44" w:rsidRPr="00EE7B0C">
        <w:t xml:space="preserve"> </w:t>
      </w:r>
      <w:r>
        <w:t>efflux pumps which excrete the antibiotic, inactivation of the antibiotic</w:t>
      </w:r>
      <w:r w:rsidR="00A96C44">
        <w:t xml:space="preserve"> (</w:t>
      </w:r>
      <w:r w:rsidR="00C47244">
        <w:t>e.g.</w:t>
      </w:r>
      <w:r w:rsidR="00A96C44">
        <w:t xml:space="preserve"> by </w:t>
      </w:r>
      <w:r w:rsidR="006A27D4" w:rsidRPr="00EE7B0C">
        <w:t>beta-lactamases</w:t>
      </w:r>
      <w:r w:rsidR="00A96C44">
        <w:t>)</w:t>
      </w:r>
      <w:r>
        <w:t>, modification of the antibiotic target</w:t>
      </w:r>
      <w:r w:rsidR="009818AB">
        <w:t>,</w:t>
      </w:r>
      <w:r>
        <w:t xml:space="preserve"> and target by-pass whereby new pathways may be created in order to circumvent the originally targeted enzyme </w:t>
      </w:r>
      <w:r>
        <w:fldChar w:fldCharType="begin"/>
      </w:r>
      <w:r w:rsidR="00EE22EB">
        <w:instrText xml:space="preserve"> ADDIN EN.CITE &lt;EndNote&gt;&lt;Cite&gt;&lt;Author&gt;Uluseker&lt;/Author&gt;&lt;Year&gt;2021&lt;/Year&gt;&lt;RecNum&gt;414&lt;/RecNum&gt;&lt;DisplayText&gt;(Uluseker et al., 2021)&lt;/DisplayText&gt;&lt;record&gt;&lt;rec-number&gt;414&lt;/rec-number&gt;&lt;foreign-keys&gt;&lt;key app="EN" db-id="pr9rwt2w8padxcerwx6prd0a9wtda2w5fw2t" timestamp="1648032332"&gt;414&lt;/key&gt;&lt;/foreign-keys&gt;&lt;ref-type name="Journal Article"&gt;17&lt;/ref-type&gt;&lt;contributors&gt;&lt;authors&gt;&lt;author&gt;Uluseker,Cansu&lt;/author&gt;&lt;author&gt;Kaster,Krista Michelle&lt;/author&gt;&lt;author&gt;Thorsen,Kristian&lt;/author&gt;&lt;author&gt;Basiry,Daniel&lt;/author&gt;&lt;author&gt;Shobana,Sutha&lt;/author&gt;&lt;author&gt;Jain,Monika&lt;/author&gt;&lt;author&gt;Kumar,Gopalakrishnan&lt;/author&gt;&lt;author&gt;Kommedal,Roald&lt;/author&gt;&lt;author&gt;Pala-Ozkok,Ilke&lt;/author&gt;&lt;/authors&gt;&lt;/contributors&gt;&lt;titles&gt;&lt;title&gt;A Review on Occurrence and Spread of Antibiotic Resistance in Wastewaters and in Wastewater Treatment Plants: Mechanisms and Perspectives&lt;/title&gt;&lt;secondary-title&gt;Frontiers in Microbiology&lt;/secondary-title&gt;&lt;short-title&gt;Antibiotic Resistance in WWTP&lt;/short-title&gt;&lt;/titles&gt;&lt;periodical&gt;&lt;full-title&gt;Frontiers in Microbiology&lt;/full-title&gt;&lt;/periodical&gt;&lt;volume&gt;12&lt;/volume&gt;&lt;keywords&gt;&lt;keyword&gt;antibiotics,antibiotic resistance genes,Antibiotic resistant bacteria,spread mechanisms,Wastewater treatment plants&lt;/keyword&gt;&lt;/keywords&gt;&lt;dates&gt;&lt;year&gt;2021&lt;/year&gt;&lt;pub-dates&gt;&lt;date&gt;2021-October-11&lt;/date&gt;&lt;/pub-dates&gt;&lt;/dates&gt;&lt;isbn&gt;1664-302X&lt;/isbn&gt;&lt;work-type&gt;Review&lt;/work-type&gt;&lt;urls&gt;&lt;related-urls&gt;&lt;url&gt;https://www.frontiersin.org/article/10.3389/fmicb.2021.717809&lt;/url&gt;&lt;/related-urls&gt;&lt;/urls&gt;&lt;electronic-resource-num&gt;10.3389/fmicb.2021.717809&lt;/electronic-resource-num&gt;&lt;language&gt;English&lt;/language&gt;&lt;/record&gt;&lt;/Cite&gt;&lt;/EndNote&gt;</w:instrText>
      </w:r>
      <w:r>
        <w:fldChar w:fldCharType="separate"/>
      </w:r>
      <w:r w:rsidR="00EE22EB">
        <w:rPr>
          <w:noProof/>
        </w:rPr>
        <w:t>(Uluseker et al., 2021)</w:t>
      </w:r>
      <w:r>
        <w:fldChar w:fldCharType="end"/>
      </w:r>
      <w:r>
        <w:t xml:space="preserve">, see </w:t>
      </w:r>
      <w:r w:rsidR="00605502" w:rsidRPr="00605502">
        <w:fldChar w:fldCharType="begin"/>
      </w:r>
      <w:r w:rsidR="00605502" w:rsidRPr="00605502">
        <w:instrText xml:space="preserve"> REF _Ref105444125 \h  \* MERGEFORMAT </w:instrText>
      </w:r>
      <w:r w:rsidR="00605502" w:rsidRPr="00605502">
        <w:fldChar w:fldCharType="separate"/>
      </w:r>
      <w:r w:rsidR="00892868" w:rsidRPr="00892868">
        <w:rPr>
          <w:color w:val="000000" w:themeColor="text1"/>
        </w:rPr>
        <w:t xml:space="preserve">Figure </w:t>
      </w:r>
      <w:r w:rsidR="00892868" w:rsidRPr="00892868">
        <w:rPr>
          <w:noProof/>
          <w:color w:val="000000" w:themeColor="text1"/>
        </w:rPr>
        <w:t>1</w:t>
      </w:r>
      <w:r w:rsidR="00892868" w:rsidRPr="00892868">
        <w:rPr>
          <w:noProof/>
          <w:color w:val="000000" w:themeColor="text1"/>
        </w:rPr>
        <w:noBreakHyphen/>
        <w:t>3</w:t>
      </w:r>
      <w:r w:rsidR="00605502" w:rsidRPr="00605502">
        <w:fldChar w:fldCharType="end"/>
      </w:r>
      <w:r w:rsidRPr="00605502">
        <w:t xml:space="preserve">. </w:t>
      </w:r>
      <w:r w:rsidRPr="00EE7B0C">
        <w:t xml:space="preserve">Some bacterial species may be intrinsically resistant to an antibiotic such as cephalosporin resistance in </w:t>
      </w:r>
      <w:r w:rsidRPr="005C4137">
        <w:t>enterococci</w:t>
      </w:r>
      <w:r w:rsidRPr="00EE7B0C">
        <w:t xml:space="preserve">, which has been associated with a </w:t>
      </w:r>
      <w:r w:rsidR="005C4137">
        <w:t>low</w:t>
      </w:r>
      <w:r w:rsidRPr="00EE7B0C">
        <w:t xml:space="preserve"> binding affinity of cephalosporins for the </w:t>
      </w:r>
      <w:r w:rsidR="005C4137">
        <w:t xml:space="preserve">enterococcal </w:t>
      </w:r>
      <w:r w:rsidRPr="00EE7B0C">
        <w:t>penicillin</w:t>
      </w:r>
      <w:r w:rsidR="005C4137">
        <w:t>-</w:t>
      </w:r>
      <w:r w:rsidRPr="00EE7B0C">
        <w:t>binding proteins</w:t>
      </w:r>
      <w:r w:rsidR="004817F0">
        <w:t xml:space="preserve"> (PBPs)</w:t>
      </w:r>
      <w:r w:rsidRPr="00EE7B0C">
        <w:t xml:space="preserve">. </w:t>
      </w:r>
    </w:p>
    <w:p w14:paraId="588C8BC5" w14:textId="36E083F9" w:rsidR="00AD243B" w:rsidRPr="00EE7B0C" w:rsidRDefault="00AD243B" w:rsidP="00AD243B">
      <w:pPr>
        <w:spacing w:line="360" w:lineRule="auto"/>
      </w:pPr>
      <w:r>
        <w:t xml:space="preserve">Mobile genetic elements promote the accumulation and spread of antibiotic resistance genes in bacterial populations. </w:t>
      </w:r>
      <w:r w:rsidRPr="00EE7B0C">
        <w:t xml:space="preserve">The three main strategies through which bacteria transfer genetic material are </w:t>
      </w:r>
      <w:r w:rsidRPr="00EE7B0C">
        <w:fldChar w:fldCharType="begin"/>
      </w:r>
      <w:r w:rsidR="00CD2C33">
        <w:instrText xml:space="preserve"> ADDIN EN.CITE &lt;EndNote&gt;&lt;Cite&gt;&lt;Author&gt;Munita&lt;/Author&gt;&lt;Year&gt;2016&lt;/Year&gt;&lt;RecNum&gt;341&lt;/RecNum&gt;&lt;DisplayText&gt;(Munita et al., 2016)&lt;/DisplayText&gt;&lt;record&gt;&lt;rec-number&gt;341&lt;/rec-number&gt;&lt;foreign-keys&gt;&lt;key app="EN" db-id="pr9rwt2w8padxcerwx6prd0a9wtda2w5fw2t" timestamp="1629802319"&gt;341&lt;/key&gt;&lt;/foreign-keys&gt;&lt;ref-type name="Journal Article"&gt;17&lt;/ref-type&gt;&lt;contributors&gt;&lt;authors&gt;&lt;author&gt;Munita, J. M.&lt;/author&gt;&lt;author&gt;Arias, C. A.&lt;/author&gt;&lt;/authors&gt;&lt;/contributors&gt;&lt;auth-address&gt;Department of Internal Medicine, Division of Infectious Diseases, University of Texas Medical School at Houston, Houston, TX 77030.&amp;#xD;International Center for Microbial Genomics.&amp;#xD;Clinica Alemana de Santiago, Universidad del Desarrollo School of Medicine, Santiago, Chile.&amp;#xD;Molecular Genetics and Antimicrobial Resistance Unit, Universidad El Bosque, Bogota, Colombia.&lt;/auth-address&gt;&lt;titles&gt;&lt;title&gt;Mechanisms of Antibiotic Resistance&lt;/title&gt;&lt;secondary-title&gt;Microbiol Spectr&lt;/secondary-title&gt;&lt;/titles&gt;&lt;periodical&gt;&lt;full-title&gt;Microbiol Spectr&lt;/full-title&gt;&lt;/periodical&gt;&lt;volume&gt;4&lt;/volume&gt;&lt;number&gt;2&lt;/number&gt;&lt;edition&gt;2016/05/27&lt;/edition&gt;&lt;keywords&gt;&lt;keyword&gt;Adaptation, Physiological&lt;/keyword&gt;&lt;keyword&gt;Anti-Bacterial Agents/pharmacology&lt;/keyword&gt;&lt;keyword&gt;Bacteria/*drug effects&lt;/keyword&gt;&lt;keyword&gt;Bacterial Infections/drug therapy/microbiology&lt;/keyword&gt;&lt;keyword&gt;Drug Resistance, Microbial/*physiology&lt;/keyword&gt;&lt;keyword&gt;Drug Resistance, Multiple, Bacterial/*physiology&lt;/keyword&gt;&lt;keyword&gt;Humans&lt;/keyword&gt;&lt;keyword&gt;Mutation&lt;/keyword&gt;&lt;/keywords&gt;&lt;dates&gt;&lt;year&gt;2016&lt;/year&gt;&lt;pub-dates&gt;&lt;date&gt;Apr&lt;/date&gt;&lt;/pub-dates&gt;&lt;/dates&gt;&lt;isbn&gt;2165-0497&lt;/isbn&gt;&lt;accession-num&gt;27227291&lt;/accession-num&gt;&lt;urls&gt;&lt;/urls&gt;&lt;custom2&gt;PMC4888801&lt;/custom2&gt;&lt;custom6&gt;NIHMS715987&lt;/custom6&gt;&lt;electronic-resource-num&gt;10.1128/microbiolspec.VMBF-0016-2015&lt;/electronic-resource-num&gt;&lt;remote-database-provider&gt;NLM&lt;/remote-database-provider&gt;&lt;language&gt;eng&lt;/language&gt;&lt;/record&gt;&lt;/Cite&gt;&lt;/EndNote&gt;</w:instrText>
      </w:r>
      <w:r w:rsidRPr="00EE7B0C">
        <w:fldChar w:fldCharType="separate"/>
      </w:r>
      <w:r w:rsidR="00CD2C33">
        <w:rPr>
          <w:noProof/>
        </w:rPr>
        <w:t>(Munita et al., 2016)</w:t>
      </w:r>
      <w:r w:rsidRPr="00EE7B0C">
        <w:fldChar w:fldCharType="end"/>
      </w:r>
      <w:r w:rsidRPr="00EE7B0C">
        <w:t>:</w:t>
      </w:r>
    </w:p>
    <w:p w14:paraId="22DAD8A3" w14:textId="77777777" w:rsidR="00AD243B" w:rsidRPr="00752DA8" w:rsidRDefault="00AD243B">
      <w:pPr>
        <w:pStyle w:val="ListParagraph"/>
        <w:numPr>
          <w:ilvl w:val="0"/>
          <w:numId w:val="37"/>
        </w:numPr>
        <w:spacing w:after="0" w:line="360" w:lineRule="auto"/>
        <w:rPr>
          <w:rFonts w:ascii="Times New Roman" w:hAnsi="Times New Roman" w:cs="Times New Roman"/>
          <w:sz w:val="24"/>
          <w:szCs w:val="24"/>
        </w:rPr>
      </w:pPr>
      <w:r w:rsidRPr="00752DA8">
        <w:rPr>
          <w:rFonts w:ascii="Times New Roman" w:hAnsi="Times New Roman" w:cs="Times New Roman"/>
          <w:sz w:val="24"/>
          <w:szCs w:val="24"/>
        </w:rPr>
        <w:lastRenderedPageBreak/>
        <w:t xml:space="preserve">Transformation – Extracellular DNA is taken up and incorporated into the bacterial chromosome. </w:t>
      </w:r>
    </w:p>
    <w:p w14:paraId="40B5B769" w14:textId="77777777" w:rsidR="00AD243B" w:rsidRPr="00752DA8" w:rsidRDefault="00AD243B">
      <w:pPr>
        <w:pStyle w:val="ListParagraph"/>
        <w:numPr>
          <w:ilvl w:val="0"/>
          <w:numId w:val="37"/>
        </w:numPr>
        <w:spacing w:after="0" w:line="360" w:lineRule="auto"/>
        <w:rPr>
          <w:rFonts w:ascii="Times New Roman" w:hAnsi="Times New Roman" w:cs="Times New Roman"/>
          <w:sz w:val="24"/>
          <w:szCs w:val="24"/>
        </w:rPr>
      </w:pPr>
      <w:r w:rsidRPr="00752DA8">
        <w:rPr>
          <w:rFonts w:ascii="Times New Roman" w:hAnsi="Times New Roman" w:cs="Times New Roman"/>
          <w:sz w:val="24"/>
          <w:szCs w:val="24"/>
        </w:rPr>
        <w:t xml:space="preserve">Transduction – Genetic material is transferred between bacteria by a virus (bacteriophage). </w:t>
      </w:r>
    </w:p>
    <w:p w14:paraId="2406B7DB" w14:textId="0705836C" w:rsidR="00AD243B" w:rsidRPr="00060139" w:rsidRDefault="00AD243B" w:rsidP="001F2604">
      <w:pPr>
        <w:pStyle w:val="ListParagraph"/>
        <w:numPr>
          <w:ilvl w:val="0"/>
          <w:numId w:val="37"/>
        </w:numPr>
        <w:spacing w:after="0" w:line="360" w:lineRule="auto"/>
        <w:ind w:left="714" w:hanging="357"/>
        <w:rPr>
          <w:rFonts w:ascii="Times New Roman" w:hAnsi="Times New Roman" w:cs="Times New Roman"/>
          <w:sz w:val="24"/>
          <w:szCs w:val="24"/>
        </w:rPr>
      </w:pPr>
      <w:r w:rsidRPr="00752DA8">
        <w:rPr>
          <w:rFonts w:ascii="Times New Roman" w:hAnsi="Times New Roman" w:cs="Times New Roman"/>
          <w:sz w:val="24"/>
          <w:szCs w:val="24"/>
        </w:rPr>
        <w:t xml:space="preserve">Conjugation – Transfer of mobile genetic elements, such as plasmids and transposons, which involves bacterial cell-to-cell contact. </w:t>
      </w:r>
    </w:p>
    <w:p w14:paraId="088D1335" w14:textId="27267FD1" w:rsidR="00AD243B" w:rsidRDefault="00AD243B" w:rsidP="001F2604">
      <w:pPr>
        <w:spacing w:line="360" w:lineRule="auto"/>
      </w:pPr>
    </w:p>
    <w:p w14:paraId="0B024B2C" w14:textId="77777777" w:rsidR="00AD243B" w:rsidRDefault="00AD243B" w:rsidP="001F2604">
      <w:pPr>
        <w:spacing w:line="360" w:lineRule="auto"/>
      </w:pPr>
    </w:p>
    <w:p w14:paraId="5611F902" w14:textId="77777777" w:rsidR="00A96C44" w:rsidRDefault="00A96C44" w:rsidP="001F2604">
      <w:pPr>
        <w:spacing w:line="360" w:lineRule="auto"/>
      </w:pPr>
    </w:p>
    <w:p w14:paraId="45128C2A" w14:textId="77777777" w:rsidR="00E428B4" w:rsidRDefault="00E428B4" w:rsidP="001F2604">
      <w:pPr>
        <w:keepNext/>
        <w:spacing w:line="360" w:lineRule="auto"/>
      </w:pPr>
      <w:r>
        <w:rPr>
          <w:noProof/>
        </w:rPr>
        <w:drawing>
          <wp:inline distT="0" distB="0" distL="0" distR="0" wp14:anchorId="04BAE48D" wp14:editId="499E8554">
            <wp:extent cx="6096635" cy="3429000"/>
            <wp:effectExtent l="0" t="0" r="0" b="0"/>
            <wp:docPr id="316" name="Picture 3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9C9422A" w14:textId="69BE8F82" w:rsidR="009335EE" w:rsidRDefault="00C41820" w:rsidP="001F2604">
      <w:pPr>
        <w:pStyle w:val="Caption"/>
        <w:spacing w:after="0" w:line="360" w:lineRule="auto"/>
        <w:rPr>
          <w:color w:val="000000" w:themeColor="text1"/>
          <w:sz w:val="24"/>
          <w:szCs w:val="24"/>
        </w:rPr>
      </w:pPr>
      <w:bookmarkStart w:id="21" w:name="_Ref105444125"/>
      <w:bookmarkStart w:id="22" w:name="_Toc117780210"/>
      <w:r w:rsidRPr="00F85805">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3</w:t>
      </w:r>
      <w:r w:rsidR="00F42C6F">
        <w:rPr>
          <w:b/>
          <w:bCs/>
          <w:i w:val="0"/>
          <w:iCs w:val="0"/>
          <w:color w:val="000000" w:themeColor="text1"/>
          <w:sz w:val="24"/>
          <w:szCs w:val="24"/>
        </w:rPr>
        <w:fldChar w:fldCharType="end"/>
      </w:r>
      <w:bookmarkEnd w:id="21"/>
      <w:r w:rsidRPr="009335EE">
        <w:rPr>
          <w:b/>
          <w:bCs/>
          <w:i w:val="0"/>
          <w:iCs w:val="0"/>
          <w:color w:val="000000" w:themeColor="text1"/>
          <w:sz w:val="24"/>
          <w:szCs w:val="24"/>
        </w:rPr>
        <w:t>:</w:t>
      </w:r>
      <w:r w:rsidRPr="009335EE">
        <w:rPr>
          <w:i w:val="0"/>
          <w:iCs w:val="0"/>
          <w:color w:val="000000" w:themeColor="text1"/>
          <w:sz w:val="24"/>
          <w:szCs w:val="24"/>
        </w:rPr>
        <w:t xml:space="preserve"> </w:t>
      </w:r>
      <w:r w:rsidR="009335EE" w:rsidRPr="009335EE">
        <w:rPr>
          <w:i w:val="0"/>
          <w:iCs w:val="0"/>
          <w:color w:val="000000" w:themeColor="text1"/>
          <w:sz w:val="24"/>
          <w:szCs w:val="24"/>
        </w:rPr>
        <w:t>Antibiotic targets and key resistance mechanisms.</w:t>
      </w:r>
      <w:bookmarkEnd w:id="22"/>
    </w:p>
    <w:p w14:paraId="7397F5EE" w14:textId="1D2B6E4F" w:rsidR="00E428B4" w:rsidRPr="00C41820" w:rsidRDefault="00B64647" w:rsidP="00521FC2">
      <w:pPr>
        <w:pStyle w:val="Caption"/>
        <w:spacing w:after="0" w:line="276" w:lineRule="auto"/>
        <w:rPr>
          <w:b/>
          <w:bCs/>
          <w:i w:val="0"/>
          <w:iCs w:val="0"/>
          <w:color w:val="000000" w:themeColor="text1"/>
          <w:sz w:val="24"/>
          <w:szCs w:val="24"/>
        </w:rPr>
      </w:pPr>
      <w:r>
        <w:rPr>
          <w:color w:val="000000" w:themeColor="text1"/>
          <w:sz w:val="24"/>
          <w:szCs w:val="24"/>
        </w:rPr>
        <w:t>S</w:t>
      </w:r>
      <w:r w:rsidR="00C41820" w:rsidRPr="00C41820">
        <w:rPr>
          <w:color w:val="000000" w:themeColor="text1"/>
          <w:sz w:val="24"/>
          <w:szCs w:val="24"/>
        </w:rPr>
        <w:t>chematic diagram showing the different antibiotic targets and key mechanisms involved in antibiotic resistance</w:t>
      </w:r>
      <w:r w:rsidR="00346ECE">
        <w:rPr>
          <w:b/>
          <w:bCs/>
          <w:i w:val="0"/>
          <w:iCs w:val="0"/>
          <w:color w:val="000000" w:themeColor="text1"/>
          <w:sz w:val="24"/>
          <w:szCs w:val="24"/>
        </w:rPr>
        <w:t xml:space="preserve">. </w:t>
      </w:r>
      <w:r w:rsidR="00E428B4" w:rsidRPr="00C41820">
        <w:rPr>
          <w:color w:val="000000" w:themeColor="text1"/>
          <w:sz w:val="24"/>
          <w:szCs w:val="24"/>
        </w:rPr>
        <w:t xml:space="preserve">Adapted from: </w:t>
      </w:r>
      <w:r w:rsidR="00E428B4" w:rsidRPr="00C41820">
        <w:rPr>
          <w:color w:val="000000" w:themeColor="text1"/>
          <w:sz w:val="24"/>
          <w:szCs w:val="24"/>
        </w:rPr>
        <w:fldChar w:fldCharType="begin"/>
      </w:r>
      <w:r w:rsidR="00EE22EB">
        <w:rPr>
          <w:color w:val="000000" w:themeColor="text1"/>
          <w:sz w:val="24"/>
          <w:szCs w:val="24"/>
        </w:rPr>
        <w:instrText xml:space="preserve"> ADDIN EN.CITE &lt;EndNote&gt;&lt;Cite&gt;&lt;Author&gt;Uluseker&lt;/Author&gt;&lt;Year&gt;2021&lt;/Year&gt;&lt;RecNum&gt;414&lt;/RecNum&gt;&lt;DisplayText&gt;(Uluseker et al., 2021)&lt;/DisplayText&gt;&lt;record&gt;&lt;rec-number&gt;414&lt;/rec-number&gt;&lt;foreign-keys&gt;&lt;key app="EN" db-id="pr9rwt2w8padxcerwx6prd0a9wtda2w5fw2t" timestamp="1648032332"&gt;414&lt;/key&gt;&lt;/foreign-keys&gt;&lt;ref-type name="Journal Article"&gt;17&lt;/ref-type&gt;&lt;contributors&gt;&lt;authors&gt;&lt;author&gt;Uluseker,Cansu&lt;/author&gt;&lt;author&gt;Kaster,Krista Michelle&lt;/author&gt;&lt;author&gt;Thorsen,Kristian&lt;/author&gt;&lt;author&gt;Basiry,Daniel&lt;/author&gt;&lt;author&gt;Shobana,Sutha&lt;/author&gt;&lt;author&gt;Jain,Monika&lt;/author&gt;&lt;author&gt;Kumar,Gopalakrishnan&lt;/author&gt;&lt;author&gt;Kommedal,Roald&lt;/author&gt;&lt;author&gt;Pala-Ozkok,Ilke&lt;/author&gt;&lt;/authors&gt;&lt;/contributors&gt;&lt;titles&gt;&lt;title&gt;A Review on Occurrence and Spread of Antibiotic Resistance in Wastewaters and in Wastewater Treatment Plants: Mechanisms and Perspectives&lt;/title&gt;&lt;secondary-title&gt;Frontiers in Microbiology&lt;/secondary-title&gt;&lt;short-title&gt;Antibiotic Resistance in WWTP&lt;/short-title&gt;&lt;/titles&gt;&lt;periodical&gt;&lt;full-title&gt;Frontiers in Microbiology&lt;/full-title&gt;&lt;/periodical&gt;&lt;volume&gt;12&lt;/volume&gt;&lt;keywords&gt;&lt;keyword&gt;antibiotics,antibiotic resistance genes,Antibiotic resistant bacteria,spread mechanisms,Wastewater treatment plants&lt;/keyword&gt;&lt;/keywords&gt;&lt;dates&gt;&lt;year&gt;2021&lt;/year&gt;&lt;pub-dates&gt;&lt;date&gt;2021-October-11&lt;/date&gt;&lt;/pub-dates&gt;&lt;/dates&gt;&lt;isbn&gt;1664-302X&lt;/isbn&gt;&lt;work-type&gt;Review&lt;/work-type&gt;&lt;urls&gt;&lt;related-urls&gt;&lt;url&gt;https://www.frontiersin.org/article/10.3389/fmicb.2021.717809&lt;/url&gt;&lt;/related-urls&gt;&lt;/urls&gt;&lt;electronic-resource-num&gt;10.3389/fmicb.2021.717809&lt;/electronic-resource-num&gt;&lt;language&gt;English&lt;/language&gt;&lt;/record&gt;&lt;/Cite&gt;&lt;/EndNote&gt;</w:instrText>
      </w:r>
      <w:r w:rsidR="00E428B4" w:rsidRPr="00C41820">
        <w:rPr>
          <w:color w:val="000000" w:themeColor="text1"/>
          <w:sz w:val="24"/>
          <w:szCs w:val="24"/>
        </w:rPr>
        <w:fldChar w:fldCharType="separate"/>
      </w:r>
      <w:r w:rsidR="00EE22EB">
        <w:rPr>
          <w:noProof/>
          <w:color w:val="000000" w:themeColor="text1"/>
          <w:sz w:val="24"/>
          <w:szCs w:val="24"/>
        </w:rPr>
        <w:t>(Uluseker et al., 2021)</w:t>
      </w:r>
      <w:r w:rsidR="00E428B4" w:rsidRPr="00C41820">
        <w:rPr>
          <w:color w:val="000000" w:themeColor="text1"/>
          <w:sz w:val="24"/>
          <w:szCs w:val="24"/>
        </w:rPr>
        <w:fldChar w:fldCharType="end"/>
      </w:r>
      <w:r w:rsidR="00E428B4" w:rsidRPr="00C41820">
        <w:rPr>
          <w:color w:val="000000" w:themeColor="text1"/>
          <w:sz w:val="24"/>
          <w:szCs w:val="24"/>
        </w:rPr>
        <w:t xml:space="preserve">. Designed using </w:t>
      </w:r>
      <w:proofErr w:type="spellStart"/>
      <w:r w:rsidR="00E428B4" w:rsidRPr="00C41820">
        <w:rPr>
          <w:color w:val="000000" w:themeColor="text1"/>
          <w:sz w:val="24"/>
          <w:szCs w:val="24"/>
        </w:rPr>
        <w:t>Biorender</w:t>
      </w:r>
      <w:proofErr w:type="spellEnd"/>
      <w:r w:rsidR="00E428B4" w:rsidRPr="00C41820">
        <w:rPr>
          <w:color w:val="000000" w:themeColor="text1"/>
          <w:sz w:val="24"/>
          <w:szCs w:val="24"/>
        </w:rPr>
        <w:t>.</w:t>
      </w:r>
    </w:p>
    <w:p w14:paraId="20F1EE94" w14:textId="798F71B1" w:rsidR="009335EE" w:rsidRDefault="009335EE" w:rsidP="001F2604">
      <w:pPr>
        <w:spacing w:line="360" w:lineRule="auto"/>
      </w:pPr>
    </w:p>
    <w:p w14:paraId="0F097AA1" w14:textId="77777777" w:rsidR="00060139" w:rsidRDefault="00060139" w:rsidP="001F2604">
      <w:pPr>
        <w:spacing w:line="360" w:lineRule="auto"/>
      </w:pPr>
    </w:p>
    <w:p w14:paraId="79A8B44A" w14:textId="26D30DFD" w:rsidR="00E428B4" w:rsidRPr="001D04B2" w:rsidRDefault="00E428B4" w:rsidP="00521FC2">
      <w:pPr>
        <w:spacing w:after="160" w:line="360" w:lineRule="auto"/>
      </w:pPr>
      <w:r w:rsidRPr="00EE7B0C">
        <w:t>The mechanisms involved in antibiotic resistance vary with class of antibiotic</w:t>
      </w:r>
      <w:r w:rsidR="006A27D4">
        <w:t>,</w:t>
      </w:r>
      <w:r w:rsidRPr="00EE7B0C">
        <w:t xml:space="preserve"> </w:t>
      </w:r>
      <w:r w:rsidR="006A27D4">
        <w:t xml:space="preserve">and </w:t>
      </w:r>
      <w:r w:rsidR="00F104C0">
        <w:t>additionally</w:t>
      </w:r>
      <w:r w:rsidR="006A27D4">
        <w:t xml:space="preserve"> </w:t>
      </w:r>
      <w:r w:rsidRPr="00EE7B0C">
        <w:t>differ</w:t>
      </w:r>
      <w:r w:rsidR="006A27D4">
        <w:t>ent</w:t>
      </w:r>
      <w:r w:rsidRPr="00EE7B0C">
        <w:t xml:space="preserve"> mechanisms </w:t>
      </w:r>
      <w:r w:rsidR="006A27D4">
        <w:t xml:space="preserve">may </w:t>
      </w:r>
      <w:r w:rsidR="006A27D4" w:rsidRPr="00EE7B0C">
        <w:t>predominat</w:t>
      </w:r>
      <w:r w:rsidR="006A27D4">
        <w:t>e</w:t>
      </w:r>
      <w:r w:rsidR="006A27D4" w:rsidRPr="00EE7B0C">
        <w:t xml:space="preserve"> </w:t>
      </w:r>
      <w:r w:rsidR="006A27D4">
        <w:t>in particular</w:t>
      </w:r>
      <w:r w:rsidR="006A27D4" w:rsidRPr="00EE7B0C">
        <w:t xml:space="preserve"> </w:t>
      </w:r>
      <w:r w:rsidRPr="00EE7B0C">
        <w:t xml:space="preserve">bacterial species. Macrolide resistance is achieved </w:t>
      </w:r>
      <w:r w:rsidR="006A27D4">
        <w:t xml:space="preserve">in </w:t>
      </w:r>
      <w:r w:rsidRPr="00EE7B0C">
        <w:t xml:space="preserve">3 </w:t>
      </w:r>
      <w:r w:rsidR="006A27D4">
        <w:t xml:space="preserve">main </w:t>
      </w:r>
      <w:r w:rsidRPr="00EE7B0C">
        <w:t xml:space="preserve">ways; </w:t>
      </w:r>
      <w:r w:rsidR="006A27D4">
        <w:t xml:space="preserve">by </w:t>
      </w:r>
      <w:r w:rsidRPr="00EE7B0C">
        <w:t xml:space="preserve">prevention of the antibiotic to bind to its ribosomal target, through efflux of the antibiotic and </w:t>
      </w:r>
      <w:r w:rsidR="006A27D4">
        <w:t>via</w:t>
      </w:r>
      <w:r w:rsidR="006A27D4" w:rsidRPr="00EE7B0C">
        <w:t xml:space="preserve"> </w:t>
      </w:r>
      <w:r w:rsidRPr="00EE7B0C">
        <w:t xml:space="preserve">drug inactivation </w:t>
      </w:r>
      <w:r w:rsidRPr="00EE7B0C">
        <w:fldChar w:fldCharType="begin"/>
      </w:r>
      <w:r w:rsidRPr="00EE7B0C">
        <w:instrText xml:space="preserve"> ADDIN EN.CITE &lt;EndNote&gt;&lt;Cite&gt;&lt;Author&gt;Leclercq&lt;/Author&gt;&lt;Year&gt;2002&lt;/Year&gt;&lt;RecNum&gt;49&lt;/RecNum&gt;&lt;DisplayText&gt;(Leclercq, 2002)&lt;/DisplayText&gt;&lt;record&gt;&lt;rec-number&gt;49&lt;/rec-number&gt;&lt;foreign-keys&gt;&lt;key app="EN" db-id="pr9rwt2w8padxcerwx6prd0a9wtda2w5fw2t" timestamp="1620138591"&gt;49&lt;/key&gt;&lt;/foreign-keys&gt;&lt;ref-type name="Journal Article"&gt;17&lt;/ref-type&gt;&lt;contributors&gt;&lt;authors&gt;&lt;author&gt;Leclercq, R.&lt;/author&gt;&lt;/authors&gt;&lt;/contributors&gt;&lt;auth-address&gt;Service de Microbiologie, Hôpital Côte de Nacre, Université de Caen, Caen 14033, France. leclercq-r@chu-caen.fr&lt;/auth-address&gt;&lt;titles&gt;&lt;title&gt;Mechanisms of resistance to macrolides and lincosamides: nature of the resistance elements and their clinical implications&lt;/title&gt;&lt;secondary-title&gt;Clin Infect Dis&lt;/secondary-title&gt;&lt;/titles&gt;&lt;periodical&gt;&lt;full-title&gt;Clin Infect Dis&lt;/full-title&gt;&lt;/periodical&gt;&lt;pages&gt;482-92&lt;/pages&gt;&lt;volume&gt;34&lt;/volume&gt;&lt;number&gt;4&lt;/number&gt;&lt;edition&gt;2002/01/18&lt;/edition&gt;&lt;keywords&gt;&lt;keyword&gt;Anti-Bacterial Agents/metabolism/*pharmacology&lt;/keyword&gt;&lt;keyword&gt;Biological Transport&lt;/keyword&gt;&lt;keyword&gt;Biotransformation&lt;/keyword&gt;&lt;keyword&gt;DNA Methylation&lt;/keyword&gt;&lt;keyword&gt;DNA, Ribosomal/metabolism&lt;/keyword&gt;&lt;keyword&gt;Drug Resistance, Bacterial/*genetics/physiology&lt;/keyword&gt;&lt;keyword&gt;Genetic Variation&lt;/keyword&gt;&lt;keyword&gt;Humans&lt;/keyword&gt;&lt;keyword&gt;Lincosamides&lt;/keyword&gt;&lt;keyword&gt;*Macrolides&lt;/keyword&gt;&lt;keyword&gt;Mutation&lt;/keyword&gt;&lt;keyword&gt;Outcome Assessment, Health Care&lt;/keyword&gt;&lt;/keywords&gt;&lt;dates&gt;&lt;year&gt;2002&lt;/year&gt;&lt;pub-dates&gt;&lt;date&gt;Feb 15&lt;/date&gt;&lt;/pub-dates&gt;&lt;/dates&gt;&lt;isbn&gt;1058-4838&lt;/isbn&gt;&lt;accession-num&gt;11797175&lt;/accession-num&gt;&lt;urls&gt;&lt;/urls&gt;&lt;electronic-resource-num&gt;10.1086/324626&lt;/electronic-resource-num&gt;&lt;remote-database-provider&gt;NLM&lt;/remote-database-provider&gt;&lt;language&gt;eng&lt;/language&gt;&lt;/record&gt;&lt;/Cite&gt;&lt;/EndNote&gt;</w:instrText>
      </w:r>
      <w:r w:rsidRPr="00EE7B0C">
        <w:fldChar w:fldCharType="separate"/>
      </w:r>
      <w:r w:rsidRPr="00EE7B0C">
        <w:rPr>
          <w:noProof/>
        </w:rPr>
        <w:t>(Leclercq, 2002)</w:t>
      </w:r>
      <w:r w:rsidRPr="00EE7B0C">
        <w:fldChar w:fldCharType="end"/>
      </w:r>
      <w:r w:rsidRPr="00EE7B0C">
        <w:t xml:space="preserve">. This is discussed in more </w:t>
      </w:r>
      <w:r w:rsidRPr="007B2BDE">
        <w:lastRenderedPageBreak/>
        <w:t>detail in section 1.</w:t>
      </w:r>
      <w:r w:rsidR="00170B3D" w:rsidRPr="007B2BDE">
        <w:t>3</w:t>
      </w:r>
      <w:r w:rsidRPr="007B2BDE">
        <w:t>. Beta-lactam resistance mechanisms vary between gram</w:t>
      </w:r>
      <w:r w:rsidR="006A27D4" w:rsidRPr="007B2BDE">
        <w:t>-</w:t>
      </w:r>
      <w:r w:rsidRPr="007B2BDE">
        <w:t xml:space="preserve">positive and </w:t>
      </w:r>
      <w:r w:rsidR="006A27D4" w:rsidRPr="007B2BDE">
        <w:t>gram-negative</w:t>
      </w:r>
      <w:r w:rsidRPr="007B2BDE">
        <w:t xml:space="preserve"> bacteria. In gram</w:t>
      </w:r>
      <w:r w:rsidR="006A27D4" w:rsidRPr="007B2BDE">
        <w:t>-</w:t>
      </w:r>
      <w:r w:rsidRPr="007B2BDE">
        <w:t>positive bacteria</w:t>
      </w:r>
      <w:r w:rsidR="006A27D4" w:rsidRPr="007B2BDE">
        <w:t>,</w:t>
      </w:r>
      <w:r w:rsidRPr="007B2BDE">
        <w:t xml:space="preserve"> penicillin resistance is mostly achieved by modification of the target penicillin-binding proteins</w:t>
      </w:r>
      <w:r w:rsidR="009010F6" w:rsidRPr="007B2BDE">
        <w:t xml:space="preserve"> </w:t>
      </w:r>
      <w:r w:rsidR="004817F0" w:rsidRPr="007B2BDE">
        <w:t xml:space="preserve">(PBPs) </w:t>
      </w:r>
      <w:r w:rsidR="009010F6" w:rsidRPr="007B2BDE">
        <w:t>which are involved in the biosynthesis of the cell wall component murein</w:t>
      </w:r>
      <w:r w:rsidRPr="007B2BDE">
        <w:t xml:space="preserve">. There are 6 </w:t>
      </w:r>
      <w:r w:rsidR="004817F0" w:rsidRPr="007B2BDE">
        <w:t>PBPs</w:t>
      </w:r>
      <w:r w:rsidR="00C47244" w:rsidRPr="007B2BDE">
        <w:t xml:space="preserve"> </w:t>
      </w:r>
      <w:r w:rsidRPr="007B2BDE">
        <w:t xml:space="preserve">in </w:t>
      </w:r>
      <w:r w:rsidRPr="007B2BDE">
        <w:rPr>
          <w:i/>
          <w:iCs/>
        </w:rPr>
        <w:t>S. pneumoniae</w:t>
      </w:r>
      <w:r w:rsidRPr="007B2BDE">
        <w:t xml:space="preserve"> of which 3 are associated with resistance: PBP1a, PBP2x and PBP2b. Resistance occurs through acquisition of mosaic genes</w:t>
      </w:r>
      <w:r w:rsidR="001D788A" w:rsidRPr="007B2BDE">
        <w:t xml:space="preserve">. These are genes </w:t>
      </w:r>
      <w:r w:rsidR="002C3C89" w:rsidRPr="007B2BDE">
        <w:t>composed of DNA fragments from different phylogenetic origins</w:t>
      </w:r>
      <w:r w:rsidR="00B32C07" w:rsidRPr="007B2BDE">
        <w:t>,</w:t>
      </w:r>
      <w:r w:rsidR="002C3C89" w:rsidRPr="007B2BDE">
        <w:t xml:space="preserve"> </w:t>
      </w:r>
      <w:r w:rsidR="001D788A" w:rsidRPr="007B2BDE">
        <w:t xml:space="preserve">and </w:t>
      </w:r>
      <w:r w:rsidR="004F09A9" w:rsidRPr="007B2BDE">
        <w:t xml:space="preserve">in this case </w:t>
      </w:r>
      <w:r w:rsidR="001D788A" w:rsidRPr="007B2BDE">
        <w:t xml:space="preserve">encode </w:t>
      </w:r>
      <w:r w:rsidRPr="007B2BDE">
        <w:t>altered PBPs</w:t>
      </w:r>
      <w:r w:rsidR="001D788A" w:rsidRPr="007B2BDE">
        <w:t xml:space="preserve"> </w:t>
      </w:r>
      <w:r w:rsidRPr="007B2BDE">
        <w:fldChar w:fldCharType="begin">
          <w:fldData xml:space="preserve">PEVuZE5vdGU+PENpdGU+PEF1dGhvcj5IYWtlbmJlY2s8L0F1dGhvcj48WWVhcj4xOTk5PC9ZZWFy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</w:fldData>
        </w:fldChar>
      </w:r>
      <w:r w:rsidR="00CD2C33" w:rsidRPr="007B2BDE">
        <w:instrText xml:space="preserve"> ADDIN EN.CITE </w:instrText>
      </w:r>
      <w:r w:rsidR="00CD2C33" w:rsidRPr="007B2BDE">
        <w:fldChar w:fldCharType="begin">
          <w:fldData xml:space="preserve">PEVuZE5vdGU+PENpdGU+PEF1dGhvcj5IYWtlbmJlY2s8L0F1dGhvcj48WWVhcj4xOTk5PC9ZZWFy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</w:fldData>
        </w:fldChar>
      </w:r>
      <w:r w:rsidR="00CD2C33" w:rsidRPr="007B2BDE">
        <w:instrText xml:space="preserve"> ADDIN EN.CITE.DATA </w:instrText>
      </w:r>
      <w:r w:rsidR="00CD2C33" w:rsidRPr="007B2BDE">
        <w:fldChar w:fldCharType="end"/>
      </w:r>
      <w:r w:rsidRPr="007B2BDE">
        <w:fldChar w:fldCharType="separate"/>
      </w:r>
      <w:r w:rsidR="00CD2C33" w:rsidRPr="007B2BDE">
        <w:rPr>
          <w:noProof/>
        </w:rPr>
        <w:t>(Boc et al., 2011; Chambers, 1999; Hakenbeck et al., 1999)</w:t>
      </w:r>
      <w:r w:rsidRPr="007B2BDE">
        <w:fldChar w:fldCharType="end"/>
      </w:r>
      <w:r w:rsidRPr="007B2BDE">
        <w:t xml:space="preserve">. </w:t>
      </w:r>
      <w:r w:rsidR="00B32C07" w:rsidRPr="007B2BDE">
        <w:t>DNA</w:t>
      </w:r>
      <w:r w:rsidR="00B32C07">
        <w:t xml:space="preserve"> transfer may occur between bacteria within the same species or different species. </w:t>
      </w:r>
      <w:r w:rsidRPr="00EE7B0C">
        <w:t xml:space="preserve">A further mechanism is through altered or mosaic forms of the </w:t>
      </w:r>
      <w:proofErr w:type="spellStart"/>
      <w:r w:rsidRPr="00521FC2">
        <w:rPr>
          <w:i/>
          <w:iCs/>
        </w:rPr>
        <w:t>MurM</w:t>
      </w:r>
      <w:proofErr w:type="spellEnd"/>
      <w:r w:rsidRPr="00EE7B0C">
        <w:t xml:space="preserve"> gene which </w:t>
      </w:r>
      <w:r w:rsidR="00F8259E">
        <w:t xml:space="preserve">modifies </w:t>
      </w:r>
      <w:r w:rsidRPr="00EE7B0C">
        <w:t>the</w:t>
      </w:r>
      <w:r w:rsidR="004A15A9">
        <w:t xml:space="preserve"> pneumococcal</w:t>
      </w:r>
      <w:r w:rsidRPr="00EE7B0C">
        <w:t xml:space="preserve"> cell wall</w:t>
      </w:r>
      <w:r w:rsidR="00F8259E">
        <w:t xml:space="preserve"> crosslinking</w:t>
      </w:r>
      <w:r w:rsidRPr="00EE7B0C">
        <w:t xml:space="preserve"> </w:t>
      </w:r>
      <w:r w:rsidRPr="001D04B2">
        <w:fldChar w:fldCharType="begin">
          <w:fldData xml:space="preserve">PEVuZE5vdGU+PENpdGU+PEF1dGhvcj5GaWxpcGU8L0F1dGhvcj48WWVhcj4yMDAwPC9ZZWFyPjxS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</w:fldData>
        </w:fldChar>
      </w:r>
      <w:r w:rsidR="00CD2C33">
        <w:instrText xml:space="preserve"> ADDIN EN.CITE </w:instrText>
      </w:r>
      <w:r w:rsidR="00CD2C33">
        <w:fldChar w:fldCharType="begin">
          <w:fldData xml:space="preserve">PEVuZE5vdGU+PENpdGU+PEF1dGhvcj5GaWxpcGU8L0F1dGhvcj48WWVhcj4yMDAwPC9ZZWFyPjxS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</w:fldData>
        </w:fldChar>
      </w:r>
      <w:r w:rsidR="00CD2C33">
        <w:instrText xml:space="preserve"> ADDIN EN.CITE.DATA </w:instrText>
      </w:r>
      <w:r w:rsidR="00CD2C33">
        <w:fldChar w:fldCharType="end"/>
      </w:r>
      <w:r w:rsidRPr="001D04B2">
        <w:fldChar w:fldCharType="separate"/>
      </w:r>
      <w:r w:rsidR="00CD2C33">
        <w:rPr>
          <w:noProof/>
        </w:rPr>
        <w:t>(Filipe et al., 2000; Smith et al., 2001)</w:t>
      </w:r>
      <w:r w:rsidRPr="001D04B2">
        <w:fldChar w:fldCharType="end"/>
      </w:r>
      <w:r w:rsidRPr="00EE7B0C">
        <w:t>. In gram</w:t>
      </w:r>
      <w:r w:rsidR="001E4BB6">
        <w:t>-</w:t>
      </w:r>
      <w:r w:rsidRPr="00EE7B0C">
        <w:t xml:space="preserve">negative bacteria, penicillin resistance is achieved through the production of beta-lactamases which destroy the drug. The major beta-lactamase resistance genes </w:t>
      </w:r>
      <w:r w:rsidRPr="00EE7B0C">
        <w:rPr>
          <w:i/>
        </w:rPr>
        <w:t>in Escherichia</w:t>
      </w:r>
      <w:r w:rsidRPr="001D04B2">
        <w:rPr>
          <w:i/>
        </w:rPr>
        <w:t xml:space="preserve"> coli</w:t>
      </w:r>
      <w:r w:rsidR="00170B3D">
        <w:t xml:space="preserve"> </w:t>
      </w:r>
      <w:r w:rsidRPr="001D04B2">
        <w:t xml:space="preserve">are members of the </w:t>
      </w:r>
      <w:proofErr w:type="spellStart"/>
      <w:r w:rsidRPr="001D04B2">
        <w:t>bla</w:t>
      </w:r>
      <w:r w:rsidRPr="001D04B2">
        <w:rPr>
          <w:vertAlign w:val="subscript"/>
        </w:rPr>
        <w:t>CTX</w:t>
      </w:r>
      <w:proofErr w:type="spellEnd"/>
      <w:r w:rsidRPr="001D04B2">
        <w:rPr>
          <w:vertAlign w:val="subscript"/>
        </w:rPr>
        <w:t>-</w:t>
      </w:r>
      <w:r w:rsidR="004A15A9" w:rsidRPr="001D04B2">
        <w:rPr>
          <w:vertAlign w:val="subscript"/>
        </w:rPr>
        <w:t>M</w:t>
      </w:r>
      <w:r w:rsidR="004A15A9" w:rsidRPr="00521FC2">
        <w:t>,</w:t>
      </w:r>
      <w:r w:rsidR="004A15A9" w:rsidRPr="001D04B2">
        <w:t xml:space="preserve"> which</w:t>
      </w:r>
      <w:r w:rsidRPr="001D04B2">
        <w:t xml:space="preserve"> mainly hydrolyse third generation cephalosporins</w:t>
      </w:r>
      <w:r w:rsidR="004A15A9">
        <w:t>,</w:t>
      </w:r>
      <w:r w:rsidRPr="001D04B2">
        <w:t xml:space="preserve"> and members of the </w:t>
      </w:r>
      <w:proofErr w:type="spellStart"/>
      <w:r w:rsidRPr="001D04B2">
        <w:t>bla</w:t>
      </w:r>
      <w:r w:rsidRPr="001D04B2">
        <w:rPr>
          <w:vertAlign w:val="subscript"/>
        </w:rPr>
        <w:t>TEM</w:t>
      </w:r>
      <w:proofErr w:type="spellEnd"/>
      <w:r w:rsidRPr="001D04B2">
        <w:t xml:space="preserve"> group</w:t>
      </w:r>
      <w:r w:rsidR="004A15A9">
        <w:t>,</w:t>
      </w:r>
      <w:r w:rsidRPr="001D04B2">
        <w:t xml:space="preserve"> which hydrolyse penicillin and first generation cephalosporins </w:t>
      </w:r>
      <w:r w:rsidRPr="001D04B2">
        <w:fldChar w:fldCharType="begin">
          <w:fldData xml:space="preserve">PEVuZE5vdGU+PENpdGU+PEF1dGhvcj5EJmFwb3M7QW5kcmVhPC9BdXRob3I+PFllYXI+MjAxMzwv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</w:fldData>
        </w:fldChar>
      </w:r>
      <w:r w:rsidR="00CD2C33">
        <w:instrText xml:space="preserve"> ADDIN EN.CITE </w:instrText>
      </w:r>
      <w:r w:rsidR="00CD2C33">
        <w:fldChar w:fldCharType="begin">
          <w:fldData xml:space="preserve">PEVuZE5vdGU+PENpdGU+PEF1dGhvcj5EJmFwb3M7QW5kcmVhPC9BdXRob3I+PFllYXI+MjAxMzwv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</w:fldData>
        </w:fldChar>
      </w:r>
      <w:r w:rsidR="00CD2C33">
        <w:instrText xml:space="preserve"> ADDIN EN.CITE.DATA </w:instrText>
      </w:r>
      <w:r w:rsidR="00CD2C33">
        <w:fldChar w:fldCharType="end"/>
      </w:r>
      <w:r w:rsidRPr="001D04B2">
        <w:fldChar w:fldCharType="separate"/>
      </w:r>
      <w:r w:rsidR="00CD2C33">
        <w:rPr>
          <w:noProof/>
        </w:rPr>
        <w:t>(Clasen et al., 2019; D'Andrea et al., 2013)</w:t>
      </w:r>
      <w:r w:rsidRPr="001D04B2">
        <w:fldChar w:fldCharType="end"/>
      </w:r>
      <w:r w:rsidRPr="001D04B2">
        <w:t xml:space="preserve">. These genes are mostly located on plasmids. </w:t>
      </w:r>
    </w:p>
    <w:p w14:paraId="5E61F9BC" w14:textId="1B851BF3" w:rsidR="00076FFF" w:rsidRDefault="00E428B4" w:rsidP="00521FC2">
      <w:pPr>
        <w:spacing w:after="160" w:line="360" w:lineRule="auto"/>
      </w:pPr>
      <w:r w:rsidRPr="001D04B2">
        <w:t xml:space="preserve">Determining antibiotic resistance for individual bacteria species is a complex process. Clinical breakpoints are set which define whether the bacterial species is </w:t>
      </w:r>
      <w:r>
        <w:t xml:space="preserve">phenotypically </w:t>
      </w:r>
      <w:r w:rsidRPr="001D04B2">
        <w:t>susceptible, intermediate or resistant to an antibiotic</w:t>
      </w:r>
      <w:r w:rsidR="000D27D1">
        <w:t xml:space="preserve"> </w:t>
      </w:r>
      <w:r w:rsidR="000D27D1">
        <w:fldChar w:fldCharType="begin"/>
      </w:r>
      <w:r w:rsidR="000D27D1">
        <w:instrText xml:space="preserve"> ADDIN EN.CITE &lt;EndNote&gt;&lt;Cite&gt;&lt;Author&gt;EUCAST&lt;/Author&gt;&lt;Year&gt;2019&lt;/Year&gt;&lt;RecNum&gt;496&lt;/RecNum&gt;&lt;DisplayText&gt;(EUCAST, 2019)&lt;/DisplayText&gt;&lt;record&gt;&lt;rec-number&gt;496&lt;/rec-number&gt;&lt;foreign-keys&gt;&lt;key app="EN" db-id="pr9rwt2w8padxcerwx6prd0a9wtda2w5fw2t" timestamp="1655323679"&gt;496&lt;/key&gt;&lt;/foreign-keys&gt;&lt;ref-type name="Web Page"&gt;12&lt;/ref-type&gt;&lt;contributors&gt;&lt;authors&gt;&lt;author&gt;EUCAST&lt;/author&gt;&lt;/authors&gt;&lt;/contributors&gt;&lt;titles&gt;&lt;title&gt;New definitions of S, I and R from 2019&lt;/title&gt;&lt;/titles&gt;&lt;number&gt;15/06/2022&lt;/number&gt;&lt;dates&gt;&lt;year&gt;2019&lt;/year&gt;&lt;/dates&gt;&lt;urls&gt;&lt;related-urls&gt;&lt;url&gt;https://www.eucast.org/newsiandr/&lt;/url&gt;&lt;/related-urls&gt;&lt;/urls&gt;&lt;/record&gt;&lt;/Cite&gt;&lt;/EndNote&gt;</w:instrText>
      </w:r>
      <w:r w:rsidR="000D27D1">
        <w:fldChar w:fldCharType="separate"/>
      </w:r>
      <w:r w:rsidR="000D27D1">
        <w:rPr>
          <w:noProof/>
        </w:rPr>
        <w:t>(EUCAST, 2019)</w:t>
      </w:r>
      <w:r w:rsidR="000D27D1">
        <w:fldChar w:fldCharType="end"/>
      </w:r>
      <w:r w:rsidRPr="001D04B2">
        <w:t xml:space="preserve">. </w:t>
      </w:r>
    </w:p>
    <w:p w14:paraId="2026299D" w14:textId="77777777" w:rsidR="00076FFF" w:rsidRPr="00892868" w:rsidRDefault="00E428B4">
      <w:pPr>
        <w:pStyle w:val="ListParagraph"/>
        <w:numPr>
          <w:ilvl w:val="0"/>
          <w:numId w:val="13"/>
        </w:numPr>
        <w:spacing w:after="0" w:line="360" w:lineRule="auto"/>
        <w:rPr>
          <w:rFonts w:ascii="Times New Roman" w:hAnsi="Times New Roman" w:cs="Times New Roman"/>
          <w:sz w:val="24"/>
          <w:szCs w:val="24"/>
        </w:rPr>
      </w:pPr>
      <w:r w:rsidRPr="00892868">
        <w:rPr>
          <w:rFonts w:ascii="Times New Roman" w:hAnsi="Times New Roman" w:cs="Times New Roman"/>
          <w:sz w:val="24"/>
          <w:szCs w:val="24"/>
          <w:u w:val="single"/>
        </w:rPr>
        <w:t>Susceptible:</w:t>
      </w:r>
      <w:r w:rsidR="00076FFF" w:rsidRPr="00892868">
        <w:rPr>
          <w:rFonts w:ascii="Times New Roman" w:hAnsi="Times New Roman" w:cs="Times New Roman"/>
          <w:sz w:val="24"/>
          <w:szCs w:val="24"/>
        </w:rPr>
        <w:tab/>
      </w:r>
      <w:r w:rsidRPr="00892868">
        <w:rPr>
          <w:rFonts w:ascii="Times New Roman" w:hAnsi="Times New Roman" w:cs="Times New Roman"/>
          <w:sz w:val="24"/>
          <w:szCs w:val="24"/>
        </w:rPr>
        <w:t>High likelihood of therapeutic success using a standard dosing regimen of</w:t>
      </w:r>
    </w:p>
    <w:p w14:paraId="653D652F" w14:textId="77C3732B" w:rsidR="00E428B4" w:rsidRPr="00892868" w:rsidRDefault="00E428B4" w:rsidP="00076FFF">
      <w:pPr>
        <w:pStyle w:val="ListParagraph"/>
        <w:spacing w:after="0" w:line="360" w:lineRule="auto"/>
        <w:ind w:left="1440" w:firstLine="720"/>
        <w:rPr>
          <w:rFonts w:ascii="Times New Roman" w:hAnsi="Times New Roman" w:cs="Times New Roman"/>
          <w:sz w:val="24"/>
          <w:szCs w:val="24"/>
        </w:rPr>
      </w:pPr>
      <w:r w:rsidRPr="00892868">
        <w:rPr>
          <w:rFonts w:ascii="Times New Roman" w:hAnsi="Times New Roman" w:cs="Times New Roman"/>
          <w:sz w:val="24"/>
          <w:szCs w:val="24"/>
        </w:rPr>
        <w:t>the agent.</w:t>
      </w:r>
    </w:p>
    <w:p w14:paraId="748305A4" w14:textId="77777777" w:rsidR="00076FFF" w:rsidRPr="00892868" w:rsidRDefault="00E428B4">
      <w:pPr>
        <w:pStyle w:val="ListParagraph"/>
        <w:numPr>
          <w:ilvl w:val="0"/>
          <w:numId w:val="13"/>
        </w:numPr>
        <w:spacing w:after="0" w:line="360" w:lineRule="auto"/>
        <w:rPr>
          <w:rFonts w:ascii="Times New Roman" w:hAnsi="Times New Roman" w:cs="Times New Roman"/>
          <w:sz w:val="24"/>
          <w:szCs w:val="24"/>
        </w:rPr>
      </w:pPr>
      <w:r w:rsidRPr="00892868">
        <w:rPr>
          <w:rFonts w:ascii="Times New Roman" w:hAnsi="Times New Roman" w:cs="Times New Roman"/>
          <w:sz w:val="24"/>
          <w:szCs w:val="24"/>
          <w:u w:val="single"/>
        </w:rPr>
        <w:t>Intermediate:</w:t>
      </w:r>
      <w:r w:rsidR="00076FFF" w:rsidRPr="00892868">
        <w:rPr>
          <w:rFonts w:ascii="Times New Roman" w:hAnsi="Times New Roman" w:cs="Times New Roman"/>
          <w:sz w:val="24"/>
          <w:szCs w:val="24"/>
        </w:rPr>
        <w:t xml:space="preserve"> </w:t>
      </w:r>
      <w:r w:rsidR="00076FFF" w:rsidRPr="00892868">
        <w:rPr>
          <w:rFonts w:ascii="Times New Roman" w:hAnsi="Times New Roman" w:cs="Times New Roman"/>
          <w:sz w:val="24"/>
          <w:szCs w:val="24"/>
        </w:rPr>
        <w:tab/>
      </w:r>
      <w:r w:rsidRPr="00892868">
        <w:rPr>
          <w:rFonts w:ascii="Times New Roman" w:hAnsi="Times New Roman" w:cs="Times New Roman"/>
          <w:sz w:val="24"/>
          <w:szCs w:val="24"/>
        </w:rPr>
        <w:t>Susceptible, increased exposure. High likelihood of therapeutic success</w:t>
      </w:r>
    </w:p>
    <w:p w14:paraId="30F9461D" w14:textId="62468EE6" w:rsidR="00076FFF" w:rsidRPr="00892868" w:rsidRDefault="004A15A9" w:rsidP="00076FFF">
      <w:pPr>
        <w:pStyle w:val="ListParagraph"/>
        <w:spacing w:after="0" w:line="360" w:lineRule="auto"/>
        <w:ind w:left="1440" w:firstLine="720"/>
        <w:rPr>
          <w:rFonts w:ascii="Times New Roman" w:hAnsi="Times New Roman" w:cs="Times New Roman"/>
          <w:sz w:val="24"/>
          <w:szCs w:val="24"/>
        </w:rPr>
      </w:pPr>
      <w:r w:rsidRPr="00892868">
        <w:rPr>
          <w:rFonts w:ascii="Times New Roman" w:hAnsi="Times New Roman" w:cs="Times New Roman"/>
          <w:sz w:val="24"/>
          <w:szCs w:val="24"/>
        </w:rPr>
        <w:t>if</w:t>
      </w:r>
      <w:r w:rsidR="00E428B4" w:rsidRPr="00892868">
        <w:rPr>
          <w:rFonts w:ascii="Times New Roman" w:hAnsi="Times New Roman" w:cs="Times New Roman"/>
          <w:sz w:val="24"/>
          <w:szCs w:val="24"/>
        </w:rPr>
        <w:t xml:space="preserve"> exposure to the agent is increased by adjusting the dosing</w:t>
      </w:r>
    </w:p>
    <w:p w14:paraId="7F5F966F" w14:textId="7A1C7674" w:rsidR="00E428B4" w:rsidRPr="00892868" w:rsidRDefault="00E428B4" w:rsidP="00076FFF">
      <w:pPr>
        <w:pStyle w:val="ListParagraph"/>
        <w:spacing w:after="0" w:line="360" w:lineRule="auto"/>
        <w:ind w:left="1440" w:firstLine="720"/>
        <w:rPr>
          <w:rFonts w:ascii="Times New Roman" w:hAnsi="Times New Roman" w:cs="Times New Roman"/>
          <w:sz w:val="24"/>
          <w:szCs w:val="24"/>
        </w:rPr>
      </w:pPr>
      <w:r w:rsidRPr="00892868">
        <w:rPr>
          <w:rFonts w:ascii="Times New Roman" w:hAnsi="Times New Roman" w:cs="Times New Roman"/>
          <w:sz w:val="24"/>
          <w:szCs w:val="24"/>
        </w:rPr>
        <w:t>regimen or by its concentration at the site of infection.</w:t>
      </w:r>
    </w:p>
    <w:p w14:paraId="32DEE38D" w14:textId="77777777" w:rsidR="00076FFF" w:rsidRPr="00892868" w:rsidRDefault="00E428B4">
      <w:pPr>
        <w:pStyle w:val="ListParagraph"/>
        <w:numPr>
          <w:ilvl w:val="0"/>
          <w:numId w:val="13"/>
        </w:numPr>
        <w:spacing w:after="0" w:line="360" w:lineRule="auto"/>
        <w:rPr>
          <w:rFonts w:ascii="Times New Roman" w:hAnsi="Times New Roman" w:cs="Times New Roman"/>
          <w:sz w:val="24"/>
          <w:szCs w:val="24"/>
        </w:rPr>
      </w:pPr>
      <w:r w:rsidRPr="00892868">
        <w:rPr>
          <w:rFonts w:ascii="Times New Roman" w:hAnsi="Times New Roman" w:cs="Times New Roman"/>
          <w:sz w:val="24"/>
          <w:szCs w:val="24"/>
          <w:u w:val="single"/>
        </w:rPr>
        <w:t>Resistant:</w:t>
      </w:r>
      <w:r w:rsidRPr="00892868">
        <w:rPr>
          <w:rFonts w:ascii="Times New Roman" w:hAnsi="Times New Roman" w:cs="Times New Roman"/>
          <w:sz w:val="24"/>
          <w:szCs w:val="24"/>
        </w:rPr>
        <w:t xml:space="preserve"> </w:t>
      </w:r>
      <w:r w:rsidR="00076FFF" w:rsidRPr="00892868">
        <w:rPr>
          <w:rFonts w:ascii="Times New Roman" w:hAnsi="Times New Roman" w:cs="Times New Roman"/>
          <w:sz w:val="24"/>
          <w:szCs w:val="24"/>
        </w:rPr>
        <w:tab/>
      </w:r>
      <w:r w:rsidRPr="00892868">
        <w:rPr>
          <w:rFonts w:ascii="Times New Roman" w:hAnsi="Times New Roman" w:cs="Times New Roman"/>
          <w:sz w:val="24"/>
          <w:szCs w:val="24"/>
        </w:rPr>
        <w:t xml:space="preserve">High likelihood of therapeutic failure even when there is increased </w:t>
      </w:r>
    </w:p>
    <w:p w14:paraId="111B22C7" w14:textId="52284F66" w:rsidR="00E428B4" w:rsidRPr="00892868" w:rsidRDefault="004A15A9" w:rsidP="00521FC2">
      <w:pPr>
        <w:pStyle w:val="ListParagraph"/>
        <w:spacing w:line="360" w:lineRule="auto"/>
        <w:ind w:left="1440" w:firstLine="720"/>
        <w:rPr>
          <w:rFonts w:ascii="Times New Roman" w:hAnsi="Times New Roman" w:cs="Times New Roman"/>
          <w:sz w:val="24"/>
          <w:szCs w:val="24"/>
        </w:rPr>
      </w:pPr>
      <w:r w:rsidRPr="00892868">
        <w:rPr>
          <w:rFonts w:ascii="Times New Roman" w:hAnsi="Times New Roman" w:cs="Times New Roman"/>
          <w:sz w:val="24"/>
          <w:szCs w:val="24"/>
        </w:rPr>
        <w:t>exposure.</w:t>
      </w:r>
    </w:p>
    <w:p w14:paraId="5911E8E9" w14:textId="72525561" w:rsidR="00E428B4" w:rsidRDefault="00E428B4" w:rsidP="00521FC2">
      <w:pPr>
        <w:spacing w:after="160" w:line="360" w:lineRule="auto"/>
      </w:pPr>
      <w:r>
        <w:t>Breakpoints</w:t>
      </w:r>
      <w:r w:rsidRPr="001D04B2">
        <w:t xml:space="preserve"> </w:t>
      </w:r>
      <w:r>
        <w:t xml:space="preserve">are set by breakpoint committees and </w:t>
      </w:r>
      <w:r w:rsidRPr="001D04B2">
        <w:t>must take into account a number of factors</w:t>
      </w:r>
      <w:r w:rsidR="00E873E1">
        <w:t>,</w:t>
      </w:r>
      <w:r w:rsidRPr="001D04B2">
        <w:t xml:space="preserve"> including the in vitro effect of the antibiotic against the bacterial sample but also the dose of antibiotic that can safely be administered, the pharmacokinetics and dynamics of the drug as well as the resistance mechanism involved.</w:t>
      </w:r>
      <w:r w:rsidRPr="00EE7B0C">
        <w:t xml:space="preserve"> </w:t>
      </w:r>
      <w:r>
        <w:t>The MIC</w:t>
      </w:r>
      <w:r w:rsidR="004A15A9">
        <w:t xml:space="preserve"> - </w:t>
      </w:r>
      <w:r>
        <w:t>minimum inhibitory concentration</w:t>
      </w:r>
      <w:r w:rsidR="004A15A9">
        <w:t xml:space="preserve"> - </w:t>
      </w:r>
      <w:r>
        <w:t>is the lowest concentration of an antibiotic required to inhibit bacteria</w:t>
      </w:r>
      <w:r w:rsidR="00E873E1">
        <w:t>l growth</w:t>
      </w:r>
      <w:r>
        <w:t xml:space="preserve">. Methods to measure the </w:t>
      </w:r>
      <w:r>
        <w:lastRenderedPageBreak/>
        <w:t>MIC include disk diffusion, the use of E-test strips and the agar inoculation method (</w:t>
      </w:r>
      <w:r w:rsidR="004A15A9">
        <w:t xml:space="preserve">detailed </w:t>
      </w:r>
      <w:r w:rsidR="000D27D1">
        <w:t>description of methods in section</w:t>
      </w:r>
      <w:r>
        <w:t xml:space="preserve"> in 2.4.3). If the MIC is less than or equal to the breakpoint, the bacteria</w:t>
      </w:r>
      <w:r w:rsidR="00E873E1">
        <w:t>l isolate</w:t>
      </w:r>
      <w:r>
        <w:t xml:space="preserve"> is considered susceptible. </w:t>
      </w:r>
    </w:p>
    <w:p w14:paraId="1F210A76" w14:textId="03BB305C" w:rsidR="00E428B4" w:rsidRPr="00EE7B0C" w:rsidRDefault="00E428B4" w:rsidP="00521FC2">
      <w:pPr>
        <w:spacing w:after="160" w:line="360" w:lineRule="auto"/>
      </w:pPr>
      <w:r>
        <w:t xml:space="preserve">In the presence of an appropriately dosed antibiotic, susceptible bacteria are killed. Any resistant bacteria however </w:t>
      </w:r>
      <w:r w:rsidR="00317027">
        <w:t xml:space="preserve">persist </w:t>
      </w:r>
      <w:r>
        <w:t xml:space="preserve">and may outgrow the susceptible strain. This selection pressure allows resistant bacteria to </w:t>
      </w:r>
      <w:r w:rsidR="00F8259E">
        <w:t>survive</w:t>
      </w:r>
      <w:r>
        <w:t xml:space="preserve"> and transfer antibiotic resistance genes. Antibiotic concentrations below the MICs for bacteria will select for resistance </w:t>
      </w:r>
      <w:r>
        <w:fldChar w:fldCharType="begin"/>
      </w:r>
      <w:r w:rsidR="00CD2C33">
        <w:instrText xml:space="preserve"> ADDIN EN.CITE &lt;EndNote&gt;&lt;Cite&gt;&lt;Author&gt;Andersson&lt;/Author&gt;&lt;Year&gt;2012&lt;/Year&gt;&lt;RecNum&gt;393&lt;/RecNum&gt;&lt;DisplayText&gt;(Andersson et al., 2012)&lt;/DisplayText&gt;&lt;record&gt;&lt;rec-number&gt;393&lt;/rec-number&gt;&lt;foreign-keys&gt;&lt;key app="EN" db-id="pr9rwt2w8padxcerwx6prd0a9wtda2w5fw2t" timestamp="1641903936"&gt;393&lt;/key&gt;&lt;/foreign-keys&gt;&lt;ref-type name="Journal Article"&gt;17&lt;/ref-type&gt;&lt;contributors&gt;&lt;authors&gt;&lt;author&gt;Andersson, Dan I.&lt;/author&gt;&lt;author&gt;Hughes, Diarmaid&lt;/author&gt;&lt;/authors&gt;&lt;/contributors&gt;&lt;titles&gt;&lt;title&gt;Evolution of antibiotic resistance at non-lethal drug concentrations&lt;/title&gt;&lt;secondary-title&gt;Drug Resistance Updates&lt;/secondary-title&gt;&lt;/titles&gt;&lt;periodical&gt;&lt;full-title&gt;Drug Resistance Updates&lt;/full-title&gt;&lt;/periodical&gt;&lt;pages&gt;162-172&lt;/pages&gt;&lt;volume&gt;15&lt;/volume&gt;&lt;number&gt;3&lt;/number&gt;&lt;keywords&gt;&lt;keyword&gt;Antibiotic resistance&lt;/keyword&gt;&lt;keyword&gt;Biocide&lt;/keyword&gt;&lt;keyword&gt;Minimal inhibitory concentration&lt;/keyword&gt;&lt;keyword&gt;Selective window&lt;/keyword&gt;&lt;/keywords&gt;&lt;dates&gt;&lt;year&gt;2012&lt;/year&gt;&lt;pub-dates&gt;&lt;date&gt;2012/06/01/&lt;/date&gt;&lt;/pub-dates&gt;&lt;/dates&gt;&lt;isbn&gt;1368-7646&lt;/isbn&gt;&lt;urls&gt;&lt;related-urls&gt;&lt;url&gt;https://www.sciencedirect.com/science/article/pii/S1368764612000179&lt;/url&gt;&lt;/related-urls&gt;&lt;/urls&gt;&lt;electronic-resource-num&gt;https://doi.org/10.1016/j.drup.2012.03.005&lt;/electronic-resource-num&gt;&lt;/record&gt;&lt;/Cite&gt;&lt;/EndNote&gt;</w:instrText>
      </w:r>
      <w:r>
        <w:fldChar w:fldCharType="separate"/>
      </w:r>
      <w:r w:rsidR="00CD2C33">
        <w:rPr>
          <w:noProof/>
        </w:rPr>
        <w:t>(Andersson et al., 2012)</w:t>
      </w:r>
      <w:r>
        <w:fldChar w:fldCharType="end"/>
      </w:r>
      <w:r>
        <w:t>. This has potential implications for those taking long</w:t>
      </w:r>
      <w:r w:rsidR="005A5399">
        <w:t>-</w:t>
      </w:r>
      <w:r>
        <w:t>term antibiotics</w:t>
      </w:r>
      <w:r w:rsidR="00E873E1">
        <w:t>,</w:t>
      </w:r>
      <w:r>
        <w:t xml:space="preserve"> in particular if compliance is intermittent. </w:t>
      </w:r>
    </w:p>
    <w:p w14:paraId="519B2636" w14:textId="73B76576" w:rsidR="00E428B4" w:rsidRPr="00241369" w:rsidRDefault="00E428B4" w:rsidP="001F2604">
      <w:pPr>
        <w:spacing w:line="360" w:lineRule="auto"/>
      </w:pPr>
      <w:r w:rsidRPr="001D04B2">
        <w:t>As such, the</w:t>
      </w:r>
      <w:r w:rsidR="00E873E1">
        <w:t xml:space="preserve"> </w:t>
      </w:r>
      <w:r w:rsidRPr="001D04B2">
        <w:t xml:space="preserve">individual benefits of taking </w:t>
      </w:r>
      <w:r w:rsidR="00E873E1">
        <w:t>antibiotics</w:t>
      </w:r>
      <w:r w:rsidRPr="001D04B2">
        <w:t xml:space="preserve"> must be weighed against the potential risks of promoting antibiotic resistance</w:t>
      </w:r>
      <w:r w:rsidR="00E873E1">
        <w:t>, particularly when the exposure is long</w:t>
      </w:r>
      <w:r w:rsidR="00F104C0">
        <w:t>-</w:t>
      </w:r>
      <w:r w:rsidR="00E873E1">
        <w:t>term (</w:t>
      </w:r>
      <w:r w:rsidR="003D14E0">
        <w:t>e.g.</w:t>
      </w:r>
      <w:r w:rsidR="00E873E1">
        <w:t xml:space="preserve"> for prolonged antibiotic regimes </w:t>
      </w:r>
      <w:r w:rsidR="00B11E30">
        <w:t>such as for tuberculosis, or in the setting of prophylaxis to prevent infections, see below and section 1.</w:t>
      </w:r>
      <w:r w:rsidR="00892868">
        <w:t>6</w:t>
      </w:r>
      <w:r w:rsidR="00B11E30">
        <w:t>)</w:t>
      </w:r>
      <w:r w:rsidRPr="001D04B2">
        <w:t xml:space="preserve">. This may be both a problem for </w:t>
      </w:r>
      <w:r w:rsidR="000D27D1">
        <w:t xml:space="preserve">the </w:t>
      </w:r>
      <w:r w:rsidRPr="001D04B2">
        <w:t>individual</w:t>
      </w:r>
      <w:r w:rsidR="00B11E30">
        <w:t xml:space="preserve"> patient if resistant organisms arise,</w:t>
      </w:r>
      <w:r w:rsidRPr="001D04B2">
        <w:t xml:space="preserve"> but also for the wider community in terms of spreading antibiotic resistant bacteria. </w:t>
      </w:r>
    </w:p>
    <w:p w14:paraId="4815BB2F" w14:textId="77777777" w:rsidR="00E428B4" w:rsidRPr="00241369" w:rsidRDefault="00E428B4" w:rsidP="001F2604">
      <w:pPr>
        <w:spacing w:line="360" w:lineRule="auto"/>
      </w:pPr>
    </w:p>
    <w:p w14:paraId="7B8D35C8" w14:textId="687ECD3B" w:rsidR="00E428B4" w:rsidRDefault="00E428B4" w:rsidP="004F3338">
      <w:pPr>
        <w:pStyle w:val="Heading2"/>
      </w:pPr>
      <w:bookmarkStart w:id="23" w:name="_Toc28850821"/>
      <w:bookmarkStart w:id="24" w:name="_Toc117765882"/>
      <w:r w:rsidRPr="00241369">
        <w:t>Macrolide resistance</w:t>
      </w:r>
      <w:bookmarkEnd w:id="23"/>
      <w:bookmarkEnd w:id="24"/>
    </w:p>
    <w:p w14:paraId="639442FF" w14:textId="5196BD76" w:rsidR="00417DD0" w:rsidRDefault="00417DD0" w:rsidP="00060139">
      <w:pPr>
        <w:pStyle w:val="Heading3"/>
        <w:spacing w:line="360" w:lineRule="auto"/>
      </w:pPr>
      <w:bookmarkStart w:id="25" w:name="_Toc117765883"/>
      <w:r>
        <w:t>Macrolide resistance mechanisms</w:t>
      </w:r>
      <w:bookmarkEnd w:id="25"/>
    </w:p>
    <w:p w14:paraId="17E1D867" w14:textId="57BB495B" w:rsidR="00417DD0" w:rsidRPr="00752DA8" w:rsidRDefault="00417DD0" w:rsidP="00417DD0">
      <w:pPr>
        <w:spacing w:after="160" w:line="360" w:lineRule="auto"/>
      </w:pPr>
      <w:r>
        <w:rPr>
          <w:rFonts w:eastAsia="Calibri" w:cs="Arial"/>
        </w:rPr>
        <w:t xml:space="preserve">A number of genetically encoded </w:t>
      </w:r>
      <w:r w:rsidRPr="002F18AD">
        <w:rPr>
          <w:rFonts w:eastAsia="Calibri" w:cs="Arial"/>
        </w:rPr>
        <w:t xml:space="preserve">resistance mechanisms induce macrolide resistance </w:t>
      </w:r>
      <w:r w:rsidRPr="00106F97">
        <w:rPr>
          <w:rFonts w:eastAsia="Calibri" w:cs="Arial"/>
        </w:rPr>
        <w:t>(</w:t>
      </w:r>
      <w:r w:rsidR="00106F97" w:rsidRPr="00106F97">
        <w:rPr>
          <w:rFonts w:eastAsia="Calibri" w:cs="Arial"/>
        </w:rPr>
        <w:fldChar w:fldCharType="begin"/>
      </w:r>
      <w:r w:rsidR="00106F97" w:rsidRPr="00106F97">
        <w:rPr>
          <w:rFonts w:eastAsia="Calibri" w:cs="Arial"/>
        </w:rPr>
        <w:instrText xml:space="preserve"> REF _Ref117766507 \h  \* MERGEFORMAT </w:instrText>
      </w:r>
      <w:r w:rsidR="00106F97" w:rsidRPr="00106F97">
        <w:rPr>
          <w:rFonts w:eastAsia="Calibri" w:cs="Arial"/>
        </w:rPr>
      </w:r>
      <w:r w:rsidR="00106F97" w:rsidRPr="00106F97">
        <w:rPr>
          <w:rFonts w:eastAsia="Calibri" w:cs="Arial"/>
        </w:rPr>
        <w:fldChar w:fldCharType="separate"/>
      </w:r>
      <w:r w:rsidR="00106F97" w:rsidRPr="00106F97">
        <w:rPr>
          <w:color w:val="000000" w:themeColor="text1"/>
        </w:rPr>
        <w:t xml:space="preserve">Figure </w:t>
      </w:r>
      <w:r w:rsidR="00106F97" w:rsidRPr="00106F97">
        <w:rPr>
          <w:noProof/>
          <w:color w:val="000000" w:themeColor="text1"/>
        </w:rPr>
        <w:t>1</w:t>
      </w:r>
      <w:r w:rsidR="00106F97" w:rsidRPr="00106F97">
        <w:rPr>
          <w:color w:val="000000" w:themeColor="text1"/>
        </w:rPr>
        <w:noBreakHyphen/>
      </w:r>
      <w:r w:rsidR="00106F97" w:rsidRPr="00106F97">
        <w:rPr>
          <w:noProof/>
          <w:color w:val="000000" w:themeColor="text1"/>
        </w:rPr>
        <w:t>4</w:t>
      </w:r>
      <w:r w:rsidR="00106F97" w:rsidRPr="00106F97">
        <w:rPr>
          <w:rFonts w:eastAsia="Calibri" w:cs="Arial"/>
        </w:rPr>
        <w:fldChar w:fldCharType="end"/>
      </w:r>
      <w:r w:rsidRPr="00106F97">
        <w:rPr>
          <w:rFonts w:eastAsia="Calibri" w:cs="Arial"/>
        </w:rPr>
        <w:t xml:space="preserve">). </w:t>
      </w:r>
      <w:r w:rsidRPr="002F18AD">
        <w:rPr>
          <w:rFonts w:eastAsia="Calibri" w:cs="Arial"/>
        </w:rPr>
        <w:t>These include modifying the ribosomal target site and reducing the affinity of</w:t>
      </w:r>
      <w:r>
        <w:rPr>
          <w:rFonts w:eastAsia="Calibri" w:cs="Arial"/>
        </w:rPr>
        <w:t xml:space="preserve"> macrolides to bind, mediated by </w:t>
      </w:r>
      <w:r w:rsidRPr="008D5406">
        <w:rPr>
          <w:rFonts w:eastAsia="Calibri" w:cs="Arial"/>
          <w:i/>
          <w:iCs/>
        </w:rPr>
        <w:t>erm</w:t>
      </w:r>
      <w:r>
        <w:rPr>
          <w:rFonts w:eastAsia="Calibri" w:cs="Arial"/>
        </w:rPr>
        <w:t xml:space="preserve"> (</w:t>
      </w:r>
      <w:r w:rsidRPr="008D5406">
        <w:rPr>
          <w:rFonts w:eastAsia="Calibri" w:cs="Arial"/>
          <w:u w:val="single"/>
        </w:rPr>
        <w:t>e</w:t>
      </w:r>
      <w:r w:rsidRPr="00505A20">
        <w:rPr>
          <w:rFonts w:eastAsia="Calibri" w:cs="Arial"/>
        </w:rPr>
        <w:t xml:space="preserve">rythromycin </w:t>
      </w:r>
      <w:r w:rsidRPr="008D5406">
        <w:rPr>
          <w:rFonts w:eastAsia="Calibri" w:cs="Arial"/>
          <w:u w:val="single"/>
        </w:rPr>
        <w:t>r</w:t>
      </w:r>
      <w:r w:rsidRPr="00505A20">
        <w:rPr>
          <w:rFonts w:eastAsia="Calibri" w:cs="Arial"/>
        </w:rPr>
        <w:t xml:space="preserve">esistance </w:t>
      </w:r>
      <w:r w:rsidRPr="008D5406">
        <w:rPr>
          <w:rFonts w:eastAsia="Calibri" w:cs="Arial"/>
          <w:u w:val="single"/>
        </w:rPr>
        <w:t>m</w:t>
      </w:r>
      <w:r w:rsidRPr="00505A20">
        <w:rPr>
          <w:rFonts w:eastAsia="Calibri" w:cs="Arial"/>
        </w:rPr>
        <w:t>ethyltransferase</w:t>
      </w:r>
      <w:r>
        <w:rPr>
          <w:rFonts w:eastAsia="Calibri" w:cs="Arial"/>
        </w:rPr>
        <w:t>)</w:t>
      </w:r>
      <w:r w:rsidRPr="00505A20">
        <w:rPr>
          <w:rFonts w:eastAsia="Calibri" w:cs="Arial"/>
        </w:rPr>
        <w:t xml:space="preserve"> </w:t>
      </w:r>
      <w:r>
        <w:rPr>
          <w:rFonts w:eastAsia="Calibri" w:cs="Arial"/>
        </w:rPr>
        <w:t>genes, antibiotic efflux pumps (</w:t>
      </w:r>
      <w:proofErr w:type="spellStart"/>
      <w:r w:rsidRPr="008D5406">
        <w:rPr>
          <w:rFonts w:eastAsia="Calibri" w:cs="Arial"/>
          <w:i/>
          <w:iCs/>
        </w:rPr>
        <w:t>mef</w:t>
      </w:r>
      <w:proofErr w:type="spellEnd"/>
      <w:r>
        <w:rPr>
          <w:rFonts w:eastAsia="Calibri" w:cs="Arial"/>
        </w:rPr>
        <w:t xml:space="preserve"> – </w:t>
      </w:r>
      <w:r w:rsidRPr="008D5406">
        <w:rPr>
          <w:rFonts w:eastAsia="Calibri" w:cs="Arial"/>
          <w:u w:val="single"/>
        </w:rPr>
        <w:t>m</w:t>
      </w:r>
      <w:r>
        <w:rPr>
          <w:rFonts w:eastAsia="Calibri" w:cs="Arial"/>
        </w:rPr>
        <w:t xml:space="preserve">acrolide </w:t>
      </w:r>
      <w:r w:rsidRPr="008D5406">
        <w:rPr>
          <w:rFonts w:eastAsia="Calibri" w:cs="Arial"/>
          <w:u w:val="single"/>
        </w:rPr>
        <w:t>ef</w:t>
      </w:r>
      <w:r>
        <w:rPr>
          <w:rFonts w:eastAsia="Calibri" w:cs="Arial"/>
        </w:rPr>
        <w:t xml:space="preserve">flux and </w:t>
      </w:r>
      <w:proofErr w:type="spellStart"/>
      <w:r w:rsidRPr="008D5406">
        <w:rPr>
          <w:rFonts w:eastAsia="Calibri" w:cs="Arial"/>
          <w:i/>
          <w:iCs/>
        </w:rPr>
        <w:t>msr</w:t>
      </w:r>
      <w:proofErr w:type="spellEnd"/>
      <w:r>
        <w:rPr>
          <w:rFonts w:eastAsia="Calibri" w:cs="Arial"/>
        </w:rPr>
        <w:t xml:space="preserve"> - </w:t>
      </w:r>
      <w:r w:rsidRPr="008D5406">
        <w:rPr>
          <w:rFonts w:eastAsia="Calibri" w:cs="Arial"/>
          <w:u w:val="single"/>
        </w:rPr>
        <w:t>m</w:t>
      </w:r>
      <w:r w:rsidRPr="00505A20">
        <w:rPr>
          <w:rFonts w:eastAsia="Calibri" w:cs="Arial"/>
        </w:rPr>
        <w:t xml:space="preserve">ajor </w:t>
      </w:r>
      <w:r w:rsidRPr="008D5406">
        <w:rPr>
          <w:rFonts w:eastAsia="Calibri" w:cs="Arial"/>
          <w:u w:val="single"/>
        </w:rPr>
        <w:t>f</w:t>
      </w:r>
      <w:r w:rsidRPr="00505A20">
        <w:rPr>
          <w:rFonts w:eastAsia="Calibri" w:cs="Arial"/>
        </w:rPr>
        <w:t xml:space="preserve">acilitator </w:t>
      </w:r>
      <w:r w:rsidRPr="008D5406">
        <w:rPr>
          <w:rFonts w:eastAsia="Calibri" w:cs="Arial"/>
          <w:u w:val="single"/>
        </w:rPr>
        <w:t>s</w:t>
      </w:r>
      <w:r w:rsidRPr="00505A20">
        <w:rPr>
          <w:rFonts w:eastAsia="Calibri" w:cs="Arial"/>
        </w:rPr>
        <w:t xml:space="preserve">uperfamily-type </w:t>
      </w:r>
      <w:r>
        <w:rPr>
          <w:rFonts w:eastAsia="Calibri" w:cs="Arial"/>
        </w:rPr>
        <w:t>genes) and enzymatic catalysed inactivation of macrolides (</w:t>
      </w:r>
      <w:r w:rsidRPr="008D5406">
        <w:rPr>
          <w:rFonts w:eastAsia="Calibri" w:cs="Arial"/>
          <w:i/>
          <w:iCs/>
        </w:rPr>
        <w:t>ere</w:t>
      </w:r>
      <w:r>
        <w:rPr>
          <w:rFonts w:eastAsia="Calibri" w:cs="Arial"/>
        </w:rPr>
        <w:t xml:space="preserve"> – </w:t>
      </w:r>
      <w:r w:rsidRPr="008D5406">
        <w:rPr>
          <w:rFonts w:eastAsia="Calibri" w:cs="Arial"/>
          <w:u w:val="single"/>
        </w:rPr>
        <w:t>er</w:t>
      </w:r>
      <w:r>
        <w:rPr>
          <w:rFonts w:eastAsia="Calibri" w:cs="Arial"/>
        </w:rPr>
        <w:t xml:space="preserve">ythromycin </w:t>
      </w:r>
      <w:r w:rsidRPr="008D5406">
        <w:rPr>
          <w:rFonts w:eastAsia="Calibri" w:cs="Arial"/>
          <w:u w:val="single"/>
        </w:rPr>
        <w:t>e</w:t>
      </w:r>
      <w:r>
        <w:rPr>
          <w:rFonts w:eastAsia="Calibri" w:cs="Arial"/>
        </w:rPr>
        <w:t xml:space="preserve">sterase and </w:t>
      </w:r>
      <w:r w:rsidRPr="008D5406">
        <w:rPr>
          <w:rFonts w:eastAsia="Calibri" w:cs="Arial"/>
          <w:i/>
          <w:iCs/>
        </w:rPr>
        <w:t>mph</w:t>
      </w:r>
      <w:r>
        <w:rPr>
          <w:rFonts w:eastAsia="Calibri" w:cs="Arial"/>
        </w:rPr>
        <w:t xml:space="preserve"> - </w:t>
      </w:r>
      <w:r w:rsidRPr="008D5406">
        <w:rPr>
          <w:rFonts w:eastAsia="Calibri" w:cs="Arial"/>
          <w:u w:val="single"/>
        </w:rPr>
        <w:t>m</w:t>
      </w:r>
      <w:r w:rsidRPr="00505A20">
        <w:rPr>
          <w:rFonts w:eastAsia="Calibri" w:cs="Arial"/>
        </w:rPr>
        <w:t xml:space="preserve">acrolide 2′ </w:t>
      </w:r>
      <w:r w:rsidRPr="008D5406">
        <w:rPr>
          <w:rFonts w:eastAsia="Calibri" w:cs="Arial"/>
          <w:u w:val="single"/>
        </w:rPr>
        <w:t>ph</w:t>
      </w:r>
      <w:r w:rsidRPr="00505A20">
        <w:rPr>
          <w:rFonts w:eastAsia="Calibri" w:cs="Arial"/>
        </w:rPr>
        <w:t xml:space="preserve">osphotransferase </w:t>
      </w:r>
      <w:r>
        <w:rPr>
          <w:rFonts w:eastAsia="Calibri" w:cs="Arial"/>
        </w:rPr>
        <w:t>genes). Such genes predominate in different bacterial speci</w:t>
      </w:r>
      <w:r w:rsidR="00B914AE">
        <w:rPr>
          <w:rFonts w:eastAsia="Calibri" w:cs="Arial"/>
        </w:rPr>
        <w:t>es,</w:t>
      </w:r>
      <w:r>
        <w:rPr>
          <w:rFonts w:eastAsia="Calibri" w:cs="Arial"/>
        </w:rPr>
        <w:t xml:space="preserve"> however they may be passed between strain, species and genus via horizontal gene transfer mechanisms such as plasmids </w:t>
      </w:r>
      <w:r w:rsidRPr="00EA26AB">
        <w:rPr>
          <w:rFonts w:eastAsia="Calibri" w:cs="Arial"/>
        </w:rPr>
        <w:fldChar w:fldCharType="begin">
          <w:fldData xml:space="preserve">PEVuZE5vdGU+PENpdGU+PEF1dGhvcj5MZWNsZXJjcTwvQXV0aG9yPjxZZWFyPjIwMDI8L1llYXI+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</w:fldData>
        </w:fldChar>
      </w:r>
      <w:r>
        <w:rPr>
          <w:rFonts w:eastAsia="Calibri" w:cs="Arial"/>
        </w:rPr>
        <w:instrText xml:space="preserve"> ADDIN EN.CITE </w:instrText>
      </w:r>
      <w:r>
        <w:rPr>
          <w:rFonts w:eastAsia="Calibri" w:cs="Arial"/>
        </w:rPr>
        <w:fldChar w:fldCharType="begin">
          <w:fldData xml:space="preserve">PEVuZE5vdGU+PENpdGU+PEF1dGhvcj5MZWNsZXJjcTwvQXV0aG9yPjxZZWFyPjIwMDI8L1llYXI+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</w:fldData>
        </w:fldChar>
      </w:r>
      <w:r>
        <w:rPr>
          <w:rFonts w:eastAsia="Calibri" w:cs="Arial"/>
        </w:rPr>
        <w:instrText xml:space="preserve"> ADDIN EN.CITE.DATA </w:instrText>
      </w:r>
      <w:r>
        <w:rPr>
          <w:rFonts w:eastAsia="Calibri" w:cs="Arial"/>
        </w:rPr>
      </w:r>
      <w:r>
        <w:rPr>
          <w:rFonts w:eastAsia="Calibri" w:cs="Arial"/>
        </w:rPr>
        <w:fldChar w:fldCharType="end"/>
      </w:r>
      <w:r w:rsidRPr="00EA26AB">
        <w:rPr>
          <w:rFonts w:eastAsia="Calibri" w:cs="Arial"/>
        </w:rPr>
      </w:r>
      <w:r w:rsidRPr="00EA26AB">
        <w:rPr>
          <w:rFonts w:eastAsia="Calibri" w:cs="Arial"/>
        </w:rPr>
        <w:fldChar w:fldCharType="separate"/>
      </w:r>
      <w:r>
        <w:rPr>
          <w:rFonts w:eastAsia="Calibri" w:cs="Arial"/>
          <w:noProof/>
        </w:rPr>
        <w:t>(Feßler et al., 2018; Leclercq, 2002)</w:t>
      </w:r>
      <w:r w:rsidRPr="00EA26AB">
        <w:rPr>
          <w:rFonts w:eastAsia="Calibri" w:cs="Arial"/>
        </w:rPr>
        <w:fldChar w:fldCharType="end"/>
      </w:r>
      <w:r w:rsidRPr="00EA26AB">
        <w:rPr>
          <w:rFonts w:eastAsia="Calibri" w:cs="Arial"/>
        </w:rPr>
        <w:t>.</w:t>
      </w:r>
      <w:r>
        <w:rPr>
          <w:rFonts w:eastAsia="Calibri" w:cs="Arial"/>
          <w:shd w:val="clear" w:color="auto" w:fill="F4B083" w:themeFill="accent2" w:themeFillTint="99"/>
        </w:rPr>
        <w:t xml:space="preserve"> </w:t>
      </w:r>
    </w:p>
    <w:p w14:paraId="1EEF3408" w14:textId="4E37A9F4" w:rsidR="00417DD0" w:rsidRPr="00417DD0" w:rsidRDefault="00417DD0" w:rsidP="00417DD0"/>
    <w:p w14:paraId="4D91F1EF" w14:textId="77777777" w:rsidR="00060139" w:rsidRPr="00241369" w:rsidRDefault="00060139" w:rsidP="00060139">
      <w:pPr>
        <w:pStyle w:val="Heading3"/>
        <w:spacing w:line="360" w:lineRule="auto"/>
      </w:pPr>
      <w:bookmarkStart w:id="26" w:name="_Toc28850822"/>
      <w:bookmarkStart w:id="27" w:name="_Toc117765884"/>
      <w:r>
        <w:t>The magnitude</w:t>
      </w:r>
      <w:r w:rsidRPr="00241369">
        <w:t xml:space="preserve"> of macrolide </w:t>
      </w:r>
      <w:bookmarkEnd w:id="26"/>
      <w:r w:rsidRPr="00241369">
        <w:t>resistance</w:t>
      </w:r>
      <w:bookmarkEnd w:id="27"/>
    </w:p>
    <w:p w14:paraId="72FB3D81" w14:textId="77777777" w:rsidR="00060139" w:rsidRDefault="00060139" w:rsidP="00060139">
      <w:pPr>
        <w:shd w:val="clear" w:color="auto" w:fill="FFFFFF" w:themeFill="background1"/>
        <w:spacing w:after="160" w:line="360" w:lineRule="auto"/>
        <w:rPr>
          <w:rFonts w:eastAsia="Calibri" w:cs="Arial"/>
        </w:rPr>
      </w:pPr>
      <w:r>
        <w:rPr>
          <w:rFonts w:eastAsia="Calibri" w:cs="Arial"/>
        </w:rPr>
        <w:t xml:space="preserve">Antimicrobial resistance (AMR) </w:t>
      </w:r>
      <w:r w:rsidRPr="00241369">
        <w:rPr>
          <w:rFonts w:eastAsia="Calibri" w:cs="Arial"/>
        </w:rPr>
        <w:t xml:space="preserve">is seen </w:t>
      </w:r>
      <w:r>
        <w:rPr>
          <w:rFonts w:eastAsia="Calibri" w:cs="Arial"/>
        </w:rPr>
        <w:t xml:space="preserve">as </w:t>
      </w:r>
      <w:r w:rsidRPr="00241369">
        <w:rPr>
          <w:rFonts w:eastAsia="Calibri" w:cs="Arial"/>
        </w:rPr>
        <w:t xml:space="preserve">one of the biggest threats </w:t>
      </w:r>
      <w:r>
        <w:rPr>
          <w:rFonts w:eastAsia="Calibri" w:cs="Arial"/>
        </w:rPr>
        <w:t xml:space="preserve">to global public health. Trends in macrolide resistant respiratory pathogens vary worldwide </w:t>
      </w:r>
      <w:r>
        <w:rPr>
          <w:rFonts w:eastAsia="Calibri" w:cs="Arial"/>
        </w:rPr>
        <w:fldChar w:fldCharType="begin">
          <w:fldData xml:space="preserve">PEVuZE5vdGU+PENpdGU+PEF1dGhvcj5BbmRyZWprbzwvQXV0aG9yPjxZZWFyPjIwMjE8L1llYXI+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</w:fldData>
        </w:fldChar>
      </w:r>
      <w:r>
        <w:rPr>
          <w:rFonts w:eastAsia="Calibri" w:cs="Arial"/>
        </w:rPr>
        <w:instrText xml:space="preserve"> ADDIN EN.CITE </w:instrText>
      </w:r>
      <w:r>
        <w:rPr>
          <w:rFonts w:eastAsia="Calibri" w:cs="Arial"/>
        </w:rPr>
        <w:fldChar w:fldCharType="begin">
          <w:fldData xml:space="preserve">PEVuZE5vdGU+PENpdGU+PEF1dGhvcj5BbmRyZWprbzwvQXV0aG9yPjxZZWFyPjIwMjE8L1llYXI+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</w:fldData>
        </w:fldChar>
      </w:r>
      <w:r>
        <w:rPr>
          <w:rFonts w:eastAsia="Calibri" w:cs="Arial"/>
        </w:rPr>
        <w:instrText xml:space="preserve"> ADDIN EN.CITE.DATA </w:instrText>
      </w:r>
      <w:r>
        <w:rPr>
          <w:rFonts w:eastAsia="Calibri" w:cs="Arial"/>
        </w:rPr>
      </w:r>
      <w:r>
        <w:rPr>
          <w:rFonts w:eastAsia="Calibri" w:cs="Arial"/>
        </w:rPr>
        <w:fldChar w:fldCharType="end"/>
      </w:r>
      <w:r>
        <w:rPr>
          <w:rFonts w:eastAsia="Calibri" w:cs="Arial"/>
        </w:rPr>
      </w:r>
      <w:r>
        <w:rPr>
          <w:rFonts w:eastAsia="Calibri" w:cs="Arial"/>
        </w:rPr>
        <w:fldChar w:fldCharType="separate"/>
      </w:r>
      <w:r>
        <w:rPr>
          <w:rFonts w:eastAsia="Calibri" w:cs="Arial"/>
          <w:noProof/>
        </w:rPr>
        <w:t>(Andrejko et al., 2021)</w:t>
      </w:r>
      <w:r>
        <w:rPr>
          <w:rFonts w:eastAsia="Calibri" w:cs="Arial"/>
        </w:rPr>
        <w:fldChar w:fldCharType="end"/>
      </w:r>
      <w:r>
        <w:rPr>
          <w:rFonts w:eastAsia="Calibri" w:cs="Arial"/>
        </w:rPr>
        <w:t xml:space="preserve">. In the European Union, the population-weighted mean percentage of invasive macrolide resistant </w:t>
      </w:r>
      <w:r w:rsidRPr="001D04B2">
        <w:rPr>
          <w:rFonts w:eastAsia="Calibri" w:cs="Arial"/>
          <w:i/>
          <w:iCs/>
        </w:rPr>
        <w:t xml:space="preserve">S. </w:t>
      </w:r>
      <w:r w:rsidRPr="001D04B2">
        <w:rPr>
          <w:rFonts w:eastAsia="Calibri" w:cs="Arial"/>
          <w:i/>
          <w:iCs/>
        </w:rPr>
        <w:lastRenderedPageBreak/>
        <w:t>pneumonia</w:t>
      </w:r>
      <w:r>
        <w:rPr>
          <w:rFonts w:eastAsia="Calibri" w:cs="Arial"/>
          <w:i/>
          <w:iCs/>
        </w:rPr>
        <w:t>e</w:t>
      </w:r>
      <w:r>
        <w:rPr>
          <w:rFonts w:eastAsia="Calibri" w:cs="Arial"/>
        </w:rPr>
        <w:t xml:space="preserve"> isolates reduced from 16.6% in 2015 to 14.5% in 2019 </w:t>
      </w:r>
      <w:r>
        <w:rPr>
          <w:rFonts w:eastAsia="Calibri" w:cs="Arial"/>
        </w:rPr>
        <w:fldChar w:fldCharType="begin"/>
      </w:r>
      <w:r>
        <w:rPr>
          <w:rFonts w:eastAsia="Calibri" w:cs="Arial"/>
        </w:rPr>
        <w:instrText xml:space="preserve"> ADDIN EN.CITE &lt;EndNote&gt;&lt;Cite&gt;&lt;Author&gt;ECDC&lt;/Author&gt;&lt;Year&gt;2020&lt;/Year&gt;&lt;RecNum&gt;444&lt;/RecNum&gt;&lt;DisplayText&gt;(ECDC, 2020)&lt;/DisplayText&gt;&lt;record&gt;&lt;rec-number&gt;444&lt;/rec-number&gt;&lt;foreign-keys&gt;&lt;key app="EN" db-id="pr9rwt2w8padxcerwx6prd0a9wtda2w5fw2t" timestamp="1648296389"&gt;444&lt;/key&gt;&lt;/foreign-keys&gt;&lt;ref-type name="Web Page"&gt;12&lt;/ref-type&gt;&lt;contributors&gt;&lt;authors&gt;&lt;author&gt;ECDC,&lt;/author&gt;&lt;/authors&gt;&lt;secondary-authors&gt;&lt;author&gt; European Centre for Disease Prevention and Control&lt;/author&gt;&lt;/secondary-authors&gt;&lt;/contributors&gt;&lt;titles&gt;&lt;title&gt;Antimicrobial resistance in the EU/EEA (EARS-Net) - Annual Epidemiological Report for 2019&lt;/title&gt;&lt;secondary-title&gt;Antimicrobial resistance surveillance in Europe&lt;/secondary-title&gt;&lt;/titles&gt;&lt;dates&gt;&lt;year&gt;2020&lt;/year&gt;&lt;/dates&gt;&lt;urls&gt;&lt;related-urls&gt;&lt;url&gt;https://www.ecdc.europa.eu/en/publications-data/surveillance-antimicrobial-resistance-europe-2019&lt;/url&gt;&lt;/related-urls&gt;&lt;/urls&gt;&lt;/record&gt;&lt;/Cite&gt;&lt;/EndNote&gt;</w:instrText>
      </w:r>
      <w:r>
        <w:rPr>
          <w:rFonts w:eastAsia="Calibri" w:cs="Arial"/>
        </w:rPr>
        <w:fldChar w:fldCharType="separate"/>
      </w:r>
      <w:r>
        <w:rPr>
          <w:rFonts w:eastAsia="Calibri" w:cs="Arial"/>
          <w:noProof/>
        </w:rPr>
        <w:t>(ECDC, 2020)</w:t>
      </w:r>
      <w:r>
        <w:rPr>
          <w:rFonts w:eastAsia="Calibri" w:cs="Arial"/>
        </w:rPr>
        <w:fldChar w:fldCharType="end"/>
      </w:r>
      <w:r>
        <w:rPr>
          <w:rFonts w:eastAsia="Calibri" w:cs="Arial"/>
        </w:rPr>
        <w:t xml:space="preserve">. Current national percentages of macrolide resistant invasive </w:t>
      </w:r>
      <w:r w:rsidRPr="00FE75A5">
        <w:rPr>
          <w:rFonts w:eastAsia="Calibri" w:cs="Arial"/>
          <w:i/>
          <w:iCs/>
        </w:rPr>
        <w:t>S. pneumoniae</w:t>
      </w:r>
      <w:r>
        <w:rPr>
          <w:rFonts w:eastAsia="Calibri" w:cs="Arial"/>
        </w:rPr>
        <w:t xml:space="preserve"> reported in European countries in 2019 range from 3.5% (Denmark) to 30.4</w:t>
      </w:r>
      <w:r w:rsidRPr="00241369">
        <w:rPr>
          <w:rFonts w:eastAsia="Calibri" w:cs="Arial"/>
        </w:rPr>
        <w:t>%</w:t>
      </w:r>
      <w:r>
        <w:rPr>
          <w:rFonts w:eastAsia="Calibri" w:cs="Arial"/>
        </w:rPr>
        <w:t xml:space="preserve"> (Croatia)</w:t>
      </w:r>
      <w:r w:rsidRPr="00241369">
        <w:rPr>
          <w:rFonts w:eastAsia="Calibri" w:cs="Arial"/>
        </w:rPr>
        <w:t xml:space="preserve">. For the UK there was a slight decline </w:t>
      </w:r>
      <w:r>
        <w:rPr>
          <w:rFonts w:eastAsia="Calibri" w:cs="Arial"/>
        </w:rPr>
        <w:t>over the time period 2015-2019 from 6.9% to 5.5</w:t>
      </w:r>
      <w:r w:rsidRPr="00241369">
        <w:rPr>
          <w:rFonts w:eastAsia="Calibri" w:cs="Arial"/>
        </w:rPr>
        <w:t>%</w:t>
      </w:r>
      <w:r>
        <w:rPr>
          <w:rFonts w:eastAsia="Calibri" w:cs="Arial"/>
        </w:rPr>
        <w:t xml:space="preserve"> </w:t>
      </w:r>
      <w:r>
        <w:rPr>
          <w:rFonts w:eastAsia="Calibri" w:cs="Arial"/>
        </w:rPr>
        <w:fldChar w:fldCharType="begin"/>
      </w:r>
      <w:r>
        <w:rPr>
          <w:rFonts w:eastAsia="Calibri" w:cs="Arial"/>
        </w:rPr>
        <w:instrText xml:space="preserve"> ADDIN EN.CITE &lt;EndNote&gt;&lt;Cite&gt;&lt;Author&gt;ECDC&lt;/Author&gt;&lt;Year&gt;2020&lt;/Year&gt;&lt;RecNum&gt;444&lt;/RecNum&gt;&lt;DisplayText&gt;(ECDC, 2020)&lt;/DisplayText&gt;&lt;record&gt;&lt;rec-number&gt;444&lt;/rec-number&gt;&lt;foreign-keys&gt;&lt;key app="EN" db-id="pr9rwt2w8padxcerwx6prd0a9wtda2w5fw2t" timestamp="1648296389"&gt;444&lt;/key&gt;&lt;/foreign-keys&gt;&lt;ref-type name="Web Page"&gt;12&lt;/ref-type&gt;&lt;contributors&gt;&lt;authors&gt;&lt;author&gt;ECDC,&lt;/author&gt;&lt;/authors&gt;&lt;secondary-authors&gt;&lt;author&gt; European Centre for Disease Prevention and Control&lt;/author&gt;&lt;/secondary-authors&gt;&lt;/contributors&gt;&lt;titles&gt;&lt;title&gt;Antimicrobial resistance in the EU/EEA (EARS-Net) - Annual Epidemiological Report for 2019&lt;/title&gt;&lt;secondary-title&gt;Antimicrobial resistance surveillance in Europe&lt;/secondary-title&gt;&lt;/titles&gt;&lt;dates&gt;&lt;year&gt;2020&lt;/year&gt;&lt;/dates&gt;&lt;urls&gt;&lt;related-urls&gt;&lt;url&gt;https://www.ecdc.europa.eu/en/publications-data/surveillance-antimicrobial-resistance-europe-2019&lt;/url&gt;&lt;/related-urls&gt;&lt;/urls&gt;&lt;/record&gt;&lt;/Cite&gt;&lt;/EndNote&gt;</w:instrText>
      </w:r>
      <w:r>
        <w:rPr>
          <w:rFonts w:eastAsia="Calibri" w:cs="Arial"/>
        </w:rPr>
        <w:fldChar w:fldCharType="separate"/>
      </w:r>
      <w:r>
        <w:rPr>
          <w:rFonts w:eastAsia="Calibri" w:cs="Arial"/>
          <w:noProof/>
        </w:rPr>
        <w:t>(ECDC, 2020)</w:t>
      </w:r>
      <w:r>
        <w:rPr>
          <w:rFonts w:eastAsia="Calibri" w:cs="Arial"/>
        </w:rPr>
        <w:fldChar w:fldCharType="end"/>
      </w:r>
      <w:r>
        <w:rPr>
          <w:rFonts w:eastAsia="Calibri" w:cs="Arial"/>
        </w:rPr>
        <w:t xml:space="preserve">. In the US, 2018-2019, 47% of </w:t>
      </w:r>
      <w:r w:rsidRPr="00DA3F3B">
        <w:rPr>
          <w:rFonts w:eastAsia="Calibri" w:cs="Arial"/>
          <w:i/>
        </w:rPr>
        <w:t>S. pneumoniae</w:t>
      </w:r>
      <w:r>
        <w:rPr>
          <w:rFonts w:eastAsia="Calibri" w:cs="Arial"/>
        </w:rPr>
        <w:t xml:space="preserve"> from respiratory isolates were resistant to macrolides </w:t>
      </w:r>
      <w:r>
        <w:rPr>
          <w:rFonts w:eastAsia="Calibri" w:cs="Arial"/>
        </w:rPr>
        <w:fldChar w:fldCharType="begin"/>
      </w:r>
      <w:r>
        <w:rPr>
          <w:rFonts w:eastAsia="Calibri" w:cs="Arial"/>
        </w:rPr>
        <w:instrText xml:space="preserve"> ADDIN EN.CITE &lt;EndNote&gt;&lt;Cite&gt;&lt;Author&gt;Gupta&lt;/Author&gt;&lt;Year&gt;2021&lt;/Year&gt;&lt;RecNum&gt;362&lt;/RecNum&gt;&lt;DisplayText&gt;(Gupta et al., 2021)&lt;/DisplayText&gt;&lt;record&gt;&lt;rec-number&gt;362&lt;/rec-number&gt;&lt;foreign-keys&gt;&lt;key app="EN" db-id="pr9rwt2w8padxcerwx6prd0a9wtda2w5fw2t" timestamp="1629809168"&gt;362&lt;/key&gt;&lt;/foreign-keys&gt;&lt;ref-type name="Journal Article"&gt;17&lt;/ref-type&gt;&lt;contributors&gt;&lt;authors&gt;&lt;author&gt;Gupta, V.&lt;/author&gt;&lt;author&gt;Yu, K. C.&lt;/author&gt;&lt;author&gt;Schranz, J.&lt;/author&gt;&lt;author&gt;Gelone, S. P.&lt;/author&gt;&lt;/authors&gt;&lt;/contributors&gt;&lt;auth-address&gt;Becton, Dickinson and Company, Franklin Lakes, New Jersey, USA.&amp;#xD;Nabriva Therapeutics US, Inc., King of Prussia, Pennsylvania, USA.&lt;/auth-address&gt;&lt;titles&gt;&lt;title&gt;A Multicenter Evaluation of the US Prevalence and Regional Variation in Macrolide-Resistant S. pneumoniae in Ambulatory and Hospitalized Adult Patients in the United States&lt;/title&gt;&lt;secondary-title&gt;Open Forum Infect Dis&lt;/secondary-title&gt;&lt;/titles&gt;&lt;periodical&gt;&lt;full-title&gt;Open Forum Infect Dis&lt;/full-title&gt;&lt;/periodical&gt;&lt;pages&gt;ofab063&lt;/pages&gt;&lt;volume&gt;8&lt;/volume&gt;&lt;number&gt;7&lt;/number&gt;&lt;edition&gt;2021/07/13&lt;/edition&gt;&lt;keywords&gt;&lt;keyword&gt;Streptococcus pneumoniae&lt;/keyword&gt;&lt;keyword&gt;antibiotic resistance&lt;/keyword&gt;&lt;keyword&gt;community-acquired pneumonia&lt;/keyword&gt;&lt;keyword&gt;epidemiology&lt;/keyword&gt;&lt;keyword&gt;macrolides&lt;/keyword&gt;&lt;/keywords&gt;&lt;dates&gt;&lt;year&gt;2021&lt;/year&gt;&lt;pub-dates&gt;&lt;date&gt;Jul&lt;/date&gt;&lt;/pub-dates&gt;&lt;/dates&gt;&lt;isbn&gt;2328-8957 (Print)&amp;#xD;2328-8957&lt;/isbn&gt;&lt;accession-num&gt;34250183&lt;/accession-num&gt;&lt;urls&gt;&lt;/urls&gt;&lt;custom2&gt;PMC8266646&lt;/custom2&gt;&lt;electronic-resource-num&gt;10.1093/ofid/ofab063&lt;/electronic-resource-num&gt;&lt;remote-database-provider&gt;NLM&lt;/remote-database-provider&gt;&lt;language&gt;eng&lt;/language&gt;&lt;/record&gt;&lt;/Cite&gt;&lt;/EndNote&gt;</w:instrText>
      </w:r>
      <w:r>
        <w:rPr>
          <w:rFonts w:eastAsia="Calibri" w:cs="Arial"/>
        </w:rPr>
        <w:fldChar w:fldCharType="separate"/>
      </w:r>
      <w:r>
        <w:rPr>
          <w:rFonts w:eastAsia="Calibri" w:cs="Arial"/>
          <w:noProof/>
        </w:rPr>
        <w:t>(Gupta et al., 2021)</w:t>
      </w:r>
      <w:r>
        <w:rPr>
          <w:rFonts w:eastAsia="Calibri" w:cs="Arial"/>
        </w:rPr>
        <w:fldChar w:fldCharType="end"/>
      </w:r>
      <w:r>
        <w:rPr>
          <w:rFonts w:eastAsia="Calibri" w:cs="Arial"/>
        </w:rPr>
        <w:t xml:space="preserve">. The highest rates of 95% macrolide resistant </w:t>
      </w:r>
      <w:r w:rsidRPr="00DA3F3B">
        <w:rPr>
          <w:rFonts w:eastAsia="Calibri" w:cs="Arial"/>
          <w:i/>
        </w:rPr>
        <w:t>S. pneumoniae</w:t>
      </w:r>
      <w:r>
        <w:rPr>
          <w:rFonts w:eastAsia="Calibri" w:cs="Arial"/>
        </w:rPr>
        <w:t xml:space="preserve"> have been reported in isolates from China </w:t>
      </w:r>
      <w:r>
        <w:rPr>
          <w:rFonts w:eastAsia="Calibri" w:cs="Arial"/>
        </w:rPr>
        <w:fldChar w:fldCharType="begin">
          <w:fldData xml:space="preserve">PEVuZE5vdGU+PENpdGU+PEF1dGhvcj5XYW5nPC9BdXRob3I+PFllYXI+MjAxOTwvWWVhcj48UmVj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</w:fldData>
        </w:fldChar>
      </w:r>
      <w:r>
        <w:rPr>
          <w:rFonts w:eastAsia="Calibri" w:cs="Arial"/>
        </w:rPr>
        <w:instrText xml:space="preserve"> ADDIN EN.CITE </w:instrText>
      </w:r>
      <w:r>
        <w:rPr>
          <w:rFonts w:eastAsia="Calibri" w:cs="Arial"/>
        </w:rPr>
        <w:fldChar w:fldCharType="begin">
          <w:fldData xml:space="preserve">PEVuZE5vdGU+PENpdGU+PEF1dGhvcj5XYW5nPC9BdXRob3I+PFllYXI+MjAxOTwvWWVhcj48UmVj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</w:fldData>
        </w:fldChar>
      </w:r>
      <w:r>
        <w:rPr>
          <w:rFonts w:eastAsia="Calibri" w:cs="Arial"/>
        </w:rPr>
        <w:instrText xml:space="preserve"> ADDIN EN.CITE.DATA </w:instrText>
      </w:r>
      <w:r>
        <w:rPr>
          <w:rFonts w:eastAsia="Calibri" w:cs="Arial"/>
        </w:rPr>
      </w:r>
      <w:r>
        <w:rPr>
          <w:rFonts w:eastAsia="Calibri" w:cs="Arial"/>
        </w:rPr>
        <w:fldChar w:fldCharType="end"/>
      </w:r>
      <w:r>
        <w:rPr>
          <w:rFonts w:eastAsia="Calibri" w:cs="Arial"/>
        </w:rPr>
      </w:r>
      <w:r>
        <w:rPr>
          <w:rFonts w:eastAsia="Calibri" w:cs="Arial"/>
        </w:rPr>
        <w:fldChar w:fldCharType="separate"/>
      </w:r>
      <w:r>
        <w:rPr>
          <w:rFonts w:eastAsia="Calibri" w:cs="Arial"/>
          <w:noProof/>
        </w:rPr>
        <w:t>(C. Y. Wang et al., 2019)</w:t>
      </w:r>
      <w:r>
        <w:rPr>
          <w:rFonts w:eastAsia="Calibri" w:cs="Arial"/>
        </w:rPr>
        <w:fldChar w:fldCharType="end"/>
      </w:r>
      <w:r>
        <w:rPr>
          <w:rFonts w:eastAsia="Calibri" w:cs="Arial"/>
        </w:rPr>
        <w:t xml:space="preserve">. Given </w:t>
      </w:r>
      <w:r w:rsidRPr="008D5406">
        <w:rPr>
          <w:rFonts w:eastAsia="Calibri" w:cs="Arial"/>
          <w:i/>
          <w:iCs/>
        </w:rPr>
        <w:t>S. pneumoniae</w:t>
      </w:r>
      <w:r>
        <w:rPr>
          <w:rFonts w:eastAsia="Calibri" w:cs="Arial"/>
        </w:rPr>
        <w:t xml:space="preserve"> is the most common cause of bacterial pneumonia in children, this is concerning, particularly for those allergic to beta lactams where macrolides are used as first line therapy </w:t>
      </w:r>
      <w:r>
        <w:rPr>
          <w:rFonts w:eastAsia="Calibri" w:cs="Arial"/>
        </w:rPr>
        <w:fldChar w:fldCharType="begin"/>
      </w:r>
      <w:r>
        <w:rPr>
          <w:rFonts w:eastAsia="Calibri" w:cs="Arial"/>
        </w:rPr>
        <w:instrText xml:space="preserve"> ADDIN EN.CITE &lt;EndNote&gt;&lt;Cite&gt;&lt;Author&gt;NICE&lt;/Author&gt;&lt;Year&gt;2019&lt;/Year&gt;&lt;RecNum&gt;504&lt;/RecNum&gt;&lt;DisplayText&gt;(NICE, 2019; WHO, 2021)&lt;/DisplayText&gt;&lt;record&gt;&lt;rec-number&gt;504&lt;/rec-number&gt;&lt;foreign-keys&gt;&lt;key app="EN" db-id="pr9rwt2w8padxcerwx6prd0a9wtda2w5fw2t" timestamp="1656406169"&gt;504&lt;/key&gt;&lt;/foreign-keys&gt;&lt;ref-type name="Web Page"&gt;12&lt;/ref-type&gt;&lt;contributors&gt;&lt;authors&gt;&lt;author&gt;NICE, &lt;/author&gt;&lt;/authors&gt;&lt;/contributors&gt;&lt;titles&gt;&lt;title&gt;National Institute for Clincal Health Care Excellence. Pneumonia (community-acquired): antimicrobial prescribing&lt;/title&gt;&lt;/titles&gt;&lt;number&gt;NG138&lt;/number&gt;&lt;dates&gt;&lt;year&gt;2019&lt;/year&gt;&lt;/dates&gt;&lt;urls&gt;&lt;related-urls&gt;&lt;url&gt;https://www.nice.org.uk/guidance/ng138/chapter/Recommendations&lt;/url&gt;&lt;/related-urls&gt;&lt;/urls&gt;&lt;/record&gt;&lt;/Cite&gt;&lt;Cite&gt;&lt;Author&gt;WHO&lt;/Author&gt;&lt;Year&gt;2021&lt;/Year&gt;&lt;RecNum&gt;505&lt;/RecNum&gt;&lt;record&gt;&lt;rec-number&gt;505&lt;/rec-number&gt;&lt;foreign-keys&gt;&lt;key app="EN" db-id="pr9rwt2w8padxcerwx6prd0a9wtda2w5fw2t" timestamp="1656406699"&gt;505&lt;/key&gt;&lt;/foreign-keys&gt;&lt;ref-type name="Web Page"&gt;12&lt;/ref-type&gt;&lt;contributors&gt;&lt;authors&gt;&lt;author&gt;WHO&lt;/author&gt;&lt;/authors&gt;&lt;/contributors&gt;&lt;titles&gt;&lt;title&gt;Pneumonia&lt;/title&gt;&lt;secondary-title&gt;World Health Organization Fact Sheets&lt;/secondary-title&gt;&lt;/titles&gt;&lt;volume&gt;2022&lt;/volume&gt;&lt;number&gt;28/06/2022&lt;/number&gt;&lt;dates&gt;&lt;year&gt;2021&lt;/year&gt;&lt;/dates&gt;&lt;urls&gt;&lt;related-urls&gt;&lt;url&gt;https://www.who.int/news-room/fact-sheets/detail/pneumonia&lt;/url&gt;&lt;/related-urls&gt;&lt;/urls&gt;&lt;/record&gt;&lt;/Cite&gt;&lt;/EndNote&gt;</w:instrText>
      </w:r>
      <w:r>
        <w:rPr>
          <w:rFonts w:eastAsia="Calibri" w:cs="Arial"/>
        </w:rPr>
        <w:fldChar w:fldCharType="separate"/>
      </w:r>
      <w:r>
        <w:rPr>
          <w:rFonts w:eastAsia="Calibri" w:cs="Arial"/>
          <w:noProof/>
        </w:rPr>
        <w:t>(NICE, 2019; WHO, 2021)</w:t>
      </w:r>
      <w:r>
        <w:rPr>
          <w:rFonts w:eastAsia="Calibri" w:cs="Arial"/>
        </w:rPr>
        <w:fldChar w:fldCharType="end"/>
      </w:r>
      <w:r>
        <w:rPr>
          <w:rFonts w:eastAsia="Calibri" w:cs="Arial"/>
        </w:rPr>
        <w:t xml:space="preserve">.  </w:t>
      </w:r>
    </w:p>
    <w:p w14:paraId="2B737C58" w14:textId="77777777" w:rsidR="00060139" w:rsidRDefault="00060139" w:rsidP="00060139">
      <w:pPr>
        <w:spacing w:after="160" w:line="360" w:lineRule="auto"/>
        <w:rPr>
          <w:rFonts w:eastAsia="Calibri" w:cs="Arial"/>
        </w:rPr>
      </w:pPr>
      <w:r w:rsidRPr="00241369">
        <w:rPr>
          <w:rFonts w:eastAsia="Calibri" w:cs="Arial"/>
        </w:rPr>
        <w:t>Although concerns</w:t>
      </w:r>
      <w:r>
        <w:rPr>
          <w:rFonts w:eastAsia="Calibri" w:cs="Arial"/>
        </w:rPr>
        <w:t xml:space="preserve"> have been raised</w:t>
      </w:r>
      <w:r w:rsidRPr="00241369">
        <w:rPr>
          <w:rFonts w:eastAsia="Calibri" w:cs="Arial"/>
        </w:rPr>
        <w:t xml:space="preserve"> about the emergence of resistant </w:t>
      </w:r>
      <w:r w:rsidRPr="00521FC2">
        <w:rPr>
          <w:rFonts w:eastAsia="Calibri" w:cs="Arial"/>
          <w:u w:val="single"/>
        </w:rPr>
        <w:t>respiratory</w:t>
      </w:r>
      <w:r w:rsidRPr="005E7A9F">
        <w:rPr>
          <w:rFonts w:eastAsia="Calibri" w:cs="Arial"/>
        </w:rPr>
        <w:t xml:space="preserve"> </w:t>
      </w:r>
      <w:r w:rsidRPr="00241369">
        <w:rPr>
          <w:rFonts w:eastAsia="Calibri" w:cs="Arial"/>
        </w:rPr>
        <w:t>pathogens</w:t>
      </w:r>
      <w:r>
        <w:rPr>
          <w:rFonts w:eastAsia="Calibri" w:cs="Arial"/>
        </w:rPr>
        <w:t xml:space="preserve"> </w:t>
      </w:r>
      <w:r w:rsidRPr="00241369">
        <w:rPr>
          <w:rFonts w:eastAsia="Calibri" w:cs="Arial"/>
        </w:rPr>
        <w:t>with</w:t>
      </w:r>
      <w:r>
        <w:rPr>
          <w:rFonts w:eastAsia="Calibri" w:cs="Arial"/>
        </w:rPr>
        <w:t xml:space="preserve"> increased</w:t>
      </w:r>
      <w:r w:rsidRPr="00241369">
        <w:rPr>
          <w:rFonts w:eastAsia="Calibri" w:cs="Arial"/>
        </w:rPr>
        <w:t xml:space="preserve"> long</w:t>
      </w:r>
      <w:r>
        <w:rPr>
          <w:rFonts w:eastAsia="Calibri" w:cs="Arial"/>
        </w:rPr>
        <w:t>-</w:t>
      </w:r>
      <w:r w:rsidRPr="00241369">
        <w:rPr>
          <w:rFonts w:eastAsia="Calibri" w:cs="Arial"/>
        </w:rPr>
        <w:t>term macrolide use in respiratory diseases</w:t>
      </w:r>
      <w:r>
        <w:rPr>
          <w:rFonts w:eastAsia="Calibri" w:cs="Arial"/>
        </w:rPr>
        <w:t xml:space="preserve"> (section 1.5)</w:t>
      </w:r>
      <w:r w:rsidRPr="00241369">
        <w:rPr>
          <w:rFonts w:eastAsia="Calibri" w:cs="Arial"/>
        </w:rPr>
        <w:t xml:space="preserve">, it should be noted that the effects are systemic. Thus, bacteria elsewhere in the body are also exposed, such as those in the digestive tract, which may develop and harbour resistance. There are also potential implications for other distant pathogens such as </w:t>
      </w:r>
      <w:r w:rsidRPr="00241369">
        <w:rPr>
          <w:rFonts w:eastAsia="Calibri" w:cs="Arial"/>
          <w:i/>
        </w:rPr>
        <w:t>N. gonorrhoeae</w:t>
      </w:r>
      <w:r>
        <w:rPr>
          <w:rFonts w:eastAsia="Calibri" w:cs="Arial"/>
          <w:i/>
        </w:rPr>
        <w:t>,</w:t>
      </w:r>
      <w:r w:rsidRPr="00241369">
        <w:rPr>
          <w:rFonts w:eastAsia="Calibri" w:cs="Arial"/>
          <w:iCs/>
        </w:rPr>
        <w:t xml:space="preserve"> of which there are highly resistant strains emerging</w:t>
      </w:r>
      <w:r>
        <w:rPr>
          <w:rFonts w:eastAsia="Calibri" w:cs="Arial"/>
          <w:iCs/>
        </w:rPr>
        <w:t xml:space="preserve"> </w:t>
      </w:r>
      <w:r>
        <w:rPr>
          <w:rFonts w:eastAsia="Calibri" w:cs="Arial"/>
          <w:iCs/>
        </w:rPr>
        <w:fldChar w:fldCharType="begin">
          <w:fldData xml:space="preserve">PEVuZE5vdGU+PENpdGU+PEF1dGhvcj5XaGl0dGxlczwvQXV0aG9yPjxZZWFyPjIwMTg8L1llYXI+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</w:fldData>
        </w:fldChar>
      </w:r>
      <w:r>
        <w:rPr>
          <w:rFonts w:eastAsia="Calibri" w:cs="Arial"/>
          <w:iCs/>
        </w:rPr>
        <w:instrText xml:space="preserve"> ADDIN EN.CITE </w:instrText>
      </w:r>
      <w:r>
        <w:rPr>
          <w:rFonts w:eastAsia="Calibri" w:cs="Arial"/>
          <w:iCs/>
        </w:rPr>
        <w:fldChar w:fldCharType="begin">
          <w:fldData xml:space="preserve">PEVuZE5vdGU+PENpdGU+PEF1dGhvcj5XaGl0dGxlczwvQXV0aG9yPjxZZWFyPjIwMTg8L1llYXI+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</w:fldData>
        </w:fldChar>
      </w:r>
      <w:r>
        <w:rPr>
          <w:rFonts w:eastAsia="Calibri" w:cs="Arial"/>
          <w:iCs/>
        </w:rPr>
        <w:instrText xml:space="preserve"> ADDIN EN.CITE.DATA </w:instrText>
      </w:r>
      <w:r>
        <w:rPr>
          <w:rFonts w:eastAsia="Calibri" w:cs="Arial"/>
          <w:iCs/>
        </w:rPr>
      </w:r>
      <w:r>
        <w:rPr>
          <w:rFonts w:eastAsia="Calibri" w:cs="Arial"/>
          <w:iCs/>
        </w:rPr>
        <w:fldChar w:fldCharType="end"/>
      </w:r>
      <w:r>
        <w:rPr>
          <w:rFonts w:eastAsia="Calibri" w:cs="Arial"/>
          <w:iCs/>
        </w:rPr>
      </w:r>
      <w:r>
        <w:rPr>
          <w:rFonts w:eastAsia="Calibri" w:cs="Arial"/>
          <w:iCs/>
        </w:rPr>
        <w:fldChar w:fldCharType="separate"/>
      </w:r>
      <w:r>
        <w:rPr>
          <w:rFonts w:eastAsia="Calibri" w:cs="Arial"/>
          <w:iCs/>
          <w:noProof/>
        </w:rPr>
        <w:t>(Whittles et al., 2018)</w:t>
      </w:r>
      <w:r>
        <w:rPr>
          <w:rFonts w:eastAsia="Calibri" w:cs="Arial"/>
          <w:iCs/>
        </w:rPr>
        <w:fldChar w:fldCharType="end"/>
      </w:r>
      <w:r w:rsidRPr="00241369">
        <w:rPr>
          <w:rFonts w:eastAsia="Calibri" w:cs="Arial"/>
          <w:iCs/>
        </w:rPr>
        <w:t xml:space="preserve">. </w:t>
      </w:r>
    </w:p>
    <w:p w14:paraId="087606D3" w14:textId="77777777" w:rsidR="00060139" w:rsidRPr="001E073A" w:rsidRDefault="00060139" w:rsidP="00060139">
      <w:pPr>
        <w:spacing w:after="160" w:line="360" w:lineRule="auto"/>
        <w:rPr>
          <w:rFonts w:eastAsia="Calibri" w:cs="Arial"/>
        </w:rPr>
      </w:pPr>
      <w:r w:rsidRPr="00241369">
        <w:rPr>
          <w:rFonts w:eastAsia="Calibri" w:cs="Arial"/>
        </w:rPr>
        <w:t>Macrolide resistance poses a threat to the individual</w:t>
      </w:r>
      <w:r>
        <w:rPr>
          <w:rFonts w:eastAsia="Calibri" w:cs="Arial"/>
        </w:rPr>
        <w:t>,</w:t>
      </w:r>
      <w:r w:rsidRPr="00241369">
        <w:rPr>
          <w:rFonts w:eastAsia="Calibri" w:cs="Arial"/>
        </w:rPr>
        <w:t xml:space="preserve"> but the impact </w:t>
      </w:r>
      <w:r>
        <w:rPr>
          <w:rFonts w:eastAsia="Calibri" w:cs="Arial"/>
        </w:rPr>
        <w:t>at</w:t>
      </w:r>
      <w:r w:rsidRPr="00241369">
        <w:rPr>
          <w:rFonts w:eastAsia="Calibri" w:cs="Arial"/>
        </w:rPr>
        <w:t xml:space="preserve"> a population level </w:t>
      </w:r>
      <w:r>
        <w:rPr>
          <w:rFonts w:eastAsia="Calibri" w:cs="Arial"/>
        </w:rPr>
        <w:t xml:space="preserve">also </w:t>
      </w:r>
      <w:r w:rsidRPr="00241369">
        <w:rPr>
          <w:rFonts w:eastAsia="Calibri" w:cs="Arial"/>
        </w:rPr>
        <w:t xml:space="preserve">needs to be taken into consideration. Children are known to have higher carriage rates of nasopharyngeal </w:t>
      </w:r>
      <w:r w:rsidRPr="008D5406">
        <w:rPr>
          <w:rFonts w:eastAsia="Calibri" w:cs="Arial"/>
          <w:i/>
          <w:iCs/>
        </w:rPr>
        <w:t>S.</w:t>
      </w:r>
      <w:r>
        <w:rPr>
          <w:rFonts w:eastAsia="Calibri" w:cs="Arial"/>
          <w:i/>
          <w:iCs/>
        </w:rPr>
        <w:t xml:space="preserve"> </w:t>
      </w:r>
      <w:r w:rsidRPr="008D5406">
        <w:rPr>
          <w:rFonts w:eastAsia="Calibri" w:cs="Arial"/>
          <w:i/>
          <w:iCs/>
        </w:rPr>
        <w:t>pneumoniae</w:t>
      </w:r>
      <w:r w:rsidRPr="00241369">
        <w:rPr>
          <w:rFonts w:eastAsia="Calibri" w:cs="Arial"/>
        </w:rPr>
        <w:t xml:space="preserve"> compared to adults</w:t>
      </w:r>
      <w:r>
        <w:rPr>
          <w:rFonts w:eastAsia="Calibri" w:cs="Arial"/>
        </w:rPr>
        <w:t xml:space="preserve"> (30-50% vs 5-30% ) </w:t>
      </w:r>
      <w:r>
        <w:rPr>
          <w:rFonts w:eastAsia="Calibri" w:cs="Arial"/>
        </w:rPr>
        <w:fldChar w:fldCharType="begin">
          <w:fldData xml:space="preserve">PEVuZE5vdGU+PENpdGU+PEF1dGhvcj5MZSBQb2xhaW4gZGUgV2Fyb3V4PC9BdXRob3I+PFllYXI+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</w:fldData>
        </w:fldChar>
      </w:r>
      <w:r>
        <w:rPr>
          <w:rFonts w:eastAsia="Calibri" w:cs="Arial"/>
        </w:rPr>
        <w:instrText xml:space="preserve"> ADDIN EN.CITE </w:instrText>
      </w:r>
      <w:r>
        <w:rPr>
          <w:rFonts w:eastAsia="Calibri" w:cs="Arial"/>
        </w:rPr>
        <w:fldChar w:fldCharType="begin">
          <w:fldData xml:space="preserve">PEVuZE5vdGU+PENpdGU+PEF1dGhvcj5MZSBQb2xhaW4gZGUgV2Fyb3V4PC9BdXRob3I+PFllYXI+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</w:fldData>
        </w:fldChar>
      </w:r>
      <w:r>
        <w:rPr>
          <w:rFonts w:eastAsia="Calibri" w:cs="Arial"/>
        </w:rPr>
        <w:instrText xml:space="preserve"> ADDIN EN.CITE.DATA </w:instrText>
      </w:r>
      <w:r>
        <w:rPr>
          <w:rFonts w:eastAsia="Calibri" w:cs="Arial"/>
        </w:rPr>
      </w:r>
      <w:r>
        <w:rPr>
          <w:rFonts w:eastAsia="Calibri" w:cs="Arial"/>
        </w:rPr>
        <w:fldChar w:fldCharType="end"/>
      </w:r>
      <w:r>
        <w:rPr>
          <w:rFonts w:eastAsia="Calibri" w:cs="Arial"/>
        </w:rPr>
      </w:r>
      <w:r>
        <w:rPr>
          <w:rFonts w:eastAsia="Calibri" w:cs="Arial"/>
        </w:rPr>
        <w:fldChar w:fldCharType="separate"/>
      </w:r>
      <w:r>
        <w:rPr>
          <w:rFonts w:eastAsia="Calibri" w:cs="Arial"/>
          <w:noProof/>
        </w:rPr>
        <w:t>(Le Polain de Waroux et al., 2014)</w:t>
      </w:r>
      <w:r>
        <w:rPr>
          <w:rFonts w:eastAsia="Calibri" w:cs="Arial"/>
        </w:rPr>
        <w:fldChar w:fldCharType="end"/>
      </w:r>
      <w:r w:rsidRPr="00241369">
        <w:rPr>
          <w:rFonts w:eastAsia="Calibri" w:cs="Arial"/>
        </w:rPr>
        <w:t xml:space="preserve">. </w:t>
      </w:r>
      <w:r>
        <w:rPr>
          <w:rFonts w:eastAsia="Calibri" w:cs="Arial"/>
        </w:rPr>
        <w:t>Hence treating children with macrolide antibiotics has potential for</w:t>
      </w:r>
      <w:r w:rsidRPr="00241369">
        <w:rPr>
          <w:rFonts w:eastAsia="Calibri" w:cs="Arial"/>
        </w:rPr>
        <w:t xml:space="preserve"> emerging resistant pathogens to spread. This is especially so in children within families </w:t>
      </w:r>
      <w:r>
        <w:rPr>
          <w:rFonts w:eastAsia="Calibri" w:cs="Arial"/>
        </w:rPr>
        <w:t xml:space="preserve">or </w:t>
      </w:r>
      <w:r w:rsidRPr="00241369">
        <w:rPr>
          <w:rFonts w:eastAsia="Calibri" w:cs="Arial"/>
        </w:rPr>
        <w:t xml:space="preserve">attending day care centres and schools . The introduction of the childhood pneumococcal vaccine demonstrates </w:t>
      </w:r>
      <w:r>
        <w:rPr>
          <w:rFonts w:eastAsia="Calibri" w:cs="Arial"/>
        </w:rPr>
        <w:t>the ability of children to act as vectors</w:t>
      </w:r>
      <w:r w:rsidRPr="00241369">
        <w:rPr>
          <w:rFonts w:eastAsia="Calibri" w:cs="Arial"/>
        </w:rPr>
        <w:t xml:space="preserve">. Vaccination of </w:t>
      </w:r>
      <w:r w:rsidRPr="008D5406">
        <w:rPr>
          <w:rFonts w:eastAsia="Calibri" w:cs="Arial"/>
          <w:u w:val="single"/>
        </w:rPr>
        <w:t>children</w:t>
      </w:r>
      <w:r w:rsidRPr="00241369">
        <w:rPr>
          <w:rFonts w:eastAsia="Calibri" w:cs="Arial"/>
        </w:rPr>
        <w:t xml:space="preserve"> with PCV7 was associated with a significant decrease in </w:t>
      </w:r>
      <w:r w:rsidRPr="008D5406">
        <w:rPr>
          <w:rFonts w:eastAsia="Calibri" w:cs="Arial"/>
          <w:u w:val="single"/>
        </w:rPr>
        <w:t>adult</w:t>
      </w:r>
      <w:r w:rsidRPr="00241369">
        <w:rPr>
          <w:rFonts w:eastAsia="Calibri" w:cs="Arial"/>
        </w:rPr>
        <w:t xml:space="preserve"> pneumococcal pneumonia secondary to the vaccine serotypes</w:t>
      </w:r>
      <w:r>
        <w:rPr>
          <w:rFonts w:eastAsia="Calibri" w:cs="Arial"/>
        </w:rPr>
        <w:t xml:space="preserve"> </w:t>
      </w:r>
      <w:r>
        <w:rPr>
          <w:rFonts w:eastAsia="Calibri" w:cs="Arial"/>
        </w:rPr>
        <w:fldChar w:fldCharType="begin">
          <w:fldData xml:space="preserve">PEVuZE5vdGU+PENpdGU+PEF1dGhvcj5QbGV0ejwvQXV0aG9yPjxZZWFyPjIwMTY8L1llYXI+PFJl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</w:fldData>
        </w:fldChar>
      </w:r>
      <w:r>
        <w:rPr>
          <w:rFonts w:eastAsia="Calibri" w:cs="Arial"/>
        </w:rPr>
        <w:instrText xml:space="preserve"> ADDIN EN.CITE </w:instrText>
      </w:r>
      <w:r>
        <w:rPr>
          <w:rFonts w:eastAsia="Calibri" w:cs="Arial"/>
        </w:rPr>
        <w:fldChar w:fldCharType="begin">
          <w:fldData xml:space="preserve">PEVuZE5vdGU+PENpdGU+PEF1dGhvcj5QbGV0ejwvQXV0aG9yPjxZZWFyPjIwMTY8L1llYXI+PFJl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</w:fldData>
        </w:fldChar>
      </w:r>
      <w:r>
        <w:rPr>
          <w:rFonts w:eastAsia="Calibri" w:cs="Arial"/>
        </w:rPr>
        <w:instrText xml:space="preserve"> ADDIN EN.CITE.DATA </w:instrText>
      </w:r>
      <w:r>
        <w:rPr>
          <w:rFonts w:eastAsia="Calibri" w:cs="Arial"/>
        </w:rPr>
      </w:r>
      <w:r>
        <w:rPr>
          <w:rFonts w:eastAsia="Calibri" w:cs="Arial"/>
        </w:rPr>
        <w:fldChar w:fldCharType="end"/>
      </w:r>
      <w:r>
        <w:rPr>
          <w:rFonts w:eastAsia="Calibri" w:cs="Arial"/>
        </w:rPr>
      </w:r>
      <w:r>
        <w:rPr>
          <w:rFonts w:eastAsia="Calibri" w:cs="Arial"/>
        </w:rPr>
        <w:fldChar w:fldCharType="separate"/>
      </w:r>
      <w:r>
        <w:rPr>
          <w:rFonts w:eastAsia="Calibri" w:cs="Arial"/>
          <w:noProof/>
        </w:rPr>
        <w:t>(Pletz et al., 2016)</w:t>
      </w:r>
      <w:r>
        <w:rPr>
          <w:rFonts w:eastAsia="Calibri" w:cs="Arial"/>
        </w:rPr>
        <w:fldChar w:fldCharType="end"/>
      </w:r>
      <w:r w:rsidRPr="00241369">
        <w:rPr>
          <w:rFonts w:eastAsia="Calibri" w:cs="Arial"/>
        </w:rPr>
        <w:t>.</w:t>
      </w:r>
      <w:r>
        <w:rPr>
          <w:rFonts w:eastAsia="Calibri" w:cs="Arial"/>
        </w:rPr>
        <w:t xml:space="preserve"> On the other hand, l</w:t>
      </w:r>
      <w:r w:rsidRPr="00241369">
        <w:rPr>
          <w:rFonts w:eastAsia="Calibri" w:cs="Arial"/>
        </w:rPr>
        <w:t xml:space="preserve">ong-term macrolide use could potentially reduce the likelihood of resistant pathogen spread by improving the cough and thus the transfer by droplet infection. However, this has not been examined as a primary outcome </w:t>
      </w:r>
      <w:r w:rsidRPr="002F18AD">
        <w:rPr>
          <w:rFonts w:eastAsia="Calibri" w:cs="Arial"/>
        </w:rPr>
        <w:t>in paediatric respiratory</w:t>
      </w:r>
      <w:r w:rsidRPr="00241369">
        <w:rPr>
          <w:rFonts w:eastAsia="Calibri" w:cs="Arial"/>
        </w:rPr>
        <w:t xml:space="preserve"> conditions</w:t>
      </w:r>
      <w:r>
        <w:rPr>
          <w:rFonts w:eastAsia="Calibri" w:cs="Arial"/>
        </w:rPr>
        <w:t>.</w:t>
      </w:r>
    </w:p>
    <w:p w14:paraId="32F091BD" w14:textId="77777777" w:rsidR="00060139" w:rsidRDefault="00060139" w:rsidP="00060139">
      <w:pPr>
        <w:spacing w:line="360" w:lineRule="auto"/>
        <w:rPr>
          <w:rFonts w:eastAsia="Calibri" w:cs="Arial"/>
        </w:rPr>
      </w:pPr>
      <w:r w:rsidRPr="003B7CAE">
        <w:rPr>
          <w:rFonts w:eastAsia="Calibri" w:cs="Arial"/>
        </w:rPr>
        <w:t xml:space="preserve">In </w:t>
      </w:r>
      <w:r w:rsidRPr="00F42C6F">
        <w:rPr>
          <w:rFonts w:eastAsia="Calibri" w:cs="Arial"/>
          <w:i/>
          <w:iCs/>
        </w:rPr>
        <w:t>S. pneumoniae</w:t>
      </w:r>
      <w:r w:rsidRPr="00F42C6F">
        <w:rPr>
          <w:rFonts w:eastAsia="Calibri" w:cs="Arial"/>
        </w:rPr>
        <w:t xml:space="preserve">, the </w:t>
      </w:r>
      <w:r w:rsidRPr="005252D3">
        <w:rPr>
          <w:rFonts w:eastAsia="Calibri" w:cs="Arial"/>
          <w:i/>
          <w:iCs/>
        </w:rPr>
        <w:t>erm(B)</w:t>
      </w:r>
      <w:r w:rsidRPr="00060139">
        <w:rPr>
          <w:rFonts w:eastAsia="Calibri" w:cs="Arial"/>
        </w:rPr>
        <w:t xml:space="preserve"> gene is responsible for most high level resistance and conveys cross-resistance to macrolides, </w:t>
      </w:r>
      <w:proofErr w:type="spellStart"/>
      <w:r w:rsidRPr="00060139">
        <w:rPr>
          <w:rFonts w:eastAsia="Calibri" w:cs="Arial"/>
        </w:rPr>
        <w:t>lincosamides</w:t>
      </w:r>
      <w:proofErr w:type="spellEnd"/>
      <w:r w:rsidRPr="00060139">
        <w:rPr>
          <w:rFonts w:eastAsia="Calibri" w:cs="Arial"/>
        </w:rPr>
        <w:t xml:space="preserve"> (e.g. clindamycin) and streptogramin B</w:t>
      </w:r>
      <w:r w:rsidRPr="00F85805">
        <w:rPr>
          <w:rFonts w:eastAsia="Calibri" w:cs="Arial"/>
        </w:rPr>
        <w:t xml:space="preserve"> </w:t>
      </w:r>
      <w:r w:rsidRPr="00F85805">
        <w:rPr>
          <w:rFonts w:eastAsia="Calibri" w:cs="Arial"/>
        </w:rPr>
        <w:fldChar w:fldCharType="begin">
          <w:fldData xml:space="preserve">PEVuZE5vdGU+PENpdGU+PEF1dGhvcj5TY2hyb2VkZXI8L0F1dGhvcj48WWVhcj4yMDE2PC9ZZWFy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</w:fldData>
        </w:fldChar>
      </w:r>
      <w:r w:rsidRPr="00F85805">
        <w:rPr>
          <w:rFonts w:eastAsia="Calibri" w:cs="Arial"/>
        </w:rPr>
        <w:instrText xml:space="preserve"> ADDIN EN.CITE </w:instrText>
      </w:r>
      <w:r w:rsidRPr="00F85805">
        <w:rPr>
          <w:rFonts w:eastAsia="Calibri" w:cs="Arial"/>
        </w:rPr>
        <w:fldChar w:fldCharType="begin">
          <w:fldData xml:space="preserve">PEVuZE5vdGU+PENpdGU+PEF1dGhvcj5TY2hyb2VkZXI8L0F1dGhvcj48WWVhcj4yMDE2PC9ZZWFy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</w:fldData>
        </w:fldChar>
      </w:r>
      <w:r w:rsidRPr="00F85805">
        <w:rPr>
          <w:rFonts w:eastAsia="Calibri" w:cs="Arial"/>
        </w:rPr>
        <w:instrText xml:space="preserve"> ADDIN EN.CITE.DATA </w:instrText>
      </w:r>
      <w:r w:rsidRPr="00F85805">
        <w:rPr>
          <w:rFonts w:eastAsia="Calibri" w:cs="Arial"/>
        </w:rPr>
      </w:r>
      <w:r w:rsidRPr="00F85805">
        <w:rPr>
          <w:rFonts w:eastAsia="Calibri" w:cs="Arial"/>
        </w:rPr>
        <w:fldChar w:fldCharType="end"/>
      </w:r>
      <w:r w:rsidRPr="00F85805">
        <w:rPr>
          <w:rFonts w:eastAsia="Calibri" w:cs="Arial"/>
        </w:rPr>
      </w:r>
      <w:r w:rsidRPr="00F85805">
        <w:rPr>
          <w:rFonts w:eastAsia="Calibri" w:cs="Arial"/>
        </w:rPr>
        <w:fldChar w:fldCharType="separate"/>
      </w:r>
      <w:r w:rsidRPr="00F85805">
        <w:rPr>
          <w:rFonts w:eastAsia="Calibri" w:cs="Arial"/>
          <w:noProof/>
        </w:rPr>
        <w:t>(Schroeder et al., 2016)</w:t>
      </w:r>
      <w:r w:rsidRPr="00F85805">
        <w:rPr>
          <w:rFonts w:eastAsia="Calibri" w:cs="Arial"/>
        </w:rPr>
        <w:fldChar w:fldCharType="end"/>
      </w:r>
      <w:r w:rsidRPr="00C574EC">
        <w:rPr>
          <w:rFonts w:eastAsia="Calibri" w:cs="Arial"/>
        </w:rPr>
        <w:t>.</w:t>
      </w:r>
      <w:r>
        <w:rPr>
          <w:rFonts w:eastAsia="Calibri" w:cs="Arial"/>
        </w:rPr>
        <w:t xml:space="preserve"> The gene </w:t>
      </w:r>
      <w:proofErr w:type="spellStart"/>
      <w:r w:rsidRPr="008D5406">
        <w:rPr>
          <w:rFonts w:eastAsia="Calibri" w:cs="Arial"/>
          <w:i/>
          <w:iCs/>
        </w:rPr>
        <w:t>mef</w:t>
      </w:r>
      <w:proofErr w:type="spellEnd"/>
      <w:r w:rsidRPr="008D5406">
        <w:rPr>
          <w:rFonts w:eastAsia="Calibri" w:cs="Arial"/>
          <w:i/>
          <w:iCs/>
        </w:rPr>
        <w:t xml:space="preserve">(A) </w:t>
      </w:r>
      <w:r>
        <w:rPr>
          <w:rFonts w:eastAsia="Calibri" w:cs="Arial"/>
        </w:rPr>
        <w:t xml:space="preserve">typically induces lower level macrolide resistance </w:t>
      </w:r>
      <w:r w:rsidRPr="00894A79">
        <w:rPr>
          <w:rFonts w:eastAsia="Calibri" w:cs="Arial"/>
        </w:rPr>
        <w:fldChar w:fldCharType="begin"/>
      </w:r>
      <w:r>
        <w:rPr>
          <w:rFonts w:eastAsia="Calibri" w:cs="Arial"/>
        </w:rPr>
        <w:instrText xml:space="preserve"> ADDIN EN.CITE &lt;EndNote&gt;&lt;Cite&gt;&lt;Author&gt;Cillóniz&lt;/Author&gt;&lt;Year&gt;2018&lt;/Year&gt;&lt;RecNum&gt;369&lt;/RecNum&gt;&lt;DisplayText&gt;(Cillóniz et al., 2018)&lt;/DisplayText&gt;&lt;record&gt;&lt;rec-number&gt;369&lt;/rec-number&gt;&lt;foreign-keys&gt;&lt;key app="EN" db-id="pr9rwt2w8padxcerwx6prd0a9wtda2w5fw2t" timestamp="1629813079"&gt;369&lt;/key&gt;&lt;/foreign-keys&gt;&lt;ref-type name="Journal Article"&gt;17&lt;/ref-type&gt;&lt;contributors&gt;&lt;authors&gt;&lt;author&gt;Cillóniz, Catia&lt;/author&gt;&lt;author&gt;Garcia-Vidal, Carolina&lt;/author&gt;&lt;author&gt;Ceccato, Adrian&lt;/author&gt;&lt;author&gt;Torres, Antoni&lt;/author&gt;&lt;/authors&gt;&lt;/contributors&gt;&lt;titles&gt;&lt;title&gt;Antimicrobial Resistance Among Streptococcus pneumoniae&lt;/title&gt;&lt;secondary-title&gt;Antimicrobial Resistance in the 21st Century&lt;/secondary-title&gt;&lt;alt-title&gt;Antimicrobial Resistance in the 21st Century&lt;/alt-title&gt;&lt;/titles&gt;&lt;periodical&gt;&lt;full-title&gt;Antimicrobial Resistance in the 21st Century&lt;/full-title&gt;&lt;abbr-1&gt;Antimicrobial Resistance in the 21st Century&lt;/abbr-1&gt;&lt;/periodical&gt;&lt;alt-periodical&gt;&lt;full-title&gt;Antimicrobial Resistance in the 21st Century&lt;/full-title&gt;&lt;abbr-1&gt;Antimicrobial Resistance in the 21st Century&lt;/abbr-1&gt;&lt;/alt-periodical&gt;&lt;pages&gt;13-38&lt;/pages&gt;&lt;dates&gt;&lt;year&gt;2018&lt;/year&gt;&lt;/dates&gt;&lt;accession-num&gt;PMC7122384&lt;/accession-num&gt;&lt;urls&gt;&lt;related-urls&gt;&lt;url&gt;https://www.ncbi.nlm.nih.gov/pmc/articles/PMC7122384/&lt;/url&gt;&lt;/related-urls&gt;&lt;/urls&gt;&lt;electronic-resource-num&gt;10.1007/978-3-319-78538-7_2&lt;/electronic-resource-num&gt;&lt;remote-database-name&gt;PMC&lt;/remote-database-name&gt;&lt;language&gt;eng&lt;/language&gt;&lt;/record&gt;&lt;/Cite&gt;&lt;/EndNote&gt;</w:instrText>
      </w:r>
      <w:r w:rsidRPr="00894A79">
        <w:rPr>
          <w:rFonts w:eastAsia="Calibri" w:cs="Arial"/>
        </w:rPr>
        <w:fldChar w:fldCharType="separate"/>
      </w:r>
      <w:r>
        <w:rPr>
          <w:rFonts w:eastAsia="Calibri" w:cs="Arial"/>
          <w:noProof/>
        </w:rPr>
        <w:t>(Cillóniz et al., 2018)</w:t>
      </w:r>
      <w:r w:rsidRPr="00894A79">
        <w:rPr>
          <w:rFonts w:eastAsia="Calibri" w:cs="Arial"/>
        </w:rPr>
        <w:fldChar w:fldCharType="end"/>
      </w:r>
      <w:r w:rsidRPr="00894A79">
        <w:rPr>
          <w:rFonts w:eastAsia="Calibri" w:cs="Arial"/>
        </w:rPr>
        <w:t>. Signifi</w:t>
      </w:r>
      <w:r>
        <w:rPr>
          <w:rFonts w:eastAsia="Calibri" w:cs="Arial"/>
        </w:rPr>
        <w:t xml:space="preserve">cant geographical variation exists with regards to the distribution of these genes. In </w:t>
      </w:r>
      <w:r>
        <w:rPr>
          <w:rFonts w:eastAsia="Calibri" w:cs="Arial"/>
        </w:rPr>
        <w:lastRenderedPageBreak/>
        <w:t xml:space="preserve">European countries </w:t>
      </w:r>
      <w:r w:rsidRPr="008D5406">
        <w:rPr>
          <w:rFonts w:eastAsia="Calibri" w:cs="Arial"/>
          <w:i/>
          <w:iCs/>
        </w:rPr>
        <w:t>erm(B)</w:t>
      </w:r>
      <w:r>
        <w:rPr>
          <w:rFonts w:eastAsia="Calibri" w:cs="Arial"/>
        </w:rPr>
        <w:t xml:space="preserve"> genotypes are more common compared to the USA where </w:t>
      </w:r>
      <w:proofErr w:type="spellStart"/>
      <w:r w:rsidRPr="008D5406">
        <w:rPr>
          <w:rFonts w:eastAsia="Calibri" w:cs="Arial"/>
          <w:i/>
          <w:iCs/>
        </w:rPr>
        <w:t>mef</w:t>
      </w:r>
      <w:proofErr w:type="spellEnd"/>
      <w:r w:rsidRPr="008D5406">
        <w:rPr>
          <w:rFonts w:eastAsia="Calibri" w:cs="Arial"/>
          <w:i/>
          <w:iCs/>
        </w:rPr>
        <w:t>(A)</w:t>
      </w:r>
      <w:r>
        <w:rPr>
          <w:rFonts w:eastAsia="Calibri" w:cs="Arial"/>
        </w:rPr>
        <w:t xml:space="preserve"> genotypes predominate </w:t>
      </w:r>
      <w:r>
        <w:rPr>
          <w:rFonts w:eastAsia="Calibri" w:cs="Arial"/>
        </w:rPr>
        <w:fldChar w:fldCharType="begin"/>
      </w:r>
      <w:r>
        <w:rPr>
          <w:rFonts w:eastAsia="Calibri" w:cs="Arial"/>
        </w:rPr>
        <w:instrText xml:space="preserve"> ADDIN EN.CITE &lt;EndNote&gt;&lt;Cite&gt;&lt;Author&gt;Cillóniz&lt;/Author&gt;&lt;Year&gt;2018&lt;/Year&gt;&lt;RecNum&gt;369&lt;/RecNum&gt;&lt;DisplayText&gt;(Cillóniz et al., 2018)&lt;/DisplayText&gt;&lt;record&gt;&lt;rec-number&gt;369&lt;/rec-number&gt;&lt;foreign-keys&gt;&lt;key app="EN" db-id="pr9rwt2w8padxcerwx6prd0a9wtda2w5fw2t" timestamp="1629813079"&gt;369&lt;/key&gt;&lt;/foreign-keys&gt;&lt;ref-type name="Journal Article"&gt;17&lt;/ref-type&gt;&lt;contributors&gt;&lt;authors&gt;&lt;author&gt;Cillóniz, Catia&lt;/author&gt;&lt;author&gt;Garcia-Vidal, Carolina&lt;/author&gt;&lt;author&gt;Ceccato, Adrian&lt;/author&gt;&lt;author&gt;Torres, Antoni&lt;/author&gt;&lt;/authors&gt;&lt;/contributors&gt;&lt;titles&gt;&lt;title&gt;Antimicrobial Resistance Among Streptococcus pneumoniae&lt;/title&gt;&lt;secondary-title&gt;Antimicrobial Resistance in the 21st Century&lt;/secondary-title&gt;&lt;alt-title&gt;Antimicrobial Resistance in the 21st Century&lt;/alt-title&gt;&lt;/titles&gt;&lt;periodical&gt;&lt;full-title&gt;Antimicrobial Resistance in the 21st Century&lt;/full-title&gt;&lt;abbr-1&gt;Antimicrobial Resistance in the 21st Century&lt;/abbr-1&gt;&lt;/periodical&gt;&lt;alt-periodical&gt;&lt;full-title&gt;Antimicrobial Resistance in the 21st Century&lt;/full-title&gt;&lt;abbr-1&gt;Antimicrobial Resistance in the 21st Century&lt;/abbr-1&gt;&lt;/alt-periodical&gt;&lt;pages&gt;13-38&lt;/pages&gt;&lt;dates&gt;&lt;year&gt;2018&lt;/year&gt;&lt;/dates&gt;&lt;accession-num&gt;PMC7122384&lt;/accession-num&gt;&lt;urls&gt;&lt;related-urls&gt;&lt;url&gt;https://www.ncbi.nlm.nih.gov/pmc/articles/PMC7122384/&lt;/url&gt;&lt;/related-urls&gt;&lt;/urls&gt;&lt;electronic-resource-num&gt;10.1007/978-3-319-78538-7_2&lt;/electronic-resource-num&gt;&lt;remote-database-name&gt;PMC&lt;/remote-database-name&gt;&lt;language&gt;eng&lt;/language&gt;&lt;/record&gt;&lt;/Cite&gt;&lt;/EndNote&gt;</w:instrText>
      </w:r>
      <w:r>
        <w:rPr>
          <w:rFonts w:eastAsia="Calibri" w:cs="Arial"/>
        </w:rPr>
        <w:fldChar w:fldCharType="separate"/>
      </w:r>
      <w:r>
        <w:rPr>
          <w:rFonts w:eastAsia="Calibri" w:cs="Arial"/>
          <w:noProof/>
        </w:rPr>
        <w:t>(Cillóniz et al., 2018)</w:t>
      </w:r>
      <w:r>
        <w:rPr>
          <w:rFonts w:eastAsia="Calibri" w:cs="Arial"/>
        </w:rPr>
        <w:fldChar w:fldCharType="end"/>
      </w:r>
      <w:r>
        <w:rPr>
          <w:rFonts w:eastAsia="Calibri" w:cs="Arial"/>
        </w:rPr>
        <w:t>.</w:t>
      </w:r>
    </w:p>
    <w:p w14:paraId="6FA79DAC" w14:textId="31A7E1F7" w:rsidR="00892868" w:rsidRDefault="00892868">
      <w:pPr>
        <w:spacing w:after="160" w:line="259" w:lineRule="auto"/>
      </w:pPr>
      <w:r>
        <w:br w:type="page"/>
      </w:r>
    </w:p>
    <w:p w14:paraId="604FC444" w14:textId="77777777" w:rsidR="00106F97" w:rsidRDefault="00106F97" w:rsidP="00892868">
      <w:pPr>
        <w:sectPr w:rsidR="00106F97" w:rsidSect="00892868">
          <w:footerReference w:type="default" r:id="rId17"/>
          <w:pgSz w:w="12240" w:h="15840"/>
          <w:pgMar w:top="1440" w:right="1440" w:bottom="1440" w:left="1440" w:header="720" w:footer="720" w:gutter="0"/>
          <w:cols w:space="720"/>
          <w:docGrid w:linePitch="360"/>
        </w:sectPr>
      </w:pPr>
    </w:p>
    <w:p w14:paraId="69B5B573" w14:textId="515A37FF" w:rsidR="00892868" w:rsidRDefault="00892868" w:rsidP="00892868">
      <w:r w:rsidRPr="005775A6">
        <w:rPr>
          <w:rFonts w:ascii="Calibri" w:eastAsia="Calibri" w:hAnsi="Calibri"/>
          <w:noProof/>
        </w:rPr>
        <w:lastRenderedPageBreak/>
        <w:drawing>
          <wp:inline distT="0" distB="0" distL="0" distR="0" wp14:anchorId="0D23014A" wp14:editId="03C1130E">
            <wp:extent cx="8463280" cy="4760353"/>
            <wp:effectExtent l="0" t="0" r="0" b="2540"/>
            <wp:docPr id="1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470886" cy="4764631"/>
                    </a:xfrm>
                    <a:prstGeom prst="rect">
                      <a:avLst/>
                    </a:prstGeom>
                  </pic:spPr>
                </pic:pic>
              </a:graphicData>
            </a:graphic>
          </wp:inline>
        </w:drawing>
      </w:r>
    </w:p>
    <w:p w14:paraId="084CFA72" w14:textId="503C44D9" w:rsidR="00892868" w:rsidRDefault="00892868" w:rsidP="00892868"/>
    <w:p w14:paraId="3DBFB530" w14:textId="2EC70121" w:rsidR="00892868" w:rsidRPr="00106F97" w:rsidRDefault="00106F97" w:rsidP="00106F97">
      <w:pPr>
        <w:pStyle w:val="Caption"/>
        <w:rPr>
          <w:rFonts w:ascii="Times New Roman" w:hAnsi="Times New Roman" w:cs="Times New Roman"/>
          <w:i w:val="0"/>
          <w:iCs w:val="0"/>
          <w:color w:val="000000" w:themeColor="text1"/>
          <w:sz w:val="24"/>
          <w:szCs w:val="24"/>
        </w:rPr>
      </w:pPr>
      <w:bookmarkStart w:id="28" w:name="_Ref117766507"/>
      <w:bookmarkStart w:id="29" w:name="_Toc117780211"/>
      <w:r w:rsidRPr="00F85805">
        <w:rPr>
          <w:rFonts w:ascii="Times New Roman" w:hAnsi="Times New Roman" w:cs="Times New Roman"/>
          <w:b/>
          <w:bCs/>
          <w:i w:val="0"/>
          <w:iCs w:val="0"/>
          <w:color w:val="000000" w:themeColor="text1"/>
          <w:sz w:val="24"/>
          <w:szCs w:val="24"/>
        </w:rPr>
        <w:t xml:space="preserve">Figure </w:t>
      </w:r>
      <w:r w:rsidR="00F42C6F">
        <w:rPr>
          <w:rFonts w:ascii="Times New Roman" w:hAnsi="Times New Roman" w:cs="Times New Roman"/>
          <w:b/>
          <w:bCs/>
          <w:i w:val="0"/>
          <w:iCs w:val="0"/>
          <w:color w:val="000000" w:themeColor="text1"/>
          <w:sz w:val="24"/>
          <w:szCs w:val="24"/>
        </w:rPr>
        <w:fldChar w:fldCharType="begin"/>
      </w:r>
      <w:r w:rsidR="00F42C6F">
        <w:rPr>
          <w:rFonts w:ascii="Times New Roman" w:hAnsi="Times New Roman" w:cs="Times New Roman"/>
          <w:b/>
          <w:bCs/>
          <w:i w:val="0"/>
          <w:iCs w:val="0"/>
          <w:color w:val="000000" w:themeColor="text1"/>
          <w:sz w:val="24"/>
          <w:szCs w:val="24"/>
        </w:rPr>
        <w:instrText xml:space="preserve"> STYLEREF 1 \s </w:instrText>
      </w:r>
      <w:r w:rsidR="00F42C6F">
        <w:rPr>
          <w:rFonts w:ascii="Times New Roman" w:hAnsi="Times New Roman" w:cs="Times New Roman"/>
          <w:b/>
          <w:bCs/>
          <w:i w:val="0"/>
          <w:iCs w:val="0"/>
          <w:color w:val="000000" w:themeColor="text1"/>
          <w:sz w:val="24"/>
          <w:szCs w:val="24"/>
        </w:rPr>
        <w:fldChar w:fldCharType="separate"/>
      </w:r>
      <w:r w:rsidR="00F42C6F">
        <w:rPr>
          <w:rFonts w:ascii="Times New Roman" w:hAnsi="Times New Roman" w:cs="Times New Roman"/>
          <w:b/>
          <w:bCs/>
          <w:i w:val="0"/>
          <w:iCs w:val="0"/>
          <w:noProof/>
          <w:color w:val="000000" w:themeColor="text1"/>
          <w:sz w:val="24"/>
          <w:szCs w:val="24"/>
        </w:rPr>
        <w:t>1</w:t>
      </w:r>
      <w:r w:rsidR="00F42C6F">
        <w:rPr>
          <w:rFonts w:ascii="Times New Roman" w:hAnsi="Times New Roman" w:cs="Times New Roman"/>
          <w:b/>
          <w:bCs/>
          <w:i w:val="0"/>
          <w:iCs w:val="0"/>
          <w:color w:val="000000" w:themeColor="text1"/>
          <w:sz w:val="24"/>
          <w:szCs w:val="24"/>
        </w:rPr>
        <w:fldChar w:fldCharType="end"/>
      </w:r>
      <w:r w:rsidR="00F42C6F">
        <w:rPr>
          <w:rFonts w:ascii="Times New Roman" w:hAnsi="Times New Roman" w:cs="Times New Roman"/>
          <w:b/>
          <w:bCs/>
          <w:i w:val="0"/>
          <w:iCs w:val="0"/>
          <w:color w:val="000000" w:themeColor="text1"/>
          <w:sz w:val="24"/>
          <w:szCs w:val="24"/>
        </w:rPr>
        <w:noBreakHyphen/>
      </w:r>
      <w:r w:rsidR="00F42C6F">
        <w:rPr>
          <w:rFonts w:ascii="Times New Roman" w:hAnsi="Times New Roman" w:cs="Times New Roman"/>
          <w:b/>
          <w:bCs/>
          <w:i w:val="0"/>
          <w:iCs w:val="0"/>
          <w:color w:val="000000" w:themeColor="text1"/>
          <w:sz w:val="24"/>
          <w:szCs w:val="24"/>
        </w:rPr>
        <w:fldChar w:fldCharType="begin"/>
      </w:r>
      <w:r w:rsidR="00F42C6F">
        <w:rPr>
          <w:rFonts w:ascii="Times New Roman" w:hAnsi="Times New Roman" w:cs="Times New Roman"/>
          <w:b/>
          <w:bCs/>
          <w:i w:val="0"/>
          <w:iCs w:val="0"/>
          <w:color w:val="000000" w:themeColor="text1"/>
          <w:sz w:val="24"/>
          <w:szCs w:val="24"/>
        </w:rPr>
        <w:instrText xml:space="preserve"> SEQ Figure \* ARABIC \s 1 </w:instrText>
      </w:r>
      <w:r w:rsidR="00F42C6F">
        <w:rPr>
          <w:rFonts w:ascii="Times New Roman" w:hAnsi="Times New Roman" w:cs="Times New Roman"/>
          <w:b/>
          <w:bCs/>
          <w:i w:val="0"/>
          <w:iCs w:val="0"/>
          <w:color w:val="000000" w:themeColor="text1"/>
          <w:sz w:val="24"/>
          <w:szCs w:val="24"/>
        </w:rPr>
        <w:fldChar w:fldCharType="separate"/>
      </w:r>
      <w:r w:rsidR="00F42C6F">
        <w:rPr>
          <w:rFonts w:ascii="Times New Roman" w:hAnsi="Times New Roman" w:cs="Times New Roman"/>
          <w:b/>
          <w:bCs/>
          <w:i w:val="0"/>
          <w:iCs w:val="0"/>
          <w:noProof/>
          <w:color w:val="000000" w:themeColor="text1"/>
          <w:sz w:val="24"/>
          <w:szCs w:val="24"/>
        </w:rPr>
        <w:t>4</w:t>
      </w:r>
      <w:r w:rsidR="00F42C6F">
        <w:rPr>
          <w:rFonts w:ascii="Times New Roman" w:hAnsi="Times New Roman" w:cs="Times New Roman"/>
          <w:b/>
          <w:bCs/>
          <w:i w:val="0"/>
          <w:iCs w:val="0"/>
          <w:color w:val="000000" w:themeColor="text1"/>
          <w:sz w:val="24"/>
          <w:szCs w:val="24"/>
        </w:rPr>
        <w:fldChar w:fldCharType="end"/>
      </w:r>
      <w:bookmarkEnd w:id="28"/>
      <w:r w:rsidRPr="00106F97">
        <w:rPr>
          <w:rFonts w:ascii="Times New Roman" w:hAnsi="Times New Roman" w:cs="Times New Roman"/>
          <w:i w:val="0"/>
          <w:iCs w:val="0"/>
          <w:color w:val="000000" w:themeColor="text1"/>
          <w:sz w:val="24"/>
          <w:szCs w:val="24"/>
        </w:rPr>
        <w:t xml:space="preserve">: An overview </w:t>
      </w:r>
      <w:r w:rsidR="00892868" w:rsidRPr="00106F97">
        <w:rPr>
          <w:rFonts w:ascii="Times New Roman" w:hAnsi="Times New Roman" w:cs="Times New Roman"/>
          <w:i w:val="0"/>
          <w:iCs w:val="0"/>
          <w:color w:val="000000" w:themeColor="text1"/>
          <w:sz w:val="24"/>
          <w:szCs w:val="24"/>
        </w:rPr>
        <w:t>of macrolide resistance mechanisms and the genes involved</w:t>
      </w:r>
      <w:bookmarkEnd w:id="29"/>
    </w:p>
    <w:p w14:paraId="6F294C67" w14:textId="29574771" w:rsidR="00106F97" w:rsidRDefault="00892868" w:rsidP="00106F97">
      <w:pPr>
        <w:spacing w:line="360" w:lineRule="auto"/>
        <w:sectPr w:rsidR="00106F97" w:rsidSect="00106F97">
          <w:pgSz w:w="15840" w:h="12240" w:orient="landscape" w:code="1"/>
          <w:pgMar w:top="1440" w:right="1440" w:bottom="1440" w:left="1440" w:header="720" w:footer="720" w:gutter="0"/>
          <w:cols w:space="720"/>
          <w:docGrid w:linePitch="360"/>
        </w:sectPr>
      </w:pPr>
      <w:r>
        <w:t>Schematic diagram describing the key macrolide resistance mechanisms and typical genes involved. The three main mechanisms include ribosomal target site modification, macrolide inactivation and antibiotic efflux. These may vary with bacterial species. Adapted from (</w:t>
      </w:r>
      <w:proofErr w:type="spellStart"/>
      <w:r>
        <w:t>Serisier</w:t>
      </w:r>
      <w:proofErr w:type="spellEnd"/>
      <w:r>
        <w:t>, 2013</w:t>
      </w:r>
      <w:r w:rsidR="00060139">
        <w:t>)</w:t>
      </w:r>
    </w:p>
    <w:p w14:paraId="0838BA77" w14:textId="77777777" w:rsidR="00F85805" w:rsidRPr="00716E27" w:rsidRDefault="00F85805" w:rsidP="00716E27">
      <w:pPr>
        <w:spacing w:line="360" w:lineRule="auto"/>
        <w:rPr>
          <w:rFonts w:eastAsia="Calibri" w:cs="Arial"/>
        </w:rPr>
      </w:pPr>
    </w:p>
    <w:p w14:paraId="1EA685CC" w14:textId="06149A9A" w:rsidR="002B54ED" w:rsidRPr="00E428B4" w:rsidRDefault="002B54ED" w:rsidP="004F3338">
      <w:pPr>
        <w:pStyle w:val="Heading2"/>
      </w:pPr>
      <w:bookmarkStart w:id="30" w:name="_Toc117765885"/>
      <w:r w:rsidRPr="00E428B4">
        <w:t>Antibiotic prophylaxis</w:t>
      </w:r>
      <w:bookmarkEnd w:id="11"/>
      <w:bookmarkEnd w:id="30"/>
    </w:p>
    <w:p w14:paraId="217350E4" w14:textId="23BA9F3D" w:rsidR="002B54ED" w:rsidRPr="00241369" w:rsidRDefault="002901BB" w:rsidP="00521FC2">
      <w:pPr>
        <w:spacing w:after="160" w:line="360" w:lineRule="auto"/>
      </w:pPr>
      <w:r>
        <w:t>In contrast to the administration of antibiotics to treat an established infection, a</w:t>
      </w:r>
      <w:r w:rsidRPr="00241369">
        <w:t xml:space="preserve">ntibiotic </w:t>
      </w:r>
      <w:r w:rsidR="002B54ED" w:rsidRPr="00241369">
        <w:t>prophylaxis</w:t>
      </w:r>
      <w:r w:rsidR="006C321C">
        <w:t xml:space="preserve"> is the administration of antibiotics to either prevent an initial bacterial infection (primary prophylaxis) or to prevent the </w:t>
      </w:r>
      <w:r>
        <w:t xml:space="preserve">future </w:t>
      </w:r>
      <w:r w:rsidR="006C321C">
        <w:t xml:space="preserve">recurrence of a bacterial infection (secondary prophylaxis). </w:t>
      </w:r>
      <w:r w:rsidR="002B54ED" w:rsidRPr="00241369">
        <w:t xml:space="preserve">The duration of prophylaxis ranges from a single dose to lifelong medication. There are generally three main indications for prescribing antibiotic prophylaxis that cover both surgical and </w:t>
      </w:r>
      <w:r w:rsidR="002B54ED" w:rsidRPr="00F5110B">
        <w:t>medical conditions</w:t>
      </w:r>
      <w:r w:rsidR="002C60C7" w:rsidRPr="00241369">
        <w:t xml:space="preserve"> </w:t>
      </w:r>
      <w:r w:rsidR="002D266C">
        <w:fldChar w:fldCharType="begin"/>
      </w:r>
      <w:r w:rsidR="00D37F09">
        <w:instrText xml:space="preserve"> ADDIN EN.CITE &lt;EndNote&gt;&lt;Cite&gt;&lt;Author&gt;Canadian paediatric society&lt;/Author&gt;&lt;Year&gt;1999&lt;/Year&gt;&lt;RecNum&gt;195&lt;/RecNum&gt;&lt;DisplayText&gt;(Canadian paediatric society, 1999)&lt;/DisplayText&gt;&lt;record&gt;&lt;rec-number&gt;195&lt;/rec-number&gt;&lt;foreign-keys&gt;&lt;key app="EN" db-id="pr9rwt2w8padxcerwx6prd0a9wtda2w5fw2t" timestamp="1629731697"&gt;195&lt;/key&gt;&lt;/foreign-keys&gt;&lt;ref-type name="Journal Article"&gt;17&lt;/ref-type&gt;&lt;contributors&gt;&lt;authors&gt;&lt;author&gt;Canadian paediatric society,&lt;/author&gt;&lt;/authors&gt;&lt;/contributors&gt;&lt;titles&gt;&lt;title&gt;Prophylactic antibiotics in children&lt;/title&gt;&lt;secondary-title&gt;Paediatrics &amp;amp; Child Health&lt;/secondary-title&gt;&lt;/titles&gt;&lt;periodical&gt;&lt;full-title&gt;Paediatrics &amp;amp; Child Health&lt;/full-title&gt;&lt;/periodical&gt;&lt;pages&gt;490-494&lt;/pages&gt;&lt;volume&gt;4&lt;/volume&gt;&lt;number&gt;7&lt;/number&gt;&lt;dates&gt;&lt;year&gt;1999&lt;/year&gt;&lt;/dates&gt;&lt;isbn&gt;1205-7088&lt;/isbn&gt;&lt;urls&gt;&lt;related-urls&gt;&lt;url&gt;https://doi.org/10.1093/pch/4.7.490&lt;/url&gt;&lt;/related-urls&gt;&lt;/urls&gt;&lt;electronic-resource-num&gt;10.1093/pch/4.7.490&lt;/electronic-resource-num&gt;&lt;access-date&gt;11/6/2019&lt;/access-date&gt;&lt;/record&gt;&lt;/Cite&gt;&lt;/EndNote&gt;</w:instrText>
      </w:r>
      <w:r w:rsidR="002D266C">
        <w:fldChar w:fldCharType="separate"/>
      </w:r>
      <w:r w:rsidR="00D37F09">
        <w:rPr>
          <w:noProof/>
        </w:rPr>
        <w:t>(Canadian paediatric society, 1999)</w:t>
      </w:r>
      <w:r w:rsidR="002D266C">
        <w:fldChar w:fldCharType="end"/>
      </w:r>
      <w:r w:rsidR="002D266C">
        <w:t>.</w:t>
      </w:r>
    </w:p>
    <w:p w14:paraId="5FF3047B" w14:textId="7EBF21FB" w:rsidR="002B54ED" w:rsidRPr="00241369" w:rsidRDefault="002B54ED">
      <w:pPr>
        <w:numPr>
          <w:ilvl w:val="0"/>
          <w:numId w:val="3"/>
        </w:numPr>
        <w:spacing w:line="360" w:lineRule="auto"/>
        <w:contextualSpacing/>
      </w:pPr>
      <w:r w:rsidRPr="00241369">
        <w:t>To prevent infection by a particular pathogen</w:t>
      </w:r>
      <w:r w:rsidR="005E7A9F">
        <w:t>.</w:t>
      </w:r>
    </w:p>
    <w:p w14:paraId="08FFD1BB" w14:textId="4DEA9972" w:rsidR="002B54ED" w:rsidRPr="00241369" w:rsidRDefault="002B54ED">
      <w:pPr>
        <w:numPr>
          <w:ilvl w:val="0"/>
          <w:numId w:val="3"/>
        </w:numPr>
        <w:spacing w:line="360" w:lineRule="auto"/>
        <w:contextualSpacing/>
      </w:pPr>
      <w:r w:rsidRPr="00241369">
        <w:t>To protect an infection-prone site</w:t>
      </w:r>
      <w:r w:rsidR="005E7A9F">
        <w:t>.</w:t>
      </w:r>
    </w:p>
    <w:p w14:paraId="629F8F24" w14:textId="4912CC08" w:rsidR="002B54ED" w:rsidRPr="005E7A9F" w:rsidRDefault="002B54ED">
      <w:pPr>
        <w:numPr>
          <w:ilvl w:val="0"/>
          <w:numId w:val="3"/>
        </w:numPr>
        <w:spacing w:line="360" w:lineRule="auto"/>
        <w:ind w:left="714" w:hanging="357"/>
        <w:contextualSpacing/>
      </w:pPr>
      <w:r w:rsidRPr="00241369">
        <w:t>To protect a vulnerable host</w:t>
      </w:r>
      <w:r w:rsidR="005E7A9F">
        <w:t>.</w:t>
      </w:r>
    </w:p>
    <w:p w14:paraId="6329FCA5" w14:textId="25618D5A" w:rsidR="008F33C8" w:rsidRDefault="00C84BA2" w:rsidP="00C961C8">
      <w:pPr>
        <w:spacing w:before="160" w:line="360" w:lineRule="auto"/>
      </w:pPr>
      <w:r w:rsidRPr="00241369">
        <w:t xml:space="preserve">In some cases, more than one </w:t>
      </w:r>
      <w:r w:rsidR="0009763C">
        <w:t>indication may apply,</w:t>
      </w:r>
      <w:r w:rsidRPr="00241369">
        <w:t xml:space="preserve"> </w:t>
      </w:r>
      <w:r w:rsidR="0009763C">
        <w:t>e.g.</w:t>
      </w:r>
      <w:r w:rsidRPr="00241369">
        <w:t xml:space="preserve"> </w:t>
      </w:r>
      <w:r w:rsidR="00D51B85">
        <w:t xml:space="preserve">antibiotic </w:t>
      </w:r>
      <w:r w:rsidRPr="00241369">
        <w:t>prophylaxis may be used to protect a vulnerable site (e</w:t>
      </w:r>
      <w:r w:rsidR="000E5D2B" w:rsidRPr="00241369">
        <w:t>.</w:t>
      </w:r>
      <w:r w:rsidRPr="00241369">
        <w:t>g</w:t>
      </w:r>
      <w:r w:rsidR="000E5D2B" w:rsidRPr="00241369">
        <w:t>.</w:t>
      </w:r>
      <w:r w:rsidRPr="00241369">
        <w:t xml:space="preserve"> the lungs) in patients with inherited or acquired immune defects.</w:t>
      </w:r>
      <w:r w:rsidR="006C321C">
        <w:t xml:space="preserve"> An example of this would be the use of prophylactic co-trimoxazole to prevent</w:t>
      </w:r>
      <w:r w:rsidR="00CB2048">
        <w:t xml:space="preserve"> </w:t>
      </w:r>
      <w:r w:rsidR="006754B9">
        <w:rPr>
          <w:i/>
          <w:iCs/>
        </w:rPr>
        <w:t>P</w:t>
      </w:r>
      <w:r w:rsidR="00CB2048" w:rsidRPr="00F5110B">
        <w:rPr>
          <w:i/>
          <w:iCs/>
        </w:rPr>
        <w:t xml:space="preserve">neumocystis </w:t>
      </w:r>
      <w:proofErr w:type="spellStart"/>
      <w:r w:rsidR="00CB2048" w:rsidRPr="00F5110B">
        <w:rPr>
          <w:i/>
          <w:iCs/>
        </w:rPr>
        <w:t>jiroveci</w:t>
      </w:r>
      <w:proofErr w:type="spellEnd"/>
      <w:r w:rsidR="00CB2048" w:rsidRPr="00F5110B">
        <w:rPr>
          <w:i/>
          <w:iCs/>
        </w:rPr>
        <w:t xml:space="preserve"> </w:t>
      </w:r>
      <w:r w:rsidR="00CB2048">
        <w:t>pneumonia</w:t>
      </w:r>
      <w:r w:rsidR="002901BB">
        <w:t xml:space="preserve"> (PCP)</w:t>
      </w:r>
      <w:r w:rsidR="00CB2048">
        <w:t xml:space="preserve"> in those with a low CD4 count.</w:t>
      </w:r>
      <w:r w:rsidR="006C321C">
        <w:t xml:space="preserve"> </w:t>
      </w:r>
      <w:r w:rsidRPr="00241369">
        <w:t xml:space="preserve"> The strength of evidence that supports the use of antibiotic prophylaxis varies widely. </w:t>
      </w:r>
      <w:r w:rsidR="002901BB">
        <w:t>At one extreme, t</w:t>
      </w:r>
      <w:r w:rsidR="002901BB" w:rsidRPr="00241369">
        <w:t xml:space="preserve">here </w:t>
      </w:r>
      <w:r w:rsidRPr="00241369">
        <w:t xml:space="preserve">are </w:t>
      </w:r>
      <w:r w:rsidR="002901BB">
        <w:t>evidence-based</w:t>
      </w:r>
      <w:r w:rsidR="00D51B85">
        <w:t xml:space="preserve"> guidelines and recommendations </w:t>
      </w:r>
      <w:r w:rsidRPr="00241369">
        <w:t xml:space="preserve">for conditions such as </w:t>
      </w:r>
      <w:r w:rsidR="006754B9">
        <w:rPr>
          <w:i/>
        </w:rPr>
        <w:t>P</w:t>
      </w:r>
      <w:r w:rsidRPr="00241369">
        <w:rPr>
          <w:i/>
        </w:rPr>
        <w:t xml:space="preserve">neumocystis </w:t>
      </w:r>
      <w:proofErr w:type="spellStart"/>
      <w:r w:rsidRPr="00241369">
        <w:rPr>
          <w:i/>
        </w:rPr>
        <w:t>jirovecii</w:t>
      </w:r>
      <w:proofErr w:type="spellEnd"/>
      <w:r w:rsidRPr="00241369">
        <w:t xml:space="preserve"> </w:t>
      </w:r>
      <w:r w:rsidR="00832C2A" w:rsidRPr="00241369">
        <w:t>prophylaxis</w:t>
      </w:r>
      <w:r w:rsidRPr="00241369">
        <w:t xml:space="preserve"> in HIV infection and prevention of </w:t>
      </w:r>
      <w:r w:rsidR="00A65236" w:rsidRPr="00241369">
        <w:rPr>
          <w:i/>
        </w:rPr>
        <w:t>S</w:t>
      </w:r>
      <w:r w:rsidR="00A65236">
        <w:rPr>
          <w:i/>
        </w:rPr>
        <w:t>.</w:t>
      </w:r>
      <w:r w:rsidR="00A65236" w:rsidRPr="00241369">
        <w:rPr>
          <w:i/>
        </w:rPr>
        <w:t xml:space="preserve"> </w:t>
      </w:r>
      <w:r w:rsidRPr="00241369">
        <w:rPr>
          <w:i/>
        </w:rPr>
        <w:t>pneumoniae</w:t>
      </w:r>
      <w:r w:rsidRPr="00241369">
        <w:t xml:space="preserve"> </w:t>
      </w:r>
      <w:r w:rsidR="00A65236">
        <w:t xml:space="preserve">infections </w:t>
      </w:r>
      <w:r w:rsidRPr="00241369">
        <w:t>in sickle cell disease</w:t>
      </w:r>
      <w:r w:rsidR="002D266C">
        <w:t xml:space="preserve"> </w:t>
      </w:r>
      <w:r w:rsidR="0003115E">
        <w:fldChar w:fldCharType="begin">
          <w:fldData xml:space="preserve">PEVuZE5vdGU+PENpdGU+PEF1dGhvcj5XSE88L0F1dGhvcj48WWVhcj4yMDA2PC9ZZWFyPjxSZWNO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</w:fldData>
        </w:fldChar>
      </w:r>
      <w:r w:rsidR="00CD2C33">
        <w:instrText xml:space="preserve"> ADDIN EN.CITE </w:instrText>
      </w:r>
      <w:r w:rsidR="00CD2C33">
        <w:fldChar w:fldCharType="begin">
          <w:fldData xml:space="preserve">PEVuZE5vdGU+PENpdGU+PEF1dGhvcj5XSE88L0F1dGhvcj48WWVhcj4yMDA2PC9ZZWFyPjxSZWNO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</w:fldData>
        </w:fldChar>
      </w:r>
      <w:r w:rsidR="00CD2C33">
        <w:instrText xml:space="preserve"> ADDIN EN.CITE.DATA </w:instrText>
      </w:r>
      <w:r w:rsidR="00CD2C33">
        <w:fldChar w:fldCharType="end"/>
      </w:r>
      <w:r w:rsidR="0003115E">
        <w:fldChar w:fldCharType="separate"/>
      </w:r>
      <w:r w:rsidR="00CD2C33">
        <w:rPr>
          <w:noProof/>
        </w:rPr>
        <w:t>(WHO, 2006; Yawn et al., 2014)</w:t>
      </w:r>
      <w:r w:rsidR="0003115E">
        <w:fldChar w:fldCharType="end"/>
      </w:r>
      <w:r w:rsidRPr="00241369">
        <w:t>. However, in other conditions the supporting evidence is less robust. When treatment regimens have been adopted based on limited evidence, it can then be difficult to conduct placebo-controll</w:t>
      </w:r>
      <w:r w:rsidR="00003095" w:rsidRPr="00241369">
        <w:t xml:space="preserve">ed studies in </w:t>
      </w:r>
      <w:r w:rsidR="00003095" w:rsidRPr="006754B9">
        <w:t xml:space="preserve">this field </w:t>
      </w:r>
      <w:r w:rsidR="006754B9" w:rsidRPr="006754B9">
        <w:fldChar w:fldCharType="begin"/>
      </w:r>
      <w:r w:rsidR="006754B9" w:rsidRPr="006754B9">
        <w:instrText xml:space="preserve"> ADDIN EN.CITE &lt;EndNote&gt;&lt;Cite&gt;&lt;Author&gt;Smith&lt;/Author&gt;&lt;Year&gt;1999&lt;/Year&gt;&lt;RecNum&gt;221&lt;/RecNum&gt;&lt;DisplayText&gt;(Smith, 1999)&lt;/DisplayText&gt;&lt;record&gt;&lt;rec-number&gt;221&lt;/rec-number&gt;&lt;foreign-keys&gt;&lt;key app="EN" db-id="pr9rwt2w8padxcerwx6prd0a9wtda2w5fw2t" timestamp="1629731697"&gt;221&lt;/key&gt;&lt;/foreign-keys&gt;&lt;ref-type name="Journal Article"&gt;17&lt;/ref-type&gt;&lt;contributors&gt;&lt;authors&gt;&lt;author&gt;Smith, J. Finn, A&lt;/author&gt;&lt;/authors&gt;&lt;/contributors&gt;&lt;titles&gt;&lt;title&gt;Antimicrobial prophylaxis&lt;/title&gt;&lt;secondary-title&gt;Archives of Disease in Childhood&lt;/secondary-title&gt;&lt;/titles&gt;&lt;periodical&gt;&lt;full-title&gt;Archives of Disease in Childhood&lt;/full-title&gt;&lt;/periodical&gt;&lt;pages&gt;388&lt;/pages&gt;&lt;volume&gt;80&lt;/volume&gt;&lt;number&gt;4&lt;/number&gt;&lt;dates&gt;&lt;year&gt;1999&lt;/year&gt;&lt;/dates&gt;&lt;urls&gt;&lt;related-urls&gt;&lt;url&gt;http://adc.bmj.com/content/80/4/388.abstract&lt;/url&gt;&lt;/related-urls&gt;&lt;/urls&gt;&lt;electronic-resource-num&gt;10.1136/adc.80.4.388&lt;/electronic-resource-num&gt;&lt;/record&gt;&lt;/Cite&gt;&lt;/EndNote&gt;</w:instrText>
      </w:r>
      <w:r w:rsidR="006754B9" w:rsidRPr="006754B9">
        <w:fldChar w:fldCharType="separate"/>
      </w:r>
      <w:r w:rsidR="006754B9" w:rsidRPr="006754B9">
        <w:rPr>
          <w:noProof/>
        </w:rPr>
        <w:t>(Smith, 1999)</w:t>
      </w:r>
      <w:r w:rsidR="006754B9" w:rsidRPr="006754B9">
        <w:fldChar w:fldCharType="end"/>
      </w:r>
      <w:r w:rsidR="004A7FCF">
        <w:t>.</w:t>
      </w:r>
      <w:r w:rsidRPr="00241369">
        <w:t xml:space="preserve"> </w:t>
      </w:r>
      <w:r w:rsidR="00A65236" w:rsidRPr="003A1626">
        <w:fldChar w:fldCharType="begin"/>
      </w:r>
      <w:r w:rsidR="00A65236" w:rsidRPr="003A1626">
        <w:instrText xml:space="preserve"> REF _Ref105513017 \h  \* MERGEFORMAT </w:instrText>
      </w:r>
      <w:r w:rsidR="00A65236" w:rsidRPr="003A1626">
        <w:fldChar w:fldCharType="separate"/>
      </w:r>
      <w:r w:rsidR="00F85805" w:rsidRPr="00F85805">
        <w:rPr>
          <w:color w:val="000000" w:themeColor="text1"/>
        </w:rPr>
        <w:t xml:space="preserve">Table </w:t>
      </w:r>
      <w:r w:rsidR="00F85805" w:rsidRPr="00F85805">
        <w:rPr>
          <w:noProof/>
          <w:color w:val="000000" w:themeColor="text1"/>
        </w:rPr>
        <w:t>2</w:t>
      </w:r>
      <w:r w:rsidR="00A65236" w:rsidRPr="003A1626">
        <w:fldChar w:fldCharType="end"/>
      </w:r>
      <w:r w:rsidR="00A65236" w:rsidRPr="003A1626">
        <w:t>-</w:t>
      </w:r>
      <w:r w:rsidR="00F85805">
        <w:t>4</w:t>
      </w:r>
      <w:r w:rsidR="00A65236" w:rsidRPr="003A1626">
        <w:t xml:space="preserve"> </w:t>
      </w:r>
      <w:r w:rsidR="00A65236" w:rsidRPr="00241369">
        <w:t>give examples wit</w:t>
      </w:r>
      <w:r w:rsidR="00A65236">
        <w:t>hin a paediatric setting, of</w:t>
      </w:r>
      <w:r w:rsidR="00A65236" w:rsidRPr="00241369">
        <w:t xml:space="preserve"> indications</w:t>
      </w:r>
      <w:r w:rsidR="00A65236">
        <w:t xml:space="preserve"> </w:t>
      </w:r>
      <w:r w:rsidR="00A65236" w:rsidRPr="00241369">
        <w:t xml:space="preserve">in situations </w:t>
      </w:r>
      <w:r w:rsidR="00A65236">
        <w:t xml:space="preserve">(in some cases more than 1 category applies) </w:t>
      </w:r>
      <w:r w:rsidR="00A65236" w:rsidRPr="00241369">
        <w:t xml:space="preserve">where prophylaxis is </w:t>
      </w:r>
      <w:r w:rsidR="00A65236">
        <w:t xml:space="preserve">currently </w:t>
      </w:r>
      <w:r w:rsidR="00A65236" w:rsidRPr="00241369">
        <w:t>recommended</w:t>
      </w:r>
      <w:r w:rsidR="00A65236">
        <w:t xml:space="preserve">, </w:t>
      </w:r>
      <w:r w:rsidR="00A65236" w:rsidRPr="00241369">
        <w:t>or not.</w:t>
      </w:r>
      <w:r w:rsidR="00A65236">
        <w:t xml:space="preserve"> </w:t>
      </w:r>
      <w:r w:rsidR="00A65236" w:rsidRPr="00E871C7">
        <w:t xml:space="preserve"> </w:t>
      </w:r>
      <w:r w:rsidRPr="00241369">
        <w:t>Over recent years however</w:t>
      </w:r>
      <w:r w:rsidR="00A65236">
        <w:t>,</w:t>
      </w:r>
      <w:r w:rsidRPr="00241369">
        <w:t xml:space="preserve"> seemingly established practices have been challenged given the increase in </w:t>
      </w:r>
      <w:r w:rsidR="004A7FCF">
        <w:t xml:space="preserve">AMR </w:t>
      </w:r>
      <w:r w:rsidRPr="00241369">
        <w:t xml:space="preserve">and the need for antimicrobial stewardship. </w:t>
      </w:r>
      <w:r w:rsidR="00E871C7">
        <w:t xml:space="preserve">Prophylaxis strategies may be amended </w:t>
      </w:r>
      <w:r w:rsidR="00AF7BC0">
        <w:t>when circumstances change</w:t>
      </w:r>
      <w:r w:rsidR="00E871C7">
        <w:t xml:space="preserve">, for example the use of </w:t>
      </w:r>
      <w:r w:rsidR="00E871C7" w:rsidRPr="001D04B2">
        <w:t>co-trimoxazole prophylaxis in Human Immunodeficiency Virus (HIV)-exposed but HIV un-infected infants (</w:t>
      </w:r>
      <w:r w:rsidR="00E871C7" w:rsidRPr="00EE7B0C">
        <w:t>a policy initiated when HIV testing of infants was impossible and mothers had poor access to antiretroviral treatment, but subsequently shown to be unnecessary with recent advances in testing and treatment</w:t>
      </w:r>
      <w:r w:rsidR="00E871C7">
        <w:t>)</w:t>
      </w:r>
      <w:r w:rsidR="00E871C7" w:rsidRPr="00EE7B0C">
        <w:t xml:space="preserve"> </w:t>
      </w:r>
      <w:r w:rsidR="00E871C7">
        <w:fldChar w:fldCharType="begin">
          <w:fldData xml:space="preserve">PEVuZE5vdGU+PENpdGU+PEF1dGhvcj5EYW5pZWxzPC9BdXRob3I+PFllYXI+MjAxOTwvWWVhcj48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</w:fldData>
        </w:fldChar>
      </w:r>
      <w:r w:rsidR="00EE22EB">
        <w:instrText xml:space="preserve"> ADDIN EN.CITE </w:instrText>
      </w:r>
      <w:r w:rsidR="00EE22EB">
        <w:fldChar w:fldCharType="begin">
          <w:fldData xml:space="preserve">PEVuZE5vdGU+PENpdGU+PEF1dGhvcj5EYW5pZWxzPC9BdXRob3I+PFllYXI+MjAxOTwvWWVhcj48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</w:fldData>
        </w:fldChar>
      </w:r>
      <w:r w:rsidR="00EE22EB">
        <w:instrText xml:space="preserve"> ADDIN EN.CITE.DATA </w:instrText>
      </w:r>
      <w:r w:rsidR="00EE22EB">
        <w:fldChar w:fldCharType="end"/>
      </w:r>
      <w:r w:rsidR="00E871C7">
        <w:fldChar w:fldCharType="separate"/>
      </w:r>
      <w:r w:rsidR="00EE22EB">
        <w:rPr>
          <w:noProof/>
        </w:rPr>
        <w:t>(Daniels et al., 2019)</w:t>
      </w:r>
      <w:r w:rsidR="00E871C7">
        <w:fldChar w:fldCharType="end"/>
      </w:r>
      <w:r w:rsidR="00E871C7" w:rsidRPr="00EE7B0C">
        <w:t>,</w:t>
      </w:r>
      <w:r w:rsidR="00E871C7" w:rsidRPr="001D04B2">
        <w:t xml:space="preserve"> and stopping co-trimoxazole prophylaxis dependant on geographic area in HIV infected adults </w:t>
      </w:r>
      <w:r w:rsidR="00E871C7" w:rsidRPr="00EE7B0C">
        <w:t>(co-</w:t>
      </w:r>
      <w:r w:rsidR="00E871C7" w:rsidRPr="00EE7B0C">
        <w:lastRenderedPageBreak/>
        <w:t xml:space="preserve">trimoxazole was beneficial even in ART-treated patients for those at high risk for severe bacterial infections or malaria) </w:t>
      </w:r>
      <w:r w:rsidR="00E871C7" w:rsidRPr="001D04B2">
        <w:fldChar w:fldCharType="begin">
          <w:fldData xml:space="preserve">PEVuZE5vdGU+PENpdGU+PEF1dGhvcj5EYW5pZWxzPC9BdXRob3I+PFllYXI+MjAxOTwvWWVhcj48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=
</w:fldData>
        </w:fldChar>
      </w:r>
      <w:r w:rsidR="00CD2C33">
        <w:instrText xml:space="preserve"> ADDIN EN.CITE </w:instrText>
      </w:r>
      <w:r w:rsidR="00CD2C33">
        <w:fldChar w:fldCharType="begin">
          <w:fldData xml:space="preserve">PEVuZE5vdGU+PENpdGU+PEF1dGhvcj5EYW5pZWxzPC9BdXRob3I+PFllYXI+MjAxOTwvWWVhcj48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=
</w:fldData>
        </w:fldChar>
      </w:r>
      <w:r w:rsidR="00CD2C33">
        <w:instrText xml:space="preserve"> ADDIN EN.CITE.DATA </w:instrText>
      </w:r>
      <w:r w:rsidR="00CD2C33">
        <w:fldChar w:fldCharType="end"/>
      </w:r>
      <w:r w:rsidR="00E871C7" w:rsidRPr="001D04B2">
        <w:fldChar w:fldCharType="separate"/>
      </w:r>
      <w:r w:rsidR="00CD2C33">
        <w:rPr>
          <w:noProof/>
        </w:rPr>
        <w:t>(Anywaine et al., 2018; Daniels et al., 2019)</w:t>
      </w:r>
      <w:r w:rsidR="00E871C7" w:rsidRPr="001D04B2">
        <w:fldChar w:fldCharType="end"/>
      </w:r>
      <w:r w:rsidR="00E871C7">
        <w:t>.</w:t>
      </w:r>
    </w:p>
    <w:p w14:paraId="64B347D8" w14:textId="77777777" w:rsidR="00E871C7" w:rsidRPr="00241369" w:rsidRDefault="00E871C7" w:rsidP="001F2604">
      <w:pPr>
        <w:spacing w:line="360" w:lineRule="auto"/>
      </w:pPr>
    </w:p>
    <w:p w14:paraId="0D63BF0E" w14:textId="118CDE5C" w:rsidR="009F7D80" w:rsidRPr="009F7D80" w:rsidRDefault="009F7D80" w:rsidP="009F7D80">
      <w:pPr>
        <w:pStyle w:val="Caption"/>
        <w:keepNext/>
        <w:rPr>
          <w:i w:val="0"/>
          <w:iCs w:val="0"/>
          <w:color w:val="000000" w:themeColor="text1"/>
          <w:sz w:val="24"/>
          <w:szCs w:val="24"/>
        </w:rPr>
      </w:pPr>
      <w:bookmarkStart w:id="31" w:name="_Ref105513017"/>
      <w:bookmarkStart w:id="32" w:name="_Toc117780243"/>
      <w:r w:rsidRPr="009F7D80">
        <w:rPr>
          <w:b/>
          <w:bCs/>
          <w:i w:val="0"/>
          <w:iCs w:val="0"/>
          <w:color w:val="000000" w:themeColor="text1"/>
          <w:sz w:val="24"/>
          <w:szCs w:val="24"/>
        </w:rPr>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F85805">
        <w:rPr>
          <w:b/>
          <w:bCs/>
          <w:i w:val="0"/>
          <w:iCs w:val="0"/>
          <w:noProof/>
          <w:color w:val="000000" w:themeColor="text1"/>
          <w:sz w:val="24"/>
          <w:szCs w:val="24"/>
        </w:rPr>
        <w:t>2</w:t>
      </w:r>
      <w:r w:rsidR="002C440E">
        <w:rPr>
          <w:b/>
          <w:bCs/>
          <w:i w:val="0"/>
          <w:iCs w:val="0"/>
          <w:color w:val="000000" w:themeColor="text1"/>
          <w:sz w:val="24"/>
          <w:szCs w:val="24"/>
        </w:rPr>
        <w:fldChar w:fldCharType="end"/>
      </w:r>
      <w:bookmarkEnd w:id="31"/>
      <w:r w:rsidRPr="009F7D80">
        <w:rPr>
          <w:b/>
          <w:bCs/>
          <w:i w:val="0"/>
          <w:iCs w:val="0"/>
          <w:color w:val="000000" w:themeColor="text1"/>
          <w:sz w:val="24"/>
          <w:szCs w:val="24"/>
        </w:rPr>
        <w:t>:</w:t>
      </w:r>
      <w:r w:rsidRPr="009F7D80">
        <w:rPr>
          <w:i w:val="0"/>
          <w:iCs w:val="0"/>
          <w:color w:val="000000" w:themeColor="text1"/>
          <w:sz w:val="24"/>
          <w:szCs w:val="24"/>
        </w:rPr>
        <w:t xml:space="preserve"> Examples of prophylactic antibiotics to prevent infection by a particular pathogen</w:t>
      </w:r>
      <w:bookmarkEnd w:id="32"/>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01"/>
        <w:gridCol w:w="1985"/>
        <w:gridCol w:w="2410"/>
        <w:gridCol w:w="3656"/>
      </w:tblGrid>
      <w:tr w:rsidR="00710E91" w:rsidRPr="008F33C8" w14:paraId="1C7481EF" w14:textId="77777777" w:rsidTr="00AD243B">
        <w:tc>
          <w:tcPr>
            <w:tcW w:w="1701" w:type="dxa"/>
            <w:shd w:val="clear" w:color="auto" w:fill="BDD6EE" w:themeFill="accent1" w:themeFillTint="66"/>
          </w:tcPr>
          <w:p w14:paraId="5CCE3489" w14:textId="77777777" w:rsidR="002B54ED" w:rsidRPr="00241369" w:rsidRDefault="002B54ED" w:rsidP="00241369">
            <w:pPr>
              <w:spacing w:after="120"/>
              <w:contextualSpacing/>
            </w:pPr>
            <w:r w:rsidRPr="00241369">
              <w:t>Pathogen</w:t>
            </w:r>
          </w:p>
        </w:tc>
        <w:tc>
          <w:tcPr>
            <w:tcW w:w="1985" w:type="dxa"/>
            <w:shd w:val="clear" w:color="auto" w:fill="BDD6EE" w:themeFill="accent1" w:themeFillTint="66"/>
          </w:tcPr>
          <w:p w14:paraId="6DC24981" w14:textId="77777777" w:rsidR="002B54ED" w:rsidRPr="00241369" w:rsidRDefault="002B54ED" w:rsidP="00241369">
            <w:pPr>
              <w:spacing w:after="120"/>
              <w:contextualSpacing/>
            </w:pPr>
            <w:r w:rsidRPr="00241369">
              <w:t>Disease prevented</w:t>
            </w:r>
          </w:p>
        </w:tc>
        <w:tc>
          <w:tcPr>
            <w:tcW w:w="2410" w:type="dxa"/>
            <w:shd w:val="clear" w:color="auto" w:fill="BDD6EE" w:themeFill="accent1" w:themeFillTint="66"/>
          </w:tcPr>
          <w:p w14:paraId="518ABC9E" w14:textId="77777777" w:rsidR="002B54ED" w:rsidRPr="00241369" w:rsidRDefault="002B54ED" w:rsidP="00241369">
            <w:pPr>
              <w:spacing w:after="120"/>
              <w:contextualSpacing/>
            </w:pPr>
            <w:r w:rsidRPr="00241369">
              <w:t>antibiotic</w:t>
            </w:r>
          </w:p>
        </w:tc>
        <w:tc>
          <w:tcPr>
            <w:tcW w:w="3656" w:type="dxa"/>
            <w:shd w:val="clear" w:color="auto" w:fill="BDD6EE" w:themeFill="accent1" w:themeFillTint="66"/>
          </w:tcPr>
          <w:p w14:paraId="5272E2D2" w14:textId="77777777" w:rsidR="002B54ED" w:rsidRPr="00241369" w:rsidRDefault="002B54ED" w:rsidP="00241369">
            <w:pPr>
              <w:spacing w:after="120"/>
              <w:contextualSpacing/>
            </w:pPr>
            <w:r w:rsidRPr="00241369">
              <w:t>comments</w:t>
            </w:r>
          </w:p>
        </w:tc>
      </w:tr>
      <w:tr w:rsidR="00710E91" w:rsidRPr="008F33C8" w14:paraId="5690D46C" w14:textId="77777777" w:rsidTr="00AD243B">
        <w:tc>
          <w:tcPr>
            <w:tcW w:w="1701" w:type="dxa"/>
          </w:tcPr>
          <w:p w14:paraId="3CA97A07" w14:textId="77777777" w:rsidR="002B54ED" w:rsidRPr="00241369" w:rsidRDefault="002B54ED" w:rsidP="00241369">
            <w:pPr>
              <w:spacing w:after="120"/>
              <w:contextualSpacing/>
            </w:pPr>
            <w:r w:rsidRPr="00241369">
              <w:t>Group A streptococcus</w:t>
            </w:r>
          </w:p>
        </w:tc>
        <w:tc>
          <w:tcPr>
            <w:tcW w:w="1985" w:type="dxa"/>
          </w:tcPr>
          <w:p w14:paraId="4CBB2DF7" w14:textId="77777777" w:rsidR="002B54ED" w:rsidRPr="00241369" w:rsidRDefault="002B54ED" w:rsidP="00241369">
            <w:pPr>
              <w:spacing w:after="120"/>
              <w:contextualSpacing/>
            </w:pPr>
            <w:r w:rsidRPr="00241369">
              <w:t>Rheumatic fever.</w:t>
            </w:r>
          </w:p>
          <w:p w14:paraId="43DF4B40" w14:textId="77777777" w:rsidR="002B54ED" w:rsidRPr="00241369" w:rsidRDefault="002B54ED" w:rsidP="00241369">
            <w:pPr>
              <w:spacing w:after="120"/>
              <w:contextualSpacing/>
            </w:pPr>
            <w:r w:rsidRPr="00241369">
              <w:t>Secondary prophylaxis in those with a history of rheumatic fever or with rheumatic heart disease</w:t>
            </w:r>
          </w:p>
        </w:tc>
        <w:tc>
          <w:tcPr>
            <w:tcW w:w="2410" w:type="dxa"/>
          </w:tcPr>
          <w:p w14:paraId="6856AD04" w14:textId="565574BA" w:rsidR="002B54ED" w:rsidRDefault="002B54ED" w:rsidP="00241369">
            <w:pPr>
              <w:spacing w:after="120"/>
              <w:contextualSpacing/>
            </w:pPr>
            <w:r w:rsidRPr="00241369">
              <w:t>Benzathine penicillin G IM 4 weekly</w:t>
            </w:r>
          </w:p>
          <w:p w14:paraId="276BF038" w14:textId="6ECC7A09" w:rsidR="002901BB" w:rsidRPr="00241369" w:rsidRDefault="002901BB" w:rsidP="00241369">
            <w:pPr>
              <w:spacing w:after="120"/>
              <w:contextualSpacing/>
            </w:pPr>
            <w:r>
              <w:t>OR</w:t>
            </w:r>
          </w:p>
          <w:p w14:paraId="60385954" w14:textId="77777777" w:rsidR="002B54ED" w:rsidRPr="00241369" w:rsidRDefault="002B54ED" w:rsidP="00241369">
            <w:pPr>
              <w:spacing w:after="120"/>
              <w:contextualSpacing/>
            </w:pPr>
            <w:r w:rsidRPr="00241369">
              <w:t>Penicillin V twice daily</w:t>
            </w:r>
          </w:p>
        </w:tc>
        <w:tc>
          <w:tcPr>
            <w:tcW w:w="3656" w:type="dxa"/>
          </w:tcPr>
          <w:p w14:paraId="6CC7D46A" w14:textId="77777777" w:rsidR="002B54ED" w:rsidRPr="00241369" w:rsidRDefault="002B54ED" w:rsidP="00241369">
            <w:pPr>
              <w:spacing w:after="120"/>
              <w:contextualSpacing/>
            </w:pPr>
            <w:r w:rsidRPr="00241369">
              <w:t xml:space="preserve">Recommendations for duration of prophylaxis vary: </w:t>
            </w:r>
          </w:p>
          <w:p w14:paraId="492CCBBC" w14:textId="680165B9" w:rsidR="002B54ED" w:rsidRPr="00241369" w:rsidRDefault="002B54ED" w:rsidP="00ED0001">
            <w:pPr>
              <w:spacing w:after="120"/>
              <w:contextualSpacing/>
            </w:pPr>
            <w:r w:rsidRPr="00241369">
              <w:t>5-10 years after last episode of rheumatic fever or until 21 years of age or until 35</w:t>
            </w:r>
            <w:r w:rsidR="00184DEB" w:rsidRPr="00241369">
              <w:t>/</w:t>
            </w:r>
            <w:r w:rsidRPr="00241369">
              <w:t>40 years of age or lifelong. Dependent on guideline and stratified risk</w:t>
            </w:r>
            <w:r w:rsidR="004A7FCF">
              <w:t xml:space="preserve"> </w:t>
            </w:r>
            <w:r w:rsidR="00587CD0">
              <w:fldChar w:fldCharType="begin">
                <w:fldData xml:space="preserve">PEVuZE5vdGU+PENpdGU+PEF1dGhvcj5HZXJiZXI8L0F1dGhvcj48WWVhcj4yMDA5PC9ZZWFyPjxS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</w:fldData>
              </w:fldChar>
            </w:r>
            <w:r w:rsidR="00EE22EB">
              <w:instrText xml:space="preserve"> ADDIN EN.CITE </w:instrText>
            </w:r>
            <w:r w:rsidR="00EE22EB">
              <w:fldChar w:fldCharType="begin">
                <w:fldData xml:space="preserve">PEVuZE5vdGU+PENpdGU+PEF1dGhvcj5HZXJiZXI8L0F1dGhvcj48WWVhcj4yMDA5PC9ZZWFyPjxS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</w:fldData>
              </w:fldChar>
            </w:r>
            <w:r w:rsidR="00EE22EB">
              <w:instrText xml:space="preserve"> ADDIN EN.CITE.DATA </w:instrText>
            </w:r>
            <w:r w:rsidR="00EE22EB">
              <w:fldChar w:fldCharType="end"/>
            </w:r>
            <w:r w:rsidR="00587CD0">
              <w:fldChar w:fldCharType="separate"/>
            </w:r>
            <w:r w:rsidR="00EE22EB">
              <w:rPr>
                <w:noProof/>
              </w:rPr>
              <w:t>(Gerber et al., 2009)</w:t>
            </w:r>
            <w:r w:rsidR="00587CD0">
              <w:fldChar w:fldCharType="end"/>
            </w:r>
            <w:r w:rsidR="00067777" w:rsidRPr="00241369">
              <w:t xml:space="preserve"> </w:t>
            </w:r>
            <w:r w:rsidR="00587CD0">
              <w:fldChar w:fldCharType="begin"/>
            </w:r>
            <w:r w:rsidR="006C2025">
              <w:instrText xml:space="preserve"> ADDIN EN.CITE &lt;EndNote&gt;&lt;Cite ExcludeYear="1"&gt;&lt;Author&gt;RHD Australia&lt;/Author&gt;&lt;Year&gt;2012&lt;/Year&gt;&lt;RecNum&gt;224&lt;/RecNum&gt;&lt;DisplayText&gt;(RHD Australia)&lt;/DisplayText&gt;&lt;record&gt;&lt;rec-number&gt;224&lt;/rec-number&gt;&lt;foreign-keys&gt;&lt;key app="EN" db-id="pr9rwt2w8padxcerwx6prd0a9wtda2w5fw2t" timestamp="1629731697"&gt;224&lt;/key&gt;&lt;/foreign-keys&gt;&lt;ref-type name="Web Page"&gt;12&lt;/ref-type&gt;&lt;contributors&gt;&lt;authors&gt;&lt;author&gt;RHD Australia, &lt;/author&gt;&lt;/authors&gt;&lt;secondary-authors&gt;&lt;author&gt;ARF/RHD writing group), National Heart Foundation of Australia and Cardiac Society of Australia and New Zealand&lt;/author&gt;&lt;/secondary-authors&gt;&lt;/contributors&gt;&lt;titles&gt;&lt;title&gt;Australian guideline for prevention, diagnosis and management of acute rheumatic fever and rheumatic heart disease (2nd edition)&lt;/title&gt;&lt;/titles&gt;&lt;dates&gt;&lt;year&gt;2012&lt;/year&gt;&lt;/dates&gt;&lt;urls&gt;&lt;/urls&gt;&lt;/record&gt;&lt;/Cite&gt;&lt;/EndNote&gt;</w:instrText>
            </w:r>
            <w:r w:rsidR="00587CD0">
              <w:fldChar w:fldCharType="separate"/>
            </w:r>
            <w:r w:rsidR="00ED0001">
              <w:rPr>
                <w:noProof/>
              </w:rPr>
              <w:t>(RHD Australia)</w:t>
            </w:r>
            <w:r w:rsidR="00587CD0">
              <w:fldChar w:fldCharType="end"/>
            </w:r>
            <w:r w:rsidR="002E11D6" w:rsidRPr="00241369">
              <w:t>, 2012)</w:t>
            </w:r>
          </w:p>
        </w:tc>
      </w:tr>
      <w:tr w:rsidR="00710E91" w:rsidRPr="008F33C8" w14:paraId="646F7B52" w14:textId="77777777" w:rsidTr="00AD243B">
        <w:tc>
          <w:tcPr>
            <w:tcW w:w="1701" w:type="dxa"/>
          </w:tcPr>
          <w:p w14:paraId="0D320702" w14:textId="77777777" w:rsidR="002B54ED" w:rsidRPr="00241369" w:rsidRDefault="002B54ED" w:rsidP="00241369">
            <w:pPr>
              <w:spacing w:after="120"/>
              <w:contextualSpacing/>
            </w:pPr>
            <w:r w:rsidRPr="00241369">
              <w:t xml:space="preserve">Streptococcus pneumoniae </w:t>
            </w:r>
          </w:p>
        </w:tc>
        <w:tc>
          <w:tcPr>
            <w:tcW w:w="1985" w:type="dxa"/>
          </w:tcPr>
          <w:p w14:paraId="53438E0C" w14:textId="77777777" w:rsidR="002B54ED" w:rsidRPr="00241369" w:rsidRDefault="002B54ED" w:rsidP="00241369">
            <w:pPr>
              <w:spacing w:after="120"/>
              <w:contextualSpacing/>
            </w:pPr>
            <w:r w:rsidRPr="00241369">
              <w:t>Pneumococcal infections in sickle cell disease or asplenia</w:t>
            </w:r>
          </w:p>
        </w:tc>
        <w:tc>
          <w:tcPr>
            <w:tcW w:w="2410" w:type="dxa"/>
          </w:tcPr>
          <w:p w14:paraId="61AD56A5" w14:textId="77777777" w:rsidR="002B54ED" w:rsidRPr="00241369" w:rsidRDefault="002B54ED" w:rsidP="00241369">
            <w:pPr>
              <w:spacing w:after="120"/>
              <w:contextualSpacing/>
            </w:pPr>
            <w:r w:rsidRPr="00241369">
              <w:t xml:space="preserve">Penicillin V </w:t>
            </w:r>
            <w:r w:rsidR="004155EC">
              <w:t>twice daily</w:t>
            </w:r>
          </w:p>
        </w:tc>
        <w:tc>
          <w:tcPr>
            <w:tcW w:w="3656" w:type="dxa"/>
          </w:tcPr>
          <w:p w14:paraId="51E1F48C" w14:textId="107A6A32" w:rsidR="002B54ED" w:rsidRPr="00241369" w:rsidRDefault="002B54ED" w:rsidP="00F11334">
            <w:pPr>
              <w:spacing w:after="120"/>
              <w:contextualSpacing/>
            </w:pPr>
            <w:r w:rsidRPr="00241369">
              <w:t>No consensus on when to stop prophylaxis. 2002 guideline lifelong</w:t>
            </w:r>
            <w:r w:rsidR="00067777" w:rsidRPr="00241369">
              <w:t xml:space="preserve"> </w:t>
            </w:r>
            <w:r w:rsidR="00587CD0">
              <w:fldChar w:fldCharType="begin"/>
            </w:r>
            <w:r w:rsidR="00CD2C33">
              <w:instrText xml:space="preserve"> ADDIN EN.CITE &lt;EndNote&gt;&lt;Cite&gt;&lt;Author&gt;Rankine‐Mullings&lt;/Author&gt;&lt;Year&gt;2017&lt;/Year&gt;&lt;RecNum&gt;79&lt;/RecNum&gt;&lt;DisplayText&gt;(Rankine‐Mullings et al., 2017)&lt;/DisplayText&gt;&lt;record&gt;&lt;rec-number&gt;79&lt;/rec-number&gt;&lt;foreign-keys&gt;&lt;key app="EN" db-id="z50rresss5e5vfe0s2qpewtuxsprsrse5fff" timestamp="1578307404"&gt;79&lt;/key&gt;&lt;/foreign-keys&gt;&lt;ref-type name="Journal Article"&gt;17&lt;/ref-type&gt;&lt;contributors&gt;&lt;authors&gt;&lt;author&gt;Rankine‐Mullings, A. E.&lt;/author&gt;&lt;author&gt;Owusu‐Ofori, S.&lt;/author&gt;&lt;/authors&gt;&lt;/contributors&gt;&lt;titles&gt;&lt;title&gt;Prophylactic antibiotics for preventing pneumococcal infection in children with sickle cell disease&lt;/title&gt;&lt;secondary-title&gt;Cochrane Database of Systematic Reviews&lt;/secondary-title&gt;&lt;/titles&gt;&lt;periodical&gt;&lt;full-title&gt;Cochrane Database of Systematic Reviews&lt;/full-title&gt;&lt;/periodical&gt;&lt;number&gt;10&lt;/number&gt;&lt;keywords&gt;&lt;keyword&gt;*Antibiotic Prophylaxis [adverse effects]&lt;/keyword&gt;&lt;keyword&gt;Age Factors&lt;/keyword&gt;&lt;keyword&gt;Anemia, Sickle Cell [*complications, genetics]&lt;/keyword&gt;&lt;keyword&gt;Child, Preschool&lt;/keyword&gt;&lt;keyword&gt;Hemoglobin SC Disease [complications]&lt;/keyword&gt;&lt;keyword&gt;Homozygote&lt;/keyword&gt;&lt;keyword&gt;Humans&lt;/keyword&gt;&lt;keyword&gt;Incidence&lt;/keyword&gt;&lt;keyword&gt;Infant&lt;/keyword&gt;&lt;keyword&gt;Penicillins [adverse effects, *therapeutic use]&lt;/keyword&gt;&lt;keyword&gt;Pneumococcal Infections [epidemiology, *prevention &amp;amp; control]&lt;/keyword&gt;&lt;keyword&gt;Randomized Controlled Trials as Topic&lt;/keyword&gt;&lt;keyword&gt;beta‐Thalassemia [complications]&lt;/keyword&gt;&lt;/keywords&gt;&lt;dates&gt;&lt;year&gt;2017&lt;/year&gt;&lt;/dates&gt;&lt;publisher&gt;John Wiley &amp;amp; Sons, Ltd&lt;/publisher&gt;&lt;isbn&gt;1465-1858&lt;/isbn&gt;&lt;accession-num&gt;CD003427&lt;/accession-num&gt;&lt;urls&gt;&lt;related-urls&gt;&lt;url&gt;https://doi.org//10.1002/14651858.CD003427.pub4&lt;/url&gt;&lt;/related-urls&gt;&lt;/urls&gt;&lt;electronic-resource-num&gt;10.1002/14651858.CD003427.pub4&lt;/electronic-resource-num&gt;&lt;/record&gt;&lt;/Cite&gt;&lt;/EndNote&gt;</w:instrText>
            </w:r>
            <w:r w:rsidR="00587CD0">
              <w:fldChar w:fldCharType="separate"/>
            </w:r>
            <w:r w:rsidR="00CD2C33">
              <w:rPr>
                <w:noProof/>
              </w:rPr>
              <w:t>(Rankine‐Mullings et al., 2017)</w:t>
            </w:r>
            <w:r w:rsidR="00587CD0">
              <w:fldChar w:fldCharType="end"/>
            </w:r>
            <w:r w:rsidR="009426A0" w:rsidRPr="00241369">
              <w:t>. US experts (76</w:t>
            </w:r>
            <w:r w:rsidRPr="00241369">
              <w:t>%</w:t>
            </w:r>
            <w:r w:rsidR="009426A0" w:rsidRPr="00241369">
              <w:t xml:space="preserve"> of 889 respondents</w:t>
            </w:r>
            <w:r w:rsidRPr="00241369">
              <w:t>) would</w:t>
            </w:r>
            <w:r w:rsidR="009426A0" w:rsidRPr="00241369">
              <w:t xml:space="preserve"> stop prophylaxis at </w:t>
            </w:r>
            <w:r w:rsidRPr="00241369">
              <w:t>5 years of age</w:t>
            </w:r>
            <w:r w:rsidR="00067777" w:rsidRPr="00241369">
              <w:t xml:space="preserve"> </w:t>
            </w:r>
            <w:r w:rsidR="00587CD0">
              <w:fldChar w:fldCharType="begin"/>
            </w:r>
            <w:r w:rsidR="00EE22EB">
              <w:instrText xml:space="preserve"> ADDIN EN.CITE &lt;EndNote&gt;&lt;Cite&gt;&lt;Author&gt;McCavit&lt;/Author&gt;&lt;Year&gt;2013&lt;/Year&gt;&lt;RecNum&gt;226&lt;/RecNum&gt;&lt;DisplayText&gt;(McCavit et al., 2013)&lt;/DisplayText&gt;&lt;record&gt;&lt;rec-number&gt;226&lt;/rec-number&gt;&lt;foreign-keys&gt;&lt;key app="EN" db-id="pr9rwt2w8padxcerwx6prd0a9wtda2w5fw2t" timestamp="1629731697"&gt;226&lt;/key&gt;&lt;/foreign-keys&gt;&lt;ref-type name="Journal Article"&gt;17&lt;/ref-type&gt;&lt;contributors&gt;&lt;authors&gt;&lt;author&gt;McCavit, T. L.&lt;/author&gt;&lt;author&gt;Gilbert, M.&lt;/author&gt;&lt;author&gt;Buchanan, G. R.&lt;/author&gt;&lt;/authors&gt;&lt;/contributors&gt;&lt;auth-address&gt;Division of Hematology-Oncology, University of Texas Southwestern Medical Center, Dallas, TX 75390-9063, USA. tim.mccavit@childrens.com&lt;/auth-address&gt;&lt;titles&gt;&lt;title&gt;Prophylactic penicillin after 5 years of age in patients with sickle cell disease: a survey of sickle cell disease experts&lt;/title&gt;&lt;secondary-title&gt;Pediatr Blood Cancer&lt;/secondary-title&gt;&lt;/titles&gt;&lt;periodical&gt;&lt;full-title&gt;Pediatr Blood Cancer&lt;/full-title&gt;&lt;/periodical&gt;&lt;pages&gt;935-9&lt;/pages&gt;&lt;volume&gt;60&lt;/volume&gt;&lt;number&gt;6&lt;/number&gt;&lt;edition&gt;2012/11/30&lt;/edition&gt;&lt;keywords&gt;&lt;keyword&gt;Anemia, Sickle Cell/*complications&lt;/keyword&gt;&lt;keyword&gt;Antibiotic Prophylaxis/*statistics &amp;amp; numerical data&lt;/keyword&gt;&lt;keyword&gt;Child&lt;/keyword&gt;&lt;keyword&gt;Child, Preschool&lt;/keyword&gt;&lt;keyword&gt;Cross-Sectional Studies&lt;/keyword&gt;&lt;keyword&gt;Humans&lt;/keyword&gt;&lt;keyword&gt;Penicillins/*therapeutic use&lt;/keyword&gt;&lt;keyword&gt;Physicians&lt;/keyword&gt;&lt;keyword&gt;Pneumococcal Infections/complications/*prevention &amp;amp; control&lt;/keyword&gt;&lt;keyword&gt;Practice Patterns, Physicians&amp;apos;/*statistics &amp;amp; numerical data&lt;/keyword&gt;&lt;/keywords&gt;&lt;dates&gt;&lt;year&gt;2013&lt;/year&gt;&lt;pub-dates&gt;&lt;date&gt;Jun&lt;/date&gt;&lt;/pub-dates&gt;&lt;/dates&gt;&lt;isbn&gt;1545-5009&lt;/isbn&gt;&lt;accession-num&gt;23193095&lt;/accession-num&gt;&lt;urls&gt;&lt;/urls&gt;&lt;electronic-resource-num&gt;10.1002/pbc.24395&lt;/electronic-resource-num&gt;&lt;remote-database-provider&gt;NLM&lt;/remote-database-provider&gt;&lt;language&gt;eng&lt;/language&gt;&lt;/record&gt;&lt;/Cite&gt;&lt;/EndNote&gt;</w:instrText>
            </w:r>
            <w:r w:rsidR="00587CD0">
              <w:fldChar w:fldCharType="separate"/>
            </w:r>
            <w:r w:rsidR="00EE22EB">
              <w:rPr>
                <w:noProof/>
              </w:rPr>
              <w:t>(McCavit et al., 2013)</w:t>
            </w:r>
            <w:r w:rsidR="00587CD0">
              <w:fldChar w:fldCharType="end"/>
            </w:r>
            <w:r w:rsidRPr="00241369">
              <w:t xml:space="preserve">. </w:t>
            </w:r>
          </w:p>
        </w:tc>
      </w:tr>
      <w:tr w:rsidR="00710E91" w:rsidRPr="008F33C8" w14:paraId="44F8F566" w14:textId="77777777" w:rsidTr="00AD243B">
        <w:tc>
          <w:tcPr>
            <w:tcW w:w="1701" w:type="dxa"/>
          </w:tcPr>
          <w:p w14:paraId="23DAD82D" w14:textId="77777777" w:rsidR="002B54ED" w:rsidRPr="00241369" w:rsidRDefault="002B54ED" w:rsidP="00241369">
            <w:pPr>
              <w:spacing w:after="120"/>
              <w:contextualSpacing/>
            </w:pPr>
            <w:r w:rsidRPr="00241369">
              <w:t>Chlamydia trachomatis</w:t>
            </w:r>
          </w:p>
        </w:tc>
        <w:tc>
          <w:tcPr>
            <w:tcW w:w="1985" w:type="dxa"/>
          </w:tcPr>
          <w:p w14:paraId="1DA3F298" w14:textId="1C7216EA" w:rsidR="002B54ED" w:rsidRPr="00241369" w:rsidRDefault="002B54ED" w:rsidP="00241369">
            <w:pPr>
              <w:spacing w:after="120"/>
              <w:contextualSpacing/>
            </w:pPr>
            <w:r w:rsidRPr="00241369">
              <w:t>Trachoma</w:t>
            </w:r>
            <w:r w:rsidR="006C3DAC">
              <w:t xml:space="preserve"> – </w:t>
            </w:r>
            <w:r w:rsidR="00414C9F">
              <w:t>Sub-Saharan</w:t>
            </w:r>
            <w:r w:rsidR="006C3DAC">
              <w:t xml:space="preserve"> Africa</w:t>
            </w:r>
          </w:p>
          <w:p w14:paraId="359E6632" w14:textId="77777777" w:rsidR="002B54ED" w:rsidRPr="00241369" w:rsidRDefault="002B54ED" w:rsidP="00241369">
            <w:pPr>
              <w:spacing w:after="120"/>
              <w:contextualSpacing/>
            </w:pPr>
          </w:p>
        </w:tc>
        <w:tc>
          <w:tcPr>
            <w:tcW w:w="2410" w:type="dxa"/>
          </w:tcPr>
          <w:p w14:paraId="18C34FC1" w14:textId="50112638" w:rsidR="002B54ED" w:rsidRPr="00241369" w:rsidRDefault="002B54ED" w:rsidP="00241369">
            <w:pPr>
              <w:spacing w:after="120"/>
              <w:contextualSpacing/>
            </w:pPr>
            <w:r w:rsidRPr="00241369">
              <w:t>Azithromycin – Annual or biannual single dose</w:t>
            </w:r>
            <w:r w:rsidR="00A65236">
              <w:t xml:space="preserve"> by mass administration</w:t>
            </w:r>
          </w:p>
        </w:tc>
        <w:tc>
          <w:tcPr>
            <w:tcW w:w="3656" w:type="dxa"/>
          </w:tcPr>
          <w:p w14:paraId="17D74C73" w14:textId="40EE458C" w:rsidR="002B54ED" w:rsidRPr="00241369" w:rsidRDefault="002B54ED" w:rsidP="00241369">
            <w:pPr>
              <w:spacing w:after="120"/>
              <w:contextualSpacing/>
            </w:pPr>
            <w:r w:rsidRPr="00241369">
              <w:t>Reduction in trachoma &amp; all-</w:t>
            </w:r>
            <w:r w:rsidR="009426A0" w:rsidRPr="00241369">
              <w:t>cause mortality in under 5 y</w:t>
            </w:r>
            <w:r w:rsidR="00B37455">
              <w:t>ea</w:t>
            </w:r>
            <w:r w:rsidR="009426A0" w:rsidRPr="00241369">
              <w:t>rs</w:t>
            </w:r>
            <w:r w:rsidR="00067777" w:rsidRPr="00241369">
              <w:t xml:space="preserve"> </w:t>
            </w:r>
            <w:r w:rsidR="00587CD0">
              <w:fldChar w:fldCharType="begin"/>
            </w:r>
            <w:r w:rsidR="00EE22EB">
              <w:instrText xml:space="preserve"> ADDIN EN.CITE &lt;EndNote&gt;&lt;Cite&gt;&lt;Author&gt;Keenan&lt;/Author&gt;&lt;Year&gt;2018&lt;/Year&gt;&lt;RecNum&gt;227&lt;/RecNum&gt;&lt;DisplayText&gt;(Keenan et al., 2018)&lt;/DisplayText&gt;&lt;record&gt;&lt;rec-number&gt;227&lt;/rec-number&gt;&lt;foreign-keys&gt;&lt;key app="EN" db-id="pr9rwt2w8padxcerwx6prd0a9wtda2w5fw2t" timestamp="1629731697"&gt;227&lt;/key&gt;&lt;/foreign-keys&gt;&lt;ref-type name="Journal Article"&gt;17&lt;/ref-type&gt;&lt;contributors&gt;&lt;authors&gt;&lt;author&gt;Keenan, Jeremy D.&lt;/author&gt;&lt;author&gt;Bailey, Robin L.&lt;/author&gt;&lt;author&gt;West, Sheila K.&lt;/author&gt;&lt;author&gt;Arzika, Ahmed M.&lt;/author&gt;&lt;author&gt;Hart, John&lt;/author&gt;&lt;author&gt;Weaver, Jerusha&lt;/author&gt;&lt;author&gt;Kalua, Khumbo&lt;/author&gt;&lt;author&gt;Mrango, Zakayo&lt;/author&gt;&lt;author&gt;Ray, Kathryn J.&lt;/author&gt;&lt;author&gt;Cook, Catherine&lt;/author&gt;&lt;author&gt;Lebas, Elodie&lt;/author&gt;&lt;author&gt;O’Brien, Kieran S.&lt;/author&gt;&lt;author&gt;Emerson, Paul M.&lt;/author&gt;&lt;author&gt;Porco, Travis C.&lt;/author&gt;&lt;author&gt;Lietman, Thomas M.&lt;/author&gt;&lt;/authors&gt;&lt;/contributors&gt;&lt;titles&gt;&lt;title&gt;Azithromycin to Reduce Childhood Mortality in Sub-Saharan Africa&lt;/title&gt;&lt;secondary-title&gt;New England Journal of Medicine&lt;/secondary-title&gt;&lt;/titles&gt;&lt;periodical&gt;&lt;full-title&gt;New England Journal of Medicine&lt;/full-title&gt;&lt;/periodical&gt;&lt;pages&gt;1583-1592&lt;/pages&gt;&lt;volume&gt;378&lt;/volume&gt;&lt;number&gt;17&lt;/number&gt;&lt;dates&gt;&lt;year&gt;2018&lt;/year&gt;&lt;/dates&gt;&lt;accession-num&gt;29694816&lt;/accession-num&gt;&lt;urls&gt;&lt;related-urls&gt;&lt;url&gt;https://www.nejm.org/doi/full/10.1056/NEJMoa1715474&lt;/url&gt;&lt;/related-urls&gt;&lt;/urls&gt;&lt;electronic-resource-num&gt;10.1056/NEJMoa1715474&lt;/electronic-resource-num&gt;&lt;/record&gt;&lt;/Cite&gt;&lt;/EndNote&gt;</w:instrText>
            </w:r>
            <w:r w:rsidR="00587CD0">
              <w:fldChar w:fldCharType="separate"/>
            </w:r>
            <w:r w:rsidR="00EE22EB">
              <w:rPr>
                <w:noProof/>
              </w:rPr>
              <w:t>(Keenan et al., 2018)</w:t>
            </w:r>
            <w:r w:rsidR="00587CD0">
              <w:fldChar w:fldCharType="end"/>
            </w:r>
          </w:p>
          <w:p w14:paraId="66348F07" w14:textId="77777777" w:rsidR="002B54ED" w:rsidRDefault="002B54ED" w:rsidP="00241369">
            <w:pPr>
              <w:spacing w:after="120"/>
              <w:contextualSpacing/>
            </w:pPr>
            <w:r w:rsidRPr="00241369">
              <w:t xml:space="preserve">Transient increases in macrolide resistant </w:t>
            </w:r>
            <w:r w:rsidRPr="00241369">
              <w:rPr>
                <w:i/>
              </w:rPr>
              <w:t>S</w:t>
            </w:r>
            <w:r w:rsidR="00D84F81">
              <w:rPr>
                <w:i/>
              </w:rPr>
              <w:t>treptococcus</w:t>
            </w:r>
            <w:r w:rsidRPr="00241369">
              <w:rPr>
                <w:i/>
              </w:rPr>
              <w:t>. pneumoniae.</w:t>
            </w:r>
            <w:r w:rsidRPr="00241369">
              <w:t xml:space="preserve"> Higher resistance when baseline resistance was high.</w:t>
            </w:r>
          </w:p>
          <w:p w14:paraId="399C8722" w14:textId="177F1A7C" w:rsidR="004A7FCF" w:rsidRPr="00241369" w:rsidRDefault="004A7FCF" w:rsidP="00241369">
            <w:pPr>
              <w:spacing w:after="120"/>
              <w:contextualSpacing/>
            </w:pPr>
            <w:r>
              <w:t>Ongoing trials analysing risk/ benefit.</w:t>
            </w:r>
          </w:p>
        </w:tc>
      </w:tr>
    </w:tbl>
    <w:p w14:paraId="6FB26316" w14:textId="1E789523" w:rsidR="00E21FB0" w:rsidRDefault="00E21FB0" w:rsidP="009F7D80">
      <w:pPr>
        <w:pStyle w:val="Caption"/>
        <w:keepNext/>
        <w:rPr>
          <w:b/>
          <w:bCs/>
          <w:i w:val="0"/>
          <w:iCs w:val="0"/>
          <w:color w:val="000000" w:themeColor="text1"/>
          <w:sz w:val="24"/>
          <w:szCs w:val="24"/>
        </w:rPr>
      </w:pPr>
    </w:p>
    <w:p w14:paraId="12FE2C85" w14:textId="77777777" w:rsidR="00E21FB0" w:rsidRDefault="00E21FB0">
      <w:pPr>
        <w:rPr>
          <w:b/>
          <w:bCs/>
          <w:color w:val="000000" w:themeColor="text1"/>
        </w:rPr>
      </w:pPr>
      <w:r>
        <w:rPr>
          <w:b/>
          <w:bCs/>
          <w:i/>
          <w:iCs/>
          <w:color w:val="000000" w:themeColor="text1"/>
        </w:rPr>
        <w:br w:type="page"/>
      </w:r>
    </w:p>
    <w:p w14:paraId="1B4187B3" w14:textId="5027B2FA" w:rsidR="009F7D80" w:rsidRPr="009F7D80" w:rsidRDefault="009F7D80" w:rsidP="009F7D80">
      <w:pPr>
        <w:pStyle w:val="Caption"/>
        <w:keepNext/>
        <w:rPr>
          <w:i w:val="0"/>
          <w:iCs w:val="0"/>
          <w:color w:val="000000" w:themeColor="text1"/>
          <w:sz w:val="24"/>
          <w:szCs w:val="24"/>
        </w:rPr>
      </w:pPr>
      <w:bookmarkStart w:id="33" w:name="_Toc117780244"/>
      <w:r w:rsidRPr="009F7D80">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9043C6">
        <w:rPr>
          <w:b/>
          <w:bCs/>
          <w:i w:val="0"/>
          <w:iCs w:val="0"/>
          <w:noProof/>
          <w:color w:val="000000" w:themeColor="text1"/>
          <w:sz w:val="24"/>
          <w:szCs w:val="24"/>
        </w:rPr>
        <w:t>3</w:t>
      </w:r>
      <w:r w:rsidR="002C440E">
        <w:rPr>
          <w:b/>
          <w:bCs/>
          <w:i w:val="0"/>
          <w:iCs w:val="0"/>
          <w:color w:val="000000" w:themeColor="text1"/>
          <w:sz w:val="24"/>
          <w:szCs w:val="24"/>
        </w:rPr>
        <w:fldChar w:fldCharType="end"/>
      </w:r>
      <w:r w:rsidRPr="009F7D80">
        <w:rPr>
          <w:b/>
          <w:bCs/>
          <w:i w:val="0"/>
          <w:iCs w:val="0"/>
          <w:color w:val="000000" w:themeColor="text1"/>
          <w:sz w:val="24"/>
          <w:szCs w:val="24"/>
        </w:rPr>
        <w:t>:</w:t>
      </w:r>
      <w:r>
        <w:rPr>
          <w:i w:val="0"/>
          <w:iCs w:val="0"/>
          <w:color w:val="000000" w:themeColor="text1"/>
          <w:sz w:val="24"/>
          <w:szCs w:val="24"/>
        </w:rPr>
        <w:t xml:space="preserve"> </w:t>
      </w:r>
      <w:r w:rsidRPr="009F7D80">
        <w:rPr>
          <w:i w:val="0"/>
          <w:iCs w:val="0"/>
          <w:color w:val="000000" w:themeColor="text1"/>
          <w:sz w:val="24"/>
          <w:szCs w:val="24"/>
        </w:rPr>
        <w:t>Examples of prophylactic antibiotics to protect an infection prone site</w:t>
      </w:r>
      <w:bookmarkEnd w:id="33"/>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18"/>
        <w:gridCol w:w="2168"/>
        <w:gridCol w:w="1583"/>
        <w:gridCol w:w="2815"/>
      </w:tblGrid>
      <w:tr w:rsidR="002B54ED" w:rsidRPr="008F33C8" w14:paraId="446038CD" w14:textId="77777777" w:rsidTr="009F7D80">
        <w:tc>
          <w:tcPr>
            <w:tcW w:w="2818" w:type="dxa"/>
            <w:shd w:val="clear" w:color="auto" w:fill="BDD6EE" w:themeFill="accent1" w:themeFillTint="66"/>
          </w:tcPr>
          <w:p w14:paraId="3A83B52E" w14:textId="77777777" w:rsidR="002B54ED" w:rsidRPr="00241369" w:rsidRDefault="002B54ED" w:rsidP="003C117D">
            <w:pPr>
              <w:contextualSpacing/>
            </w:pPr>
            <w:r w:rsidRPr="00241369">
              <w:t>Infection prone site</w:t>
            </w:r>
          </w:p>
        </w:tc>
        <w:tc>
          <w:tcPr>
            <w:tcW w:w="2168" w:type="dxa"/>
            <w:shd w:val="clear" w:color="auto" w:fill="BDD6EE" w:themeFill="accent1" w:themeFillTint="66"/>
          </w:tcPr>
          <w:p w14:paraId="69CA7090" w14:textId="77777777" w:rsidR="002B54ED" w:rsidRPr="00241369" w:rsidRDefault="002B54ED" w:rsidP="003C117D">
            <w:pPr>
              <w:contextualSpacing/>
            </w:pPr>
            <w:r w:rsidRPr="00241369">
              <w:t>Disease</w:t>
            </w:r>
          </w:p>
        </w:tc>
        <w:tc>
          <w:tcPr>
            <w:tcW w:w="1583" w:type="dxa"/>
            <w:shd w:val="clear" w:color="auto" w:fill="BDD6EE" w:themeFill="accent1" w:themeFillTint="66"/>
          </w:tcPr>
          <w:p w14:paraId="164D2FC3" w14:textId="77777777" w:rsidR="002B54ED" w:rsidRPr="00241369" w:rsidRDefault="002B54ED" w:rsidP="003C117D">
            <w:pPr>
              <w:contextualSpacing/>
            </w:pPr>
            <w:r w:rsidRPr="00241369">
              <w:t>Antibiotic</w:t>
            </w:r>
          </w:p>
        </w:tc>
        <w:tc>
          <w:tcPr>
            <w:tcW w:w="2815" w:type="dxa"/>
            <w:shd w:val="clear" w:color="auto" w:fill="BDD6EE" w:themeFill="accent1" w:themeFillTint="66"/>
          </w:tcPr>
          <w:p w14:paraId="2A2E1173" w14:textId="77777777" w:rsidR="002B54ED" w:rsidRPr="00241369" w:rsidRDefault="002B54ED" w:rsidP="003C117D">
            <w:pPr>
              <w:contextualSpacing/>
            </w:pPr>
            <w:r w:rsidRPr="00241369">
              <w:t>Comments</w:t>
            </w:r>
          </w:p>
        </w:tc>
      </w:tr>
      <w:tr w:rsidR="002B54ED" w:rsidRPr="008F33C8" w14:paraId="06180DB9" w14:textId="77777777" w:rsidTr="009F7D80">
        <w:tc>
          <w:tcPr>
            <w:tcW w:w="2818" w:type="dxa"/>
          </w:tcPr>
          <w:p w14:paraId="3A6FEA03" w14:textId="77777777" w:rsidR="002B54ED" w:rsidRPr="00241369" w:rsidRDefault="002B54ED" w:rsidP="003C117D">
            <w:pPr>
              <w:contextualSpacing/>
            </w:pPr>
            <w:r w:rsidRPr="00241369">
              <w:t>Heart</w:t>
            </w:r>
          </w:p>
        </w:tc>
        <w:tc>
          <w:tcPr>
            <w:tcW w:w="2168" w:type="dxa"/>
          </w:tcPr>
          <w:p w14:paraId="72715140" w14:textId="77777777" w:rsidR="002B54ED" w:rsidRPr="00241369" w:rsidRDefault="002B54ED" w:rsidP="003C117D">
            <w:pPr>
              <w:contextualSpacing/>
            </w:pPr>
            <w:r w:rsidRPr="00241369">
              <w:t>Endocarditis</w:t>
            </w:r>
          </w:p>
        </w:tc>
        <w:tc>
          <w:tcPr>
            <w:tcW w:w="1583" w:type="dxa"/>
          </w:tcPr>
          <w:p w14:paraId="0046EE21" w14:textId="77777777" w:rsidR="002B54ED" w:rsidRPr="00241369" w:rsidRDefault="002B54ED" w:rsidP="003C117D">
            <w:pPr>
              <w:contextualSpacing/>
            </w:pPr>
            <w:r w:rsidRPr="00241369">
              <w:t>Single dose amoxicillin pre procedure (invasive dental procedures)</w:t>
            </w:r>
          </w:p>
        </w:tc>
        <w:tc>
          <w:tcPr>
            <w:tcW w:w="2815" w:type="dxa"/>
          </w:tcPr>
          <w:p w14:paraId="3C2A0E6D" w14:textId="798160CB" w:rsidR="002B54ED" w:rsidRPr="00241369" w:rsidRDefault="002B54ED" w:rsidP="003C117D">
            <w:pPr>
              <w:contextualSpacing/>
            </w:pPr>
            <w:r w:rsidRPr="00241369">
              <w:t>200</w:t>
            </w:r>
            <w:r w:rsidR="00A533CE">
              <w:t>8</w:t>
            </w:r>
            <w:r w:rsidRPr="00241369">
              <w:t xml:space="preserve"> NICE: changed to not recommending prophylaxis</w:t>
            </w:r>
            <w:r w:rsidR="00A533CE">
              <w:t xml:space="preserve"> </w:t>
            </w:r>
            <w:r w:rsidR="00A533CE">
              <w:fldChar w:fldCharType="begin"/>
            </w:r>
            <w:r w:rsidR="00E87ACA">
              <w:instrText xml:space="preserve"> ADDIN EN.CITE &lt;EndNote&gt;&lt;Cite&gt;&lt;Author&gt;NICE &lt;/Author&gt;&lt;Year&gt;2008&lt;/Year&gt;&lt;RecNum&gt;228&lt;/RecNum&gt;&lt;DisplayText&gt;(NICE 2008)&lt;/DisplayText&gt;&lt;record&gt;&lt;rec-number&gt;228&lt;/rec-number&gt;&lt;foreign-keys&gt;&lt;key app="EN" db-id="pr9rwt2w8padxcerwx6prd0a9wtda2w5fw2t" timestamp="1629731697"&gt;228&lt;/key&gt;&lt;/foreign-keys&gt;&lt;ref-type name="Book Section"&gt;5&lt;/ref-type&gt;&lt;contributors&gt;&lt;authors&gt;&lt;author&gt;NICE ,&lt;/author&gt;&lt;/authors&gt;&lt;/contributors&gt;&lt;titles&gt;&lt;title&gt;National Institute for Health and Clinical Excellence: Guidance&lt;/title&gt;&lt;secondary-title&gt;Prophylaxis Against Infective Endocarditis: Antimicrobial Prophylaxis Against Infective Endocarditis in Adults and Children Undergoing Interventional Procedures&lt;/secondary-title&gt;&lt;/titles&gt;&lt;dates&gt;&lt;year&gt;2008&lt;/year&gt;&lt;/dates&gt;&lt;pub-location&gt;London&lt;/pub-location&gt;&lt;publisher&gt;National Institute for Health and Clinical Excellence (UK)&amp;#xD;National Institute for Health and Clinical Excellence.&lt;/publisher&gt;&lt;accession-num&gt;21656971&lt;/accession-num&gt;&lt;urls&gt;&lt;/urls&gt;&lt;language&gt;eng&lt;/language&gt;&lt;/record&gt;&lt;/Cite&gt;&lt;/EndNote&gt;</w:instrText>
            </w:r>
            <w:r w:rsidR="00A533CE">
              <w:fldChar w:fldCharType="separate"/>
            </w:r>
            <w:r w:rsidR="00A533CE">
              <w:rPr>
                <w:noProof/>
              </w:rPr>
              <w:t>(NICE 2008)</w:t>
            </w:r>
            <w:r w:rsidR="00A533CE">
              <w:fldChar w:fldCharType="end"/>
            </w:r>
            <w:r w:rsidR="00A533CE">
              <w:t xml:space="preserve"> </w:t>
            </w:r>
            <w:r w:rsidRPr="00241369">
              <w:t>2007 AHA: subset of patients at high risk should receive prophylaxis</w:t>
            </w:r>
            <w:r w:rsidR="00A8534C" w:rsidRPr="00241369">
              <w:t xml:space="preserve"> </w:t>
            </w:r>
            <w:r w:rsidR="00587CD0">
              <w:fldChar w:fldCharType="begin">
                <w:fldData xml:space="preserve">PEVuZE5vdGU+PENpdGU+PEF1dGhvcj5XaWxzb248L0F1dGhvcj48WWVhcj4yMDA3PC9ZZWFyPjxS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==
</w:fldData>
              </w:fldChar>
            </w:r>
            <w:r w:rsidR="00EE22EB">
              <w:instrText xml:space="preserve"> ADDIN EN.CITE </w:instrText>
            </w:r>
            <w:r w:rsidR="00EE22EB">
              <w:fldChar w:fldCharType="begin">
                <w:fldData xml:space="preserve">PEVuZE5vdGU+PENpdGU+PEF1dGhvcj5XaWxzb248L0F1dGhvcj48WWVhcj4yMDA3PC9ZZWFyPjxS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==
</w:fldData>
              </w:fldChar>
            </w:r>
            <w:r w:rsidR="00EE22EB">
              <w:instrText xml:space="preserve"> ADDIN EN.CITE.DATA </w:instrText>
            </w:r>
            <w:r w:rsidR="00EE22EB">
              <w:fldChar w:fldCharType="end"/>
            </w:r>
            <w:r w:rsidR="00587CD0">
              <w:fldChar w:fldCharType="separate"/>
            </w:r>
            <w:r w:rsidR="00EE22EB">
              <w:rPr>
                <w:noProof/>
              </w:rPr>
              <w:t>(Wilson et al., 2007)</w:t>
            </w:r>
            <w:r w:rsidR="00587CD0">
              <w:fldChar w:fldCharType="end"/>
            </w:r>
          </w:p>
          <w:p w14:paraId="34784C68" w14:textId="5599460F" w:rsidR="002B54ED" w:rsidRPr="00241369" w:rsidRDefault="003B3C99" w:rsidP="003C117D">
            <w:pPr>
              <w:contextualSpacing/>
            </w:pPr>
            <w:r w:rsidRPr="00241369">
              <w:t xml:space="preserve">2016 </w:t>
            </w:r>
            <w:r w:rsidR="002B54ED" w:rsidRPr="00241369">
              <w:t>NICE</w:t>
            </w:r>
            <w:r w:rsidR="002B54ED" w:rsidRPr="008F33C8">
              <w:t xml:space="preserve">: </w:t>
            </w:r>
            <w:r w:rsidR="00203974">
              <w:t xml:space="preserve">now </w:t>
            </w:r>
            <w:r w:rsidR="002B54ED" w:rsidRPr="00241369">
              <w:t xml:space="preserve">not recommended “routinely”.  </w:t>
            </w:r>
          </w:p>
        </w:tc>
      </w:tr>
      <w:tr w:rsidR="002B54ED" w:rsidRPr="008F33C8" w14:paraId="41B61C4C" w14:textId="77777777" w:rsidTr="009F7D80">
        <w:tc>
          <w:tcPr>
            <w:tcW w:w="2818" w:type="dxa"/>
          </w:tcPr>
          <w:p w14:paraId="63D320D0" w14:textId="77777777" w:rsidR="002B54ED" w:rsidRPr="00241369" w:rsidRDefault="002B54ED" w:rsidP="003C117D">
            <w:pPr>
              <w:contextualSpacing/>
            </w:pPr>
            <w:r w:rsidRPr="00241369">
              <w:t>Urinary tract</w:t>
            </w:r>
          </w:p>
        </w:tc>
        <w:tc>
          <w:tcPr>
            <w:tcW w:w="2168" w:type="dxa"/>
          </w:tcPr>
          <w:p w14:paraId="359EA4A7" w14:textId="77777777" w:rsidR="002B54ED" w:rsidRPr="00241369" w:rsidRDefault="002B54ED" w:rsidP="003C117D">
            <w:pPr>
              <w:contextualSpacing/>
            </w:pPr>
            <w:r w:rsidRPr="00241369">
              <w:t xml:space="preserve">Recurrent UTIs </w:t>
            </w:r>
          </w:p>
        </w:tc>
        <w:tc>
          <w:tcPr>
            <w:tcW w:w="1583" w:type="dxa"/>
          </w:tcPr>
          <w:p w14:paraId="221F7363" w14:textId="77777777" w:rsidR="002B54ED" w:rsidRDefault="002B54ED" w:rsidP="003C117D">
            <w:pPr>
              <w:contextualSpacing/>
            </w:pPr>
            <w:r w:rsidRPr="00241369">
              <w:t>Trimethoprim</w:t>
            </w:r>
          </w:p>
          <w:p w14:paraId="2B9A52D7" w14:textId="77777777" w:rsidR="004155EC" w:rsidRPr="00241369" w:rsidRDefault="004155EC" w:rsidP="003C117D">
            <w:pPr>
              <w:contextualSpacing/>
            </w:pPr>
            <w:r>
              <w:t>nocte</w:t>
            </w:r>
          </w:p>
        </w:tc>
        <w:tc>
          <w:tcPr>
            <w:tcW w:w="2815" w:type="dxa"/>
          </w:tcPr>
          <w:p w14:paraId="5A68CC95" w14:textId="020C708A" w:rsidR="008F33C8" w:rsidRDefault="002B54ED" w:rsidP="003C117D">
            <w:r w:rsidRPr="00241369">
              <w:t xml:space="preserve">2018 Cochrane review: </w:t>
            </w:r>
            <w:r w:rsidR="0050225C">
              <w:t>m</w:t>
            </w:r>
            <w:r w:rsidRPr="00241369">
              <w:t xml:space="preserve">ay reduce risk of repeat symptomatic UTI in children with 1 or more UTIs. Small benefit. </w:t>
            </w:r>
          </w:p>
          <w:p w14:paraId="474366A5" w14:textId="091B3252" w:rsidR="002B54ED" w:rsidRDefault="002B54ED" w:rsidP="00F11334">
            <w:r w:rsidRPr="00241369">
              <w:t>2019 Prophylaxis does not decrease the risk of renal scarring</w:t>
            </w:r>
            <w:r w:rsidR="003B3C99" w:rsidRPr="00241369">
              <w:t xml:space="preserve"> </w:t>
            </w:r>
            <w:r w:rsidR="00587CD0">
              <w:fldChar w:fldCharType="begin">
                <w:fldData xml:space="preserve">PEVuZE5vdGU+PENpdGU+PEF1dGhvcj5Ib2Jlcm1hbjwvQXV0aG9yPjxZZWFyPjIwMTQ8L1llYXI+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</w:fldData>
              </w:fldChar>
            </w:r>
            <w:r w:rsidR="00EE22EB">
              <w:instrText xml:space="preserve"> ADDIN EN.CITE </w:instrText>
            </w:r>
            <w:r w:rsidR="00EE22EB">
              <w:fldChar w:fldCharType="begin">
                <w:fldData xml:space="preserve">PEVuZE5vdGU+PENpdGU+PEF1dGhvcj5Ib2Jlcm1hbjwvQXV0aG9yPjxZZWFyPjIwMTQ8L1llYXI+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</w:fldData>
              </w:fldChar>
            </w:r>
            <w:r w:rsidR="00EE22EB">
              <w:instrText xml:space="preserve"> ADDIN EN.CITE.DATA </w:instrText>
            </w:r>
            <w:r w:rsidR="00EE22EB">
              <w:fldChar w:fldCharType="end"/>
            </w:r>
            <w:r w:rsidR="00587CD0">
              <w:fldChar w:fldCharType="separate"/>
            </w:r>
            <w:r w:rsidR="00EE22EB">
              <w:rPr>
                <w:noProof/>
              </w:rPr>
              <w:t>(Hoberman et al., 2014)</w:t>
            </w:r>
            <w:r w:rsidR="00587CD0">
              <w:fldChar w:fldCharType="end"/>
            </w:r>
            <w:r w:rsidR="0050225C">
              <w:t>.</w:t>
            </w:r>
          </w:p>
          <w:p w14:paraId="017D5F1A" w14:textId="77096917" w:rsidR="0050225C" w:rsidRPr="0050225C" w:rsidRDefault="0050225C" w:rsidP="00F11334">
            <w:r>
              <w:t xml:space="preserve">Used following individual case assessment </w:t>
            </w:r>
          </w:p>
        </w:tc>
      </w:tr>
      <w:tr w:rsidR="002B54ED" w:rsidRPr="008F33C8" w14:paraId="3F73EDB5" w14:textId="77777777" w:rsidTr="009F7D80">
        <w:tc>
          <w:tcPr>
            <w:tcW w:w="2818" w:type="dxa"/>
          </w:tcPr>
          <w:p w14:paraId="02685DC4" w14:textId="77777777" w:rsidR="002B54ED" w:rsidRPr="00241369" w:rsidRDefault="002B54ED" w:rsidP="003C117D">
            <w:pPr>
              <w:contextualSpacing/>
            </w:pPr>
            <w:r w:rsidRPr="00241369">
              <w:t>Lungs</w:t>
            </w:r>
          </w:p>
        </w:tc>
        <w:tc>
          <w:tcPr>
            <w:tcW w:w="2168" w:type="dxa"/>
          </w:tcPr>
          <w:p w14:paraId="78E1D216" w14:textId="0A21CA19" w:rsidR="002B54ED" w:rsidRPr="00241369" w:rsidRDefault="002B54ED" w:rsidP="003C117D">
            <w:pPr>
              <w:contextualSpacing/>
            </w:pPr>
            <w:r w:rsidRPr="00241369">
              <w:t xml:space="preserve">Non cystic fibrosis </w:t>
            </w:r>
            <w:r w:rsidR="00731D2F">
              <w:t>b</w:t>
            </w:r>
            <w:r w:rsidR="00731D2F" w:rsidRPr="00241369">
              <w:t>ronchiectasis</w:t>
            </w:r>
          </w:p>
        </w:tc>
        <w:tc>
          <w:tcPr>
            <w:tcW w:w="1583" w:type="dxa"/>
          </w:tcPr>
          <w:p w14:paraId="0A458471" w14:textId="77777777" w:rsidR="002B54ED" w:rsidRDefault="002B54ED" w:rsidP="003C117D">
            <w:pPr>
              <w:contextualSpacing/>
            </w:pPr>
            <w:r w:rsidRPr="00241369">
              <w:t>Azithromycin</w:t>
            </w:r>
          </w:p>
          <w:p w14:paraId="27F6A391" w14:textId="285CE1DF" w:rsidR="004155EC" w:rsidRPr="00241369" w:rsidRDefault="00731D2F" w:rsidP="003C117D">
            <w:pPr>
              <w:contextualSpacing/>
            </w:pPr>
            <w:r>
              <w:t xml:space="preserve">three </w:t>
            </w:r>
            <w:r w:rsidR="004155EC">
              <w:t>days a week</w:t>
            </w:r>
          </w:p>
        </w:tc>
        <w:tc>
          <w:tcPr>
            <w:tcW w:w="2815" w:type="dxa"/>
          </w:tcPr>
          <w:p w14:paraId="3BEDB436" w14:textId="73C404E6" w:rsidR="002B54ED" w:rsidRPr="00241369" w:rsidRDefault="002B54ED" w:rsidP="003C117D">
            <w:r w:rsidRPr="00241369">
              <w:t>BTS recommend starting long-term prophylaxis</w:t>
            </w:r>
            <w:r w:rsidR="00A8534C" w:rsidRPr="00241369">
              <w:t xml:space="preserve"> </w:t>
            </w:r>
            <w:r w:rsidR="00587CD0">
              <w:fldChar w:fldCharType="begin"/>
            </w:r>
            <w:r w:rsidR="00EE22EB">
              <w:instrText xml:space="preserve"> ADDIN EN.CITE &lt;EndNote&gt;&lt;Cite&gt;&lt;Author&gt;Pasteur&lt;/Author&gt;&lt;Year&gt;2010&lt;/Year&gt;&lt;RecNum&gt;232&lt;/RecNum&gt;&lt;DisplayText&gt;(Pasteur et al., 2010)&lt;/DisplayText&gt;&lt;record&gt;&lt;rec-number&gt;232&lt;/rec-number&gt;&lt;foreign-keys&gt;&lt;key app="EN" db-id="pr9rwt2w8padxcerwx6prd0a9wtda2w5fw2t" timestamp="1629731697"&gt;232&lt;/key&gt;&lt;/foreign-keys&gt;&lt;ref-type name="Journal Article"&gt;17&lt;/ref-type&gt;&lt;contributors&gt;&lt;authors&gt;&lt;author&gt;Pasteur, M. C.&lt;/author&gt;&lt;author&gt;Bilton, D.&lt;/author&gt;&lt;author&gt;Hill, A. T.&lt;/author&gt;&lt;/authors&gt;&lt;/contributors&gt;&lt;auth-address&gt;Norfolk and Norwich University Hospital, Colney Lane, Norwich NR4 7UY, UK. mark.pasteur@nnuh.nhs.uk&lt;/auth-address&gt;&lt;titles&gt;&lt;title&gt;British Thoracic Society guideline for non-CF bronchiectasis&lt;/title&gt;&lt;secondary-title&gt;Thorax&lt;/secondary-title&gt;&lt;/titles&gt;&lt;periodical&gt;&lt;full-title&gt;Thorax&lt;/full-title&gt;&lt;/periodical&gt;&lt;pages&gt;i1-58&lt;/pages&gt;&lt;volume&gt;65 Suppl 1&lt;/volume&gt;&lt;edition&gt;2010/07/22&lt;/edition&gt;&lt;keywords&gt;&lt;keyword&gt;Administration, Inhalation&lt;/keyword&gt;&lt;keyword&gt;Adult&lt;/keyword&gt;&lt;keyword&gt;Anti-Bacterial Agents/administration &amp;amp; dosage/therapeutic use&lt;/keyword&gt;&lt;keyword&gt;Bronchiectasis/diagnosis/etiology/*therapy&lt;/keyword&gt;&lt;keyword&gt;Child&lt;/keyword&gt;&lt;keyword&gt;Cystic Fibrosis/complications&lt;/keyword&gt;&lt;keyword&gt;Diagnostic Techniques, Respiratory System&lt;/keyword&gt;&lt;keyword&gt;Evidence-Based Medicine&lt;/keyword&gt;&lt;keyword&gt;Humans&lt;/keyword&gt;&lt;keyword&gt;Infusions, Intravenous&lt;/keyword&gt;&lt;keyword&gt;Nebulizers and Vaporizers&lt;/keyword&gt;&lt;keyword&gt;Physical Therapy Modalities&lt;/keyword&gt;&lt;keyword&gt;Respiratory Function Tests&lt;/keyword&gt;&lt;keyword&gt;Respiratory System Agents/therapeutic use&lt;/keyword&gt;&lt;keyword&gt;Tomography, X-Ray Computed&lt;/keyword&gt;&lt;/keywords&gt;&lt;dates&gt;&lt;year&gt;2010&lt;/year&gt;&lt;pub-dates&gt;&lt;date&gt;Jul&lt;/date&gt;&lt;/pub-dates&gt;&lt;/dates&gt;&lt;isbn&gt;0040-6376&lt;/isbn&gt;&lt;accession-num&gt;20627931&lt;/accession-num&gt;&lt;urls&gt;&lt;/urls&gt;&lt;electronic-resource-num&gt;10.1136/thx.2010.136119&lt;/electronic-resource-num&gt;&lt;remote-database-provider&gt;NLM&lt;/remote-database-provider&gt;&lt;language&gt;eng&lt;/language&gt;&lt;/record&gt;&lt;/Cite&gt;&lt;/EndNote&gt;</w:instrText>
            </w:r>
            <w:r w:rsidR="00587CD0">
              <w:fldChar w:fldCharType="separate"/>
            </w:r>
            <w:r w:rsidR="00EE22EB">
              <w:rPr>
                <w:noProof/>
              </w:rPr>
              <w:t>(Pasteur et al., 2010)</w:t>
            </w:r>
            <w:r w:rsidR="00587CD0">
              <w:fldChar w:fldCharType="end"/>
            </w:r>
            <w:r w:rsidRPr="00241369">
              <w:t xml:space="preserve">:  </w:t>
            </w:r>
          </w:p>
          <w:p w14:paraId="292760D9" w14:textId="77777777" w:rsidR="002B54ED" w:rsidRPr="00241369" w:rsidRDefault="002B54ED" w:rsidP="003C117D">
            <w:r w:rsidRPr="00241369">
              <w:t>In adults with 3 or more pulmonary exacerbations a year.</w:t>
            </w:r>
          </w:p>
          <w:p w14:paraId="66BB2784" w14:textId="179C99B7" w:rsidR="002B54ED" w:rsidRPr="00241369" w:rsidRDefault="002B54ED" w:rsidP="003C117D">
            <w:r w:rsidRPr="00241369">
              <w:t xml:space="preserve">In children with </w:t>
            </w:r>
            <w:r w:rsidR="0050225C">
              <w:t>recurrent</w:t>
            </w:r>
            <w:r w:rsidRPr="00241369">
              <w:t xml:space="preserve"> symptoms o</w:t>
            </w:r>
            <w:r w:rsidR="00C84BA2" w:rsidRPr="00241369">
              <w:t>r</w:t>
            </w:r>
            <w:r w:rsidRPr="00241369">
              <w:t xml:space="preserve"> severe disease. </w:t>
            </w:r>
            <w:r w:rsidR="0050225C">
              <w:t>Frequently used.</w:t>
            </w:r>
          </w:p>
          <w:p w14:paraId="34E7E61E" w14:textId="6DC1C43D" w:rsidR="0050225C" w:rsidRPr="00241369" w:rsidRDefault="00A8534C" w:rsidP="003C117D">
            <w:r w:rsidRPr="00241369">
              <w:t>Only 2 paediatric studies</w:t>
            </w:r>
          </w:p>
        </w:tc>
      </w:tr>
    </w:tbl>
    <w:p w14:paraId="33039A64" w14:textId="77777777" w:rsidR="00E21FB0" w:rsidRDefault="00E21FB0" w:rsidP="009F7D80">
      <w:pPr>
        <w:pStyle w:val="Caption"/>
        <w:keepNext/>
        <w:rPr>
          <w:b/>
          <w:bCs/>
          <w:i w:val="0"/>
          <w:iCs w:val="0"/>
          <w:color w:val="000000" w:themeColor="text1"/>
          <w:sz w:val="24"/>
          <w:szCs w:val="24"/>
        </w:rPr>
      </w:pPr>
    </w:p>
    <w:p w14:paraId="32770B6C" w14:textId="77777777" w:rsidR="00E21FB0" w:rsidRDefault="00E21FB0">
      <w:pPr>
        <w:rPr>
          <w:b/>
          <w:bCs/>
          <w:color w:val="000000" w:themeColor="text1"/>
        </w:rPr>
      </w:pPr>
      <w:r>
        <w:rPr>
          <w:b/>
          <w:bCs/>
          <w:i/>
          <w:iCs/>
          <w:color w:val="000000" w:themeColor="text1"/>
        </w:rPr>
        <w:br w:type="page"/>
      </w:r>
    </w:p>
    <w:p w14:paraId="369EBF8F" w14:textId="3A6BE277" w:rsidR="009F7D80" w:rsidRPr="009F7D80" w:rsidRDefault="009F7D80" w:rsidP="009F7D80">
      <w:pPr>
        <w:pStyle w:val="Caption"/>
        <w:keepNext/>
        <w:rPr>
          <w:i w:val="0"/>
          <w:iCs w:val="0"/>
          <w:color w:val="000000" w:themeColor="text1"/>
          <w:sz w:val="24"/>
          <w:szCs w:val="24"/>
        </w:rPr>
      </w:pPr>
      <w:bookmarkStart w:id="34" w:name="_Toc117780245"/>
      <w:r w:rsidRPr="009F7D80">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F85805">
        <w:rPr>
          <w:b/>
          <w:bCs/>
          <w:i w:val="0"/>
          <w:iCs w:val="0"/>
          <w:noProof/>
          <w:color w:val="000000" w:themeColor="text1"/>
          <w:sz w:val="24"/>
          <w:szCs w:val="24"/>
        </w:rPr>
        <w:t>4</w:t>
      </w:r>
      <w:r w:rsidR="002C440E">
        <w:rPr>
          <w:b/>
          <w:bCs/>
          <w:i w:val="0"/>
          <w:iCs w:val="0"/>
          <w:color w:val="000000" w:themeColor="text1"/>
          <w:sz w:val="24"/>
          <w:szCs w:val="24"/>
        </w:rPr>
        <w:fldChar w:fldCharType="end"/>
      </w:r>
      <w:r w:rsidRPr="009F7D80">
        <w:rPr>
          <w:b/>
          <w:bCs/>
          <w:i w:val="0"/>
          <w:iCs w:val="0"/>
          <w:color w:val="000000" w:themeColor="text1"/>
          <w:sz w:val="24"/>
          <w:szCs w:val="24"/>
        </w:rPr>
        <w:t>:</w:t>
      </w:r>
      <w:r w:rsidRPr="009F7D80">
        <w:rPr>
          <w:i w:val="0"/>
          <w:iCs w:val="0"/>
          <w:color w:val="000000" w:themeColor="text1"/>
          <w:sz w:val="24"/>
          <w:szCs w:val="24"/>
        </w:rPr>
        <w:t xml:space="preserve"> Examples of prophylactic antibiotics to protect a vulnerable host</w:t>
      </w:r>
      <w:bookmarkEnd w:id="34"/>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29"/>
        <w:gridCol w:w="2322"/>
        <w:gridCol w:w="1979"/>
        <w:gridCol w:w="2554"/>
      </w:tblGrid>
      <w:tr w:rsidR="002B54ED" w:rsidRPr="008F33C8" w14:paraId="4011AAED" w14:textId="77777777" w:rsidTr="009F7D80">
        <w:tc>
          <w:tcPr>
            <w:tcW w:w="2529" w:type="dxa"/>
            <w:shd w:val="clear" w:color="auto" w:fill="BDD6EE" w:themeFill="accent1" w:themeFillTint="66"/>
          </w:tcPr>
          <w:p w14:paraId="3C58EF11" w14:textId="77777777" w:rsidR="002B54ED" w:rsidRPr="00241369" w:rsidRDefault="002B54ED" w:rsidP="00241369">
            <w:pPr>
              <w:spacing w:after="120"/>
              <w:contextualSpacing/>
            </w:pPr>
            <w:r w:rsidRPr="00241369">
              <w:t>Vulnerable host</w:t>
            </w:r>
          </w:p>
        </w:tc>
        <w:tc>
          <w:tcPr>
            <w:tcW w:w="2322" w:type="dxa"/>
            <w:shd w:val="clear" w:color="auto" w:fill="BDD6EE" w:themeFill="accent1" w:themeFillTint="66"/>
          </w:tcPr>
          <w:p w14:paraId="3AD83FC2" w14:textId="77777777" w:rsidR="002B54ED" w:rsidRPr="00241369" w:rsidRDefault="002B54ED" w:rsidP="00241369">
            <w:pPr>
              <w:spacing w:after="120"/>
              <w:contextualSpacing/>
            </w:pPr>
            <w:r w:rsidRPr="00241369">
              <w:t>Disease</w:t>
            </w:r>
          </w:p>
        </w:tc>
        <w:tc>
          <w:tcPr>
            <w:tcW w:w="1979" w:type="dxa"/>
            <w:shd w:val="clear" w:color="auto" w:fill="BDD6EE" w:themeFill="accent1" w:themeFillTint="66"/>
          </w:tcPr>
          <w:p w14:paraId="1512D47D" w14:textId="77777777" w:rsidR="002B54ED" w:rsidRPr="00241369" w:rsidRDefault="002B54ED" w:rsidP="00241369">
            <w:pPr>
              <w:spacing w:after="120"/>
              <w:contextualSpacing/>
            </w:pPr>
            <w:r w:rsidRPr="00241369">
              <w:t>Antibiotic</w:t>
            </w:r>
          </w:p>
        </w:tc>
        <w:tc>
          <w:tcPr>
            <w:tcW w:w="2554" w:type="dxa"/>
            <w:shd w:val="clear" w:color="auto" w:fill="BDD6EE" w:themeFill="accent1" w:themeFillTint="66"/>
          </w:tcPr>
          <w:p w14:paraId="0E6E7F2D" w14:textId="77777777" w:rsidR="002B54ED" w:rsidRPr="00241369" w:rsidRDefault="002B54ED" w:rsidP="00241369">
            <w:pPr>
              <w:spacing w:after="120"/>
              <w:contextualSpacing/>
            </w:pPr>
            <w:r w:rsidRPr="00241369">
              <w:t>Comments</w:t>
            </w:r>
          </w:p>
        </w:tc>
      </w:tr>
      <w:tr w:rsidR="002B54ED" w:rsidRPr="008F33C8" w14:paraId="6913B7D6" w14:textId="77777777" w:rsidTr="009F7D80">
        <w:tc>
          <w:tcPr>
            <w:tcW w:w="2529" w:type="dxa"/>
          </w:tcPr>
          <w:p w14:paraId="00D72E2D" w14:textId="77777777" w:rsidR="002B54ED" w:rsidRPr="00241369" w:rsidRDefault="002B54ED" w:rsidP="00241369">
            <w:pPr>
              <w:spacing w:after="120"/>
              <w:contextualSpacing/>
            </w:pPr>
            <w:r w:rsidRPr="00241369">
              <w:t>Primary immune deficiency</w:t>
            </w:r>
          </w:p>
        </w:tc>
        <w:tc>
          <w:tcPr>
            <w:tcW w:w="2322" w:type="dxa"/>
          </w:tcPr>
          <w:p w14:paraId="0A988751" w14:textId="554614E4" w:rsidR="002B54ED" w:rsidRDefault="002B54ED" w:rsidP="00241369">
            <w:pPr>
              <w:spacing w:after="120"/>
              <w:contextualSpacing/>
            </w:pPr>
            <w:r w:rsidRPr="00241369">
              <w:t>X-linked agamm</w:t>
            </w:r>
            <w:r w:rsidR="00B03CCE">
              <w:t>a</w:t>
            </w:r>
            <w:r w:rsidRPr="00241369">
              <w:t>globulinemia</w:t>
            </w:r>
          </w:p>
          <w:p w14:paraId="4A324368" w14:textId="48C92B47" w:rsidR="00757F98" w:rsidRDefault="00757F98" w:rsidP="00241369">
            <w:pPr>
              <w:spacing w:after="120"/>
              <w:contextualSpacing/>
            </w:pPr>
          </w:p>
          <w:p w14:paraId="688E2A6B" w14:textId="77777777" w:rsidR="00757F98" w:rsidRDefault="00757F98" w:rsidP="00241369">
            <w:pPr>
              <w:spacing w:after="120"/>
              <w:contextualSpacing/>
            </w:pPr>
          </w:p>
          <w:p w14:paraId="5A133349" w14:textId="3A6CF2A6" w:rsidR="00757F98" w:rsidRPr="00241369" w:rsidRDefault="00731D2F" w:rsidP="00241369">
            <w:pPr>
              <w:spacing w:after="120"/>
              <w:contextualSpacing/>
            </w:pPr>
            <w:r>
              <w:t>Other p</w:t>
            </w:r>
            <w:r w:rsidR="00757F98">
              <w:t>rimary antibody deficiencies</w:t>
            </w:r>
          </w:p>
        </w:tc>
        <w:tc>
          <w:tcPr>
            <w:tcW w:w="1979" w:type="dxa"/>
          </w:tcPr>
          <w:p w14:paraId="21DC0A60" w14:textId="77777777" w:rsidR="002B54ED" w:rsidRDefault="002B54ED" w:rsidP="00241369">
            <w:pPr>
              <w:spacing w:after="120"/>
              <w:contextualSpacing/>
            </w:pPr>
            <w:r w:rsidRPr="00241369">
              <w:t>Co-trimoxazole</w:t>
            </w:r>
          </w:p>
          <w:p w14:paraId="794C9B80" w14:textId="77777777" w:rsidR="00757F98" w:rsidRDefault="00757F98" w:rsidP="00241369">
            <w:pPr>
              <w:spacing w:after="120"/>
              <w:contextualSpacing/>
            </w:pPr>
          </w:p>
          <w:p w14:paraId="2D0D7677" w14:textId="30FE2CBB" w:rsidR="00757F98" w:rsidRDefault="00757F98" w:rsidP="00241369">
            <w:pPr>
              <w:spacing w:after="120"/>
              <w:contextualSpacing/>
            </w:pPr>
          </w:p>
          <w:p w14:paraId="2206BDF4" w14:textId="77777777" w:rsidR="00757F98" w:rsidRDefault="00757F98" w:rsidP="00241369">
            <w:pPr>
              <w:spacing w:after="120"/>
              <w:contextualSpacing/>
            </w:pPr>
          </w:p>
          <w:p w14:paraId="2DA3678A" w14:textId="43769016" w:rsidR="00757F98" w:rsidRPr="00241369" w:rsidRDefault="00757F98" w:rsidP="00241369">
            <w:pPr>
              <w:spacing w:after="120"/>
              <w:contextualSpacing/>
            </w:pPr>
            <w:r>
              <w:t>Azithromycin</w:t>
            </w:r>
          </w:p>
        </w:tc>
        <w:tc>
          <w:tcPr>
            <w:tcW w:w="2554" w:type="dxa"/>
          </w:tcPr>
          <w:p w14:paraId="06B6F548" w14:textId="2F94F0B9" w:rsidR="002B54ED" w:rsidRDefault="002B54ED" w:rsidP="00F11334">
            <w:pPr>
              <w:spacing w:after="120"/>
              <w:contextualSpacing/>
            </w:pPr>
            <w:r w:rsidRPr="00241369">
              <w:t>Used in approximately 50% of patients</w:t>
            </w:r>
            <w:r w:rsidR="00A8534C" w:rsidRPr="00241369">
              <w:t xml:space="preserve"> </w:t>
            </w:r>
            <w:r w:rsidR="00587CD0">
              <w:fldChar w:fldCharType="begin">
                <w:fldData xml:space="preserve">PEVuZE5vdGU+PENpdGU+PEF1dGhvcj5LdXJ1dmlsbGE8L0F1dGhvcj48WWVhcj4yMDEzPC9ZZWFy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</w:fldData>
              </w:fldChar>
            </w:r>
            <w:r w:rsidR="00CD2C33">
              <w:instrText xml:space="preserve"> ADDIN EN.CITE </w:instrText>
            </w:r>
            <w:r w:rsidR="00CD2C33">
              <w:fldChar w:fldCharType="begin">
                <w:fldData xml:space="preserve">PEVuZE5vdGU+PENpdGU+PEF1dGhvcj5LdXJ1dmlsbGE8L0F1dGhvcj48WWVhcj4yMDEzPC9ZZWFy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</w:fldData>
              </w:fldChar>
            </w:r>
            <w:r w:rsidR="00CD2C33">
              <w:instrText xml:space="preserve"> ADDIN EN.CITE.DATA </w:instrText>
            </w:r>
            <w:r w:rsidR="00CD2C33">
              <w:fldChar w:fldCharType="end"/>
            </w:r>
            <w:r w:rsidR="00587CD0">
              <w:fldChar w:fldCharType="separate"/>
            </w:r>
            <w:r w:rsidR="00CD2C33">
              <w:rPr>
                <w:noProof/>
              </w:rPr>
              <w:t>(Kuruvilla et al., 2013)</w:t>
            </w:r>
            <w:r w:rsidR="00587CD0">
              <w:fldChar w:fldCharType="end"/>
            </w:r>
          </w:p>
          <w:p w14:paraId="6CF94F70" w14:textId="656634D7" w:rsidR="00757F98" w:rsidRDefault="00952F4C" w:rsidP="00F11334">
            <w:pPr>
              <w:spacing w:after="120"/>
              <w:contextualSpacing/>
            </w:pPr>
            <w:r>
              <w:t xml:space="preserve">1 </w:t>
            </w:r>
            <w:r w:rsidR="00B45C6D">
              <w:t>randomised controlled trial (</w:t>
            </w:r>
            <w:r>
              <w:t>RCT</w:t>
            </w:r>
            <w:r w:rsidR="00B45C6D">
              <w:t>)</w:t>
            </w:r>
            <w:r>
              <w:t xml:space="preserve">: </w:t>
            </w:r>
            <w:r w:rsidR="002E319F">
              <w:t>AZM r</w:t>
            </w:r>
            <w:r>
              <w:t>educ</w:t>
            </w:r>
            <w:r w:rsidR="002E319F">
              <w:t>ed</w:t>
            </w:r>
            <w:r>
              <w:t xml:space="preserve"> pulmonary exacerbations </w:t>
            </w:r>
          </w:p>
          <w:p w14:paraId="32239976" w14:textId="03202741" w:rsidR="00704A27" w:rsidRDefault="00930AD0" w:rsidP="00F11334">
            <w:pPr>
              <w:spacing w:after="120"/>
              <w:contextualSpacing/>
            </w:pPr>
            <w:r>
              <w:fldChar w:fldCharType="begin">
                <w:fldData xml:space="preserve">PEVuZE5vdGU+PENpdGU+PEF1dGhvcj5NaWxpdG88L0F1dGhvcj48WWVhcj4yMDE5PC9ZZWFyPjxS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</w:fldData>
              </w:fldChar>
            </w:r>
            <w:r w:rsidR="00EE22EB">
              <w:instrText xml:space="preserve"> ADDIN EN.CITE </w:instrText>
            </w:r>
            <w:r w:rsidR="00EE22EB">
              <w:fldChar w:fldCharType="begin">
                <w:fldData xml:space="preserve">PEVuZE5vdGU+PENpdGU+PEF1dGhvcj5NaWxpdG88L0F1dGhvcj48WWVhcj4yMDE5PC9ZZWFyPjxS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</w:fldData>
              </w:fldChar>
            </w:r>
            <w:r w:rsidR="00EE22EB">
              <w:instrText xml:space="preserve"> ADDIN EN.CITE.DATA </w:instrText>
            </w:r>
            <w:r w:rsidR="00EE22EB">
              <w:fldChar w:fldCharType="end"/>
            </w:r>
            <w:r>
              <w:fldChar w:fldCharType="separate"/>
            </w:r>
            <w:r w:rsidR="00EE22EB">
              <w:rPr>
                <w:noProof/>
              </w:rPr>
              <w:t>(Milito et al., 2019)</w:t>
            </w:r>
            <w:r>
              <w:fldChar w:fldCharType="end"/>
            </w:r>
          </w:p>
          <w:p w14:paraId="40E695F5" w14:textId="61C57AE3" w:rsidR="00952F4C" w:rsidRPr="00241369" w:rsidRDefault="00952F4C" w:rsidP="00F11334">
            <w:pPr>
              <w:spacing w:after="120"/>
              <w:contextualSpacing/>
            </w:pPr>
          </w:p>
        </w:tc>
      </w:tr>
      <w:tr w:rsidR="002B54ED" w:rsidRPr="008F33C8" w14:paraId="3A9E8D0A" w14:textId="77777777" w:rsidTr="009F7D80">
        <w:tc>
          <w:tcPr>
            <w:tcW w:w="2529" w:type="dxa"/>
          </w:tcPr>
          <w:p w14:paraId="348072CC" w14:textId="77777777" w:rsidR="002B54ED" w:rsidRPr="00241369" w:rsidRDefault="002B54ED" w:rsidP="00241369">
            <w:pPr>
              <w:spacing w:after="120"/>
              <w:contextualSpacing/>
            </w:pPr>
            <w:r w:rsidRPr="00241369">
              <w:t>Primary immune deficiency</w:t>
            </w:r>
          </w:p>
        </w:tc>
        <w:tc>
          <w:tcPr>
            <w:tcW w:w="2322" w:type="dxa"/>
          </w:tcPr>
          <w:p w14:paraId="3EC0BEB9" w14:textId="77777777" w:rsidR="002B54ED" w:rsidRPr="00241369" w:rsidRDefault="002B54ED" w:rsidP="00241369">
            <w:pPr>
              <w:spacing w:after="120"/>
              <w:contextualSpacing/>
            </w:pPr>
            <w:r w:rsidRPr="00241369">
              <w:t>Chronic granulomatous disease – Prevention of Staphylococcal infections</w:t>
            </w:r>
          </w:p>
        </w:tc>
        <w:tc>
          <w:tcPr>
            <w:tcW w:w="1979" w:type="dxa"/>
          </w:tcPr>
          <w:p w14:paraId="0361850B" w14:textId="77777777" w:rsidR="002B54ED" w:rsidRPr="00241369" w:rsidRDefault="002B54ED" w:rsidP="00241369">
            <w:pPr>
              <w:spacing w:after="120"/>
              <w:contextualSpacing/>
            </w:pPr>
            <w:r w:rsidRPr="00241369">
              <w:t>Life</w:t>
            </w:r>
            <w:r w:rsidR="007435F9" w:rsidRPr="00241369">
              <w:t>-</w:t>
            </w:r>
            <w:r w:rsidRPr="00241369">
              <w:t>long co-trimoxazole</w:t>
            </w:r>
          </w:p>
        </w:tc>
        <w:tc>
          <w:tcPr>
            <w:tcW w:w="2554" w:type="dxa"/>
          </w:tcPr>
          <w:p w14:paraId="4F39B590" w14:textId="26305924" w:rsidR="002B54ED" w:rsidRPr="00241369" w:rsidRDefault="002B54ED" w:rsidP="00241369">
            <w:pPr>
              <w:spacing w:after="120"/>
              <w:contextualSpacing/>
            </w:pPr>
            <w:r w:rsidRPr="00241369">
              <w:t>No RCTs</w:t>
            </w:r>
            <w:r w:rsidR="0050225C">
              <w:t>.</w:t>
            </w:r>
          </w:p>
          <w:p w14:paraId="73F7227C" w14:textId="41F7CB2C" w:rsidR="002B54ED" w:rsidRPr="00241369" w:rsidRDefault="002B54ED" w:rsidP="00241369">
            <w:pPr>
              <w:spacing w:after="120"/>
              <w:contextualSpacing/>
            </w:pPr>
            <w:r w:rsidRPr="00241369">
              <w:t xml:space="preserve">Well defined </w:t>
            </w:r>
            <w:r w:rsidR="0050225C">
              <w:t xml:space="preserve">used </w:t>
            </w:r>
            <w:r w:rsidRPr="00241369">
              <w:t>regimen based on:</w:t>
            </w:r>
          </w:p>
          <w:p w14:paraId="6AF2F2B2" w14:textId="77777777" w:rsidR="002B54ED" w:rsidRPr="00241369" w:rsidRDefault="002B54ED" w:rsidP="00241369">
            <w:pPr>
              <w:spacing w:after="120"/>
              <w:contextualSpacing/>
            </w:pPr>
            <w:r w:rsidRPr="00241369">
              <w:t>1 retrospective series of 11 patients</w:t>
            </w:r>
          </w:p>
          <w:p w14:paraId="0555760D" w14:textId="3A7004DF" w:rsidR="002B54ED" w:rsidRPr="00241369" w:rsidRDefault="002B54ED" w:rsidP="00F11334">
            <w:pPr>
              <w:spacing w:after="120"/>
              <w:contextualSpacing/>
            </w:pPr>
            <w:r w:rsidRPr="00241369">
              <w:t>Several observational studies</w:t>
            </w:r>
            <w:r w:rsidR="0050225C">
              <w:t xml:space="preserve"> </w:t>
            </w:r>
            <w:r w:rsidR="00A533CE">
              <w:fldChar w:fldCharType="begin">
                <w:fldData xml:space="preserve">PEVuZE5vdGU+PENpdGU+PEF1dGhvcj5LdXJ1dmlsbGE8L0F1dGhvcj48WWVhcj4yMDEzPC9ZZWFy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</w:fldData>
              </w:fldChar>
            </w:r>
            <w:r w:rsidR="00CD2C33">
              <w:instrText xml:space="preserve"> ADDIN EN.CITE </w:instrText>
            </w:r>
            <w:r w:rsidR="00CD2C33">
              <w:fldChar w:fldCharType="begin">
                <w:fldData xml:space="preserve">PEVuZE5vdGU+PENpdGU+PEF1dGhvcj5LdXJ1dmlsbGE8L0F1dGhvcj48WWVhcj4yMDEzPC9ZZWFy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</w:fldData>
              </w:fldChar>
            </w:r>
            <w:r w:rsidR="00CD2C33">
              <w:instrText xml:space="preserve"> ADDIN EN.CITE.DATA </w:instrText>
            </w:r>
            <w:r w:rsidR="00CD2C33">
              <w:fldChar w:fldCharType="end"/>
            </w:r>
            <w:r w:rsidR="00A533CE">
              <w:fldChar w:fldCharType="separate"/>
            </w:r>
            <w:r w:rsidR="00CD2C33">
              <w:rPr>
                <w:noProof/>
              </w:rPr>
              <w:t>(Kuruvilla et al., 2013)</w:t>
            </w:r>
            <w:r w:rsidR="00A533CE">
              <w:fldChar w:fldCharType="end"/>
            </w:r>
            <w:r w:rsidR="00A8534C" w:rsidRPr="00241369">
              <w:t xml:space="preserve"> </w:t>
            </w:r>
          </w:p>
        </w:tc>
      </w:tr>
      <w:tr w:rsidR="00D656B7" w:rsidRPr="008F33C8" w14:paraId="7E2D0613" w14:textId="77777777" w:rsidTr="009F7D80">
        <w:tc>
          <w:tcPr>
            <w:tcW w:w="2529" w:type="dxa"/>
          </w:tcPr>
          <w:p w14:paraId="2E1BE94F" w14:textId="26F4B3B8" w:rsidR="00D656B7" w:rsidRPr="00241369" w:rsidRDefault="00D656B7" w:rsidP="00241369">
            <w:pPr>
              <w:spacing w:after="120"/>
              <w:contextualSpacing/>
            </w:pPr>
            <w:r>
              <w:t>Acquired immune deficiency</w:t>
            </w:r>
          </w:p>
        </w:tc>
        <w:tc>
          <w:tcPr>
            <w:tcW w:w="2322" w:type="dxa"/>
          </w:tcPr>
          <w:p w14:paraId="7FD23D7C" w14:textId="775CDD4C" w:rsidR="00D656B7" w:rsidRPr="00241369" w:rsidRDefault="00D656B7" w:rsidP="00241369">
            <w:pPr>
              <w:spacing w:after="120"/>
              <w:contextualSpacing/>
            </w:pPr>
            <w:r>
              <w:t>HIV</w:t>
            </w:r>
          </w:p>
        </w:tc>
        <w:tc>
          <w:tcPr>
            <w:tcW w:w="1979" w:type="dxa"/>
            <w:shd w:val="clear" w:color="auto" w:fill="auto"/>
          </w:tcPr>
          <w:p w14:paraId="3F8DAA52" w14:textId="18EF4B0A" w:rsidR="00D656B7" w:rsidRPr="00241369" w:rsidRDefault="00D656B7" w:rsidP="00241369">
            <w:pPr>
              <w:spacing w:after="120"/>
              <w:contextualSpacing/>
            </w:pPr>
            <w:r>
              <w:t>Co-trimoxazole</w:t>
            </w:r>
          </w:p>
        </w:tc>
        <w:tc>
          <w:tcPr>
            <w:tcW w:w="2554" w:type="dxa"/>
          </w:tcPr>
          <w:p w14:paraId="38CBD166" w14:textId="7667539B" w:rsidR="00D656B7" w:rsidRPr="00241369" w:rsidRDefault="006C3DAC" w:rsidP="00241369">
            <w:pPr>
              <w:spacing w:after="120"/>
              <w:contextualSpacing/>
            </w:pPr>
            <w:r>
              <w:t xml:space="preserve">Duration varies according to </w:t>
            </w:r>
            <w:r w:rsidR="007B20A4">
              <w:t>country: Europe – may stop once CD4 &gt;200 cells/mm</w:t>
            </w:r>
            <w:r w:rsidR="007B20A4" w:rsidRPr="00E11138">
              <w:rPr>
                <w:vertAlign w:val="superscript"/>
              </w:rPr>
              <w:t>3</w:t>
            </w:r>
            <w:r w:rsidR="007B20A4">
              <w:t xml:space="preserve"> or </w:t>
            </w:r>
            <w:r w:rsidR="00A533CE">
              <w:t>Sub-Saharan</w:t>
            </w:r>
            <w:r w:rsidR="007B20A4">
              <w:t xml:space="preserve"> Africa </w:t>
            </w:r>
            <w:r w:rsidR="0050225C">
              <w:t>–</w:t>
            </w:r>
            <w:r w:rsidR="007B20A4">
              <w:t xml:space="preserve"> lifelong</w:t>
            </w:r>
            <w:r w:rsidR="0050225C">
              <w:t xml:space="preserve"> </w:t>
            </w:r>
            <w:r w:rsidR="00930AD0">
              <w:fldChar w:fldCharType="begin">
                <w:fldData xml:space="preserve">PEVuZE5vdGU+PENpdGU+PEF1dGhvcj5Bbnl3YWluZTwvQXV0aG9yPjxZZWFyPjIwMTg8L1llYXI+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</w:fldData>
              </w:fldChar>
            </w:r>
            <w:r w:rsidR="00EE22EB">
              <w:instrText xml:space="preserve"> ADDIN EN.CITE </w:instrText>
            </w:r>
            <w:r w:rsidR="00EE22EB">
              <w:fldChar w:fldCharType="begin">
                <w:fldData xml:space="preserve">PEVuZE5vdGU+PENpdGU+PEF1dGhvcj5Bbnl3YWluZTwvQXV0aG9yPjxZZWFyPjIwMTg8L1llYXI+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</w:fldData>
              </w:fldChar>
            </w:r>
            <w:r w:rsidR="00EE22EB">
              <w:instrText xml:space="preserve"> ADDIN EN.CITE.DATA </w:instrText>
            </w:r>
            <w:r w:rsidR="00EE22EB">
              <w:fldChar w:fldCharType="end"/>
            </w:r>
            <w:r w:rsidR="00930AD0">
              <w:fldChar w:fldCharType="separate"/>
            </w:r>
            <w:r w:rsidR="00EE22EB">
              <w:rPr>
                <w:noProof/>
              </w:rPr>
              <w:t>(Anywaine et al., 2018)</w:t>
            </w:r>
            <w:r w:rsidR="00930AD0">
              <w:fldChar w:fldCharType="end"/>
            </w:r>
          </w:p>
        </w:tc>
      </w:tr>
    </w:tbl>
    <w:p w14:paraId="6F959AF0" w14:textId="22EBE1C9" w:rsidR="002E22D8" w:rsidRDefault="002E22D8" w:rsidP="003C117D">
      <w:pPr>
        <w:spacing w:line="360" w:lineRule="auto"/>
      </w:pPr>
    </w:p>
    <w:p w14:paraId="4E41AB98" w14:textId="77777777" w:rsidR="00192ED6" w:rsidRPr="00241369" w:rsidRDefault="00192ED6" w:rsidP="003C117D">
      <w:pPr>
        <w:spacing w:line="360" w:lineRule="auto"/>
      </w:pPr>
    </w:p>
    <w:p w14:paraId="5965CF04" w14:textId="3729DD33" w:rsidR="002B54ED" w:rsidRDefault="00AF7BC0" w:rsidP="001F2604">
      <w:pPr>
        <w:spacing w:line="360" w:lineRule="auto"/>
      </w:pPr>
      <w:r>
        <w:t>Used appropriately, a</w:t>
      </w:r>
      <w:r w:rsidRPr="00241369">
        <w:t xml:space="preserve">ntibiotic </w:t>
      </w:r>
      <w:r w:rsidR="002B54ED" w:rsidRPr="00241369">
        <w:t xml:space="preserve">prophylaxis can have significant benefits for the individual in terms of reducing the risk of acquiring infections. </w:t>
      </w:r>
      <w:r w:rsidR="00A533CE">
        <w:t xml:space="preserve">This </w:t>
      </w:r>
      <w:r w:rsidR="00643311">
        <w:t xml:space="preserve">is illustrated by those with chronic granulomatous disease. </w:t>
      </w:r>
      <w:r w:rsidR="007B20A4">
        <w:t xml:space="preserve">Without antimicrobial </w:t>
      </w:r>
      <w:r w:rsidR="003A2397">
        <w:t>prophylaxis</w:t>
      </w:r>
      <w:r w:rsidR="007B20A4">
        <w:t xml:space="preserve">, </w:t>
      </w:r>
      <w:r w:rsidR="003A2397">
        <w:t>patients</w:t>
      </w:r>
      <w:r w:rsidR="007B20A4">
        <w:t xml:space="preserve"> suffered on average 1 life </w:t>
      </w:r>
      <w:r w:rsidR="003A2397">
        <w:t>threatening</w:t>
      </w:r>
      <w:r w:rsidR="007B20A4">
        <w:t xml:space="preserve"> infectious episode every 10 </w:t>
      </w:r>
      <w:r w:rsidR="003A2397">
        <w:t>months</w:t>
      </w:r>
      <w:r>
        <w:t xml:space="preserve">, often with </w:t>
      </w:r>
      <w:r w:rsidRPr="00F104C0">
        <w:rPr>
          <w:i/>
          <w:iCs/>
        </w:rPr>
        <w:t>St</w:t>
      </w:r>
      <w:r w:rsidR="002A523D" w:rsidRPr="00F104C0">
        <w:rPr>
          <w:i/>
          <w:iCs/>
        </w:rPr>
        <w:t>aphylococcus aureus</w:t>
      </w:r>
      <w:r w:rsidR="003A2397">
        <w:t>. With co-</w:t>
      </w:r>
      <w:r w:rsidR="007B20A4">
        <w:t>trimoxazole prophylaxis, this was found to be reduced to 1 life threatening episode every 40 months</w:t>
      </w:r>
      <w:r w:rsidR="00B12FF1">
        <w:t xml:space="preserve"> </w:t>
      </w:r>
      <w:r w:rsidR="00B12FF1">
        <w:fldChar w:fldCharType="begin"/>
      </w:r>
      <w:r w:rsidR="00EE22EB">
        <w:instrText xml:space="preserve"> ADDIN EN.CITE &lt;EndNote&gt;&lt;Cite&gt;&lt;Author&gt;Gallin&lt;/Author&gt;&lt;Year&gt;1983&lt;/Year&gt;&lt;RecNum&gt;335&lt;/RecNum&gt;&lt;DisplayText&gt;(Gallin et al., 1983)&lt;/DisplayText&gt;&lt;record&gt;&lt;rec-number&gt;335&lt;/rec-number&gt;&lt;foreign-keys&gt;&lt;key app="EN" db-id="pr9rwt2w8padxcerwx6prd0a9wtda2w5fw2t" timestamp="1629801118"&gt;335&lt;/key&gt;&lt;/foreign-keys&gt;&lt;ref-type name="Journal Article"&gt;17&lt;/ref-type&gt;&lt;contributors&gt;&lt;authors&gt;&lt;author&gt;Gallin, J. I.&lt;/author&gt;&lt;author&gt;Buescher, E. S.&lt;/author&gt;&lt;author&gt;Seligmann, B. E.&lt;/author&gt;&lt;author&gt;Nath, J.&lt;/author&gt;&lt;author&gt;Gaither, T.&lt;/author&gt;&lt;author&gt;Katz, P.&lt;/author&gt;&lt;/authors&gt;&lt;/contributors&gt;&lt;titles&gt;&lt;title&gt;NIH conference. Recent advances in chronic granulomatous disease&lt;/title&gt;&lt;secondary-title&gt;Ann Intern Med&lt;/secondary-title&gt;&lt;/titles&gt;&lt;periodical&gt;&lt;full-title&gt;Ann Intern Med&lt;/full-title&gt;&lt;/periodical&gt;&lt;pages&gt;657-74&lt;/pages&gt;&lt;volume&gt;99&lt;/volume&gt;&lt;number&gt;5&lt;/number&gt;&lt;edition&gt;1983/11/01&lt;/edition&gt;&lt;keywords&gt;&lt;keyword&gt;Adolescent&lt;/keyword&gt;&lt;keyword&gt;Adult&lt;/keyword&gt;&lt;keyword&gt;Antibody-Dependent Cell Cytotoxicity&lt;/keyword&gt;&lt;keyword&gt;Child&lt;/keyword&gt;&lt;keyword&gt;Child, Preschool&lt;/keyword&gt;&lt;keyword&gt;Female&lt;/keyword&gt;&lt;keyword&gt;*Granulomatous Disease, Chronic/enzymology/genetics/immunology/therapy&lt;/keyword&gt;&lt;keyword&gt;Humans&lt;/keyword&gt;&lt;keyword&gt;Inflammation/etiology&lt;/keyword&gt;&lt;keyword&gt;Male&lt;/keyword&gt;&lt;keyword&gt;NADH, NADPH Oxidoreductases/deficiency&lt;/keyword&gt;&lt;keyword&gt;NADPH Oxidases&lt;/keyword&gt;&lt;keyword&gt;Neutrophils/metabolism&lt;/keyword&gt;&lt;keyword&gt;Oxidation-Reduction&lt;/keyword&gt;&lt;keyword&gt;Pedigree&lt;/keyword&gt;&lt;keyword&gt;Phagocytes/physiology&lt;/keyword&gt;&lt;keyword&gt;Receptors, Complement/metabolism&lt;/keyword&gt;&lt;keyword&gt;Receptors, Complement 3b&lt;/keyword&gt;&lt;keyword&gt;Recurrence&lt;/keyword&gt;&lt;keyword&gt;Tubulin/blood&lt;/keyword&gt;&lt;keyword&gt;Tyrosine/blood&lt;/keyword&gt;&lt;/keywords&gt;&lt;dates&gt;&lt;year&gt;1983&lt;/year&gt;&lt;pub-dates&gt;&lt;date&gt;Nov&lt;/date&gt;&lt;/pub-dates&gt;&lt;/dates&gt;&lt;isbn&gt;0003-4819 (Print)&amp;#xD;0003-4819&lt;/isbn&gt;&lt;accession-num&gt;6227266&lt;/accession-num&gt;&lt;urls&gt;&lt;/urls&gt;&lt;electronic-resource-num&gt;10.7326/0003-4819-99-5-657&lt;/electronic-resource-num&gt;&lt;remote-database-provider&gt;NLM&lt;/remote-database-provider&gt;&lt;language&gt;eng&lt;/language&gt;&lt;/record&gt;&lt;/Cite&gt;&lt;/EndNote&gt;</w:instrText>
      </w:r>
      <w:r w:rsidR="00B12FF1">
        <w:fldChar w:fldCharType="separate"/>
      </w:r>
      <w:r w:rsidR="00EE22EB">
        <w:rPr>
          <w:noProof/>
        </w:rPr>
        <w:t>(Gallin et al., 1983)</w:t>
      </w:r>
      <w:r w:rsidR="00B12FF1">
        <w:fldChar w:fldCharType="end"/>
      </w:r>
      <w:r w:rsidR="007B20A4">
        <w:t xml:space="preserve">. </w:t>
      </w:r>
      <w:r w:rsidR="002B54ED" w:rsidRPr="00241369">
        <w:t>This may impact on</w:t>
      </w:r>
      <w:r w:rsidR="00C84BA2" w:rsidRPr="00241369">
        <w:t xml:space="preserve"> </w:t>
      </w:r>
      <w:r w:rsidR="00DB615F">
        <w:t>short</w:t>
      </w:r>
      <w:r w:rsidR="00B46F76">
        <w:t>-</w:t>
      </w:r>
      <w:r w:rsidR="00DB615F">
        <w:t xml:space="preserve"> and long</w:t>
      </w:r>
      <w:r w:rsidR="00B46F76">
        <w:t>-</w:t>
      </w:r>
      <w:r w:rsidR="002B54ED" w:rsidRPr="00241369">
        <w:t>term morbidity</w:t>
      </w:r>
      <w:r w:rsidR="00C84BA2" w:rsidRPr="00241369">
        <w:t xml:space="preserve">, quality of life </w:t>
      </w:r>
      <w:r w:rsidR="002B54ED" w:rsidRPr="00241369">
        <w:t>and mortality</w:t>
      </w:r>
      <w:r w:rsidR="00C84BA2" w:rsidRPr="00241369">
        <w:t>,</w:t>
      </w:r>
      <w:r w:rsidR="002B54ED" w:rsidRPr="00241369">
        <w:t xml:space="preserve"> as well as shortening hospitals stays in the example of </w:t>
      </w:r>
      <w:r w:rsidR="004155EC">
        <w:t xml:space="preserve">perioperative </w:t>
      </w:r>
      <w:r w:rsidR="002B54ED" w:rsidRPr="00241369">
        <w:t xml:space="preserve">surgical </w:t>
      </w:r>
      <w:r w:rsidR="004155EC">
        <w:t xml:space="preserve">antibiotic </w:t>
      </w:r>
      <w:r w:rsidR="002B54ED" w:rsidRPr="00241369">
        <w:t xml:space="preserve">prophylaxis. Despite these benefits, other side effects and consequences must be considered for both the individual and for the wider community. These </w:t>
      </w:r>
      <w:r w:rsidR="00D51B85" w:rsidRPr="00241369">
        <w:t>include</w:t>
      </w:r>
      <w:r w:rsidR="002B54ED" w:rsidRPr="00241369">
        <w:t xml:space="preserve"> side effect profiles of the drugs</w:t>
      </w:r>
      <w:r w:rsidR="00CD32B2" w:rsidRPr="00241369">
        <w:t xml:space="preserve"> (ranging in severity from minor gastrointestinal effects to life-threatening anaphylaxis</w:t>
      </w:r>
      <w:r w:rsidR="00731D2F">
        <w:t xml:space="preserve"> or bone marrow suppression</w:t>
      </w:r>
      <w:r w:rsidR="00CD32B2" w:rsidRPr="00241369">
        <w:t>)</w:t>
      </w:r>
      <w:r w:rsidR="002B54ED" w:rsidRPr="00241369">
        <w:t xml:space="preserve">, promoting </w:t>
      </w:r>
      <w:r w:rsidR="006012CA">
        <w:t>AMR</w:t>
      </w:r>
      <w:r w:rsidR="00DB615F">
        <w:t xml:space="preserve"> </w:t>
      </w:r>
      <w:r w:rsidR="002B54ED" w:rsidRPr="00241369">
        <w:t xml:space="preserve">and changes to the bacterial </w:t>
      </w:r>
      <w:r w:rsidR="002B54ED" w:rsidRPr="00241369">
        <w:lastRenderedPageBreak/>
        <w:t xml:space="preserve">communities residing within us, the microbiota, </w:t>
      </w:r>
      <w:r w:rsidR="009A7C17">
        <w:t xml:space="preserve">potentially </w:t>
      </w:r>
      <w:r w:rsidR="002B54ED" w:rsidRPr="00241369">
        <w:t>leading to specific (e</w:t>
      </w:r>
      <w:r w:rsidR="004155EC">
        <w:t>.</w:t>
      </w:r>
      <w:r w:rsidR="002B54ED" w:rsidRPr="00241369">
        <w:t>g</w:t>
      </w:r>
      <w:r w:rsidR="004155EC">
        <w:t>.</w:t>
      </w:r>
      <w:r w:rsidR="002B54ED" w:rsidRPr="00241369">
        <w:t xml:space="preserve"> </w:t>
      </w:r>
      <w:r w:rsidR="002B54ED" w:rsidRPr="006012CA">
        <w:rPr>
          <w:i/>
          <w:iCs/>
        </w:rPr>
        <w:t>Clostridium difficile</w:t>
      </w:r>
      <w:r w:rsidR="002B54ED" w:rsidRPr="00241369">
        <w:t xml:space="preserve"> infection) or as yet uncertain consequences. </w:t>
      </w:r>
    </w:p>
    <w:p w14:paraId="090C6135" w14:textId="77777777" w:rsidR="008E1EFC" w:rsidRPr="00241369" w:rsidRDefault="008E1EFC" w:rsidP="001F2604">
      <w:pPr>
        <w:spacing w:line="360" w:lineRule="auto"/>
      </w:pPr>
    </w:p>
    <w:p w14:paraId="2AB31AD1" w14:textId="58948061" w:rsidR="002B54ED" w:rsidRPr="00241369" w:rsidRDefault="002B54ED" w:rsidP="004F3338">
      <w:pPr>
        <w:pStyle w:val="Heading2"/>
      </w:pPr>
      <w:bookmarkStart w:id="35" w:name="_Toc28850814"/>
      <w:bookmarkStart w:id="36" w:name="_Toc117765886"/>
      <w:r w:rsidRPr="00241369">
        <w:t xml:space="preserve">Prophylactic </w:t>
      </w:r>
      <w:r w:rsidR="00AA3BA2">
        <w:t>macrolide</w:t>
      </w:r>
      <w:r w:rsidRPr="00241369">
        <w:t xml:space="preserve"> use in p</w:t>
      </w:r>
      <w:r w:rsidR="00CA1CF0">
        <w:t>a</w:t>
      </w:r>
      <w:r w:rsidRPr="00241369">
        <w:t>ediatric</w:t>
      </w:r>
      <w:bookmarkEnd w:id="35"/>
      <w:r w:rsidR="00AA3BA2">
        <w:t xml:space="preserve"> respiratory disease</w:t>
      </w:r>
      <w:bookmarkEnd w:id="36"/>
    </w:p>
    <w:p w14:paraId="490C737C" w14:textId="0767C222" w:rsidR="005E4038" w:rsidRDefault="009857D0" w:rsidP="00C961C8">
      <w:pPr>
        <w:spacing w:after="160" w:line="360" w:lineRule="auto"/>
      </w:pPr>
      <w:r w:rsidRPr="00AE19CC">
        <w:t xml:space="preserve">Macrolides are a class of </w:t>
      </w:r>
      <w:r w:rsidR="00E043B7" w:rsidRPr="00AE19CC">
        <w:t>broad-spectrum</w:t>
      </w:r>
      <w:r w:rsidR="00436B2C" w:rsidRPr="00AE19CC">
        <w:t xml:space="preserve"> </w:t>
      </w:r>
      <w:r w:rsidRPr="008B6B7A">
        <w:t xml:space="preserve">antibiotics </w:t>
      </w:r>
      <w:r w:rsidR="00436B2C" w:rsidRPr="008B6B7A">
        <w:t>with both gram</w:t>
      </w:r>
      <w:r w:rsidR="002A523D">
        <w:t>-</w:t>
      </w:r>
      <w:r w:rsidR="00436B2C" w:rsidRPr="008B6B7A">
        <w:t xml:space="preserve">positive and </w:t>
      </w:r>
      <w:r w:rsidR="00731D2F">
        <w:t xml:space="preserve">some </w:t>
      </w:r>
      <w:r w:rsidR="00436B2C" w:rsidRPr="008B6B7A">
        <w:t>gram</w:t>
      </w:r>
      <w:r w:rsidR="002A523D">
        <w:t>-</w:t>
      </w:r>
      <w:r w:rsidR="00436B2C" w:rsidRPr="008B6B7A">
        <w:t>negative cover. They exert their antimicrobial effects by in</w:t>
      </w:r>
      <w:r w:rsidR="00436B2C" w:rsidRPr="001B4D8A">
        <w:t xml:space="preserve">hibiting protein synthesis through binding to the large </w:t>
      </w:r>
      <w:r w:rsidR="00AE19CC">
        <w:t xml:space="preserve">prokaryotic </w:t>
      </w:r>
      <w:r w:rsidR="00436B2C" w:rsidRPr="00AE19CC">
        <w:t>ribosomal subunit</w:t>
      </w:r>
      <w:r w:rsidR="00AE19CC">
        <w:t xml:space="preserve"> </w:t>
      </w:r>
      <w:r w:rsidR="001F7EED">
        <w:fldChar w:fldCharType="begin"/>
      </w:r>
      <w:r w:rsidR="001F7EED">
        <w:instrText xml:space="preserve"> ADDIN EN.CITE &lt;EndNote&gt;&lt;Cite&gt;&lt;Author&gt;Dinos&lt;/Author&gt;&lt;Year&gt;2017&lt;/Year&gt;&lt;RecNum&gt;309&lt;/RecNum&gt;&lt;DisplayText&gt;(Dinos, 2017)&lt;/DisplayText&gt;&lt;record&gt;&lt;rec-number&gt;309&lt;/rec-number&gt;&lt;foreign-keys&gt;&lt;key app="EN" db-id="pr9rwt2w8padxcerwx6prd0a9wtda2w5fw2t" timestamp="1629731697"&gt;309&lt;/key&gt;&lt;/foreign-keys&gt;&lt;ref-type name="Journal Article"&gt;17&lt;/ref-type&gt;&lt;contributors&gt;&lt;authors&gt;&lt;author&gt;Dinos, George P.&lt;/author&gt;&lt;/authors&gt;&lt;/contributors&gt;&lt;titles&gt;&lt;title&gt;The macrolide antibiotic renaissance&lt;/title&gt;&lt;secondary-title&gt;British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Pharmacol&lt;/abbr-1&gt;&lt;/alt-periodical&gt;&lt;pages&gt;2967-2983&lt;/pages&gt;&lt;volume&gt;174&lt;/volume&gt;&lt;number&gt;18&lt;/number&gt;&lt;edition&gt;2017/08/10&lt;/edition&gt;&lt;keywords&gt;&lt;keyword&gt;Anti-Bacterial Agents/chemical synthesis/chemistry/*pharmacology&lt;/keyword&gt;&lt;keyword&gt;Bacteria/*drug effects&lt;/keyword&gt;&lt;keyword&gt;Communicable Diseases/*drug therapy/*microbiology&lt;/keyword&gt;&lt;keyword&gt;Humans&lt;/keyword&gt;&lt;keyword&gt;Macrolides/chemical synthesis/chemistry/*pharmacology&lt;/keyword&gt;&lt;/keywords&gt;&lt;dates&gt;&lt;year&gt;2017&lt;/year&gt;&lt;/dates&gt;&lt;publisher&gt;John Wiley and Sons Inc.&lt;/publisher&gt;&lt;isbn&gt;1476-5381&amp;#xD;0007-1188&lt;/isbn&gt;&lt;accession-num&gt;28664582&lt;/accession-num&gt;&lt;urls&gt;&lt;related-urls&gt;&lt;url&gt;https://pubmed.ncbi.nlm.nih.gov/28664582&lt;/url&gt;&lt;url&gt;https://www.ncbi.nlm.nih.gov/pmc/articles/PMC5573421/&lt;/url&gt;&lt;/related-urls&gt;&lt;/urls&gt;&lt;electronic-resource-num&gt;10.1111/bph.13936&lt;/electronic-resource-num&gt;&lt;remote-database-name&gt;PubMed&lt;/remote-database-name&gt;&lt;language&gt;eng&lt;/language&gt;&lt;/record&gt;&lt;/Cite&gt;&lt;/EndNote&gt;</w:instrText>
      </w:r>
      <w:r w:rsidR="001F7EED">
        <w:fldChar w:fldCharType="separate"/>
      </w:r>
      <w:r w:rsidR="001F7EED">
        <w:rPr>
          <w:noProof/>
        </w:rPr>
        <w:t>(Dinos, 2017)</w:t>
      </w:r>
      <w:r w:rsidR="001F7EED">
        <w:fldChar w:fldCharType="end"/>
      </w:r>
      <w:r w:rsidR="00436B2C" w:rsidRPr="00AE19CC">
        <w:t>. Newer generation macrolides such as azithromycin have a longer half</w:t>
      </w:r>
      <w:r w:rsidR="00D45502" w:rsidRPr="001B4D8A">
        <w:t>-</w:t>
      </w:r>
      <w:r w:rsidR="00436B2C" w:rsidRPr="001B4D8A">
        <w:t xml:space="preserve">life and </w:t>
      </w:r>
      <w:r w:rsidR="00D45502" w:rsidRPr="001B4D8A">
        <w:t xml:space="preserve">larger </w:t>
      </w:r>
      <w:r w:rsidR="00DE7D61">
        <w:t xml:space="preserve">tissue </w:t>
      </w:r>
      <w:r w:rsidR="00436B2C" w:rsidRPr="001B4D8A">
        <w:t>volume distribution</w:t>
      </w:r>
      <w:r w:rsidR="00731D2F">
        <w:t>,</w:t>
      </w:r>
      <w:r w:rsidR="00D45502" w:rsidRPr="001B4D8A">
        <w:t xml:space="preserve"> </w:t>
      </w:r>
      <w:r w:rsidR="00731D2F">
        <w:t>allowing</w:t>
      </w:r>
      <w:r w:rsidR="00D45502" w:rsidRPr="001B4D8A">
        <w:t xml:space="preserve"> a favourable dosing regimen</w:t>
      </w:r>
      <w:r w:rsidR="00731D2F">
        <w:t xml:space="preserve"> which is</w:t>
      </w:r>
      <w:r w:rsidR="00731D2F" w:rsidRPr="001B4D8A">
        <w:t xml:space="preserve"> </w:t>
      </w:r>
      <w:r w:rsidR="00D45502" w:rsidRPr="001B4D8A">
        <w:t>particularly important in paediatric populations.</w:t>
      </w:r>
      <w:r w:rsidR="00081368">
        <w:t xml:space="preserve"> </w:t>
      </w:r>
      <w:r w:rsidR="00167136">
        <w:t>For</w:t>
      </w:r>
      <w:r w:rsidR="00D31C43">
        <w:t xml:space="preserve"> acute </w:t>
      </w:r>
      <w:r w:rsidR="00081368">
        <w:t xml:space="preserve">paediatric respiratory </w:t>
      </w:r>
      <w:r w:rsidR="00167136">
        <w:t>infections</w:t>
      </w:r>
      <w:r w:rsidR="00081368">
        <w:t xml:space="preserve">, the commonly prescribed macrolides are erythromycin, </w:t>
      </w:r>
      <w:r w:rsidR="00E043B7">
        <w:t>clarith</w:t>
      </w:r>
      <w:r w:rsidR="00E404DA">
        <w:t>r</w:t>
      </w:r>
      <w:r w:rsidR="00E043B7">
        <w:t xml:space="preserve">omycin </w:t>
      </w:r>
      <w:r w:rsidR="00081368">
        <w:t>and azithromycin</w:t>
      </w:r>
      <w:r w:rsidR="00E043B7">
        <w:t xml:space="preserve">, </w:t>
      </w:r>
      <w:r w:rsidR="002A523D">
        <w:t xml:space="preserve">whilst </w:t>
      </w:r>
      <w:r w:rsidR="00B7671D">
        <w:t xml:space="preserve">azithromycin </w:t>
      </w:r>
      <w:r w:rsidR="002A523D">
        <w:t>is the commonest agent for</w:t>
      </w:r>
      <w:r w:rsidR="00E043B7">
        <w:t xml:space="preserve"> prophylaxis</w:t>
      </w:r>
      <w:r w:rsidR="00952DA0">
        <w:t>.</w:t>
      </w:r>
      <w:r w:rsidR="00081368">
        <w:t xml:space="preserve"> </w:t>
      </w:r>
      <w:r w:rsidR="003764EE">
        <w:t xml:space="preserve">In addition to the antimicrobial effects, over </w:t>
      </w:r>
      <w:r w:rsidR="00F47CAF">
        <w:t>the past 2 decades, there has been increasing interest in the immunomodulatory effects of azithromycin</w:t>
      </w:r>
      <w:r w:rsidR="00545F0D">
        <w:t>, although many of the actions attributed to this agent are likely to be shared to a greater or lesser extent by other macrolides</w:t>
      </w:r>
      <w:r w:rsidR="00AE19CC">
        <w:t>. T</w:t>
      </w:r>
      <w:r w:rsidR="00F47CAF">
        <w:t xml:space="preserve">he mechanisms of </w:t>
      </w:r>
      <w:r w:rsidR="00545F0D">
        <w:t xml:space="preserve">macrolide immunomodulatory </w:t>
      </w:r>
      <w:r w:rsidR="00F47CAF">
        <w:t xml:space="preserve">action </w:t>
      </w:r>
      <w:r w:rsidR="00D45502" w:rsidRPr="00AE19CC">
        <w:t>are still being characterised</w:t>
      </w:r>
      <w:r w:rsidR="00F47CAF">
        <w:t xml:space="preserve">. They </w:t>
      </w:r>
      <w:r w:rsidR="009F56B6" w:rsidRPr="00F964D4">
        <w:t xml:space="preserve">involve </w:t>
      </w:r>
      <w:r w:rsidR="00D45502" w:rsidRPr="00AE19CC">
        <w:t xml:space="preserve">interactions with both innate and adaptive immune systems as well as with local </w:t>
      </w:r>
      <w:r w:rsidR="00D45502" w:rsidRPr="00952DA0">
        <w:t>host defences</w:t>
      </w:r>
      <w:r w:rsidR="00F66D9F">
        <w:t xml:space="preserve"> </w:t>
      </w:r>
      <w:r w:rsidR="00F66D9F">
        <w:fldChar w:fldCharType="begin"/>
      </w:r>
      <w:r w:rsidR="00CD2C33">
        <w:instrText xml:space="preserve"> ADDIN EN.CITE &lt;EndNote&gt;&lt;Cite&gt;&lt;Author&gt;Pollock&lt;/Author&gt;&lt;Year&gt;2021&lt;/Year&gt;&lt;RecNum&gt;506&lt;/RecNum&gt;&lt;DisplayText&gt;(Pollock et al., 2021)&lt;/DisplayText&gt;&lt;record&gt;&lt;rec-number&gt;506&lt;/rec-number&gt;&lt;foreign-keys&gt;&lt;key app="EN" db-id="pr9rwt2w8padxcerwx6prd0a9wtda2w5fw2t" timestamp="1656407298"&gt;506&lt;/key&gt;&lt;/foreign-keys&gt;&lt;ref-type name="Journal Article"&gt;17&lt;/ref-type&gt;&lt;contributors&gt;&lt;authors&gt;&lt;author&gt;Pollock, J.&lt;/author&gt;&lt;author&gt;Chalmers, J. D.&lt;/author&gt;&lt;/authors&gt;&lt;/contributors&gt;&lt;auth-address&gt;Division of Molecular and Clinical Medicine, University of Dundee, Dundee, UK.&amp;#xD;Division of Molecular and Clinical Medicine, University of Dundee, Dundee, UK. Electronic address: j.chalmers@dundee.ac.uk.&lt;/auth-address&gt;&lt;titles&gt;&lt;title&gt;The immunomodulatory effects of macrolide antibiotics in respiratory disease&lt;/title&gt;&lt;secondary-title&gt;Pulm Pharmacol Ther&lt;/secondary-title&gt;&lt;/titles&gt;&lt;periodical&gt;&lt;full-title&gt;Pulm Pharmacol Ther&lt;/full-title&gt;&lt;/periodical&gt;&lt;pages&gt;102095&lt;/pages&gt;&lt;volume&gt;71&lt;/volume&gt;&lt;edition&gt;2021/11/07&lt;/edition&gt;&lt;keywords&gt;&lt;keyword&gt;Anti-Bacterial Agents/pharmacology/therapeutic use&lt;/keyword&gt;&lt;keyword&gt;*covid-19&lt;/keyword&gt;&lt;keyword&gt;*Cystic Fibrosis/drug therapy&lt;/keyword&gt;&lt;keyword&gt;Humans&lt;/keyword&gt;&lt;keyword&gt;Immunomodulation&lt;/keyword&gt;&lt;keyword&gt;Macrolides/pharmacology&lt;/keyword&gt;&lt;keyword&gt;SARS-CoV-2&lt;/keyword&gt;&lt;keyword&gt;*Azithromycin&lt;/keyword&gt;&lt;keyword&gt;*Bronchiectasis&lt;/keyword&gt;&lt;keyword&gt;*copd&lt;/keyword&gt;&lt;keyword&gt;*Cystic fibrosis&lt;/keyword&gt;&lt;keyword&gt;*Neutrophils&lt;/keyword&gt;&lt;/keywords&gt;&lt;dates&gt;&lt;year&gt;2021&lt;/year&gt;&lt;pub-dates&gt;&lt;date&gt;Dec&lt;/date&gt;&lt;/pub-dates&gt;&lt;/dates&gt;&lt;isbn&gt;1094-5539 (Print)&amp;#xD;1094-5539&lt;/isbn&gt;&lt;accession-num&gt;34740749&lt;/accession-num&gt;&lt;urls&gt;&lt;/urls&gt;&lt;custom2&gt;PMC8563091&lt;/custom2&gt;&lt;electronic-resource-num&gt;10.1016/j.pupt.2021.102095&lt;/electronic-resource-num&gt;&lt;remote-database-provider&gt;NLM&lt;/remote-database-provider&gt;&lt;language&gt;eng&lt;/language&gt;&lt;/record&gt;&lt;/Cite&gt;&lt;/EndNote&gt;</w:instrText>
      </w:r>
      <w:r w:rsidR="00F66D9F">
        <w:fldChar w:fldCharType="separate"/>
      </w:r>
      <w:r w:rsidR="00CD2C33">
        <w:rPr>
          <w:noProof/>
        </w:rPr>
        <w:t>(Pollock et al., 2021)</w:t>
      </w:r>
      <w:r w:rsidR="00F66D9F">
        <w:fldChar w:fldCharType="end"/>
      </w:r>
      <w:r w:rsidR="00D45502" w:rsidRPr="00AE19CC">
        <w:t xml:space="preserve">. </w:t>
      </w:r>
      <w:r w:rsidR="001B4D8A" w:rsidRPr="00F964D4">
        <w:t xml:space="preserve">Furthermore, </w:t>
      </w:r>
      <w:r w:rsidR="00F47CAF">
        <w:t>azithromycin</w:t>
      </w:r>
      <w:r w:rsidR="001B4D8A" w:rsidRPr="00F964D4">
        <w:t xml:space="preserve"> also has other direct effects on bacteria through disruption of biofilm formation as well as </w:t>
      </w:r>
      <w:r w:rsidR="00F82B7D">
        <w:t xml:space="preserve">some </w:t>
      </w:r>
      <w:r w:rsidR="001B4D8A" w:rsidRPr="00F964D4">
        <w:t xml:space="preserve">anti-viral properties by interfering with internalisation of viruses into host cells and disrupting the optimal environment for viral replication </w:t>
      </w:r>
      <w:r w:rsidR="00952DA0">
        <w:fldChar w:fldCharType="begin">
          <w:fldData xml:space="preserve">PEVuZE5vdGU+PENpdGU+PEF1dGhvcj5JY2hpbWl5YTwvQXV0aG9yPjxZZWFyPjE5OTY8L1llYXI+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</w:fldData>
        </w:fldChar>
      </w:r>
      <w:r w:rsidR="00CD2C33">
        <w:instrText xml:space="preserve"> ADDIN EN.CITE </w:instrText>
      </w:r>
      <w:r w:rsidR="00CD2C33">
        <w:fldChar w:fldCharType="begin">
          <w:fldData xml:space="preserve">PEVuZE5vdGU+PENpdGU+PEF1dGhvcj5JY2hpbWl5YTwvQXV0aG9yPjxZZWFyPjE5OTY8L1llYXI+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</w:fldData>
        </w:fldChar>
      </w:r>
      <w:r w:rsidR="00CD2C33">
        <w:instrText xml:space="preserve"> ADDIN EN.CITE.DATA </w:instrText>
      </w:r>
      <w:r w:rsidR="00CD2C33">
        <w:fldChar w:fldCharType="end"/>
      </w:r>
      <w:r w:rsidR="00952DA0">
        <w:fldChar w:fldCharType="separate"/>
      </w:r>
      <w:r w:rsidR="00CD2C33">
        <w:rPr>
          <w:noProof/>
        </w:rPr>
        <w:t>(Damle et al., 2020; Ichimiya et al., 1996)</w:t>
      </w:r>
      <w:r w:rsidR="00952DA0">
        <w:fldChar w:fldCharType="end"/>
      </w:r>
      <w:r w:rsidR="001B4D8A" w:rsidRPr="00F964D4">
        <w:t xml:space="preserve">. </w:t>
      </w:r>
      <w:r w:rsidR="00D45502" w:rsidRPr="00AE19CC">
        <w:t xml:space="preserve">Prolonged courses of </w:t>
      </w:r>
      <w:r w:rsidR="00F47CAF">
        <w:t>azithromycin</w:t>
      </w:r>
      <w:r w:rsidR="00B5431B" w:rsidRPr="00AE19CC">
        <w:t xml:space="preserve"> are used in a variety of paediatric chronic diseases for </w:t>
      </w:r>
      <w:r w:rsidR="001B4D8A" w:rsidRPr="00F964D4">
        <w:t>its</w:t>
      </w:r>
      <w:r w:rsidR="00B5431B" w:rsidRPr="00AE19CC">
        <w:t xml:space="preserve"> “anti-inflammatory” effect</w:t>
      </w:r>
      <w:r w:rsidR="00611B6F">
        <w:t>.</w:t>
      </w:r>
      <w:r w:rsidR="007E54B1">
        <w:t xml:space="preserve"> </w:t>
      </w:r>
      <w:r w:rsidR="00B5431B" w:rsidRPr="008B6B7A">
        <w:t xml:space="preserve">This is </w:t>
      </w:r>
      <w:r w:rsidR="00B5431B" w:rsidRPr="00300005">
        <w:t>particularly</w:t>
      </w:r>
      <w:r w:rsidR="00B5431B" w:rsidRPr="000215D4">
        <w:t xml:space="preserve"> </w:t>
      </w:r>
      <w:r w:rsidR="00B5431B" w:rsidRPr="001B4D8A">
        <w:t xml:space="preserve">the case in conditions </w:t>
      </w:r>
      <w:r w:rsidR="00611B6F" w:rsidRPr="001B4D8A">
        <w:t>characterised by</w:t>
      </w:r>
      <w:r w:rsidR="00B5431B" w:rsidRPr="001B4D8A">
        <w:t xml:space="preserve"> neutrophilic inflammation such as cystic fibrosis and bronchiectasis.</w:t>
      </w:r>
      <w:r w:rsidR="00B5431B" w:rsidRPr="00F964D4">
        <w:t xml:space="preserve"> </w:t>
      </w:r>
    </w:p>
    <w:p w14:paraId="6F6809C7" w14:textId="1361CCAF" w:rsidR="00C45579" w:rsidRDefault="00545F0D" w:rsidP="001F2604">
      <w:pPr>
        <w:spacing w:line="360" w:lineRule="auto"/>
      </w:pPr>
      <w:r>
        <w:t>Adult prophylaxis with azithromycin is usually administered as 250mg -500mg thrice weekly</w:t>
      </w:r>
      <w:r w:rsidR="00467047">
        <w:t>.</w:t>
      </w:r>
      <w:r>
        <w:t xml:space="preserve"> </w:t>
      </w:r>
      <w:r w:rsidR="00AC562E">
        <w:t xml:space="preserve">The </w:t>
      </w:r>
      <w:r w:rsidR="00C45579">
        <w:t xml:space="preserve">paediatric </w:t>
      </w:r>
      <w:r w:rsidR="00AC562E">
        <w:t xml:space="preserve">dosing regimen used for long-term azithromycin varies. </w:t>
      </w:r>
      <w:r w:rsidR="00C45579">
        <w:t>Metaxa</w:t>
      </w:r>
      <w:r w:rsidR="00AC562E">
        <w:t xml:space="preserve"> </w:t>
      </w:r>
      <w:r w:rsidR="00C45579">
        <w:t xml:space="preserve">et al </w:t>
      </w:r>
      <w:r w:rsidR="00AC562E">
        <w:t>report 3 different regimens being used in the East of England</w:t>
      </w:r>
      <w:r w:rsidR="00C45579">
        <w:t xml:space="preserve"> </w:t>
      </w:r>
      <w:r w:rsidR="00A045C8">
        <w:fldChar w:fldCharType="begin"/>
      </w:r>
      <w:r w:rsidR="00EE22EB">
        <w:instrText xml:space="preserve"> ADDIN EN.CITE &lt;EndNote&gt;&lt;Cite&gt;&lt;Author&gt;Metaxa&lt;/Author&gt;&lt;Year&gt;2019&lt;/Year&gt;&lt;RecNum&gt;358&lt;/RecNum&gt;&lt;DisplayText&gt;(Metaxa et al., 2019)&lt;/DisplayText&gt;&lt;record&gt;&lt;rec-number&gt;358&lt;/rec-number&gt;&lt;foreign-keys&gt;&lt;key app="EN" db-id="pr9rwt2w8padxcerwx6prd0a9wtda2w5fw2t" timestamp="1629807859"&gt;358&lt;/key&gt;&lt;/foreign-keys&gt;&lt;ref-type name="Journal Article"&gt;17&lt;/ref-type&gt;&lt;contributors&gt;&lt;authors&gt;&lt;author&gt;Metaxa, D&lt;/author&gt;&lt;author&gt;Hajnal, A&lt;/author&gt;&lt;author&gt;Giggins, C&lt;/author&gt;&lt;author&gt;Cattaneo, E&lt;/author&gt;&lt;/authors&gt;&lt;/contributors&gt;&lt;titles&gt;&lt;title&gt;G508(P) Prophylactic azithromycin dosing regimes in children at risk of lower respiratory tract infections: a literature review and survey in the east of england region&lt;/title&gt;&lt;secondary-title&gt;Archives of Disease in Childhood&lt;/secondary-title&gt;&lt;/titles&gt;&lt;periodical&gt;&lt;full-title&gt;Archives of Disease in Childhood&lt;/full-title&gt;&lt;/periodical&gt;&lt;pages&gt;A205-A205&lt;/pages&gt;&lt;volume&gt;104&lt;/volume&gt;&lt;number&gt;Suppl 2&lt;/number&gt;&lt;dates&gt;&lt;year&gt;2019&lt;/year&gt;&lt;/dates&gt;&lt;urls&gt;&lt;related-urls&gt;&lt;url&gt;https://adc.bmj.com/content/archdischild/104/Suppl_2/A205.1.full.pdf&lt;/url&gt;&lt;/related-urls&gt;&lt;/urls&gt;&lt;electronic-resource-num&gt;10.1136/archdischild-2019-rcpch.492&lt;/electronic-resource-num&gt;&lt;/record&gt;&lt;/Cite&gt;&lt;/EndNote&gt;</w:instrText>
      </w:r>
      <w:r w:rsidR="00A045C8">
        <w:fldChar w:fldCharType="separate"/>
      </w:r>
      <w:r w:rsidR="00EE22EB">
        <w:rPr>
          <w:noProof/>
        </w:rPr>
        <w:t>(Metaxa et al., 2019)</w:t>
      </w:r>
      <w:r w:rsidR="00A045C8">
        <w:fldChar w:fldCharType="end"/>
      </w:r>
      <w:r w:rsidR="00C45579">
        <w:t>:</w:t>
      </w:r>
      <w:r w:rsidR="00AC562E">
        <w:t xml:space="preserve"> </w:t>
      </w:r>
    </w:p>
    <w:p w14:paraId="65205EDB" w14:textId="77777777" w:rsidR="003A1626" w:rsidRDefault="003A1626" w:rsidP="001F2604">
      <w:pPr>
        <w:spacing w:line="360" w:lineRule="auto"/>
      </w:pPr>
    </w:p>
    <w:p w14:paraId="41F8C807" w14:textId="7E18849A" w:rsidR="00C45579" w:rsidRPr="006A5E23" w:rsidRDefault="00C45579">
      <w:pPr>
        <w:pStyle w:val="ListParagraph"/>
        <w:numPr>
          <w:ilvl w:val="0"/>
          <w:numId w:val="23"/>
        </w:numPr>
        <w:spacing w:after="0" w:line="360" w:lineRule="auto"/>
        <w:rPr>
          <w:rFonts w:ascii="Times New Roman" w:hAnsi="Times New Roman" w:cs="Times New Roman"/>
          <w:sz w:val="24"/>
          <w:szCs w:val="24"/>
        </w:rPr>
      </w:pPr>
      <w:r w:rsidRPr="006A5E23">
        <w:rPr>
          <w:rFonts w:ascii="Times New Roman" w:hAnsi="Times New Roman" w:cs="Times New Roman"/>
          <w:sz w:val="24"/>
          <w:szCs w:val="24"/>
        </w:rPr>
        <w:t>Thrice weekly (Monday, Wednesday, Friday)</w:t>
      </w:r>
      <w:r w:rsidR="002F3722" w:rsidRPr="006A5E23">
        <w:rPr>
          <w:rFonts w:ascii="Times New Roman" w:hAnsi="Times New Roman" w:cs="Times New Roman"/>
          <w:sz w:val="24"/>
          <w:szCs w:val="24"/>
        </w:rPr>
        <w:t>.</w:t>
      </w:r>
    </w:p>
    <w:p w14:paraId="6249FE71" w14:textId="7F2F0EE3" w:rsidR="00C45579" w:rsidRPr="006A5E23" w:rsidRDefault="00C45579">
      <w:pPr>
        <w:pStyle w:val="ListParagraph"/>
        <w:numPr>
          <w:ilvl w:val="0"/>
          <w:numId w:val="23"/>
        </w:numPr>
        <w:spacing w:after="0" w:line="360" w:lineRule="auto"/>
        <w:rPr>
          <w:rFonts w:ascii="Times New Roman" w:hAnsi="Times New Roman" w:cs="Times New Roman"/>
          <w:sz w:val="24"/>
          <w:szCs w:val="24"/>
        </w:rPr>
      </w:pPr>
      <w:r w:rsidRPr="006A5E23">
        <w:rPr>
          <w:rFonts w:ascii="Times New Roman" w:hAnsi="Times New Roman" w:cs="Times New Roman"/>
          <w:sz w:val="24"/>
          <w:szCs w:val="24"/>
        </w:rPr>
        <w:t>Friday-Sunday alternate weekends</w:t>
      </w:r>
      <w:r w:rsidR="002F3722" w:rsidRPr="006A5E23">
        <w:rPr>
          <w:rFonts w:ascii="Times New Roman" w:hAnsi="Times New Roman" w:cs="Times New Roman"/>
          <w:sz w:val="24"/>
          <w:szCs w:val="24"/>
        </w:rPr>
        <w:t>.</w:t>
      </w:r>
    </w:p>
    <w:p w14:paraId="6A533F47" w14:textId="6EA3B28E" w:rsidR="00FA7E7B" w:rsidRPr="006A5E23" w:rsidRDefault="00C45579">
      <w:pPr>
        <w:pStyle w:val="ListParagraph"/>
        <w:numPr>
          <w:ilvl w:val="0"/>
          <w:numId w:val="23"/>
        </w:numPr>
        <w:spacing w:line="360" w:lineRule="auto"/>
        <w:ind w:left="714" w:hanging="357"/>
        <w:rPr>
          <w:rFonts w:ascii="Times New Roman" w:hAnsi="Times New Roman" w:cs="Times New Roman"/>
          <w:sz w:val="24"/>
          <w:szCs w:val="24"/>
        </w:rPr>
      </w:pPr>
      <w:r w:rsidRPr="006A5E23">
        <w:rPr>
          <w:rFonts w:ascii="Times New Roman" w:hAnsi="Times New Roman" w:cs="Times New Roman"/>
          <w:sz w:val="24"/>
          <w:szCs w:val="24"/>
        </w:rPr>
        <w:t>Three doses over 48 hours every 2 weeks</w:t>
      </w:r>
      <w:r w:rsidR="002F3722" w:rsidRPr="006A5E23">
        <w:rPr>
          <w:rFonts w:ascii="Times New Roman" w:hAnsi="Times New Roman" w:cs="Times New Roman"/>
          <w:sz w:val="24"/>
          <w:szCs w:val="24"/>
        </w:rPr>
        <w:t>.</w:t>
      </w:r>
    </w:p>
    <w:p w14:paraId="735CC92B" w14:textId="2EFE2A20" w:rsidR="00AC562E" w:rsidRPr="00F964D4" w:rsidRDefault="003544A8" w:rsidP="006A5E23">
      <w:pPr>
        <w:spacing w:after="160" w:line="360" w:lineRule="auto"/>
      </w:pPr>
      <w:r>
        <w:lastRenderedPageBreak/>
        <w:t>The standard dose</w:t>
      </w:r>
      <w:r w:rsidR="00545F0D">
        <w:t xml:space="preserve"> in children used</w:t>
      </w:r>
      <w:r>
        <w:t xml:space="preserve"> </w:t>
      </w:r>
      <w:r w:rsidR="00545F0D">
        <w:t>is</w:t>
      </w:r>
      <w:r>
        <w:t xml:space="preserve"> 10mg/kg/dose. </w:t>
      </w:r>
      <w:r w:rsidR="00AC562E" w:rsidRPr="00F964D4">
        <w:t xml:space="preserve">Other </w:t>
      </w:r>
      <w:r w:rsidR="00C45579" w:rsidRPr="00C45579">
        <w:t>paediatric</w:t>
      </w:r>
      <w:r w:rsidR="00AC562E" w:rsidRPr="00F964D4">
        <w:t xml:space="preserve"> trials have used once weekly prescriptions</w:t>
      </w:r>
      <w:r w:rsidR="00752804">
        <w:t xml:space="preserve"> at 30mg/kg/dose (Valery 2013).</w:t>
      </w:r>
      <w:r>
        <w:t xml:space="preserve"> To date, </w:t>
      </w:r>
      <w:r w:rsidR="00DE5806">
        <w:t xml:space="preserve">only 2 studies </w:t>
      </w:r>
      <w:r w:rsidR="00752804">
        <w:t xml:space="preserve">in cystic fibrosis </w:t>
      </w:r>
      <w:r w:rsidR="00DE5806">
        <w:t>have compared dosing regimens</w:t>
      </w:r>
      <w:r w:rsidR="002F3722">
        <w:t xml:space="preserve"> </w:t>
      </w:r>
      <w:r w:rsidR="002F3722">
        <w:fldChar w:fldCharType="begin">
          <w:fldData xml:space="preserve">PEVuZE5vdGU+PENpdGU+PEF1dGhvcj5LYWJyYTwvQXV0aG9yPjxZZWFyPjIwMTA8L1llYXI+PFJl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</w:fldData>
        </w:fldChar>
      </w:r>
      <w:r w:rsidR="002F3722">
        <w:instrText xml:space="preserve"> ADDIN EN.CITE </w:instrText>
      </w:r>
      <w:r w:rsidR="002F3722">
        <w:fldChar w:fldCharType="begin">
          <w:fldData xml:space="preserve">PEVuZE5vdGU+PENpdGU+PEF1dGhvcj5LYWJyYTwvQXV0aG9yPjxZZWFyPjIwMTA8L1llYXI+PFJl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</w:fldData>
        </w:fldChar>
      </w:r>
      <w:r w:rsidR="002F3722">
        <w:instrText xml:space="preserve"> ADDIN EN.CITE.DATA </w:instrText>
      </w:r>
      <w:r w:rsidR="002F3722">
        <w:fldChar w:fldCharType="end"/>
      </w:r>
      <w:r w:rsidR="002F3722">
        <w:fldChar w:fldCharType="separate"/>
      </w:r>
      <w:r w:rsidR="002F3722">
        <w:rPr>
          <w:noProof/>
        </w:rPr>
        <w:t>(Kabra et al., 2010; McCormack et al., 2007)</w:t>
      </w:r>
      <w:r w:rsidR="002F3722">
        <w:fldChar w:fldCharType="end"/>
      </w:r>
      <w:r w:rsidR="00752804">
        <w:t>.</w:t>
      </w:r>
      <w:r w:rsidR="00611B6F">
        <w:t xml:space="preserve"> The first compared 5mg/kg daily vs 15mg/kg daily </w:t>
      </w:r>
      <w:r w:rsidR="002B3FF6">
        <w:t xml:space="preserve">in children </w:t>
      </w:r>
      <w:r w:rsidR="00611B6F">
        <w:t>and the second 250mg daily vs 1250mg weekly</w:t>
      </w:r>
      <w:r w:rsidR="002B3FF6">
        <w:t xml:space="preserve"> in participants aged 6-58 years</w:t>
      </w:r>
      <w:r w:rsidR="00611B6F">
        <w:t>.</w:t>
      </w:r>
      <w:r w:rsidR="00752804">
        <w:t xml:space="preserve"> No differe</w:t>
      </w:r>
      <w:r w:rsidR="00611B6F">
        <w:t xml:space="preserve">nce </w:t>
      </w:r>
      <w:r w:rsidR="00026BE7">
        <w:t>between the dosing regimens was found in either study with regards to</w:t>
      </w:r>
      <w:r w:rsidR="00611B6F">
        <w:t xml:space="preserve"> pulmonary exacerbations</w:t>
      </w:r>
      <w:r>
        <w:t xml:space="preserve">. </w:t>
      </w:r>
    </w:p>
    <w:p w14:paraId="341889D6" w14:textId="40F96E78" w:rsidR="002B54ED" w:rsidRDefault="002B54ED" w:rsidP="001F2604">
      <w:pPr>
        <w:spacing w:line="360" w:lineRule="auto"/>
      </w:pPr>
      <w:r w:rsidRPr="00241369">
        <w:t xml:space="preserve">Long-term macrolides are prescribed in a variety of paediatric respiratory diseases. The duration of therapy may range from </w:t>
      </w:r>
      <w:r w:rsidR="002F3722">
        <w:t>a few weeks</w:t>
      </w:r>
      <w:r w:rsidRPr="00241369">
        <w:t xml:space="preserve"> to several years. </w:t>
      </w:r>
      <w:r w:rsidR="00545F0D">
        <w:t xml:space="preserve">Their predominant use </w:t>
      </w:r>
      <w:r w:rsidR="00F64540">
        <w:t xml:space="preserve">is </w:t>
      </w:r>
      <w:r w:rsidR="00545F0D">
        <w:t>in setting</w:t>
      </w:r>
      <w:r w:rsidR="00F64540">
        <w:t>s</w:t>
      </w:r>
      <w:r w:rsidR="00545F0D">
        <w:t xml:space="preserve"> </w:t>
      </w:r>
      <w:r w:rsidR="00F64540">
        <w:t>where</w:t>
      </w:r>
      <w:r w:rsidR="00545F0D">
        <w:t xml:space="preserve"> their</w:t>
      </w:r>
      <w:r w:rsidRPr="00241369">
        <w:t xml:space="preserve"> anti-inflammatory and immunomodulatory properties</w:t>
      </w:r>
      <w:r w:rsidR="00545F0D">
        <w:t xml:space="preserve"> are felt to augment their antimicrobial actions</w:t>
      </w:r>
      <w:r w:rsidR="0059704F">
        <w:t xml:space="preserve">. </w:t>
      </w:r>
      <w:r w:rsidRPr="00241369">
        <w:t>For over 20</w:t>
      </w:r>
      <w:r w:rsidR="00F64540">
        <w:t xml:space="preserve"> </w:t>
      </w:r>
      <w:r w:rsidRPr="00241369">
        <w:t xml:space="preserve">years, long-term azithromycin has been used in </w:t>
      </w:r>
      <w:r w:rsidR="00AB27DA">
        <w:t>cystic fibrosis (</w:t>
      </w:r>
      <w:r w:rsidR="00CA1CF0">
        <w:t>CF</w:t>
      </w:r>
      <w:r w:rsidR="00AB27DA">
        <w:t>)</w:t>
      </w:r>
      <w:r w:rsidRPr="00241369">
        <w:t>, a strategy supported by</w:t>
      </w:r>
      <w:r w:rsidR="00464BC5">
        <w:t xml:space="preserve"> many </w:t>
      </w:r>
      <w:r w:rsidRPr="00241369">
        <w:t>randomised controlled trials (</w:t>
      </w:r>
      <w:r w:rsidR="003265CD">
        <w:t>see section 1.</w:t>
      </w:r>
      <w:r w:rsidR="00697C60">
        <w:t>7</w:t>
      </w:r>
      <w:r w:rsidR="003265CD">
        <w:t xml:space="preserve">.1; these studies have </w:t>
      </w:r>
      <w:r w:rsidRPr="00241369">
        <w:t>mostly</w:t>
      </w:r>
      <w:r w:rsidR="003265CD">
        <w:t xml:space="preserve"> been undertaken</w:t>
      </w:r>
      <w:r w:rsidRPr="00241369">
        <w:t xml:space="preserve"> in adults but </w:t>
      </w:r>
      <w:r w:rsidR="003265CD">
        <w:t xml:space="preserve">with </w:t>
      </w:r>
      <w:r w:rsidRPr="00241369">
        <w:t>some paediatric cohorts)</w:t>
      </w:r>
      <w:r w:rsidR="00464BC5">
        <w:t xml:space="preserve">. </w:t>
      </w:r>
      <w:r w:rsidR="00C574EC">
        <w:t xml:space="preserve">A more recent RCT has however questioned its efficacy in CF </w:t>
      </w:r>
      <w:r w:rsidR="00C574EC">
        <w:fldChar w:fldCharType="begin">
          <w:fldData xml:space="preserve">PEVuZE5vdGU+PENpdGU+PEF1dGhvcj5TdGljazwvQXV0aG9yPjxZZWFyPjIwMjI8L1llYXI+PFJl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</w:fldData>
        </w:fldChar>
      </w:r>
      <w:r w:rsidR="00C574EC">
        <w:instrText xml:space="preserve"> ADDIN EN.CITE </w:instrText>
      </w:r>
      <w:r w:rsidR="00C574EC">
        <w:fldChar w:fldCharType="begin">
          <w:fldData xml:space="preserve">PEVuZE5vdGU+PENpdGU+PEF1dGhvcj5TdGljazwvQXV0aG9yPjxZZWFyPjIwMjI8L1llYXI+PFJl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</w:fldData>
        </w:fldChar>
      </w:r>
      <w:r w:rsidR="00C574EC">
        <w:instrText xml:space="preserve"> ADDIN EN.CITE.DATA </w:instrText>
      </w:r>
      <w:r w:rsidR="00C574EC">
        <w:fldChar w:fldCharType="end"/>
      </w:r>
      <w:r w:rsidR="00C574EC">
        <w:fldChar w:fldCharType="separate"/>
      </w:r>
      <w:r w:rsidR="00C574EC">
        <w:rPr>
          <w:noProof/>
        </w:rPr>
        <w:t>(Stick et al., 2022)</w:t>
      </w:r>
      <w:r w:rsidR="00C574EC">
        <w:fldChar w:fldCharType="end"/>
      </w:r>
      <w:r w:rsidR="00C574EC">
        <w:t xml:space="preserve">. </w:t>
      </w:r>
      <w:r w:rsidRPr="00241369">
        <w:t>Subsequently</w:t>
      </w:r>
      <w:r w:rsidR="009E5506">
        <w:t>,</w:t>
      </w:r>
      <w:r w:rsidRPr="00241369">
        <w:t xml:space="preserve"> studies have been conducted in patients with non-CF bronchiectasis (again with some studies enrolling children) with benefit demonstrated in reducing pulmonary exacerbations. </w:t>
      </w:r>
      <w:r w:rsidR="003265CD">
        <w:t>As a result of the success of this treatment in the setting of CF and non-CF bronchiectasis, m</w:t>
      </w:r>
      <w:r w:rsidR="003265CD" w:rsidRPr="00241369">
        <w:t xml:space="preserve">acrolides </w:t>
      </w:r>
      <w:r w:rsidRPr="00241369">
        <w:t xml:space="preserve">are now being prescribed in other paediatric respiratory conditions, both short- and long-term, </w:t>
      </w:r>
      <w:r w:rsidR="003265CD">
        <w:t xml:space="preserve">but </w:t>
      </w:r>
      <w:r w:rsidRPr="00241369">
        <w:t xml:space="preserve">with little evidence to support </w:t>
      </w:r>
      <w:r w:rsidR="00F64540">
        <w:t xml:space="preserve">this </w:t>
      </w:r>
      <w:r w:rsidRPr="00241369">
        <w:t>long-term use and concerns about the emergence and spread of antimicrobial resistance</w:t>
      </w:r>
      <w:r w:rsidR="004B3A57">
        <w:t xml:space="preserve"> (AMR)</w:t>
      </w:r>
      <w:r w:rsidRPr="00241369">
        <w:t>.</w:t>
      </w:r>
    </w:p>
    <w:p w14:paraId="1909CBE6" w14:textId="77777777" w:rsidR="008E1EFC" w:rsidRPr="00241369" w:rsidRDefault="008E1EFC" w:rsidP="001F2604">
      <w:pPr>
        <w:spacing w:line="360" w:lineRule="auto"/>
      </w:pPr>
    </w:p>
    <w:p w14:paraId="2C6C9C47" w14:textId="52A5B48F" w:rsidR="002B54ED" w:rsidRPr="00241369" w:rsidRDefault="002B54ED" w:rsidP="001F2604">
      <w:pPr>
        <w:pStyle w:val="Heading3"/>
        <w:spacing w:before="0" w:line="360" w:lineRule="auto"/>
      </w:pPr>
      <w:bookmarkStart w:id="37" w:name="_Toc28850815"/>
      <w:bookmarkStart w:id="38" w:name="_Toc117765887"/>
      <w:r w:rsidRPr="00241369">
        <w:t>Cystic fibrosis</w:t>
      </w:r>
      <w:bookmarkEnd w:id="37"/>
      <w:bookmarkEnd w:id="38"/>
    </w:p>
    <w:p w14:paraId="5DB418D9" w14:textId="3F3AE28F" w:rsidR="002B54ED" w:rsidRPr="00241369" w:rsidRDefault="002B54ED" w:rsidP="006A5E23">
      <w:pPr>
        <w:spacing w:after="160" w:line="360" w:lineRule="auto"/>
      </w:pPr>
      <w:r w:rsidRPr="00241369">
        <w:t>Cystic fibrosis is an inherited condition in which mutations lead to loss-of-function of a transmembrane protein (cystic fibrosis transmembrane regulator – CFTR), which regulates chloride ion transport. In the airway this leads to thick secretions, predisposition to recurrent chest infections and airway damage</w:t>
      </w:r>
      <w:r w:rsidR="002F3722">
        <w:t>/</w:t>
      </w:r>
      <w:r w:rsidRPr="00241369">
        <w:t xml:space="preserve">dilatation (bronchiectasis). </w:t>
      </w:r>
      <w:r w:rsidR="00A462B2" w:rsidRPr="006124CB">
        <w:rPr>
          <w:i/>
          <w:iCs/>
        </w:rPr>
        <w:t xml:space="preserve">P. </w:t>
      </w:r>
      <w:r w:rsidRPr="006124CB">
        <w:rPr>
          <w:i/>
          <w:iCs/>
        </w:rPr>
        <w:t>aeruginosa</w:t>
      </w:r>
      <w:r w:rsidRPr="00241369">
        <w:t xml:space="preserve"> is the major pathogen that forms biofilms leading to chronic inflammation and infection and eventually respiratory failure. Ciprofloxacin is the only effective oral antibiotic to treat established pseudomonas </w:t>
      </w:r>
      <w:r w:rsidR="00A462B2" w:rsidRPr="00241369">
        <w:t>infections,</w:t>
      </w:r>
      <w:r w:rsidRPr="00241369">
        <w:t xml:space="preserve"> </w:t>
      </w:r>
      <w:r w:rsidR="00153CD9">
        <w:t xml:space="preserve">but ciprofloxacin resistance is readily acquired </w:t>
      </w:r>
      <w:r w:rsidR="00153CD9" w:rsidRPr="00153CD9">
        <w:t xml:space="preserve">by mutation in </w:t>
      </w:r>
      <w:r w:rsidR="00153CD9">
        <w:t>the quinolone target DNA gyrase,</w:t>
      </w:r>
      <w:r w:rsidR="00153CD9" w:rsidRPr="00153CD9">
        <w:t xml:space="preserve"> and by alteration of drug permeation through the outer membrane of the cell</w:t>
      </w:r>
      <w:r w:rsidR="00153CD9">
        <w:t>. Other treatment such as</w:t>
      </w:r>
      <w:r w:rsidR="00153CD9" w:rsidRPr="00241369">
        <w:t xml:space="preserve"> </w:t>
      </w:r>
      <w:r w:rsidRPr="00241369">
        <w:t xml:space="preserve">intravenous/inhaled antibiotics </w:t>
      </w:r>
      <w:r w:rsidR="00153CD9">
        <w:t>may be</w:t>
      </w:r>
      <w:r w:rsidR="00153CD9" w:rsidRPr="00241369">
        <w:t xml:space="preserve"> </w:t>
      </w:r>
      <w:r w:rsidRPr="00241369">
        <w:t>required</w:t>
      </w:r>
      <w:r w:rsidR="00153CD9">
        <w:t xml:space="preserve"> in this setting</w:t>
      </w:r>
      <w:r w:rsidRPr="00241369">
        <w:t xml:space="preserve">. </w:t>
      </w:r>
      <w:r w:rsidR="00F64540">
        <w:t xml:space="preserve">Of note, azithromycin and other macrolides do not kill </w:t>
      </w:r>
      <w:r w:rsidR="00F64540" w:rsidRPr="001D04B2">
        <w:rPr>
          <w:i/>
          <w:iCs/>
        </w:rPr>
        <w:t>P</w:t>
      </w:r>
      <w:r w:rsidR="00A462B2" w:rsidRPr="001D04B2">
        <w:rPr>
          <w:i/>
          <w:iCs/>
        </w:rPr>
        <w:t>.</w:t>
      </w:r>
      <w:r w:rsidR="00F64540" w:rsidRPr="001D04B2">
        <w:rPr>
          <w:i/>
          <w:iCs/>
        </w:rPr>
        <w:t xml:space="preserve"> aeruginosa</w:t>
      </w:r>
      <w:r w:rsidR="00F64540">
        <w:t xml:space="preserve"> </w:t>
      </w:r>
      <w:r w:rsidR="00F64540" w:rsidRPr="00CA20A3">
        <w:t>in vitro</w:t>
      </w:r>
      <w:r w:rsidR="00917639">
        <w:t xml:space="preserve"> </w:t>
      </w:r>
      <w:r w:rsidR="002F39E8">
        <w:t xml:space="preserve">but have </w:t>
      </w:r>
      <w:r w:rsidR="002F39E8">
        <w:lastRenderedPageBreak/>
        <w:t xml:space="preserve">anti-virulence activity </w:t>
      </w:r>
      <w:r w:rsidR="00C574EC">
        <w:fldChar w:fldCharType="begin"/>
      </w:r>
      <w:r w:rsidR="00C574EC">
        <w:instrText xml:space="preserve"> ADDIN EN.CITE &lt;EndNote&gt;&lt;Cite&gt;&lt;Author&gt;Imperi&lt;/Author&gt;&lt;Year&gt;2014&lt;/Year&gt;&lt;RecNum&gt;103&lt;/RecNum&gt;&lt;DisplayText&gt;(Imperi et al., 2014)&lt;/DisplayText&gt;&lt;record&gt;&lt;rec-number&gt;103&lt;/rec-number&gt;&lt;foreign-keys&gt;&lt;key app="EN" db-id="pr9rwt2w8padxcerwx6prd0a9wtda2w5fw2t" timestamp="1620218998"&gt;103&lt;/key&gt;&lt;/foreign-keys&gt;&lt;ref-type name="Journal Article"&gt;17&lt;/ref-type&gt;&lt;contributors&gt;&lt;authors&gt;&lt;author&gt;Imperi,Francesco&lt;/author&gt;&lt;author&gt;Leoni,Livia&lt;/author&gt;&lt;author&gt;Visca,Paolo&lt;/author&gt;&lt;/authors&gt;&lt;/contributors&gt;&lt;auth-address&gt;Prof Paolo Visca,Department of Sciences, “Roma Tre” University,Rome, Italy,paolo.visca@uniroma3.it&lt;/auth-address&gt;&lt;titles&gt;&lt;title&gt;Antivirulence activity of azithromycin in Pseudomonas aeruginosa&lt;/title&gt;&lt;secondary-title&gt;Frontiers in Microbiology&lt;/secondary-title&gt;&lt;short-title&gt;Azithromycin activity on Pseudomonas&lt;/short-title&gt;&lt;/titles&gt;&lt;periodical&gt;&lt;full-title&gt;Frontiers in Microbiology&lt;/full-title&gt;&lt;/periodical&gt;&lt;volume&gt;5&lt;/volume&gt;&lt;number&gt;178&lt;/number&gt;&lt;keywords&gt;&lt;keyword&gt;antibiotic,Cystic Fibrosis,Inflammation,macrolide,regulation,Virulence&lt;/keyword&gt;&lt;/keywords&gt;&lt;dates&gt;&lt;year&gt;2014&lt;/year&gt;&lt;pub-dates&gt;&lt;date&gt;2014-April-22&lt;/date&gt;&lt;/pub-dates&gt;&lt;/dates&gt;&lt;isbn&gt;1664-302X&lt;/isbn&gt;&lt;work-type&gt;Mini Review&lt;/work-type&gt;&lt;urls&gt;&lt;related-urls&gt;&lt;url&gt;https://www.frontiersin.org/article/10.3389/fmicb.2014.00178&lt;/url&gt;&lt;/related-urls&gt;&lt;/urls&gt;&lt;electronic-resource-num&gt;10.3389/fmicb.2014.00178&lt;/electronic-resource-num&gt;&lt;language&gt;English&lt;/language&gt;&lt;/record&gt;&lt;/Cite&gt;&lt;/EndNote&gt;</w:instrText>
      </w:r>
      <w:r w:rsidR="00C574EC">
        <w:fldChar w:fldCharType="separate"/>
      </w:r>
      <w:r w:rsidR="00C574EC">
        <w:rPr>
          <w:noProof/>
        </w:rPr>
        <w:t>(Imperi et al., 2014)</w:t>
      </w:r>
      <w:r w:rsidR="00C574EC">
        <w:fldChar w:fldCharType="end"/>
      </w:r>
      <w:r w:rsidR="00C574EC">
        <w:t xml:space="preserve"> </w:t>
      </w:r>
      <w:r w:rsidR="002F39E8">
        <w:t>that confers in vivo</w:t>
      </w:r>
      <w:r w:rsidR="00106E1A">
        <w:t xml:space="preserve"> benefits demonstrated in a number of clinical trials as discussed below.</w:t>
      </w:r>
    </w:p>
    <w:p w14:paraId="612A1A7E" w14:textId="285A5F2D" w:rsidR="002B54ED" w:rsidRPr="00241369" w:rsidRDefault="002B54ED" w:rsidP="006A5E23">
      <w:pPr>
        <w:spacing w:after="160" w:line="360" w:lineRule="auto"/>
      </w:pPr>
      <w:r w:rsidRPr="00241369">
        <w:t xml:space="preserve">There are at least 12 </w:t>
      </w:r>
      <w:r w:rsidR="0094382E">
        <w:t>RCTs</w:t>
      </w:r>
      <w:r w:rsidR="00CA20A3">
        <w:t xml:space="preserve"> (randomised controlled trials)</w:t>
      </w:r>
      <w:r w:rsidR="0094382E">
        <w:t xml:space="preserve"> </w:t>
      </w:r>
      <w:r w:rsidRPr="00241369">
        <w:t>investigating long-term macrolide use</w:t>
      </w:r>
      <w:r w:rsidR="00153CD9">
        <w:t xml:space="preserve"> in CF</w:t>
      </w:r>
      <w:r w:rsidRPr="00241369">
        <w:t>. Of these</w:t>
      </w:r>
      <w:r w:rsidR="00F64540">
        <w:t>,</w:t>
      </w:r>
      <w:r w:rsidRPr="00241369">
        <w:t xml:space="preserve"> five were paediatric studies recruiting almost 600 children and 5 other trials recruited both children and adults. Azithromycin was compared to placebo in 9 of these. Meta-analysis of trials up to 2012 showed those taking azithromycin were</w:t>
      </w:r>
      <w:r w:rsidR="002F3722">
        <w:t xml:space="preserve"> almost</w:t>
      </w:r>
      <w:r w:rsidRPr="00241369">
        <w:t xml:space="preserve"> twice as likely to be free of pulmonary exacerbations at 6 months; Odds Ratio</w:t>
      </w:r>
      <w:r w:rsidR="00EA4C83">
        <w:t xml:space="preserve"> </w:t>
      </w:r>
      <w:r w:rsidRPr="00241369">
        <w:t>1.96 (95%</w:t>
      </w:r>
      <w:r w:rsidR="002F3722">
        <w:t xml:space="preserve"> </w:t>
      </w:r>
      <w:r w:rsidRPr="00241369">
        <w:t>CI 1.15 to 3.33)</w:t>
      </w:r>
      <w:r w:rsidR="00A01D52">
        <w:t xml:space="preserve"> </w:t>
      </w:r>
      <w:r w:rsidR="00ED0001">
        <w:fldChar w:fldCharType="begin"/>
      </w:r>
      <w:r w:rsidR="00CD2C33">
        <w:instrText xml:space="preserve"> ADDIN EN.CITE &lt;EndNote&gt;&lt;Cite&gt;&lt;Author&gt;Southern&lt;/Author&gt;&lt;Year&gt;2012&lt;/Year&gt;&lt;RecNum&gt;170&lt;/RecNum&gt;&lt;DisplayText&gt;(Southern, Barker, Solis‐Moya, et al., 2012)&lt;/DisplayText&gt;&lt;record&gt;&lt;rec-number&gt;170&lt;/rec-number&gt;&lt;foreign-keys&gt;&lt;key app="EN" db-id="pr9rwt2w8padxcerwx6prd0a9wtda2w5fw2t" timestamp="1629731697"&gt;170&lt;/key&gt;&lt;/foreign-keys&gt;&lt;ref-type name="Journal Article"&gt;17&lt;/ref-type&gt;&lt;contributors&gt;&lt;authors&gt;&lt;author&gt;Southern, K. W.&lt;/author&gt;&lt;author&gt;Barker, P. M.&lt;/author&gt;&lt;author&gt;Solis‐Moya, A.&lt;/author&gt;&lt;author&gt;Patel, L.&lt;/author&gt;&lt;/authors&gt;&lt;/contributors&gt;&lt;titles&gt;&lt;title&gt;Macrolide antibiotics for cystic fibrosis&lt;/title&gt;&lt;secondary-title&gt;Cochrane Database of Systematic Reviews&lt;/secondary-title&gt;&lt;/titles&gt;&lt;periodical&gt;&lt;full-title&gt;Cochrane Database of Systematic Reviews&lt;/full-title&gt;&lt;/periodical&gt;&lt;number&gt;11&lt;/number&gt;&lt;keywords&gt;&lt;keyword&gt;*Pseudomonas aeruginosa&lt;/keyword&gt;&lt;keyword&gt;Anti‐Bacterial Agents [adverse effects, *therapeutic use]&lt;/keyword&gt;&lt;keyword&gt;Azithromycin [adverse effects, *therapeutic use]&lt;/keyword&gt;&lt;keyword&gt;Bacterial Infections [drug therapy, etiology]&lt;/keyword&gt;&lt;keyword&gt;Cystic Fibrosis [*complications]&lt;/keyword&gt;&lt;keyword&gt;Disease Progression&lt;/keyword&gt;&lt;keyword&gt;Humans&lt;/keyword&gt;&lt;keyword&gt;Macrolides [adverse effects, therapeutic use]&lt;/keyword&gt;&lt;keyword&gt;Outcome Assessment (Health Care)&lt;/keyword&gt;&lt;keyword&gt;Pseudomonas Infections [*drug therapy]&lt;/keyword&gt;&lt;keyword&gt;Randomized Controlled Trials as Topic&lt;/keyword&gt;&lt;/keywords&gt;&lt;dates&gt;&lt;year&gt;2012&lt;/year&gt;&lt;/dates&gt;&lt;publisher&gt;John Wiley &amp;amp; Sons, Ltd&lt;/publisher&gt;&lt;isbn&gt;1465-1858&lt;/isbn&gt;&lt;accession-num&gt;CD002203&lt;/accession-num&gt;&lt;urls&gt;&lt;related-urls&gt;&lt;url&gt;https://doi.org//10.1002/14651858.CD002203.pub4&lt;/url&gt;&lt;/related-urls&gt;&lt;/urls&gt;&lt;electronic-resource-num&gt;10.1002/14651858.CD002203.pub4&lt;/electronic-resource-num&gt;&lt;/record&gt;&lt;/Cite&gt;&lt;/EndNote&gt;</w:instrText>
      </w:r>
      <w:r w:rsidR="00ED0001">
        <w:fldChar w:fldCharType="separate"/>
      </w:r>
      <w:r w:rsidR="00CD2C33">
        <w:rPr>
          <w:noProof/>
        </w:rPr>
        <w:t>(Southern, Barker, Solis‐Moya, et al., 2012)</w:t>
      </w:r>
      <w:r w:rsidR="00ED0001">
        <w:fldChar w:fldCharType="end"/>
      </w:r>
      <w:r w:rsidR="00A01D52">
        <w:t xml:space="preserve">. </w:t>
      </w:r>
      <w:r w:rsidRPr="00241369">
        <w:t xml:space="preserve">The second finding was of a comparative change in FEV1 from baseline; </w:t>
      </w:r>
      <w:r w:rsidR="00EA4C83">
        <w:t>m</w:t>
      </w:r>
      <w:r w:rsidRPr="00241369">
        <w:t>ean difference 4% (95%</w:t>
      </w:r>
      <w:r w:rsidR="002F3722">
        <w:t xml:space="preserve"> </w:t>
      </w:r>
      <w:r w:rsidRPr="00241369">
        <w:t xml:space="preserve">CI 1.74% to 6.19%) in favour of azithromycin </w:t>
      </w:r>
      <w:r w:rsidR="00ED0001">
        <w:fldChar w:fldCharType="begin"/>
      </w:r>
      <w:r w:rsidR="0054784B">
        <w:instrText xml:space="preserve"> ADDIN EN.CITE &lt;EndNote&gt;&lt;Cite&gt;&lt;Author&gt;Southern&lt;/Author&gt;&lt;Year&gt;2012&lt;/Year&gt;&lt;RecNum&gt;170&lt;/RecNum&gt;&lt;DisplayText&gt;(Southern, Barker, Solis‐Moya, et al., 2012)&lt;/DisplayText&gt;&lt;record&gt;&lt;rec-number&gt;170&lt;/rec-number&gt;&lt;foreign-keys&gt;&lt;key app="EN" db-id="pr9rwt2w8padxcerwx6prd0a9wtda2w5fw2t" timestamp="1629731697"&gt;170&lt;/key&gt;&lt;/foreign-keys&gt;&lt;ref-type name="Journal Article"&gt;17&lt;/ref-type&gt;&lt;contributors&gt;&lt;authors&gt;&lt;author&gt;Southern, K. W.&lt;/author&gt;&lt;author&gt;Barker, P. M.&lt;/author&gt;&lt;author&gt;Solis‐Moya, A.&lt;/author&gt;&lt;author&gt;Patel, L.&lt;/author&gt;&lt;/authors&gt;&lt;/contributors&gt;&lt;titles&gt;&lt;title&gt;Macrolide antibiotics for cystic fibrosis&lt;/title&gt;&lt;secondary-title&gt;Cochrane Database of Systematic Reviews&lt;/secondary-title&gt;&lt;/titles&gt;&lt;periodical&gt;&lt;full-title&gt;Cochrane Database of Systematic Reviews&lt;/full-title&gt;&lt;/periodical&gt;&lt;number&gt;11&lt;/number&gt;&lt;keywords&gt;&lt;keyword&gt;*Pseudomonas aeruginosa&lt;/keyword&gt;&lt;keyword&gt;Anti‐Bacterial Agents [adverse effects, *therapeutic use]&lt;/keyword&gt;&lt;keyword&gt;Azithromycin [adverse effects, *therapeutic use]&lt;/keyword&gt;&lt;keyword&gt;Bacterial Infections [drug therapy, etiology]&lt;/keyword&gt;&lt;keyword&gt;Cystic Fibrosis [*complications]&lt;/keyword&gt;&lt;keyword&gt;Disease Progression&lt;/keyword&gt;&lt;keyword&gt;Humans&lt;/keyword&gt;&lt;keyword&gt;Macrolides [adverse effects, therapeutic use]&lt;/keyword&gt;&lt;keyword&gt;Outcome Assessment (Health Care)&lt;/keyword&gt;&lt;keyword&gt;Pseudomonas Infections [*drug therapy]&lt;/keyword&gt;&lt;keyword&gt;Randomized Controlled Trials as Topic&lt;/keyword&gt;&lt;/keywords&gt;&lt;dates&gt;&lt;year&gt;2012&lt;/year&gt;&lt;/dates&gt;&lt;publisher&gt;John Wiley &amp;amp; Sons, Ltd&lt;/publisher&gt;&lt;isbn&gt;1465-1858&lt;/isbn&gt;&lt;accession-num&gt;CD002203&lt;/accession-num&gt;&lt;urls&gt;&lt;related-urls&gt;&lt;url&gt;https://doi.org//10.1002/14651858.CD002203.pub4&lt;/url&gt;&lt;/related-urls&gt;&lt;/urls&gt;&lt;electronic-resource-num&gt;10.1002/14651858.CD002203.pub4&lt;/electronic-resource-num&gt;&lt;/record&gt;&lt;/Cite&gt;&lt;/EndNote&gt;</w:instrText>
      </w:r>
      <w:r w:rsidR="00ED0001">
        <w:fldChar w:fldCharType="separate"/>
      </w:r>
      <w:r w:rsidR="0054784B">
        <w:rPr>
          <w:noProof/>
        </w:rPr>
        <w:t>(Southern, Barker, Solis‐Moya, et al., 2012)</w:t>
      </w:r>
      <w:r w:rsidR="00ED0001">
        <w:fldChar w:fldCharType="end"/>
      </w:r>
      <w:r w:rsidR="00A01D52">
        <w:t xml:space="preserve">. </w:t>
      </w:r>
      <w:r w:rsidRPr="00241369">
        <w:t xml:space="preserve">This </w:t>
      </w:r>
      <w:r w:rsidRPr="00206907">
        <w:t xml:space="preserve">was significant up to 6 </w:t>
      </w:r>
      <w:r w:rsidR="00935056" w:rsidRPr="00206907">
        <w:t>months,</w:t>
      </w:r>
      <w:r w:rsidRPr="00206907">
        <w:t xml:space="preserve"> but the </w:t>
      </w:r>
      <w:r w:rsidR="009E7140">
        <w:t>advantage</w:t>
      </w:r>
      <w:r w:rsidR="00031C19">
        <w:t xml:space="preserve"> </w:t>
      </w:r>
      <w:r w:rsidRPr="00206907">
        <w:t xml:space="preserve">was </w:t>
      </w:r>
      <w:r w:rsidR="00031C19">
        <w:t xml:space="preserve">lost </w:t>
      </w:r>
      <w:r w:rsidRPr="00206907">
        <w:t>after 6 months in the one trial that continued for 12</w:t>
      </w:r>
      <w:r w:rsidRPr="00241369">
        <w:t xml:space="preserve"> months</w:t>
      </w:r>
      <w:r w:rsidR="00D94905">
        <w:t xml:space="preserve"> </w:t>
      </w:r>
      <w:r w:rsidR="0054784B">
        <w:fldChar w:fldCharType="begin">
          <w:fldData xml:space="preserve">PEVuZE5vdGU+PENpdGU+PEF1dGhvcj5DbGVtZW50PC9BdXRob3I+PFllYXI+MjAwNjwvWWVhcj48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</w:fldData>
        </w:fldChar>
      </w:r>
      <w:r w:rsidR="0054784B">
        <w:instrText xml:space="preserve"> ADDIN EN.CITE </w:instrText>
      </w:r>
      <w:r w:rsidR="0054784B">
        <w:fldChar w:fldCharType="begin">
          <w:fldData xml:space="preserve">PEVuZE5vdGU+PENpdGU+PEF1dGhvcj5DbGVtZW50PC9BdXRob3I+PFllYXI+MjAwNjwvWWVhcj48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</w:fldData>
        </w:fldChar>
      </w:r>
      <w:r w:rsidR="0054784B">
        <w:instrText xml:space="preserve"> ADDIN EN.CITE.DATA </w:instrText>
      </w:r>
      <w:r w:rsidR="0054784B">
        <w:fldChar w:fldCharType="end"/>
      </w:r>
      <w:r w:rsidR="0054784B">
        <w:fldChar w:fldCharType="separate"/>
      </w:r>
      <w:r w:rsidR="0054784B">
        <w:rPr>
          <w:noProof/>
        </w:rPr>
        <w:t>(Clement et al., 2006)</w:t>
      </w:r>
      <w:r w:rsidR="0054784B">
        <w:fldChar w:fldCharType="end"/>
      </w:r>
      <w:r w:rsidRPr="00241369">
        <w:t xml:space="preserve">. </w:t>
      </w:r>
      <w:r w:rsidR="00A10769" w:rsidRPr="00241369">
        <w:t xml:space="preserve">It is debatable </w:t>
      </w:r>
      <w:r w:rsidR="00031C19">
        <w:t xml:space="preserve">in any case </w:t>
      </w:r>
      <w:r w:rsidR="00A10769" w:rsidRPr="00241369">
        <w:t>whether a 4% change is clinically significant.</w:t>
      </w:r>
      <w:r w:rsidR="00A10769">
        <w:t xml:space="preserve"> </w:t>
      </w:r>
      <w:r w:rsidR="00A10769" w:rsidRPr="00241369">
        <w:t>A decline in pulmonary function has been associated with lower 2-year survival and therefore pulmonary function is frequently used as a surrogate end point in many CF trials</w:t>
      </w:r>
      <w:r w:rsidR="00A10769">
        <w:t xml:space="preserve"> </w:t>
      </w:r>
      <w:r w:rsidR="00A10769">
        <w:fldChar w:fldCharType="begin">
          <w:fldData xml:space="preserve">PEVuZE5vdGU+PENpdGU+PEF1dGhvcj5WYW5EZXZhbnRlcjwvQXV0aG9yPjxZZWFyPjIwMTI8L1ll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</w:fldData>
        </w:fldChar>
      </w:r>
      <w:r w:rsidR="00CD2C33">
        <w:instrText xml:space="preserve"> ADDIN EN.CITE </w:instrText>
      </w:r>
      <w:r w:rsidR="00CD2C33">
        <w:fldChar w:fldCharType="begin">
          <w:fldData xml:space="preserve">PEVuZE5vdGU+PENpdGU+PEF1dGhvcj5WYW5EZXZhbnRlcjwvQXV0aG9yPjxZZWFyPjIwMTI8L1ll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</w:fldData>
        </w:fldChar>
      </w:r>
      <w:r w:rsidR="00CD2C33">
        <w:instrText xml:space="preserve"> ADDIN EN.CITE.DATA </w:instrText>
      </w:r>
      <w:r w:rsidR="00CD2C33">
        <w:fldChar w:fldCharType="end"/>
      </w:r>
      <w:r w:rsidR="00A10769">
        <w:fldChar w:fldCharType="separate"/>
      </w:r>
      <w:r w:rsidR="00CD2C33">
        <w:rPr>
          <w:noProof/>
        </w:rPr>
        <w:t>(Konstan et al., 2009; VanDevanter et al., 2012)</w:t>
      </w:r>
      <w:r w:rsidR="00A10769">
        <w:fldChar w:fldCharType="end"/>
      </w:r>
      <w:r w:rsidR="00A10769" w:rsidRPr="00241369">
        <w:t>. Over short periods there is variability in individual FEV1 and individuals may not be able to perceive a change in their pulmonary function</w:t>
      </w:r>
      <w:r w:rsidR="009E7140">
        <w:t xml:space="preserve"> hence quality of life is not usually impacted by small changes</w:t>
      </w:r>
      <w:r w:rsidR="00A10769" w:rsidRPr="00241369">
        <w:t xml:space="preserve"> </w:t>
      </w:r>
      <w:r w:rsidR="00A10769">
        <w:fldChar w:fldCharType="begin"/>
      </w:r>
      <w:r w:rsidR="00EE22EB">
        <w:instrText xml:space="preserve"> ADDIN EN.CITE &lt;EndNote&gt;&lt;Cite&gt;&lt;Author&gt;Konstan&lt;/Author&gt;&lt;Year&gt;2009&lt;/Year&gt;&lt;RecNum&gt;172&lt;/RecNum&gt;&lt;DisplayText&gt;(Konstan et al., 2009)&lt;/DisplayText&gt;&lt;record&gt;&lt;rec-number&gt;172&lt;/rec-number&gt;&lt;foreign-keys&gt;&lt;key app="EN" db-id="pr9rwt2w8padxcerwx6prd0a9wtda2w5fw2t" timestamp="1629731697"&gt;172&lt;/key&gt;&lt;/foreign-keys&gt;&lt;ref-type name="Journal Article"&gt;17&lt;/ref-type&gt;&lt;contributors&gt;&lt;authors&gt;&lt;author&gt;Konstan, M. W.&lt;/author&gt;&lt;author&gt;Wagener, J. S.&lt;/author&gt;&lt;author&gt;VanDevanter, D. R.&lt;/author&gt;&lt;/authors&gt;&lt;/contributors&gt;&lt;auth-address&gt;Department of Pediatrics, Rainbow Babies and Children&amp;apos;s Hospital, Case Western Reserve University School of Medicine, Cleveland, Ohio 44106, USA. michael.konstan@case.edu&lt;/auth-address&gt;&lt;titles&gt;&lt;title&gt;Characterizing aggressiveness and predicting future progression of CF lung disease&lt;/title&gt;&lt;secondary-title&gt;J Cyst Fibros&lt;/secondary-title&gt;&lt;/titles&gt;&lt;periodical&gt;&lt;full-title&gt;J Cyst Fibros&lt;/full-title&gt;&lt;/periodical&gt;&lt;pages&gt;S15-9&lt;/pages&gt;&lt;volume&gt;8 Suppl 1&lt;/volume&gt;&lt;edition&gt;2009/05/23&lt;/edition&gt;&lt;keywords&gt;&lt;keyword&gt;Adolescent&lt;/keyword&gt;&lt;keyword&gt;Adult&lt;/keyword&gt;&lt;keyword&gt;Child&lt;/keyword&gt;&lt;keyword&gt;Child, Preschool&lt;/keyword&gt;&lt;keyword&gt;Cystic Fibrosis/*diagnosis/*physiopathology&lt;/keyword&gt;&lt;keyword&gt;Disease Progression&lt;/keyword&gt;&lt;keyword&gt;Female&lt;/keyword&gt;&lt;keyword&gt;Forced Expiratory Volume&lt;/keyword&gt;&lt;keyword&gt;Humans&lt;/keyword&gt;&lt;keyword&gt;Male&lt;/keyword&gt;&lt;keyword&gt;*Severity of Illness Index&lt;/keyword&gt;&lt;keyword&gt;Young Adult&lt;/keyword&gt;&lt;/keywords&gt;&lt;dates&gt;&lt;year&gt;2009&lt;/year&gt;&lt;pub-dates&gt;&lt;date&gt;Jun&lt;/date&gt;&lt;/pub-dates&gt;&lt;/dates&gt;&lt;isbn&gt;1569-1993&lt;/isbn&gt;&lt;accession-num&gt;19460682&lt;/accession-num&gt;&lt;urls&gt;&lt;/urls&gt;&lt;custom2&gt;PMC4167362&lt;/custom2&gt;&lt;custom6&gt;NIHMS627917&lt;/custom6&gt;&lt;electronic-resource-num&gt;10.1016/s1569-1993(09)60006-0&lt;/electronic-resource-num&gt;&lt;remote-database-provider&gt;NLM&lt;/remote-database-provider&gt;&lt;language&gt;eng&lt;/language&gt;&lt;/record&gt;&lt;/Cite&gt;&lt;/EndNote&gt;</w:instrText>
      </w:r>
      <w:r w:rsidR="00A10769">
        <w:fldChar w:fldCharType="separate"/>
      </w:r>
      <w:r w:rsidR="00EE22EB">
        <w:rPr>
          <w:noProof/>
        </w:rPr>
        <w:t>(Konstan et al., 2009)</w:t>
      </w:r>
      <w:r w:rsidR="00A10769">
        <w:fldChar w:fldCharType="end"/>
      </w:r>
      <w:r w:rsidR="00A10769" w:rsidRPr="00241369">
        <w:t xml:space="preserve">. </w:t>
      </w:r>
      <w:r w:rsidR="005142BC">
        <w:t>These studies enrolled patients with</w:t>
      </w:r>
      <w:r w:rsidR="009E7140">
        <w:t xml:space="preserve"> or</w:t>
      </w:r>
      <w:r w:rsidR="005142BC">
        <w:t xml:space="preserve"> without chronic </w:t>
      </w:r>
      <w:r w:rsidR="005142BC" w:rsidRPr="004D235C">
        <w:rPr>
          <w:i/>
        </w:rPr>
        <w:t>P. aeruginosa</w:t>
      </w:r>
      <w:r w:rsidR="005142BC">
        <w:t xml:space="preserve"> infection or both.  The impact of </w:t>
      </w:r>
      <w:r w:rsidR="005142BC" w:rsidRPr="004D235C">
        <w:rPr>
          <w:i/>
        </w:rPr>
        <w:t>P. aeruginosa</w:t>
      </w:r>
      <w:r w:rsidR="005142BC">
        <w:t xml:space="preserve"> infection on outcomes required further examination of individual patient data, however it was not thought to be a significant confounding factor with regards to changes in FEV1</w:t>
      </w:r>
      <w:r w:rsidR="004D235C">
        <w:t xml:space="preserve"> </w:t>
      </w:r>
      <w:r w:rsidR="004D235C">
        <w:fldChar w:fldCharType="begin"/>
      </w:r>
      <w:r w:rsidR="00533B35">
        <w:instrText xml:space="preserve"> ADDIN EN.CITE &lt;EndNote&gt;&lt;Cite&gt;&lt;Author&gt;Southern&lt;/Author&gt;&lt;Year&gt;2012&lt;/Year&gt;&lt;RecNum&gt;12&lt;/RecNum&gt;&lt;DisplayText&gt;(Southern, Barker, Solis-Moya, et al., 2012)&lt;/DisplayText&gt;&lt;record&gt;&lt;rec-number&gt;12&lt;/rec-number&gt;&lt;foreign-keys&gt;&lt;key app="EN" db-id="pr9rwt2w8padxcerwx6prd0a9wtda2w5fw2t" timestamp="1616078213"&gt;12&lt;/key&gt;&lt;/foreign-keys&gt;&lt;ref-type name="Journal Article"&gt;17&lt;/ref-type&gt;&lt;contributors&gt;&lt;authors&gt;&lt;author&gt;Southern, K. W.&lt;/author&gt;&lt;author&gt;Barker, P. M.&lt;/author&gt;&lt;author&gt;Solis-Moya, A.&lt;/author&gt;&lt;author&gt;Patel, L.&lt;/author&gt;&lt;/authors&gt;&lt;/contributors&gt;&lt;auth-address&gt;Institute of ChildHealth, University of Liverpool, Liverpool, UK. kwsouth@liv.ac.uk.&lt;/auth-address&gt;&lt;titles&gt;&lt;title&gt;Macrolide antibiotics for cystic fibrosis&lt;/title&gt;&lt;secondary-title&gt;Cochrane Database Syst Rev&lt;/secondary-title&gt;&lt;/titles&gt;&lt;periodical&gt;&lt;full-title&gt;Cochrane Database Syst Rev&lt;/full-title&gt;&lt;/periodical&gt;&lt;pages&gt;Cd002203&lt;/pages&gt;&lt;volume&gt;11&lt;/volume&gt;&lt;number&gt;11&lt;/number&gt;&lt;edition&gt;2012/11/16&lt;/edition&gt;&lt;keywords&gt;&lt;keyword&gt;Anti-Bacterial Agents/adverse effects/*therapeutic use&lt;/keyword&gt;&lt;keyword&gt;Azithromycin/adverse effects/*therapeutic use&lt;/keyword&gt;&lt;keyword&gt;Bacterial Infections/drug therapy/etiology&lt;/keyword&gt;&lt;keyword&gt;Cystic Fibrosis/*complications&lt;/keyword&gt;&lt;keyword&gt;Disease Progression&lt;/keyword&gt;&lt;keyword&gt;Humans&lt;/keyword&gt;&lt;keyword&gt;Macrolides/adverse effects/therapeutic use&lt;/keyword&gt;&lt;keyword&gt;Outcome Assessment, Health Care&lt;/keyword&gt;&lt;keyword&gt;Pseudomonas Infections/*drug therapy&lt;/keyword&gt;&lt;keyword&gt;*Pseudomonas aeruginosa&lt;/keyword&gt;&lt;keyword&gt;Randomized Controlled Trials as Topic&lt;/keyword&gt;&lt;/keywords&gt;&lt;dates&gt;&lt;year&gt;2012&lt;/year&gt;&lt;pub-dates&gt;&lt;date&gt;Nov 14&lt;/date&gt;&lt;/pub-dates&gt;&lt;/dates&gt;&lt;isbn&gt;1361-6137&lt;/isbn&gt;&lt;accession-num&gt;23152214&lt;/accession-num&gt;&lt;urls&gt;&lt;/urls&gt;&lt;custom2&gt;PMC7098459&lt;/custom2&gt;&lt;electronic-resource-num&gt;10.1002/14651858.CD002203.pub4&lt;/electronic-resource-num&gt;&lt;remote-database-provider&gt;NLM&lt;/remote-database-provider&gt;&lt;language&gt;eng&lt;/language&gt;&lt;/record&gt;&lt;/Cite&gt;&lt;/EndNote&gt;</w:instrText>
      </w:r>
      <w:r w:rsidR="004D235C">
        <w:fldChar w:fldCharType="separate"/>
      </w:r>
      <w:r w:rsidR="00533B35">
        <w:rPr>
          <w:noProof/>
        </w:rPr>
        <w:t>(Southern, Barker, Solis-Moya, et al., 2012)</w:t>
      </w:r>
      <w:r w:rsidR="004D235C">
        <w:fldChar w:fldCharType="end"/>
      </w:r>
      <w:r w:rsidR="005142BC">
        <w:t>.</w:t>
      </w:r>
      <w:r w:rsidR="00251EAE">
        <w:t xml:space="preserve"> A more recent RCT did not find a reduction in the extent of structural lung disease at three years of age in children with CF exposed to long-term azithromycin from diagnosis. </w:t>
      </w:r>
      <w:r w:rsidR="00464BC5">
        <w:t xml:space="preserve">There was however a significant reduction in the number of day hospitalised for pulmonary exacerbations </w:t>
      </w:r>
      <w:r w:rsidR="00464BC5" w:rsidRPr="00464BC5">
        <w:t>(mean difference=-6·3, 95%CI=-10·5, -3·1; p=0·004)</w:t>
      </w:r>
      <w:r w:rsidR="00464BC5">
        <w:t xml:space="preserve"> and neutrophilic inflammation</w:t>
      </w:r>
      <w:r w:rsidR="00C574EC">
        <w:t xml:space="preserve"> </w:t>
      </w:r>
      <w:r w:rsidR="00C574EC">
        <w:fldChar w:fldCharType="begin">
          <w:fldData xml:space="preserve">PEVuZE5vdGU+PENpdGU+PEF1dGhvcj5TdGljazwvQXV0aG9yPjxZZWFyPjIwMjI8L1llYXI+PFJl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</w:fldData>
        </w:fldChar>
      </w:r>
      <w:r w:rsidR="00C574EC">
        <w:instrText xml:space="preserve"> ADDIN EN.CITE </w:instrText>
      </w:r>
      <w:r w:rsidR="00C574EC">
        <w:fldChar w:fldCharType="begin">
          <w:fldData xml:space="preserve">PEVuZE5vdGU+PENpdGU+PEF1dGhvcj5TdGljazwvQXV0aG9yPjxZZWFyPjIwMjI8L1llYXI+PFJl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</w:fldData>
        </w:fldChar>
      </w:r>
      <w:r w:rsidR="00C574EC">
        <w:instrText xml:space="preserve"> ADDIN EN.CITE.DATA </w:instrText>
      </w:r>
      <w:r w:rsidR="00C574EC">
        <w:fldChar w:fldCharType="end"/>
      </w:r>
      <w:r w:rsidR="00C574EC">
        <w:fldChar w:fldCharType="separate"/>
      </w:r>
      <w:r w:rsidR="00C574EC">
        <w:rPr>
          <w:noProof/>
        </w:rPr>
        <w:t>(Stick et al., 2022)</w:t>
      </w:r>
      <w:r w:rsidR="00C574EC">
        <w:fldChar w:fldCharType="end"/>
      </w:r>
      <w:r w:rsidR="00C574EC">
        <w:t>.</w:t>
      </w:r>
      <w:r w:rsidR="00464BC5">
        <w:t xml:space="preserve"> </w:t>
      </w:r>
    </w:p>
    <w:p w14:paraId="27472F90" w14:textId="2F25069E" w:rsidR="002B54ED" w:rsidRDefault="002B54ED" w:rsidP="006A5E23">
      <w:pPr>
        <w:spacing w:after="160" w:line="360" w:lineRule="auto"/>
      </w:pPr>
      <w:r w:rsidRPr="00241369">
        <w:t>Only one RCT has looked at macrolides other than azithromycin. Long-term clarithromycin use in 63 adults and children over 12-months was not found to impr</w:t>
      </w:r>
      <w:r w:rsidR="0094382E">
        <w:t xml:space="preserve">ove lung function, weight gain, </w:t>
      </w:r>
      <w:r w:rsidR="0094382E" w:rsidRPr="00241369">
        <w:t>quality</w:t>
      </w:r>
      <w:r w:rsidR="0094382E">
        <w:t xml:space="preserve"> </w:t>
      </w:r>
      <w:r w:rsidRPr="00241369">
        <w:t xml:space="preserve">of life or reduce sputum cytokine levels compared to placebo, despite its chemical similarities to azithromycin </w:t>
      </w:r>
      <w:r w:rsidR="00ED0001">
        <w:fldChar w:fldCharType="begin">
          <w:fldData xml:space="preserve">PEVuZE5vdGU+PENpdGU+PEF1dGhvcj5Sb2JpbnNvbjwvQXV0aG9yPjxZZWFyPjIwMTI8L1llYXI+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</w:fldData>
        </w:fldChar>
      </w:r>
      <w:r w:rsidR="00EE22EB">
        <w:instrText xml:space="preserve"> ADDIN EN.CITE </w:instrText>
      </w:r>
      <w:r w:rsidR="00EE22EB">
        <w:fldChar w:fldCharType="begin">
          <w:fldData xml:space="preserve">PEVuZE5vdGU+PENpdGU+PEF1dGhvcj5Sb2JpbnNvbjwvQXV0aG9yPjxZZWFyPjIwMTI8L1llYXI+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</w:fldData>
        </w:fldChar>
      </w:r>
      <w:r w:rsidR="00EE22EB">
        <w:instrText xml:space="preserve"> ADDIN EN.CITE.DATA </w:instrText>
      </w:r>
      <w:r w:rsidR="00EE22EB">
        <w:fldChar w:fldCharType="end"/>
      </w:r>
      <w:r w:rsidR="00ED0001">
        <w:fldChar w:fldCharType="separate"/>
      </w:r>
      <w:r w:rsidR="00EE22EB">
        <w:rPr>
          <w:noProof/>
        </w:rPr>
        <w:t>(Robinson et al., 2012)</w:t>
      </w:r>
      <w:r w:rsidR="00ED0001">
        <w:fldChar w:fldCharType="end"/>
      </w:r>
      <w:r w:rsidRPr="00241369">
        <w:t>.</w:t>
      </w:r>
      <w:r w:rsidR="00A10769">
        <w:t xml:space="preserve"> </w:t>
      </w:r>
    </w:p>
    <w:p w14:paraId="216B8168" w14:textId="300311FE" w:rsidR="00CD4516" w:rsidRDefault="00CD4516" w:rsidP="001F2604">
      <w:pPr>
        <w:spacing w:line="360" w:lineRule="auto"/>
      </w:pPr>
      <w:r>
        <w:lastRenderedPageBreak/>
        <w:t xml:space="preserve">Of note the role of prophylactic azithromycin in children with CF may change in the future as CFTR modulator therapy to improve CFTR function is adopted in the paediatric population. In adults </w:t>
      </w:r>
      <w:r w:rsidR="009470DB">
        <w:t>homozygous for the delta</w:t>
      </w:r>
      <w:r w:rsidR="00317027">
        <w:t xml:space="preserve"> </w:t>
      </w:r>
      <w:r w:rsidR="009470DB">
        <w:t>F508 mutation, marked improvements in lung function were seen with triple modulator therapy</w:t>
      </w:r>
      <w:r w:rsidR="00317027">
        <w:t xml:space="preserve">, </w:t>
      </w:r>
      <w:proofErr w:type="spellStart"/>
      <w:r w:rsidR="00317027">
        <w:t>Elexacaftor</w:t>
      </w:r>
      <w:proofErr w:type="spellEnd"/>
      <w:r w:rsidR="00317027">
        <w:t>/</w:t>
      </w:r>
      <w:proofErr w:type="spellStart"/>
      <w:r w:rsidR="00317027">
        <w:t>Tezacaftor</w:t>
      </w:r>
      <w:proofErr w:type="spellEnd"/>
      <w:r w:rsidR="00317027">
        <w:t>/Ivacaftor</w:t>
      </w:r>
      <w:r w:rsidR="0046184C">
        <w:t xml:space="preserve"> </w:t>
      </w:r>
      <w:r w:rsidR="0046184C">
        <w:fldChar w:fldCharType="begin">
          <w:fldData xml:space="preserve">PEVuZE5vdGU+PENpdGU+PEF1dGhvcj5IZWlqZXJtYW48L0F1dGhvcj48WWVhcj4yMDE5PC9ZZWFy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</w:fldData>
        </w:fldChar>
      </w:r>
      <w:r w:rsidR="00EE22EB">
        <w:instrText xml:space="preserve"> ADDIN EN.CITE </w:instrText>
      </w:r>
      <w:r w:rsidR="00EE22EB">
        <w:fldChar w:fldCharType="begin">
          <w:fldData xml:space="preserve">PEVuZE5vdGU+PENpdGU+PEF1dGhvcj5IZWlqZXJtYW48L0F1dGhvcj48WWVhcj4yMDE5PC9ZZWFy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</w:fldData>
        </w:fldChar>
      </w:r>
      <w:r w:rsidR="00EE22EB">
        <w:instrText xml:space="preserve"> ADDIN EN.CITE.DATA </w:instrText>
      </w:r>
      <w:r w:rsidR="00EE22EB">
        <w:fldChar w:fldCharType="end"/>
      </w:r>
      <w:r w:rsidR="0046184C">
        <w:fldChar w:fldCharType="separate"/>
      </w:r>
      <w:r w:rsidR="00EE22EB">
        <w:rPr>
          <w:noProof/>
        </w:rPr>
        <w:t>(Heijerman et al., 2019)</w:t>
      </w:r>
      <w:r w:rsidR="0046184C">
        <w:fldChar w:fldCharType="end"/>
      </w:r>
      <w:r w:rsidR="004B4BA8">
        <w:t xml:space="preserve">, and ongoing studies have shown a reduction in exacerbation frequency </w:t>
      </w:r>
      <w:r w:rsidR="0046184C">
        <w:fldChar w:fldCharType="begin">
          <w:fldData xml:space="preserve">PEVuZE5vdGU+PENpdGU+PEF1dGhvcj5QYXRlbDwvQXV0aG9yPjxZZWFyPjIwMjA8L1llYXI+PFJl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==
</w:fldData>
        </w:fldChar>
      </w:r>
      <w:r w:rsidR="00EE22EB">
        <w:instrText xml:space="preserve"> ADDIN EN.CITE </w:instrText>
      </w:r>
      <w:r w:rsidR="00EE22EB">
        <w:fldChar w:fldCharType="begin">
          <w:fldData xml:space="preserve">PEVuZE5vdGU+PENpdGU+PEF1dGhvcj5QYXRlbDwvQXV0aG9yPjxZZWFyPjIwMjA8L1llYXI+PFJl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==
</w:fldData>
        </w:fldChar>
      </w:r>
      <w:r w:rsidR="00EE22EB">
        <w:instrText xml:space="preserve"> ADDIN EN.CITE.DATA </w:instrText>
      </w:r>
      <w:r w:rsidR="00EE22EB">
        <w:fldChar w:fldCharType="end"/>
      </w:r>
      <w:r w:rsidR="0046184C">
        <w:fldChar w:fldCharType="separate"/>
      </w:r>
      <w:r w:rsidR="00EE22EB">
        <w:rPr>
          <w:noProof/>
        </w:rPr>
        <w:t>(Patel et al., 2020)</w:t>
      </w:r>
      <w:r w:rsidR="0046184C">
        <w:fldChar w:fldCharType="end"/>
      </w:r>
      <w:r w:rsidR="004B4BA8">
        <w:t xml:space="preserve">. </w:t>
      </w:r>
      <w:r w:rsidR="009470DB">
        <w:t xml:space="preserve"> </w:t>
      </w:r>
      <w:r w:rsidR="004B4BA8">
        <w:t>I</w:t>
      </w:r>
      <w:r w:rsidR="009470DB">
        <w:t xml:space="preserve">t is hoped that treating from an early age may reduce lung damage and hence all </w:t>
      </w:r>
      <w:r w:rsidR="004B4BA8">
        <w:t>complications</w:t>
      </w:r>
      <w:r w:rsidR="009470DB">
        <w:t xml:space="preserve"> of CF including </w:t>
      </w:r>
      <w:r w:rsidR="004B4BA8">
        <w:t xml:space="preserve">infection, </w:t>
      </w:r>
      <w:r w:rsidR="009E7140">
        <w:t xml:space="preserve">reducing the need for prophylaxis, </w:t>
      </w:r>
      <w:r w:rsidR="004B4BA8">
        <w:t xml:space="preserve">but this remains to be </w:t>
      </w:r>
      <w:r w:rsidR="009E7140">
        <w:t>determined</w:t>
      </w:r>
      <w:r w:rsidR="004B4BA8">
        <w:t>.</w:t>
      </w:r>
    </w:p>
    <w:p w14:paraId="00D5F8FF" w14:textId="77777777" w:rsidR="00697C60" w:rsidRDefault="00697C60" w:rsidP="001F2604">
      <w:pPr>
        <w:spacing w:line="360" w:lineRule="auto"/>
      </w:pPr>
    </w:p>
    <w:p w14:paraId="70F86E58" w14:textId="24E22FF2" w:rsidR="002B54ED" w:rsidRPr="00241369" w:rsidRDefault="002B54ED" w:rsidP="001F2604">
      <w:pPr>
        <w:pStyle w:val="Heading3"/>
        <w:spacing w:before="0" w:line="360" w:lineRule="auto"/>
      </w:pPr>
      <w:bookmarkStart w:id="39" w:name="_Toc28850816"/>
      <w:bookmarkStart w:id="40" w:name="_Toc117765888"/>
      <w:r w:rsidRPr="00241369">
        <w:t>Non-</w:t>
      </w:r>
      <w:r w:rsidR="00051B34">
        <w:t>c</w:t>
      </w:r>
      <w:r w:rsidR="00051B34" w:rsidRPr="00241369">
        <w:t xml:space="preserve">ystic </w:t>
      </w:r>
      <w:r w:rsidRPr="00241369">
        <w:t>fibrosis bronchiectasis</w:t>
      </w:r>
      <w:bookmarkEnd w:id="39"/>
      <w:bookmarkEnd w:id="40"/>
    </w:p>
    <w:p w14:paraId="05AE074E" w14:textId="1D43E96F" w:rsidR="002B54ED" w:rsidRPr="00241369" w:rsidRDefault="002B54ED" w:rsidP="00D94905">
      <w:pPr>
        <w:spacing w:after="160" w:line="360" w:lineRule="auto"/>
      </w:pPr>
      <w:r w:rsidRPr="00241369">
        <w:t>Bronchiectasis is a respiratory condition characterised by permanent dilation of the peripheral airways</w:t>
      </w:r>
      <w:r w:rsidR="00051B34">
        <w:t>, often</w:t>
      </w:r>
      <w:r w:rsidRPr="00241369">
        <w:t xml:space="preserve"> manifesting as a chronic cough with increased sputum production</w:t>
      </w:r>
      <w:r w:rsidR="00051B34">
        <w:t>, recurrent exacerbations</w:t>
      </w:r>
      <w:r w:rsidRPr="00241369">
        <w:t xml:space="preserve"> and shortness of breath. A cycle of lower airway inflammation and infection worsens airway damage and has been associated with long term disability, accelerated lung function loss and premature death in adults </w:t>
      </w:r>
      <w:r w:rsidR="00ED0001">
        <w:fldChar w:fldCharType="begin"/>
      </w:r>
      <w:r w:rsidR="00EE22EB">
        <w:instrText xml:space="preserve"> ADDIN EN.CITE &lt;EndNote&gt;&lt;Cite&gt;&lt;Author&gt;Loebinger&lt;/Author&gt;&lt;Year&gt;2009&lt;/Year&gt;&lt;RecNum&gt;178&lt;/RecNum&gt;&lt;DisplayText&gt;(Loebinger et al., 2009)&lt;/DisplayText&gt;&lt;record&gt;&lt;rec-number&gt;178&lt;/rec-number&gt;&lt;foreign-keys&gt;&lt;key app="EN" db-id="pr9rwt2w8padxcerwx6prd0a9wtda2w5fw2t" timestamp="1629731697"&gt;178&lt;/key&gt;&lt;/foreign-keys&gt;&lt;ref-type name="Journal Article"&gt;17&lt;/ref-type&gt;&lt;contributors&gt;&lt;authors&gt;&lt;author&gt;Loebinger, M. R.&lt;/author&gt;&lt;author&gt;Wells, A. U.&lt;/author&gt;&lt;author&gt;Hansell, D. M.&lt;/author&gt;&lt;author&gt;Chinyanganya, N.&lt;/author&gt;&lt;author&gt;Devaraj, A.&lt;/author&gt;&lt;author&gt;Meister, M.&lt;/author&gt;&lt;author&gt;Wilson, R.&lt;/author&gt;&lt;/authors&gt;&lt;/contributors&gt;&lt;titles&gt;&lt;title&gt;Mortality in bronchiectasis: a long-term study assessing the factors influencing survival&lt;/title&gt;&lt;secondary-title&gt;European Respiratory Journal&lt;/secondary-title&gt;&lt;/titles&gt;&lt;periodical&gt;&lt;full-title&gt;European Respiratory Journal&lt;/full-title&gt;&lt;/periodical&gt;&lt;pages&gt;843-849&lt;/pages&gt;&lt;volume&gt;34&lt;/volume&gt;&lt;number&gt;4&lt;/number&gt;&lt;dates&gt;&lt;year&gt;2009&lt;/year&gt;&lt;/dates&gt;&lt;urls&gt;&lt;related-urls&gt;&lt;url&gt;https://erj.ersjournals.com/content/erj/34/4/843.full.pdf&lt;/url&gt;&lt;/related-urls&gt;&lt;/urls&gt;&lt;electronic-resource-num&gt;10.1183/09031936.00003709&lt;/electronic-resource-num&gt;&lt;/record&gt;&lt;/Cite&gt;&lt;/EndNote&gt;</w:instrText>
      </w:r>
      <w:r w:rsidR="00ED0001">
        <w:fldChar w:fldCharType="separate"/>
      </w:r>
      <w:r w:rsidR="00EE22EB">
        <w:rPr>
          <w:noProof/>
        </w:rPr>
        <w:t>(Loebinger et al., 2009)</w:t>
      </w:r>
      <w:r w:rsidR="00ED0001">
        <w:fldChar w:fldCharType="end"/>
      </w:r>
      <w:r w:rsidRPr="00241369">
        <w:t>. CF is a significant cause of bronchiectasis however many other conditions are also associated with bronchiectasis including, primary immune deficiencies, cilia</w:t>
      </w:r>
      <w:r w:rsidR="003B7508">
        <w:t>l</w:t>
      </w:r>
      <w:r w:rsidRPr="00241369">
        <w:t xml:space="preserve"> abnormalities</w:t>
      </w:r>
      <w:r w:rsidR="00084D08">
        <w:t>,</w:t>
      </w:r>
      <w:r w:rsidR="003B7508">
        <w:t xml:space="preserve"> atypical mycobacterial infection, other severe </w:t>
      </w:r>
      <w:r w:rsidR="00825925">
        <w:t xml:space="preserve">respiratory </w:t>
      </w:r>
      <w:r w:rsidR="003B7508">
        <w:t>infections</w:t>
      </w:r>
      <w:r w:rsidR="00825925">
        <w:t xml:space="preserve"> (including recurrent aspiration)</w:t>
      </w:r>
      <w:r w:rsidR="003B7508">
        <w:t xml:space="preserve">, connective tissue diseases such as rheumatoid arthritis, </w:t>
      </w:r>
      <w:r w:rsidRPr="00241369">
        <w:t xml:space="preserve">and </w:t>
      </w:r>
      <w:r w:rsidR="00084D08">
        <w:t>post-</w:t>
      </w:r>
      <w:r w:rsidRPr="00241369">
        <w:t>obstructive causes</w:t>
      </w:r>
      <w:r w:rsidR="00051B34">
        <w:t xml:space="preserve"> </w:t>
      </w:r>
      <w:r w:rsidR="0054784B">
        <w:fldChar w:fldCharType="begin"/>
      </w:r>
      <w:r w:rsidR="0054784B">
        <w:instrText xml:space="preserve"> ADDIN EN.CITE &lt;EndNote&gt;&lt;Cite&gt;&lt;Author&gt;Pasteur&lt;/Author&gt;&lt;Year&gt;2000&lt;/Year&gt;&lt;RecNum&gt;532&lt;/RecNum&gt;&lt;DisplayText&gt;(Pasteur et al., 2000)&lt;/DisplayText&gt;&lt;record&gt;&lt;rec-number&gt;532&lt;/rec-number&gt;&lt;foreign-keys&gt;&lt;key app="EN" db-id="pr9rwt2w8padxcerwx6prd0a9wtda2w5fw2t" timestamp="1658221075"&gt;532&lt;/key&gt;&lt;/foreign-keys&gt;&lt;ref-type name="Journal Article"&gt;17&lt;/ref-type&gt;&lt;contributors&gt;&lt;authors&gt;&lt;author&gt;Pasteur, M. C.&lt;/author&gt;&lt;author&gt;Helliwell, S. M.&lt;/author&gt;&lt;author&gt;Houghton, S. J.&lt;/author&gt;&lt;author&gt;Webb, S. C.&lt;/author&gt;&lt;author&gt;Foweraker, J. E.&lt;/author&gt;&lt;author&gt;Coulden, R. A.&lt;/author&gt;&lt;author&gt;Flower, C. D.&lt;/author&gt;&lt;author&gt;Bilton, D.&lt;/author&gt;&lt;author&gt;Keogan, M. T.&lt;/author&gt;&lt;/authors&gt;&lt;/contributors&gt;&lt;auth-address&gt;Lung Defence Unit, Department of Immunology, Papworth Hospital, Cambridge, United Kingdom. mark@pasteurm.freeserve.co.uk&lt;/auth-address&gt;&lt;titles&gt;&lt;title&gt;An investigation into causative factors in patients with bronchiectasis&lt;/title&gt;&lt;secondary-title&gt;Am J Respir Crit Care Med&lt;/secondary-title&gt;&lt;/titles&gt;&lt;periodical&gt;&lt;full-title&gt;Am J Respir Crit Care Med&lt;/full-title&gt;&lt;/periodical&gt;&lt;pages&gt;1277-84&lt;/pages&gt;&lt;volume&gt;162&lt;/volume&gt;&lt;number&gt;4 Pt 1&lt;/number&gt;&lt;edition&gt;2000/10/13&lt;/edition&gt;&lt;keywords&gt;&lt;keyword&gt;Adolescent&lt;/keyword&gt;&lt;keyword&gt;Adult&lt;/keyword&gt;&lt;keyword&gt;Aged&lt;/keyword&gt;&lt;keyword&gt;Aged, 80 and over&lt;/keyword&gt;&lt;keyword&gt;Bronchiectasis/diagnostic imaging/epidemiology/*etiology&lt;/keyword&gt;&lt;keyword&gt;Causality&lt;/keyword&gt;&lt;keyword&gt;England&lt;/keyword&gt;&lt;keyword&gt;Female&lt;/keyword&gt;&lt;keyword&gt;Humans&lt;/keyword&gt;&lt;keyword&gt;Male&lt;/keyword&gt;&lt;keyword&gt;Middle Aged&lt;/keyword&gt;&lt;keyword&gt;Prognosis&lt;/keyword&gt;&lt;keyword&gt;Tomography, X-Ray Computed&lt;/keyword&gt;&lt;/keywords&gt;&lt;dates&gt;&lt;year&gt;2000&lt;/year&gt;&lt;pub-dates&gt;&lt;date&gt;Oct&lt;/date&gt;&lt;/pub-dates&gt;&lt;/dates&gt;&lt;isbn&gt;1073-449X (Print)&amp;#xD;1073-449x&lt;/isbn&gt;&lt;accession-num&gt;11029331&lt;/accession-num&gt;&lt;urls&gt;&lt;/urls&gt;&lt;electronic-resource-num&gt;10.1164/ajrccm.162.4.9906120&lt;/electronic-resource-num&gt;&lt;remote-database-provider&gt;NLM&lt;/remote-database-provider&gt;&lt;language&gt;eng&lt;/language&gt;&lt;/record&gt;&lt;/Cite&gt;&lt;/EndNote&gt;</w:instrText>
      </w:r>
      <w:r w:rsidR="0054784B">
        <w:fldChar w:fldCharType="separate"/>
      </w:r>
      <w:r w:rsidR="0054784B">
        <w:rPr>
          <w:noProof/>
        </w:rPr>
        <w:t>(Pasteur et al., 2000)</w:t>
      </w:r>
      <w:r w:rsidR="0054784B">
        <w:fldChar w:fldCharType="end"/>
      </w:r>
      <w:r w:rsidR="00D94905">
        <w:t>.</w:t>
      </w:r>
      <w:r w:rsidRPr="00241369">
        <w:t xml:space="preserve"> </w:t>
      </w:r>
      <w:r w:rsidR="00DE7750">
        <w:t xml:space="preserve">Many cases are idiopathic, however. </w:t>
      </w:r>
      <w:r w:rsidRPr="00241369">
        <w:t>The prevalence of bronchiectasis in the UK 2013 was 5</w:t>
      </w:r>
      <w:r w:rsidR="00CC1370">
        <w:t>6</w:t>
      </w:r>
      <w:r w:rsidRPr="00241369">
        <w:t>6 per 100,000 in women and 485 per 100,000 in men</w:t>
      </w:r>
      <w:r w:rsidR="00A01D52">
        <w:t xml:space="preserve"> </w:t>
      </w:r>
      <w:r w:rsidR="00ED0001">
        <w:fldChar w:fldCharType="begin">
          <w:fldData xml:space="preserve">PEVuZE5vdGU+PENpdGU+PEF1dGhvcj5RdWludDwvQXV0aG9yPjxZZWFyPjIwMTY8L1llYXI+PFJl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=
</w:fldData>
        </w:fldChar>
      </w:r>
      <w:r w:rsidR="00EE22EB">
        <w:instrText xml:space="preserve"> ADDIN EN.CITE </w:instrText>
      </w:r>
      <w:r w:rsidR="00EE22EB">
        <w:fldChar w:fldCharType="begin">
          <w:fldData xml:space="preserve">PEVuZE5vdGU+PENpdGU+PEF1dGhvcj5RdWludDwvQXV0aG9yPjxZZWFyPjIwMTY8L1llYXI+PFJl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=
</w:fldData>
        </w:fldChar>
      </w:r>
      <w:r w:rsidR="00EE22EB">
        <w:instrText xml:space="preserve"> ADDIN EN.CITE.DATA </w:instrText>
      </w:r>
      <w:r w:rsidR="00EE22EB">
        <w:fldChar w:fldCharType="end"/>
      </w:r>
      <w:r w:rsidR="00ED0001">
        <w:fldChar w:fldCharType="separate"/>
      </w:r>
      <w:r w:rsidR="00EE22EB">
        <w:rPr>
          <w:noProof/>
        </w:rPr>
        <w:t>(Quint et al., 2016)</w:t>
      </w:r>
      <w:r w:rsidR="00ED0001">
        <w:fldChar w:fldCharType="end"/>
      </w:r>
      <w:r w:rsidRPr="00241369">
        <w:t xml:space="preserve">. </w:t>
      </w:r>
    </w:p>
    <w:p w14:paraId="261FB0D0" w14:textId="2AE4B7CE" w:rsidR="002B54ED" w:rsidRDefault="00051B34" w:rsidP="00D94905">
      <w:pPr>
        <w:spacing w:after="160" w:line="360" w:lineRule="auto"/>
      </w:pPr>
      <w:r>
        <w:t>In keeping with</w:t>
      </w:r>
      <w:r w:rsidRPr="00241369">
        <w:t xml:space="preserve"> </w:t>
      </w:r>
      <w:r w:rsidR="002B54ED" w:rsidRPr="00241369">
        <w:t xml:space="preserve">the </w:t>
      </w:r>
      <w:r>
        <w:t>role</w:t>
      </w:r>
      <w:r w:rsidRPr="00241369">
        <w:t xml:space="preserve"> </w:t>
      </w:r>
      <w:r w:rsidR="002B54ED" w:rsidRPr="00241369">
        <w:t>of long-term macrolides in CF, there is a growing evidence base for its use in non-CF bronchiectasis. The mai</w:t>
      </w:r>
      <w:r w:rsidR="00154C33" w:rsidRPr="00241369">
        <w:t xml:space="preserve">n evidence </w:t>
      </w:r>
      <w:r w:rsidR="00DC36B3">
        <w:t xml:space="preserve">has </w:t>
      </w:r>
      <w:r w:rsidR="00154C33" w:rsidRPr="00241369">
        <w:t xml:space="preserve">come from five </w:t>
      </w:r>
      <w:r w:rsidR="002B54ED" w:rsidRPr="00241369">
        <w:t>double-blind, randomised placebo-controlled trials</w:t>
      </w:r>
      <w:r w:rsidR="00A01D52">
        <w:t xml:space="preserve"> </w:t>
      </w:r>
      <w:r w:rsidR="00ED0001">
        <w:fldChar w:fldCharType="begin">
          <w:fldData xml:space="preserve">PEVuZE5vdGU+PENpdGU+PEF1dGhvcj5BbHRlbmJ1cmc8L0F1dGhvcj48WWVhcj4yMDEzPC9ZZWFy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</w:fldData>
        </w:fldChar>
      </w:r>
      <w:r w:rsidR="00CD2C33">
        <w:instrText xml:space="preserve"> ADDIN EN.CITE </w:instrText>
      </w:r>
      <w:r w:rsidR="00CD2C33">
        <w:fldChar w:fldCharType="begin">
          <w:fldData xml:space="preserve">PEVuZE5vdGU+PENpdGU+PEF1dGhvcj5BbHRlbmJ1cmc8L0F1dGhvcj48WWVhcj4yMDEzPC9ZZWFy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</w:fldData>
        </w:fldChar>
      </w:r>
      <w:r w:rsidR="00CD2C33">
        <w:instrText xml:space="preserve"> ADDIN EN.CITE.DATA </w:instrText>
      </w:r>
      <w:r w:rsidR="00CD2C33">
        <w:fldChar w:fldCharType="end"/>
      </w:r>
      <w:r w:rsidR="00ED0001">
        <w:fldChar w:fldCharType="separate"/>
      </w:r>
      <w:r w:rsidR="00CD2C33">
        <w:rPr>
          <w:noProof/>
        </w:rPr>
        <w:t>(Altenburg et al., 2013; Masekela et al., 2013; Serisier et al., 2013; Valery et al., 2013; Wong et al., 2012)</w:t>
      </w:r>
      <w:r w:rsidR="00ED0001">
        <w:fldChar w:fldCharType="end"/>
      </w:r>
      <w:r w:rsidR="00A01D52">
        <w:t xml:space="preserve">. </w:t>
      </w:r>
      <w:r w:rsidR="002B54ED" w:rsidRPr="00241369">
        <w:t xml:space="preserve">Only two of these were </w:t>
      </w:r>
      <w:r w:rsidR="004A5E61">
        <w:t xml:space="preserve">however </w:t>
      </w:r>
      <w:r w:rsidR="002B54ED" w:rsidRPr="00241369">
        <w:t xml:space="preserve">conducted in paediatric populations </w:t>
      </w:r>
      <w:r w:rsidR="004A3346">
        <w:t xml:space="preserve">(total of 120 children), </w:t>
      </w:r>
      <w:r w:rsidR="002B54ED" w:rsidRPr="00241369">
        <w:t xml:space="preserve">demonstrating the paucity of evidence on which recommendations </w:t>
      </w:r>
      <w:r w:rsidR="004A3346">
        <w:t xml:space="preserve">for children </w:t>
      </w:r>
      <w:r w:rsidR="002B54ED" w:rsidRPr="00241369">
        <w:t>are based. The first study conducted in a paediatric population recruited 89 children aged 1-8 years and randomised to once weekly azithromycin or placebo over 12-24 months. They reported significantly lower pulmonary exacerbation rates in the azithromycin group compared to placebo: 104 vs 195 exacerbations, (incidence rate ratio 0.5; 95%CI 0.35-0.71</w:t>
      </w:r>
      <w:r w:rsidR="004A5E61">
        <w:t>,</w:t>
      </w:r>
      <w:r w:rsidR="002B54ED" w:rsidRPr="00241369">
        <w:t xml:space="preserve"> p&lt;0.0001)</w:t>
      </w:r>
      <w:r w:rsidR="00A01D52">
        <w:t xml:space="preserve"> </w:t>
      </w:r>
      <w:r w:rsidR="00ED0001">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 </w:instrText>
      </w:r>
      <w:r w:rsidR="00EE22EB">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EN.CITE.DATA </w:instrText>
      </w:r>
      <w:r w:rsidR="00EE22EB">
        <w:fldChar w:fldCharType="end"/>
      </w:r>
      <w:r w:rsidR="00ED0001">
        <w:fldChar w:fldCharType="separate"/>
      </w:r>
      <w:r w:rsidR="00EE22EB">
        <w:rPr>
          <w:noProof/>
        </w:rPr>
        <w:t>(Valery et al., 2013)</w:t>
      </w:r>
      <w:r w:rsidR="00ED0001">
        <w:fldChar w:fldCharType="end"/>
      </w:r>
      <w:r w:rsidR="002B54ED" w:rsidRPr="00241369">
        <w:t>. This study was carried out amongst indigenous populations in Australia and New Zealand</w:t>
      </w:r>
      <w:r>
        <w:t xml:space="preserve"> and hence</w:t>
      </w:r>
      <w:r w:rsidRPr="00241369">
        <w:t xml:space="preserve"> </w:t>
      </w:r>
      <w:r>
        <w:t>t</w:t>
      </w:r>
      <w:r w:rsidRPr="00241369">
        <w:t xml:space="preserve">he </w:t>
      </w:r>
      <w:r w:rsidR="002B54ED" w:rsidRPr="00241369">
        <w:t xml:space="preserve">results may not be </w:t>
      </w:r>
      <w:r>
        <w:t xml:space="preserve">fully </w:t>
      </w:r>
      <w:r w:rsidR="002B54ED" w:rsidRPr="00241369">
        <w:lastRenderedPageBreak/>
        <w:t>applicable to a UK paediatric population</w:t>
      </w:r>
      <w:r>
        <w:t>.</w:t>
      </w:r>
      <w:r w:rsidRPr="00241369">
        <w:t xml:space="preserve"> </w:t>
      </w:r>
      <w:r>
        <w:t xml:space="preserve">Additionally, </w:t>
      </w:r>
      <w:r w:rsidR="002B54ED" w:rsidRPr="00241369">
        <w:t xml:space="preserve">no children over the age of 8 years were recruited as it was thought children in puberty have a different pattern of illness </w:t>
      </w:r>
      <w:r w:rsidR="00ED0001">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 </w:instrText>
      </w:r>
      <w:r w:rsidR="00EE22EB">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EN.CITE.DATA </w:instrText>
      </w:r>
      <w:r w:rsidR="00EE22EB">
        <w:fldChar w:fldCharType="end"/>
      </w:r>
      <w:r w:rsidR="00ED0001">
        <w:fldChar w:fldCharType="separate"/>
      </w:r>
      <w:r w:rsidR="00EE22EB">
        <w:rPr>
          <w:noProof/>
        </w:rPr>
        <w:t>(Valery et al., 2013)</w:t>
      </w:r>
      <w:r w:rsidR="00ED0001">
        <w:fldChar w:fldCharType="end"/>
      </w:r>
      <w:r w:rsidR="002B54ED" w:rsidRPr="00241369">
        <w:t xml:space="preserve">. Also noteworthy is that the inclusion diagnosis of bronchiectasis was not confirmed on </w:t>
      </w:r>
      <w:r w:rsidR="00A158A5">
        <w:t>high resolution computed tomography (HRCT)</w:t>
      </w:r>
      <w:r w:rsidR="002B54ED" w:rsidRPr="00241369">
        <w:t xml:space="preserve"> in all children, with varying percentages of HRCT-confirmed diagnoses in the 2 study groups.</w:t>
      </w:r>
      <w:r w:rsidR="00AF0AF6">
        <w:t xml:space="preserve"> </w:t>
      </w:r>
      <w:r w:rsidR="002B54ED" w:rsidRPr="00241369">
        <w:t xml:space="preserve">The second paediatric study </w:t>
      </w:r>
      <w:r w:rsidR="00AF0AF6">
        <w:t xml:space="preserve">was </w:t>
      </w:r>
      <w:r w:rsidR="002B54ED" w:rsidRPr="00241369">
        <w:t>conducted in 31 HIV positive South African children aged 6-18 years (again not representative of a</w:t>
      </w:r>
      <w:r w:rsidR="00AF0AF6">
        <w:t xml:space="preserve"> typical</w:t>
      </w:r>
      <w:r w:rsidR="002B54ED" w:rsidRPr="00241369">
        <w:t xml:space="preserve"> UK cohort) </w:t>
      </w:r>
      <w:r w:rsidR="00A531E2">
        <w:t xml:space="preserve">and </w:t>
      </w:r>
      <w:r w:rsidR="002B54ED" w:rsidRPr="00241369">
        <w:t>was the only trial not to show a difference in pulmonary exacerbations with long term macrolide use; daily erythromycin</w:t>
      </w:r>
      <w:r w:rsidR="00DE7750">
        <w:t xml:space="preserve"> (rather than azithromycin)</w:t>
      </w:r>
      <w:r w:rsidR="002B54ED" w:rsidRPr="00241369">
        <w:t xml:space="preserve"> over 52 weeks </w:t>
      </w:r>
      <w:r w:rsidR="00ED0001">
        <w:fldChar w:fldCharType="begin"/>
      </w:r>
      <w:r w:rsidR="00EE22EB">
        <w:instrText xml:space="preserve"> ADDIN EN.CITE &lt;EndNote&gt;&lt;Cite&gt;&lt;Author&gt;Masekela&lt;/Author&gt;&lt;Year&gt;2013&lt;/Year&gt;&lt;RecNum&gt;144&lt;/RecNum&gt;&lt;DisplayText&gt;(Masekela et al., 2013)&lt;/DisplayText&gt;&lt;record&gt;&lt;rec-number&gt;144&lt;/rec-number&gt;&lt;foreign-keys&gt;&lt;key app="EN" db-id="pr9rwt2w8padxcerwx6prd0a9wtda2w5fw2t" timestamp="1629731697"&gt;144&lt;/key&gt;&lt;/foreign-keys&gt;&lt;ref-type name="Journal Article"&gt;17&lt;/ref-type&gt;&lt;contributors&gt;&lt;authors&gt;&lt;author&gt;R Masekela &lt;/author&gt;&lt;author&gt;R Anderson &lt;/author&gt;&lt;author&gt;H Gongxeka &lt;/author&gt;&lt;author&gt;HC Steel &lt;/author&gt;&lt;author&gt;PJ Becker &lt;/author&gt;&lt;author&gt;RJ Green &lt;/author&gt;&lt;/authors&gt;&lt;/contributors&gt;&lt;titles&gt;&lt;title&gt;Lack of Efficacy of an Immunomodulatory Macrolide in Childhood HIV Related Bronchiectasis: A Randomised, Placebo-Controlled Trial&lt;/title&gt;&lt;secondary-title&gt;Journal of Antivirals and Antiretrovirals&lt;/secondary-title&gt;&lt;/titles&gt;&lt;periodical&gt;&lt;full-title&gt;Journal of Antivirals and Antiretrovirals&lt;/full-title&gt;&lt;/periodical&gt;&lt;pages&gt;44-49&lt;/pages&gt;&lt;number&gt;5&lt;/number&gt;&lt;dates&gt;&lt;year&gt;2013&lt;/year&gt;&lt;/dates&gt;&lt;urls&gt;&lt;/urls&gt;&lt;electronic-resource-num&gt;DOI:10.4172/jaa.1000062&lt;/electronic-resource-num&gt;&lt;/record&gt;&lt;/Cite&gt;&lt;/EndNote&gt;</w:instrText>
      </w:r>
      <w:r w:rsidR="00ED0001">
        <w:fldChar w:fldCharType="separate"/>
      </w:r>
      <w:r w:rsidR="00EE22EB">
        <w:rPr>
          <w:noProof/>
        </w:rPr>
        <w:t>(Masekela et al., 2013)</w:t>
      </w:r>
      <w:r w:rsidR="00ED0001">
        <w:fldChar w:fldCharType="end"/>
      </w:r>
      <w:r w:rsidR="002B54ED" w:rsidRPr="00241369">
        <w:t>. However, they had an extremely high attrition rate of almost half the participants making this result unreliable.</w:t>
      </w:r>
      <w:r w:rsidR="00DC36B3">
        <w:t xml:space="preserve"> </w:t>
      </w:r>
    </w:p>
    <w:p w14:paraId="28CEEF2F" w14:textId="5ADE2C1A" w:rsidR="002B54ED" w:rsidRPr="00241369" w:rsidRDefault="002B54ED" w:rsidP="00D94905">
      <w:pPr>
        <w:spacing w:after="160" w:line="360" w:lineRule="auto"/>
      </w:pPr>
      <w:r w:rsidRPr="00241369">
        <w:t xml:space="preserve">It is important to note when assessing these studies that the definition of “pulmonary exacerbation” varied between them, potentially changing the threshold for diagnosing an exacerbation. A related confounding factor is the experience of the clinician making this diagnosis. Altenburg suggests that specialist hospital clinicians may diagnose fewer pulmonary exacerbations when they have access to longitudinal sputum microbiology </w:t>
      </w:r>
      <w:r w:rsidR="00ED0001">
        <w:fldChar w:fldCharType="begin">
          <w:fldData xml:space="preserve">PEVuZE5vdGU+PENpdGU+PEF1dGhvcj5BbHRlbmJ1cmc8L0F1dGhvcj48WWVhcj4yMDEzPC9ZZWFy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</w:fldData>
        </w:fldChar>
      </w:r>
      <w:r w:rsidR="00EE22EB">
        <w:instrText xml:space="preserve"> ADDIN EN.CITE </w:instrText>
      </w:r>
      <w:r w:rsidR="00EE22EB">
        <w:fldChar w:fldCharType="begin">
          <w:fldData xml:space="preserve">PEVuZE5vdGU+PENpdGU+PEF1dGhvcj5BbHRlbmJ1cmc8L0F1dGhvcj48WWVhcj4yMDEzPC9ZZWFy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</w:fldData>
        </w:fldChar>
      </w:r>
      <w:r w:rsidR="00EE22EB">
        <w:instrText xml:space="preserve"> ADDIN EN.CITE.DATA </w:instrText>
      </w:r>
      <w:r w:rsidR="00EE22EB">
        <w:fldChar w:fldCharType="end"/>
      </w:r>
      <w:r w:rsidR="00ED0001">
        <w:fldChar w:fldCharType="separate"/>
      </w:r>
      <w:r w:rsidR="00EE22EB">
        <w:rPr>
          <w:noProof/>
        </w:rPr>
        <w:t>(Altenburg et al., 2013)</w:t>
      </w:r>
      <w:r w:rsidR="00ED0001">
        <w:fldChar w:fldCharType="end"/>
      </w:r>
      <w:r w:rsidR="00A01D52">
        <w:t xml:space="preserve">. </w:t>
      </w:r>
      <w:r w:rsidRPr="00241369">
        <w:t xml:space="preserve">The question of whether a </w:t>
      </w:r>
      <w:r w:rsidR="00A01D52">
        <w:t xml:space="preserve">GP </w:t>
      </w:r>
      <w:r w:rsidRPr="00241369">
        <w:t xml:space="preserve">would be more likely to diagnose a pulmonary exacerbation has however not been studied. This would be an important point to address in order to appropriately risk stratifying those who may benefit from prophylactic macrolide treatment as GPs are often those who see exacerbating patients. </w:t>
      </w:r>
    </w:p>
    <w:p w14:paraId="362FB7AC" w14:textId="0F0D5CC5" w:rsidR="004B3A57" w:rsidRDefault="002B54ED" w:rsidP="00D94905">
      <w:pPr>
        <w:spacing w:after="160" w:line="360" w:lineRule="auto"/>
      </w:pPr>
      <w:r w:rsidRPr="00241369">
        <w:t xml:space="preserve">A meta-analysis of </w:t>
      </w:r>
      <w:r w:rsidR="00DC36B3">
        <w:t>10</w:t>
      </w:r>
      <w:r w:rsidRPr="00241369">
        <w:t xml:space="preserve"> RCTs </w:t>
      </w:r>
      <w:r w:rsidR="00DC36B3">
        <w:t xml:space="preserve">involving 602 patients </w:t>
      </w:r>
      <w:r w:rsidRPr="00241369">
        <w:t xml:space="preserve">found a significant benefit of macrolide therapy in reducing the exacerbations </w:t>
      </w:r>
      <w:r w:rsidR="00AF0AF6">
        <w:t>particularly in</w:t>
      </w:r>
      <w:r w:rsidRPr="00241369">
        <w:t xml:space="preserve"> children (relative risk= 5.03, (95%CI 2.02-12.5, p=0.0005) </w:t>
      </w:r>
      <w:r w:rsidR="00AF0AF6">
        <w:t>as well as</w:t>
      </w:r>
      <w:r w:rsidR="00AF0AF6" w:rsidRPr="00241369">
        <w:t xml:space="preserve"> </w:t>
      </w:r>
      <w:r w:rsidRPr="00241369">
        <w:t>adults (relative risk= 1.66 (95%CI 1.37-2.02, p&lt;0.00001)</w:t>
      </w:r>
      <w:r w:rsidR="00A01D52">
        <w:t xml:space="preserve"> </w:t>
      </w:r>
      <w:r w:rsidR="00ED0001">
        <w:fldChar w:fldCharType="begin"/>
      </w:r>
      <w:r w:rsidR="0054784B">
        <w:instrText xml:space="preserve"> ADDIN EN.CITE &lt;EndNote&gt;&lt;Cite&gt;&lt;Author&gt;Wang&lt;/Author&gt;&lt;Year&gt;2019&lt;/Year&gt;&lt;RecNum&gt;145&lt;/RecNum&gt;&lt;DisplayText&gt;(D. Wang et al., 2019)&lt;/DisplayText&gt;&lt;record&gt;&lt;rec-number&gt;145&lt;/rec-number&gt;&lt;foreign-keys&gt;&lt;key app="EN" db-id="pr9rwt2w8padxcerwx6prd0a9wtda2w5fw2t" timestamp="1629731697"&gt;145&lt;/key&gt;&lt;/foreign-keys&gt;&lt;ref-type name="Journal Article"&gt;17&lt;/ref-type&gt;&lt;contributors&gt;&lt;authors&gt;&lt;author&gt;Wang, D.&lt;/author&gt;&lt;author&gt;Fu, W.&lt;/author&gt;&lt;author&gt;Dai, J.&lt;/author&gt;&lt;/authors&gt;&lt;/contributors&gt;&lt;auth-address&gt;Center of Respiratory Disorders, Children&amp;apos;s Hospital of Chongqing Medical University.&amp;#xD;Ministry of Education Key Laboratory of Child Development and Disorders, Chongqing, China.&lt;/auth-address&gt;&lt;titles&gt;&lt;title&gt;Meta-analysis of macrolide maintenance therapy for prevention of disease exacerbations in patients with noncystic fibrosis bronchiectasis&lt;/title&gt;&lt;secondary-title&gt;Medicine (Baltimore)&lt;/secondary-title&gt;&lt;/titles&gt;&lt;periodical&gt;&lt;full-title&gt;Medicine (Baltimore)&lt;/full-title&gt;&lt;/periodical&gt;&lt;pages&gt;e15285&lt;/pages&gt;&lt;volume&gt;98&lt;/volume&gt;&lt;number&gt;17&lt;/number&gt;&lt;edition&gt;2019/04/28&lt;/edition&gt;&lt;keywords&gt;&lt;keyword&gt;Adult&lt;/keyword&gt;&lt;keyword&gt;Anti-Bacterial Agents/administration &amp;amp; dosage/adverse effects/*therapeutic use&lt;/keyword&gt;&lt;keyword&gt;Bronchiectasis/*drug therapy&lt;/keyword&gt;&lt;keyword&gt;Child&lt;/keyword&gt;&lt;keyword&gt;Disease Progression&lt;/keyword&gt;&lt;keyword&gt;Drug Resistance, Bacterial&lt;/keyword&gt;&lt;keyword&gt;Humans&lt;/keyword&gt;&lt;keyword&gt;Macrolides/administration &amp;amp; dosage/adverse effects/*therapeutic use&lt;/keyword&gt;&lt;keyword&gt;Time Factors&lt;/keyword&gt;&lt;/keywords&gt;&lt;dates&gt;&lt;year&gt;2019&lt;/year&gt;&lt;pub-dates&gt;&lt;date&gt;Apr&lt;/date&gt;&lt;/pub-dates&gt;&lt;/dates&gt;&lt;isbn&gt;0025-7974&lt;/isbn&gt;&lt;accession-num&gt;31027086&lt;/accession-num&gt;&lt;urls&gt;&lt;/urls&gt;&lt;electronic-resource-num&gt;10.1097/md.0000000000015285&lt;/electronic-resource-num&gt;&lt;remote-database-provider&gt;NLM&lt;/remote-database-provider&gt;&lt;language&gt;eng&lt;/language&gt;&lt;/record&gt;&lt;/Cite&gt;&lt;/EndNote&gt;</w:instrText>
      </w:r>
      <w:r w:rsidR="00ED0001">
        <w:fldChar w:fldCharType="separate"/>
      </w:r>
      <w:r w:rsidR="0054784B">
        <w:rPr>
          <w:noProof/>
        </w:rPr>
        <w:t>(D. Wang et al., 2019)</w:t>
      </w:r>
      <w:r w:rsidR="00ED0001">
        <w:fldChar w:fldCharType="end"/>
      </w:r>
      <w:r w:rsidRPr="00241369">
        <w:t xml:space="preserve">. In the adult studies they </w:t>
      </w:r>
      <w:r w:rsidR="00AF0AF6">
        <w:t>note</w:t>
      </w:r>
      <w:r w:rsidRPr="00241369">
        <w:t xml:space="preserve"> significant heterogeneity </w:t>
      </w:r>
      <w:r w:rsidR="00AF0AF6">
        <w:t>in the</w:t>
      </w:r>
      <w:r w:rsidRPr="00241369">
        <w:t xml:space="preserve"> type of macrolide</w:t>
      </w:r>
      <w:r w:rsidR="00AF0AF6">
        <w:t>,</w:t>
      </w:r>
      <w:r w:rsidRPr="00241369">
        <w:t xml:space="preserve"> dosing regimens </w:t>
      </w:r>
      <w:r w:rsidR="00AF0AF6">
        <w:t>and</w:t>
      </w:r>
      <w:r w:rsidRPr="00241369">
        <w:t xml:space="preserve"> severity of illness at recruitment. This suggests the result may not be </w:t>
      </w:r>
      <w:r w:rsidR="004A3346">
        <w:t>universally applicable</w:t>
      </w:r>
      <w:r w:rsidRPr="00241369">
        <w:t xml:space="preserve"> </w:t>
      </w:r>
      <w:r w:rsidR="00ED0001">
        <w:fldChar w:fldCharType="begin"/>
      </w:r>
      <w:r w:rsidR="0054784B">
        <w:instrText xml:space="preserve"> ADDIN EN.CITE &lt;EndNote&gt;&lt;Cite&gt;&lt;Author&gt;Wang&lt;/Author&gt;&lt;Year&gt;2019&lt;/Year&gt;&lt;RecNum&gt;145&lt;/RecNum&gt;&lt;DisplayText&gt;(D. Wang et al., 2019)&lt;/DisplayText&gt;&lt;record&gt;&lt;rec-number&gt;145&lt;/rec-number&gt;&lt;foreign-keys&gt;&lt;key app="EN" db-id="pr9rwt2w8padxcerwx6prd0a9wtda2w5fw2t" timestamp="1629731697"&gt;145&lt;/key&gt;&lt;/foreign-keys&gt;&lt;ref-type name="Journal Article"&gt;17&lt;/ref-type&gt;&lt;contributors&gt;&lt;authors&gt;&lt;author&gt;Wang, D.&lt;/author&gt;&lt;author&gt;Fu, W.&lt;/author&gt;&lt;author&gt;Dai, J.&lt;/author&gt;&lt;/authors&gt;&lt;/contributors&gt;&lt;auth-address&gt;Center of Respiratory Disorders, Children&amp;apos;s Hospital of Chongqing Medical University.&amp;#xD;Ministry of Education Key Laboratory of Child Development and Disorders, Chongqing, China.&lt;/auth-address&gt;&lt;titles&gt;&lt;title&gt;Meta-analysis of macrolide maintenance therapy for prevention of disease exacerbations in patients with noncystic fibrosis bronchiectasis&lt;/title&gt;&lt;secondary-title&gt;Medicine (Baltimore)&lt;/secondary-title&gt;&lt;/titles&gt;&lt;periodical&gt;&lt;full-title&gt;Medicine (Baltimore)&lt;/full-title&gt;&lt;/periodical&gt;&lt;pages&gt;e15285&lt;/pages&gt;&lt;volume&gt;98&lt;/volume&gt;&lt;number&gt;17&lt;/number&gt;&lt;edition&gt;2019/04/28&lt;/edition&gt;&lt;keywords&gt;&lt;keyword&gt;Adult&lt;/keyword&gt;&lt;keyword&gt;Anti-Bacterial Agents/administration &amp;amp; dosage/adverse effects/*therapeutic use&lt;/keyword&gt;&lt;keyword&gt;Bronchiectasis/*drug therapy&lt;/keyword&gt;&lt;keyword&gt;Child&lt;/keyword&gt;&lt;keyword&gt;Disease Progression&lt;/keyword&gt;&lt;keyword&gt;Drug Resistance, Bacterial&lt;/keyword&gt;&lt;keyword&gt;Humans&lt;/keyword&gt;&lt;keyword&gt;Macrolides/administration &amp;amp; dosage/adverse effects/*therapeutic use&lt;/keyword&gt;&lt;keyword&gt;Time Factors&lt;/keyword&gt;&lt;/keywords&gt;&lt;dates&gt;&lt;year&gt;2019&lt;/year&gt;&lt;pub-dates&gt;&lt;date&gt;Apr&lt;/date&gt;&lt;/pub-dates&gt;&lt;/dates&gt;&lt;isbn&gt;0025-7974&lt;/isbn&gt;&lt;accession-num&gt;31027086&lt;/accession-num&gt;&lt;urls&gt;&lt;/urls&gt;&lt;electronic-resource-num&gt;10.1097/md.0000000000015285&lt;/electronic-resource-num&gt;&lt;remote-database-provider&gt;NLM&lt;/remote-database-provider&gt;&lt;language&gt;eng&lt;/language&gt;&lt;/record&gt;&lt;/Cite&gt;&lt;/EndNote&gt;</w:instrText>
      </w:r>
      <w:r w:rsidR="00ED0001">
        <w:fldChar w:fldCharType="separate"/>
      </w:r>
      <w:r w:rsidR="0054784B">
        <w:rPr>
          <w:noProof/>
        </w:rPr>
        <w:t>(D. Wang et al., 2019)</w:t>
      </w:r>
      <w:r w:rsidR="00ED0001">
        <w:fldChar w:fldCharType="end"/>
      </w:r>
      <w:r w:rsidR="00A01D52">
        <w:t>.</w:t>
      </w:r>
      <w:r w:rsidRPr="00241369">
        <w:t xml:space="preserve"> </w:t>
      </w:r>
    </w:p>
    <w:p w14:paraId="25BAACD3" w14:textId="7D7D692C" w:rsidR="002B54ED" w:rsidRPr="00241369" w:rsidRDefault="002B54ED" w:rsidP="00D94905">
      <w:pPr>
        <w:spacing w:after="160" w:line="360" w:lineRule="auto"/>
      </w:pPr>
      <w:r w:rsidRPr="00241369">
        <w:t>There are several gaps in this area of literature. No studies in this population have compared different macrolides and dosing regimens, the optimal duration of therapy, or which patient subgroups might benefit most. A further limitation of current trials is that of s</w:t>
      </w:r>
      <w:r w:rsidR="00A01D52">
        <w:t>hort follow-up times (usually 6-</w:t>
      </w:r>
      <w:r w:rsidRPr="00241369">
        <w:t>months to one year). Although the number of exacerbations may reduce with long-term macrolide therapy, prevention of disease progression has not been demonstrated</w:t>
      </w:r>
      <w:r w:rsidR="004A3346">
        <w:t>,</w:t>
      </w:r>
      <w:r w:rsidR="004A3346" w:rsidRPr="004A3346">
        <w:t xml:space="preserve"> </w:t>
      </w:r>
      <w:r w:rsidR="004A3346" w:rsidRPr="004A3346">
        <w:lastRenderedPageBreak/>
        <w:t>although as a surrogate marker of disease progression a beneficial effect of azithromycin on radiological appearances was noted after 1 year of treatment</w:t>
      </w:r>
      <w:r w:rsidR="004B3A57">
        <w:t xml:space="preserve"> in 1 study</w:t>
      </w:r>
      <w:r w:rsidR="003A1626">
        <w:t xml:space="preserve"> </w:t>
      </w:r>
      <w:r w:rsidR="003A1626">
        <w:fldChar w:fldCharType="begin">
          <w:fldData xml:space="preserve">PEVuZE5vdGU+PENpdGU+PEF1dGhvcj5UZXJwc3RyYTwvQXV0aG9yPjxZZWFyPjIwMjI8L1llYXI+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</w:fldData>
        </w:fldChar>
      </w:r>
      <w:r w:rsidR="00EE22EB">
        <w:instrText xml:space="preserve"> ADDIN EN.CITE </w:instrText>
      </w:r>
      <w:r w:rsidR="00EE22EB">
        <w:fldChar w:fldCharType="begin">
          <w:fldData xml:space="preserve">PEVuZE5vdGU+PENpdGU+PEF1dGhvcj5UZXJwc3RyYTwvQXV0aG9yPjxZZWFyPjIwMjI8L1llYXI+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</w:fldData>
        </w:fldChar>
      </w:r>
      <w:r w:rsidR="00EE22EB">
        <w:instrText xml:space="preserve"> ADDIN EN.CITE.DATA </w:instrText>
      </w:r>
      <w:r w:rsidR="00EE22EB">
        <w:fldChar w:fldCharType="end"/>
      </w:r>
      <w:r w:rsidR="003A1626">
        <w:fldChar w:fldCharType="separate"/>
      </w:r>
      <w:r w:rsidR="00EE22EB">
        <w:rPr>
          <w:noProof/>
        </w:rPr>
        <w:t>(Terpstra et al., 2022)</w:t>
      </w:r>
      <w:r w:rsidR="003A1626">
        <w:fldChar w:fldCharType="end"/>
      </w:r>
      <w:r w:rsidRPr="00241369">
        <w:t>. The impact of emerging antimicrobial resistance following long-term macrolide use must also be considered given the growing concerns in this field</w:t>
      </w:r>
      <w:r w:rsidR="004B3A57">
        <w:t xml:space="preserve"> and has been little documented (see section 1.5.3)</w:t>
      </w:r>
      <w:r w:rsidRPr="00241369">
        <w:t xml:space="preserve">. </w:t>
      </w:r>
    </w:p>
    <w:p w14:paraId="0584F0D3" w14:textId="1B3FA235" w:rsidR="002B54ED" w:rsidRDefault="002B54ED" w:rsidP="001F2604">
      <w:pPr>
        <w:spacing w:line="360" w:lineRule="auto"/>
      </w:pPr>
      <w:r w:rsidRPr="00241369">
        <w:t xml:space="preserve">On the basis of the </w:t>
      </w:r>
      <w:r w:rsidR="00DC36B3">
        <w:t>current evidence</w:t>
      </w:r>
      <w:r w:rsidRPr="00241369">
        <w:t xml:space="preserve">, the </w:t>
      </w:r>
      <w:r w:rsidR="00395684">
        <w:t>British Thoracic Society (</w:t>
      </w:r>
      <w:r w:rsidRPr="00241369">
        <w:t>BTS</w:t>
      </w:r>
      <w:r w:rsidR="00395684">
        <w:t>)</w:t>
      </w:r>
      <w:r w:rsidRPr="00241369">
        <w:t xml:space="preserve"> have recently published guidelines for the management of non-CF bronchiectasis in adults. They recommend long-term antibiotics be considered in those experiencing more than 3 pulmonary exacerbations a year </w:t>
      </w:r>
      <w:r w:rsidR="000B01FB">
        <w:fldChar w:fldCharType="begin">
          <w:fldData xml:space="preserve">PEVuZE5vdGU+PENpdGU+PEF1dGhvcj5IaWxsPC9BdXRob3I+PFllYXI+MjAxOTwvWWVhcj48UmVj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</w:fldData>
        </w:fldChar>
      </w:r>
      <w:r w:rsidR="00346D5E">
        <w:instrText xml:space="preserve"> ADDIN EN.CITE </w:instrText>
      </w:r>
      <w:r w:rsidR="00346D5E">
        <w:fldChar w:fldCharType="begin">
          <w:fldData xml:space="preserve">PEVuZE5vdGU+PENpdGU+PEF1dGhvcj5IaWxsPC9BdXRob3I+PFllYXI+MjAxOTwvWWVhcj48UmVj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</w:fldData>
        </w:fldChar>
      </w:r>
      <w:r w:rsidR="00346D5E">
        <w:instrText xml:space="preserve"> ADDIN EN.CITE.DATA </w:instrText>
      </w:r>
      <w:r w:rsidR="00346D5E">
        <w:fldChar w:fldCharType="end"/>
      </w:r>
      <w:r w:rsidR="000B01FB">
        <w:fldChar w:fldCharType="separate"/>
      </w:r>
      <w:r w:rsidR="00346D5E">
        <w:rPr>
          <w:noProof/>
        </w:rPr>
        <w:t>(A. T. Hill et al., 2019)</w:t>
      </w:r>
      <w:r w:rsidR="000B01FB">
        <w:fldChar w:fldCharType="end"/>
      </w:r>
      <w:r w:rsidR="00192ED6">
        <w:t xml:space="preserve">. </w:t>
      </w:r>
      <w:r w:rsidRPr="00241369">
        <w:t>In children with non-CF bronchiectasis, the BTS suggest considering preventative azithromycin in those with frequent symptoms or severe disease.</w:t>
      </w:r>
    </w:p>
    <w:p w14:paraId="3C7FEEAA" w14:textId="0ED01D23" w:rsidR="00775407" w:rsidRDefault="009A7780" w:rsidP="001F2604">
      <w:pPr>
        <w:spacing w:line="360" w:lineRule="auto"/>
      </w:pPr>
      <w:r>
        <w:t>More recent</w:t>
      </w:r>
      <w:r w:rsidR="0059704F">
        <w:t>ly</w:t>
      </w:r>
      <w:r w:rsidR="00A158A5">
        <w:t>,</w:t>
      </w:r>
      <w:r w:rsidR="0059704F">
        <w:t xml:space="preserve"> a further three randomised, </w:t>
      </w:r>
      <w:r>
        <w:t xml:space="preserve">double blind, </w:t>
      </w:r>
      <w:r w:rsidR="00395684">
        <w:t>placebo-controlled</w:t>
      </w:r>
      <w:r>
        <w:t xml:space="preserve"> trials have contributed evidence to the use of long-term azithromycin in primary ciliary dyskinesia, HIV</w:t>
      </w:r>
      <w:r w:rsidR="004B3A57">
        <w:t>-</w:t>
      </w:r>
      <w:r>
        <w:t>related lung disease and primary antibody deficiencies</w:t>
      </w:r>
      <w:r w:rsidR="00A045C8">
        <w:t xml:space="preserve"> </w:t>
      </w:r>
      <w:r w:rsidR="00A045C8">
        <w:fldChar w:fldCharType="begin">
          <w:fldData xml:space="preserve">PEVuZE5vdGU+PENpdGU+PEF1dGhvcj5Lb2JiZXJuYWdlbDwvQXV0aG9yPjxZZWFyPjIwMjA8L1ll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</w:fldData>
        </w:fldChar>
      </w:r>
      <w:r w:rsidR="00CD2C33">
        <w:instrText xml:space="preserve"> ADDIN EN.CITE </w:instrText>
      </w:r>
      <w:r w:rsidR="00CD2C33">
        <w:fldChar w:fldCharType="begin">
          <w:fldData xml:space="preserve">PEVuZE5vdGU+PENpdGU+PEF1dGhvcj5Lb2JiZXJuYWdlbDwvQXV0aG9yPjxZZWFyPjIwMjA8L1ll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</w:fldData>
        </w:fldChar>
      </w:r>
      <w:r w:rsidR="00CD2C33">
        <w:instrText xml:space="preserve"> ADDIN EN.CITE.DATA </w:instrText>
      </w:r>
      <w:r w:rsidR="00CD2C33">
        <w:fldChar w:fldCharType="end"/>
      </w:r>
      <w:r w:rsidR="00A045C8">
        <w:fldChar w:fldCharType="separate"/>
      </w:r>
      <w:r w:rsidR="00CD2C33">
        <w:rPr>
          <w:noProof/>
        </w:rPr>
        <w:t>(Ferrand et al., 2020; Kobbernagel et al., 2020; Milito et al., 2019)</w:t>
      </w:r>
      <w:r w:rsidR="00A045C8">
        <w:fldChar w:fldCharType="end"/>
      </w:r>
      <w:r>
        <w:t xml:space="preserve">. All three report </w:t>
      </w:r>
      <w:r w:rsidR="0059704F">
        <w:t>significant reductions</w:t>
      </w:r>
      <w:r>
        <w:t xml:space="preserve"> in the number of pulmonary exacerbations in the group</w:t>
      </w:r>
      <w:r w:rsidR="003C7BE2">
        <w:t>s</w:t>
      </w:r>
      <w:r>
        <w:t xml:space="preserve"> exposed to azithromycin compared to placebo</w:t>
      </w:r>
      <w:r w:rsidR="003354B3">
        <w:t xml:space="preserve">. </w:t>
      </w:r>
      <w:r w:rsidR="00C65F6E">
        <w:t xml:space="preserve">Due to difficulties in recruitment, the primary antibody and primary ciliary dyskinesia </w:t>
      </w:r>
      <w:r w:rsidR="00034B32">
        <w:t xml:space="preserve">trials </w:t>
      </w:r>
      <w:r w:rsidR="00C65F6E">
        <w:t xml:space="preserve">were unable to </w:t>
      </w:r>
      <w:r w:rsidR="004A3346">
        <w:t>meet</w:t>
      </w:r>
      <w:r w:rsidR="00C65F6E">
        <w:t xml:space="preserve"> their target </w:t>
      </w:r>
      <w:r w:rsidR="004A3346">
        <w:t>recruitment</w:t>
      </w:r>
      <w:r w:rsidR="00C65F6E">
        <w:t xml:space="preserve">. </w:t>
      </w:r>
      <w:r w:rsidR="009808B9">
        <w:t xml:space="preserve">However </w:t>
      </w:r>
      <w:r w:rsidR="00F040C9">
        <w:t>overall,</w:t>
      </w:r>
      <w:r w:rsidR="009808B9">
        <w:t xml:space="preserve"> the evidence supports the use of azithromycin prophylaxis to reduce infective exacerbations in patients with structural lung disease and/or impaired immunity, but does not fully address longer term outcomes or complications such as </w:t>
      </w:r>
      <w:r w:rsidR="004B3A57">
        <w:t>AMR</w:t>
      </w:r>
      <w:r w:rsidR="009808B9">
        <w:t>.</w:t>
      </w:r>
    </w:p>
    <w:p w14:paraId="662C0256" w14:textId="77777777" w:rsidR="008E1EFC" w:rsidRDefault="008E1EFC" w:rsidP="001F2604">
      <w:pPr>
        <w:spacing w:line="360" w:lineRule="auto"/>
      </w:pPr>
    </w:p>
    <w:p w14:paraId="472737D0" w14:textId="77777777" w:rsidR="00507365" w:rsidRPr="00241369" w:rsidRDefault="00507365" w:rsidP="00507365">
      <w:pPr>
        <w:pStyle w:val="Heading3"/>
        <w:spacing w:before="0" w:line="360" w:lineRule="auto"/>
      </w:pPr>
      <w:bookmarkStart w:id="41" w:name="_Toc117765889"/>
      <w:bookmarkStart w:id="42" w:name="_Toc28850823"/>
      <w:r w:rsidRPr="00241369">
        <w:t>Long term macrolides in chronic cough</w:t>
      </w:r>
      <w:bookmarkEnd w:id="41"/>
    </w:p>
    <w:p w14:paraId="46951442" w14:textId="77777777" w:rsidR="00507365" w:rsidRPr="00241369" w:rsidRDefault="00507365" w:rsidP="00507365">
      <w:pPr>
        <w:tabs>
          <w:tab w:val="left" w:pos="5387"/>
        </w:tabs>
        <w:spacing w:after="160" w:line="360" w:lineRule="auto"/>
      </w:pPr>
      <w:r>
        <w:t>Predominantly adult t</w:t>
      </w:r>
      <w:r w:rsidRPr="00241369">
        <w:t xml:space="preserve">rials reporting benefits of long-term macrolide therapy in conditions characterised by neutrophilic airway inflammation, e.g. COPD and bronchiectasis, have prompted studies in those with chronic cough with no detectable underlying condition. There is some evidence to suggest neutrophilic airway inflammation is present in these patients, but only limited treatment options are available. </w:t>
      </w:r>
    </w:p>
    <w:p w14:paraId="6036FED1" w14:textId="77777777" w:rsidR="00507365" w:rsidRPr="00241369" w:rsidRDefault="00507365" w:rsidP="00507365">
      <w:pPr>
        <w:spacing w:after="160" w:line="360" w:lineRule="auto"/>
      </w:pPr>
      <w:r w:rsidRPr="00241369">
        <w:t>No studies were found investigating long</w:t>
      </w:r>
      <w:r>
        <w:t>-</w:t>
      </w:r>
      <w:r w:rsidRPr="00241369">
        <w:t xml:space="preserve">term macrolides in children with chronic cough despite using a variety of associated search terms. Extrapolating results from adult studies has limitations due to the presence of comorbidities, polypharmacy, smoking and anatomical airway differences in adults. Although good quality epidemiological data are not available to assess prevalence, </w:t>
      </w:r>
      <w:r w:rsidRPr="00241369">
        <w:lastRenderedPageBreak/>
        <w:t xml:space="preserve">there are </w:t>
      </w:r>
      <w:r>
        <w:t xml:space="preserve">undeniably </w:t>
      </w:r>
      <w:r w:rsidRPr="00241369">
        <w:t>significant numbers of adult patients whose chronic cough cannot be explained despite extensive investigations to exclude diseases such as bronchiectasis, COPD or asthma. Three studies have looked at long-term azithromycin in these adults</w:t>
      </w:r>
      <w:r>
        <w:t xml:space="preserve"> who were classified as having “idiopathic cough”</w:t>
      </w:r>
      <w:r w:rsidRPr="00241369">
        <w:t xml:space="preserve">. </w:t>
      </w:r>
    </w:p>
    <w:p w14:paraId="38DA85C5" w14:textId="77777777" w:rsidR="00507365" w:rsidRDefault="00507365" w:rsidP="00507365">
      <w:pPr>
        <w:spacing w:line="360" w:lineRule="auto"/>
      </w:pPr>
      <w:r>
        <w:t>A</w:t>
      </w:r>
      <w:r w:rsidRPr="00241369">
        <w:t xml:space="preserve"> recent observational study </w:t>
      </w:r>
      <w:r>
        <w:fldChar w:fldCharType="begin"/>
      </w:r>
      <w:r>
        <w:instrText xml:space="preserve"> ADDIN EN.CITE &lt;EndNote&gt;&lt;Cite&gt;&lt;Author&gt;Martin&lt;/Author&gt;&lt;Year&gt;2019&lt;/Year&gt;&lt;RecNum&gt;180&lt;/RecNum&gt;&lt;DisplayText&gt;(Martin et al., 2019)&lt;/DisplayText&gt;&lt;record&gt;&lt;rec-number&gt;180&lt;/rec-number&gt;&lt;foreign-keys&gt;&lt;key app="EN" db-id="pr9rwt2w8padxcerwx6prd0a9wtda2w5fw2t" timestamp="1629731697"&gt;180&lt;/key&gt;&lt;/foreign-keys&gt;&lt;ref-type name="Journal Article"&gt;17&lt;/ref-type&gt;&lt;contributors&gt;&lt;authors&gt;&lt;author&gt;Martin, M. J.&lt;/author&gt;&lt;author&gt;Lee, H.&lt;/author&gt;&lt;author&gt;Clayton, C.&lt;/author&gt;&lt;author&gt;Pointon, K.&lt;/author&gt;&lt;author&gt;Soomro, I.&lt;/author&gt;&lt;author&gt;Shaw, D. E.&lt;/author&gt;&lt;author&gt;Harrison, T. W.&lt;/author&gt;&lt;/authors&gt;&lt;/contributors&gt;&lt;auth-address&gt;The Asthma Centre, Nottingham NIHR Biomedical Research Centre, University of Nottingham, Nottingham City Hospital, Nottingham, UK.&amp;#xD;Department of Radiology, Nottingham University Hospitals NHS Trust, Nottingham, UK.&amp;#xD;Department of Cellular Pathology, Nottingham University Hospitals NHS Trust, Nottingham, UK.&lt;/auth-address&gt;&lt;titles&gt;&lt;title&gt;Idiopathic chronic productive cough and response to open-label macrolide therapy: An observational study&lt;/title&gt;&lt;secondary-title&gt;Respirology&lt;/secondary-title&gt;&lt;/titles&gt;&lt;periodical&gt;&lt;full-title&gt;Respirology&lt;/full-title&gt;&lt;/periodical&gt;&lt;pages&gt;558-565&lt;/pages&gt;&lt;volume&gt;24&lt;/volume&gt;&lt;number&gt;6&lt;/number&gt;&lt;edition&gt;2019/02/06&lt;/edition&gt;&lt;keywords&gt;&lt;keyword&gt;azithromycin&lt;/keyword&gt;&lt;keyword&gt;bronchitis&lt;/keyword&gt;&lt;keyword&gt;cough&lt;/keyword&gt;&lt;keyword&gt;sputum&lt;/keyword&gt;&lt;keyword&gt;treatment&lt;/keyword&gt;&lt;/keywords&gt;&lt;dates&gt;&lt;year&gt;2019&lt;/year&gt;&lt;pub-dates&gt;&lt;date&gt;Jun&lt;/date&gt;&lt;/pub-dates&gt;&lt;/dates&gt;&lt;isbn&gt;1323-7799&lt;/isbn&gt;&lt;accession-num&gt;30722097&lt;/accession-num&gt;&lt;urls&gt;&lt;/urls&gt;&lt;electronic-resource-num&gt;10.1111/resp.13483&lt;/electronic-resource-num&gt;&lt;remote-database-provider&gt;NLM&lt;/remote-database-provider&gt;&lt;language&gt;eng&lt;/language&gt;&lt;/record&gt;&lt;/Cite&gt;&lt;/EndNote&gt;</w:instrText>
      </w:r>
      <w:r>
        <w:fldChar w:fldCharType="separate"/>
      </w:r>
      <w:r>
        <w:rPr>
          <w:noProof/>
        </w:rPr>
        <w:t>(Martin et al., 2019)</w:t>
      </w:r>
      <w:r>
        <w:fldChar w:fldCharType="end"/>
      </w:r>
      <w:r>
        <w:t xml:space="preserve"> </w:t>
      </w:r>
      <w:r w:rsidRPr="00241369">
        <w:t>looked at the response to 12</w:t>
      </w:r>
      <w:r>
        <w:t xml:space="preserve"> </w:t>
      </w:r>
      <w:r w:rsidRPr="00241369">
        <w:t xml:space="preserve">weeks of thrice weekly azithromycin. They report a significant improvement in cough as indicated by the Leicester Cough Questionnaire (LCQ) (median cough score -6.3 points p&lt;0.001). However, this study was limited by lack of placebo group, small numbers recruited (30 participants) and the use of a post-hoc statistical analysis </w:t>
      </w:r>
      <w:r>
        <w:fldChar w:fldCharType="begin"/>
      </w:r>
      <w:r>
        <w:instrText xml:space="preserve"> ADDIN EN.CITE &lt;EndNote&gt;&lt;Cite&gt;&lt;Author&gt;Martin&lt;/Author&gt;&lt;Year&gt;2019&lt;/Year&gt;&lt;RecNum&gt;180&lt;/RecNum&gt;&lt;DisplayText&gt;(Martin et al., 2019)&lt;/DisplayText&gt;&lt;record&gt;&lt;rec-number&gt;180&lt;/rec-number&gt;&lt;foreign-keys&gt;&lt;key app="EN" db-id="pr9rwt2w8padxcerwx6prd0a9wtda2w5fw2t" timestamp="1629731697"&gt;180&lt;/key&gt;&lt;/foreign-keys&gt;&lt;ref-type name="Journal Article"&gt;17&lt;/ref-type&gt;&lt;contributors&gt;&lt;authors&gt;&lt;author&gt;Martin, M. J.&lt;/author&gt;&lt;author&gt;Lee, H.&lt;/author&gt;&lt;author&gt;Clayton, C.&lt;/author&gt;&lt;author&gt;Pointon, K.&lt;/author&gt;&lt;author&gt;Soomro, I.&lt;/author&gt;&lt;author&gt;Shaw, D. E.&lt;/author&gt;&lt;author&gt;Harrison, T. W.&lt;/author&gt;&lt;/authors&gt;&lt;/contributors&gt;&lt;auth-address&gt;The Asthma Centre, Nottingham NIHR Biomedical Research Centre, University of Nottingham, Nottingham City Hospital, Nottingham, UK.&amp;#xD;Department of Radiology, Nottingham University Hospitals NHS Trust, Nottingham, UK.&amp;#xD;Department of Cellular Pathology, Nottingham University Hospitals NHS Trust, Nottingham, UK.&lt;/auth-address&gt;&lt;titles&gt;&lt;title&gt;Idiopathic chronic productive cough and response to open-label macrolide therapy: An observational study&lt;/title&gt;&lt;secondary-title&gt;Respirology&lt;/secondary-title&gt;&lt;/titles&gt;&lt;periodical&gt;&lt;full-title&gt;Respirology&lt;/full-title&gt;&lt;/periodical&gt;&lt;pages&gt;558-565&lt;/pages&gt;&lt;volume&gt;24&lt;/volume&gt;&lt;number&gt;6&lt;/number&gt;&lt;edition&gt;2019/02/06&lt;/edition&gt;&lt;keywords&gt;&lt;keyword&gt;azithromycin&lt;/keyword&gt;&lt;keyword&gt;bronchitis&lt;/keyword&gt;&lt;keyword&gt;cough&lt;/keyword&gt;&lt;keyword&gt;sputum&lt;/keyword&gt;&lt;keyword&gt;treatment&lt;/keyword&gt;&lt;/keywords&gt;&lt;dates&gt;&lt;year&gt;2019&lt;/year&gt;&lt;pub-dates&gt;&lt;date&gt;Jun&lt;/date&gt;&lt;/pub-dates&gt;&lt;/dates&gt;&lt;isbn&gt;1323-7799&lt;/isbn&gt;&lt;accession-num&gt;30722097&lt;/accession-num&gt;&lt;urls&gt;&lt;/urls&gt;&lt;electronic-resource-num&gt;10.1111/resp.13483&lt;/electronic-resource-num&gt;&lt;remote-database-provider&gt;NLM&lt;/remote-database-provider&gt;&lt;language&gt;eng&lt;/language&gt;&lt;/record&gt;&lt;/Cite&gt;&lt;/EndNote&gt;</w:instrText>
      </w:r>
      <w:r>
        <w:fldChar w:fldCharType="separate"/>
      </w:r>
      <w:r>
        <w:rPr>
          <w:noProof/>
        </w:rPr>
        <w:t>(Martin et al., 2019)</w:t>
      </w:r>
      <w:r>
        <w:fldChar w:fldCharType="end"/>
      </w:r>
      <w:r>
        <w:t xml:space="preserve">. </w:t>
      </w:r>
      <w:r w:rsidRPr="00241369">
        <w:t>Prior to this study, two double blind RCTs were conducted in similar cohorts of adults. The first did not find that 12</w:t>
      </w:r>
      <w:r>
        <w:t xml:space="preserve"> </w:t>
      </w:r>
      <w:r w:rsidRPr="00241369">
        <w:t xml:space="preserve">weeks of low-dose erythromycin reduced cough frequency compared to placebo as assessed by the Leicester cough monitor </w:t>
      </w:r>
      <w:r>
        <w:fldChar w:fldCharType="begin"/>
      </w:r>
      <w:r>
        <w:instrText xml:space="preserve"> ADDIN EN.CITE &lt;EndNote&gt;&lt;Cite&gt;&lt;Author&gt;Yousaf&lt;/Author&gt;&lt;Year&gt;2010&lt;/Year&gt;&lt;RecNum&gt;181&lt;/RecNum&gt;&lt;DisplayText&gt;(Yousaf et al., 2010)&lt;/DisplayText&gt;&lt;record&gt;&lt;rec-number&gt;181&lt;/rec-number&gt;&lt;foreign-keys&gt;&lt;key app="EN" db-id="pr9rwt2w8padxcerwx6prd0a9wtda2w5fw2t" timestamp="1629731697"&gt;181&lt;/key&gt;&lt;/foreign-keys&gt;&lt;ref-type name="Journal Article"&gt;17&lt;/ref-type&gt;&lt;contributors&gt;&lt;authors&gt;&lt;author&gt;Yousaf, N.&lt;/author&gt;&lt;author&gt;Monteiro, W.&lt;/author&gt;&lt;author&gt;Parker, D.&lt;/author&gt;&lt;author&gt;Matos, S.&lt;/author&gt;&lt;author&gt;Birring, S.&lt;/author&gt;&lt;author&gt;Pavord, I. D.&lt;/author&gt;&lt;/authors&gt;&lt;/contributors&gt;&lt;auth-address&gt;Institute for Lung Health, Glenfield Hospital, University Hospitals of Leicester NHS Trust, Groby Road, Leicester LE3 9QP, UK.&lt;/auth-address&gt;&lt;titles&gt;&lt;title&gt;Long-term low-dose erythromycin in patients with unexplained chronic cough: a double-blind placebo controlled trial&lt;/title&gt;&lt;secondary-title&gt;Thorax&lt;/secondary-title&gt;&lt;/titles&gt;&lt;periodical&gt;&lt;full-title&gt;Thorax&lt;/full-title&gt;&lt;/periodical&gt;&lt;pages&gt;1107-10&lt;/pages&gt;&lt;volume&gt;65&lt;/volume&gt;&lt;number&gt;12&lt;/number&gt;&lt;edition&gt;2010/10/23&lt;/edition&gt;&lt;keywords&gt;&lt;keyword&gt;Aged&lt;/keyword&gt;&lt;keyword&gt;Antitussive Agents/*administration &amp;amp; dosage/therapeutic use&lt;/keyword&gt;&lt;keyword&gt;Capsaicin&lt;/keyword&gt;&lt;keyword&gt;Chronic Disease&lt;/keyword&gt;&lt;keyword&gt;Cough/*drug therapy&lt;/keyword&gt;&lt;keyword&gt;Double-Blind Method&lt;/keyword&gt;&lt;keyword&gt;Drug Administration Schedule&lt;/keyword&gt;&lt;keyword&gt;Erythromycin/*administration &amp;amp; dosage/therapeutic use&lt;/keyword&gt;&lt;keyword&gt;Female&lt;/keyword&gt;&lt;keyword&gt;Humans&lt;/keyword&gt;&lt;keyword&gt;Leukocyte Count&lt;/keyword&gt;&lt;keyword&gt;Male&lt;/keyword&gt;&lt;keyword&gt;Middle Aged&lt;/keyword&gt;&lt;keyword&gt;Neutrophils/drug effects/pathology&lt;/keyword&gt;&lt;keyword&gt;Sensory System Agents&lt;/keyword&gt;&lt;keyword&gt;Treatment Outcome&lt;/keyword&gt;&lt;/keywords&gt;&lt;dates&gt;&lt;year&gt;2010&lt;/year&gt;&lt;pub-dates&gt;&lt;date&gt;Dec&lt;/date&gt;&lt;/pub-dates&gt;&lt;/dates&gt;&lt;isbn&gt;0040-6376&lt;/isbn&gt;&lt;accession-num&gt;20965928&lt;/accession-num&gt;&lt;urls&gt;&lt;/urls&gt;&lt;electronic-resource-num&gt;10.1136/thx.2010.142711&lt;/electronic-resource-num&gt;&lt;remote-database-provider&gt;NLM&lt;/remote-database-provider&gt;&lt;language&gt;eng&lt;/language&gt;&lt;/record&gt;&lt;/Cite&gt;&lt;/EndNote&gt;</w:instrText>
      </w:r>
      <w:r>
        <w:fldChar w:fldCharType="separate"/>
      </w:r>
      <w:r>
        <w:rPr>
          <w:noProof/>
        </w:rPr>
        <w:t>(Yousaf et al., 2010)</w:t>
      </w:r>
      <w:r>
        <w:fldChar w:fldCharType="end"/>
      </w:r>
      <w:r w:rsidRPr="00241369">
        <w:t xml:space="preserve">. They did not isolate typical respiratory pathogens in any of the sputum samples obtained. The second study investigating 8-weeks of thrice weekly low-dose azithromycin, did not find a significant improvement in cough compared to placebo as determined by the LCQ </w:t>
      </w:r>
      <w:r>
        <w:fldChar w:fldCharType="begin">
          <w:fldData xml:space="preserve">PEVuZE5vdGU+PENpdGU+PEF1dGhvcj5Ib2Rnc29uPC9BdXRob3I+PFllYXI+MjAxNjwvWWVhcj48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PEVuZE5vdGU+PENpdGU+PEF1dGhvcj5Ib2Rnc29uPC9BdXRob3I+PFllYXI+MjAxNjwvWWVhcj48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(Hodgson et al., 2016)</w:t>
      </w:r>
      <w:r>
        <w:fldChar w:fldCharType="end"/>
      </w:r>
      <w:r w:rsidRPr="00241369">
        <w:t>. However, neither trial reached their recruitment targets as assessed by power calculations. As such, high quality trials are lacking in this area and further studies are required.</w:t>
      </w:r>
      <w:r>
        <w:t xml:space="preserve"> Recently published guidelines for the use of long term macrolides in adults with respiratory disease, do not recommend macrolides for chronic cough </w:t>
      </w:r>
      <w:r>
        <w:fldChar w:fldCharType="begin"/>
      </w:r>
      <w:r>
        <w:instrText xml:space="preserve"> ADDIN EN.CITE &lt;EndNote&gt;&lt;Cite&gt;&lt;Author&gt;Smith&lt;/Author&gt;&lt;Year&gt;2020&lt;/Year&gt;&lt;RecNum&gt;399&lt;/RecNum&gt;&lt;DisplayText&gt;(Smith et al., 2020)&lt;/DisplayText&gt;&lt;record&gt;&lt;rec-number&gt;399&lt;/rec-number&gt;&lt;foreign-keys&gt;&lt;key app="EN" db-id="pr9rwt2w8padxcerwx6prd0a9wtda2w5fw2t" timestamp="1641912573"&gt;399&lt;/key&gt;&lt;/foreign-keys&gt;&lt;ref-type name="Journal Article"&gt;17&lt;/ref-type&gt;&lt;contributors&gt;&lt;authors&gt;&lt;author&gt;Smith, David&lt;/author&gt;&lt;author&gt;Du Rand, Ingrid&lt;/author&gt;&lt;author&gt;Addy, Charlotte Louise&lt;/author&gt;&lt;author&gt;Collyns, Timothy&lt;/author&gt;&lt;author&gt;Hart, Simon Paul&lt;/author&gt;&lt;author&gt;Mitchelmore, Philip J&lt;/author&gt;&lt;author&gt;Rahman, Najib M&lt;/author&gt;&lt;author&gt;Saggu, Ravijyot&lt;/author&gt;&lt;/authors&gt;&lt;/contributors&gt;&lt;titles&gt;&lt;title&gt;British Thoracic Society guideline for the use of long-term macrolides in adults with respiratory disease&lt;/title&gt;&lt;secondary-title&gt;Thorax&lt;/secondary-title&gt;&lt;/titles&gt;&lt;periodical&gt;&lt;full-title&gt;Thorax&lt;/full-title&gt;&lt;/periodical&gt;&lt;pages&gt;370-404&lt;/pages&gt;&lt;volume&gt;75&lt;/volume&gt;&lt;number&gt;5&lt;/number&gt;&lt;dates&gt;&lt;year&gt;2020&lt;/year&gt;&lt;/dates&gt;&lt;urls&gt;&lt;related-urls&gt;&lt;url&gt;https://thorax.bmj.com/content/thoraxjnl/75/5/370.full.pdf&lt;/url&gt;&lt;/related-urls&gt;&lt;/urls&gt;&lt;electronic-resource-num&gt;10.1136/thoraxjnl-2019-213929&lt;/electronic-resource-num&gt;&lt;/record&gt;&lt;/Cite&gt;&lt;/EndNote&gt;</w:instrText>
      </w:r>
      <w:r>
        <w:fldChar w:fldCharType="separate"/>
      </w:r>
      <w:r>
        <w:rPr>
          <w:noProof/>
        </w:rPr>
        <w:t>(Smith et al., 2020)</w:t>
      </w:r>
      <w:r>
        <w:fldChar w:fldCharType="end"/>
      </w:r>
      <w:r>
        <w:t>.</w:t>
      </w:r>
    </w:p>
    <w:p w14:paraId="324ABB59" w14:textId="77777777" w:rsidR="00507365" w:rsidRPr="00241369" w:rsidRDefault="00507365" w:rsidP="00507365">
      <w:pPr>
        <w:spacing w:line="360" w:lineRule="auto"/>
      </w:pPr>
    </w:p>
    <w:p w14:paraId="2A690422" w14:textId="272DD1F6" w:rsidR="00E428B4" w:rsidRPr="00241369" w:rsidRDefault="00E428B4" w:rsidP="001F2604">
      <w:pPr>
        <w:pStyle w:val="Heading3"/>
        <w:spacing w:before="0" w:line="360" w:lineRule="auto"/>
      </w:pPr>
      <w:bookmarkStart w:id="43" w:name="_Toc117765890"/>
      <w:r>
        <w:t>Long-term azithromycin and AMR</w:t>
      </w:r>
      <w:bookmarkEnd w:id="43"/>
      <w:r>
        <w:t xml:space="preserve"> </w:t>
      </w:r>
      <w:bookmarkEnd w:id="42"/>
    </w:p>
    <w:p w14:paraId="19D05243" w14:textId="05E0F20A" w:rsidR="00E428B4" w:rsidRPr="00241369" w:rsidRDefault="00E428B4" w:rsidP="00DD2ED4">
      <w:pPr>
        <w:spacing w:after="160" w:line="360" w:lineRule="auto"/>
        <w:rPr>
          <w:rFonts w:eastAsia="Calibri" w:cs="Arial"/>
        </w:rPr>
      </w:pPr>
      <w:r w:rsidRPr="00241369">
        <w:rPr>
          <w:rFonts w:eastAsia="Calibri" w:cs="Arial"/>
        </w:rPr>
        <w:t xml:space="preserve">Several key trials investigating long-term macrolides </w:t>
      </w:r>
      <w:r>
        <w:rPr>
          <w:rFonts w:eastAsia="Calibri" w:cs="Arial"/>
        </w:rPr>
        <w:t xml:space="preserve">(6-12months) </w:t>
      </w:r>
      <w:r w:rsidRPr="00241369">
        <w:rPr>
          <w:rFonts w:eastAsia="Calibri" w:cs="Arial"/>
        </w:rPr>
        <w:t xml:space="preserve">in CF, non-CF bronchiectasis, chronic obstructive pulmonary disease and asthma </w:t>
      </w:r>
      <w:r>
        <w:rPr>
          <w:rFonts w:eastAsia="Calibri" w:cs="Arial"/>
        </w:rPr>
        <w:t xml:space="preserve">all </w:t>
      </w:r>
      <w:r w:rsidRPr="00241369">
        <w:rPr>
          <w:rFonts w:eastAsia="Calibri" w:cs="Arial"/>
        </w:rPr>
        <w:t>report associated significant increases in macrolide</w:t>
      </w:r>
      <w:r w:rsidR="004B3A57">
        <w:rPr>
          <w:rFonts w:eastAsia="Calibri" w:cs="Arial"/>
        </w:rPr>
        <w:t>-</w:t>
      </w:r>
      <w:r w:rsidRPr="00241369">
        <w:rPr>
          <w:rFonts w:eastAsia="Calibri" w:cs="Arial"/>
        </w:rPr>
        <w:t>resistant respiratory pathogens</w:t>
      </w:r>
      <w:r>
        <w:rPr>
          <w:rFonts w:eastAsia="Calibri" w:cs="Arial"/>
        </w:rPr>
        <w:t xml:space="preserve"> </w:t>
      </w:r>
      <w:r>
        <w:rPr>
          <w:rFonts w:eastAsia="Calibri" w:cs="Arial"/>
        </w:rPr>
        <w:fldChar w:fldCharType="begin">
          <w:fldData xml:space="preserve">PEVuZE5vdGU+PENpdGU+PEF1dGhvcj5TYWltYW48L0F1dGhvcj48WWVhcj4yMDEwPC9ZZWFyPjxS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</w:fldData>
        </w:fldChar>
      </w:r>
      <w:r w:rsidR="00CD2C33">
        <w:rPr>
          <w:rFonts w:eastAsia="Calibri" w:cs="Arial"/>
        </w:rPr>
        <w:instrText xml:space="preserve"> ADDIN EN.CITE </w:instrText>
      </w:r>
      <w:r w:rsidR="00CD2C33">
        <w:rPr>
          <w:rFonts w:eastAsia="Calibri" w:cs="Arial"/>
        </w:rPr>
        <w:fldChar w:fldCharType="begin">
          <w:fldData xml:space="preserve">PEVuZE5vdGU+PENpdGU+PEF1dGhvcj5TYWltYW48L0F1dGhvcj48WWVhcj4yMDEwPC9ZZWFyPjxS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</w:fldData>
        </w:fldChar>
      </w:r>
      <w:r w:rsidR="00CD2C33">
        <w:rPr>
          <w:rFonts w:eastAsia="Calibri" w:cs="Arial"/>
        </w:rPr>
        <w:instrText xml:space="preserve"> ADDIN EN.CITE.DATA </w:instrText>
      </w:r>
      <w:r w:rsidR="00CD2C33">
        <w:rPr>
          <w:rFonts w:eastAsia="Calibri" w:cs="Arial"/>
        </w:rPr>
      </w:r>
      <w:r w:rsidR="00CD2C33">
        <w:rPr>
          <w:rFonts w:eastAsia="Calibri" w:cs="Arial"/>
        </w:rPr>
        <w:fldChar w:fldCharType="end"/>
      </w:r>
      <w:r>
        <w:rPr>
          <w:rFonts w:eastAsia="Calibri" w:cs="Arial"/>
        </w:rPr>
      </w:r>
      <w:r>
        <w:rPr>
          <w:rFonts w:eastAsia="Calibri" w:cs="Arial"/>
        </w:rPr>
        <w:fldChar w:fldCharType="separate"/>
      </w:r>
      <w:r w:rsidR="00CD2C33">
        <w:rPr>
          <w:rFonts w:eastAsia="Calibri" w:cs="Arial"/>
          <w:noProof/>
        </w:rPr>
        <w:t>(Albert et al., 2011; Saiman et al., 2010; Serisier et al., 2013; Uzun et al., 2014; Valery et al., 2013)</w:t>
      </w:r>
      <w:r>
        <w:rPr>
          <w:rFonts w:eastAsia="Calibri" w:cs="Arial"/>
        </w:rPr>
        <w:fldChar w:fldCharType="end"/>
      </w:r>
      <w:r w:rsidRPr="00241369">
        <w:rPr>
          <w:rFonts w:eastAsia="Calibri" w:cs="Arial"/>
        </w:rPr>
        <w:t xml:space="preserve">. The evidence is </w:t>
      </w:r>
      <w:r w:rsidR="004B3A57" w:rsidRPr="00241369">
        <w:rPr>
          <w:rFonts w:eastAsia="Calibri" w:cs="Arial"/>
        </w:rPr>
        <w:t xml:space="preserve">however </w:t>
      </w:r>
      <w:r w:rsidRPr="00241369">
        <w:rPr>
          <w:rFonts w:eastAsia="Calibri" w:cs="Arial"/>
        </w:rPr>
        <w:t>low grade, as only one trial was powered to detect emergence of resistance, with the number of tested microbiological samples typically small</w:t>
      </w:r>
      <w:r>
        <w:rPr>
          <w:rFonts w:eastAsia="Calibri" w:cs="Arial"/>
        </w:rPr>
        <w:t>, and often sampling the upper airways only</w:t>
      </w:r>
      <w:r w:rsidRPr="00241369">
        <w:rPr>
          <w:rFonts w:eastAsia="Calibri" w:cs="Arial"/>
        </w:rPr>
        <w:t>. A meta-analysis of 3 trials in non-CF bronchiectasis found the rate of macrolide resistance was</w:t>
      </w:r>
      <w:r>
        <w:rPr>
          <w:rFonts w:eastAsia="Calibri" w:cs="Arial"/>
        </w:rPr>
        <w:t xml:space="preserve"> significantly</w:t>
      </w:r>
      <w:r w:rsidRPr="00241369">
        <w:rPr>
          <w:rFonts w:eastAsia="Calibri" w:cs="Arial"/>
        </w:rPr>
        <w:t xml:space="preserve"> higher in </w:t>
      </w:r>
      <w:r>
        <w:rPr>
          <w:rFonts w:eastAsia="Calibri" w:cs="Arial"/>
        </w:rPr>
        <w:t xml:space="preserve">the </w:t>
      </w:r>
      <w:r w:rsidRPr="00241369">
        <w:rPr>
          <w:rFonts w:eastAsia="Calibri" w:cs="Arial"/>
        </w:rPr>
        <w:t>long-term macrolide</w:t>
      </w:r>
      <w:r>
        <w:rPr>
          <w:rFonts w:eastAsia="Calibri" w:cs="Arial"/>
        </w:rPr>
        <w:t>-</w:t>
      </w:r>
      <w:r w:rsidRPr="00241369">
        <w:rPr>
          <w:rFonts w:eastAsia="Calibri" w:cs="Arial"/>
        </w:rPr>
        <w:t>exposed groups than control groups (RR = 3.</w:t>
      </w:r>
      <w:r>
        <w:rPr>
          <w:rFonts w:eastAsia="Calibri" w:cs="Arial"/>
        </w:rPr>
        <w:t xml:space="preserve">59, 95% CI = 2.60–4.96, p&lt;0.001) </w:t>
      </w:r>
      <w:r>
        <w:rPr>
          <w:rFonts w:eastAsia="Calibri" w:cs="Arial"/>
        </w:rPr>
        <w:fldChar w:fldCharType="begin"/>
      </w:r>
      <w:r w:rsidR="0054784B">
        <w:rPr>
          <w:rFonts w:eastAsia="Calibri" w:cs="Arial"/>
        </w:rPr>
        <w:instrText xml:space="preserve"> ADDIN EN.CITE &lt;EndNote&gt;&lt;Cite&gt;&lt;Author&gt;Wang&lt;/Author&gt;&lt;Year&gt;2019&lt;/Year&gt;&lt;RecNum&gt;145&lt;/RecNum&gt;&lt;DisplayText&gt;(D. Wang et al., 2019)&lt;/DisplayText&gt;&lt;record&gt;&lt;rec-number&gt;145&lt;/rec-number&gt;&lt;foreign-keys&gt;&lt;key app="EN" db-id="pr9rwt2w8padxcerwx6prd0a9wtda2w5fw2t" timestamp="1629731697"&gt;145&lt;/key&gt;&lt;/foreign-keys&gt;&lt;ref-type name="Journal Article"&gt;17&lt;/ref-type&gt;&lt;contributors&gt;&lt;authors&gt;&lt;author&gt;Wang, D.&lt;/author&gt;&lt;author&gt;Fu, W.&lt;/author&gt;&lt;author&gt;Dai, J.&lt;/author&gt;&lt;/authors&gt;&lt;/contributors&gt;&lt;auth-address&gt;Center of Respiratory Disorders, Children&amp;apos;s Hospital of Chongqing Medical University.&amp;#xD;Ministry of Education Key Laboratory of Child Development and Disorders, Chongqing, China.&lt;/auth-address&gt;&lt;titles&gt;&lt;title&gt;Meta-analysis of macrolide maintenance therapy for prevention of disease exacerbations in patients with noncystic fibrosis bronchiectasis&lt;/title&gt;&lt;secondary-title&gt;Medicine (Baltimore)&lt;/secondary-title&gt;&lt;/titles&gt;&lt;periodical&gt;&lt;full-title&gt;Medicine (Baltimore)&lt;/full-title&gt;&lt;/periodical&gt;&lt;pages&gt;e15285&lt;/pages&gt;&lt;volume&gt;98&lt;/volume&gt;&lt;number&gt;17&lt;/number&gt;&lt;edition&gt;2019/04/28&lt;/edition&gt;&lt;keywords&gt;&lt;keyword&gt;Adult&lt;/keyword&gt;&lt;keyword&gt;Anti-Bacterial Agents/administration &amp;amp; dosage/adverse effects/*therapeutic use&lt;/keyword&gt;&lt;keyword&gt;Bronchiectasis/*drug therapy&lt;/keyword&gt;&lt;keyword&gt;Child&lt;/keyword&gt;&lt;keyword&gt;Disease Progression&lt;/keyword&gt;&lt;keyword&gt;Drug Resistance, Bacterial&lt;/keyword&gt;&lt;keyword&gt;Humans&lt;/keyword&gt;&lt;keyword&gt;Macrolides/administration &amp;amp; dosage/adverse effects/*therapeutic use&lt;/keyword&gt;&lt;keyword&gt;Time Factors&lt;/keyword&gt;&lt;/keywords&gt;&lt;dates&gt;&lt;year&gt;2019&lt;/year&gt;&lt;pub-dates&gt;&lt;date&gt;Apr&lt;/date&gt;&lt;/pub-dates&gt;&lt;/dates&gt;&lt;isbn&gt;0025-7974&lt;/isbn&gt;&lt;accession-num&gt;31027086&lt;/accession-num&gt;&lt;urls&gt;&lt;/urls&gt;&lt;electronic-resource-num&gt;10.1097/md.0000000000015285&lt;/electronic-resource-num&gt;&lt;remote-database-provider&gt;NLM&lt;/remote-database-provider&gt;&lt;language&gt;eng&lt;/language&gt;&lt;/record&gt;&lt;/Cite&gt;&lt;/EndNote&gt;</w:instrText>
      </w:r>
      <w:r>
        <w:rPr>
          <w:rFonts w:eastAsia="Calibri" w:cs="Arial"/>
        </w:rPr>
        <w:fldChar w:fldCharType="separate"/>
      </w:r>
      <w:r w:rsidR="0054784B">
        <w:rPr>
          <w:rFonts w:eastAsia="Calibri" w:cs="Arial"/>
          <w:noProof/>
        </w:rPr>
        <w:t>(D. Wang et al., 2019)</w:t>
      </w:r>
      <w:r>
        <w:rPr>
          <w:rFonts w:eastAsia="Calibri" w:cs="Arial"/>
        </w:rPr>
        <w:fldChar w:fldCharType="end"/>
      </w:r>
      <w:r>
        <w:rPr>
          <w:rFonts w:eastAsia="Calibri" w:cs="Arial"/>
        </w:rPr>
        <w:t xml:space="preserve">. </w:t>
      </w:r>
      <w:r w:rsidRPr="00241369">
        <w:rPr>
          <w:rFonts w:eastAsia="Calibri" w:cs="Arial"/>
        </w:rPr>
        <w:t>Those studies that did not identify a significant increase reported trends to increase, based on very small numbers of samples.</w:t>
      </w:r>
      <w:r w:rsidRPr="008F33C8">
        <w:rPr>
          <w:rFonts w:eastAsia="Calibri" w:cs="Arial"/>
        </w:rPr>
        <w:t xml:space="preserve"> </w:t>
      </w:r>
      <w:r w:rsidRPr="00241369">
        <w:rPr>
          <w:rFonts w:eastAsia="Calibri" w:cs="Arial"/>
        </w:rPr>
        <w:lastRenderedPageBreak/>
        <w:t>Although these studies generally report a reduction in pulmonary exacerbations associated with macrolide use, it would be important to document whether resistant organisms were cultured</w:t>
      </w:r>
      <w:r>
        <w:rPr>
          <w:rFonts w:eastAsia="Calibri" w:cs="Arial"/>
        </w:rPr>
        <w:t xml:space="preserve"> during any exacerbations</w:t>
      </w:r>
      <w:r w:rsidRPr="00241369">
        <w:rPr>
          <w:rFonts w:eastAsia="Calibri" w:cs="Arial"/>
        </w:rPr>
        <w:t xml:space="preserve">, and </w:t>
      </w:r>
      <w:r>
        <w:rPr>
          <w:rFonts w:eastAsia="Calibri" w:cs="Arial"/>
        </w:rPr>
        <w:t>whether these</w:t>
      </w:r>
      <w:r w:rsidRPr="00241369">
        <w:rPr>
          <w:rFonts w:eastAsia="Calibri" w:cs="Arial"/>
        </w:rPr>
        <w:t xml:space="preserve"> impacted on the severity of the episode. This information is not currently available from the published trials.</w:t>
      </w:r>
    </w:p>
    <w:p w14:paraId="67F099DF" w14:textId="4F925A91" w:rsidR="00E428B4" w:rsidRPr="008B30F0" w:rsidRDefault="00E428B4" w:rsidP="001F2604">
      <w:pPr>
        <w:pStyle w:val="Caption"/>
        <w:keepNext/>
        <w:spacing w:after="0" w:line="360" w:lineRule="auto"/>
        <w:rPr>
          <w:rFonts w:ascii="Times New Roman" w:eastAsia="Calibri" w:hAnsi="Times New Roman" w:cs="Times New Roman"/>
          <w:i w:val="0"/>
          <w:iCs w:val="0"/>
          <w:color w:val="000000" w:themeColor="text1"/>
          <w:sz w:val="24"/>
          <w:szCs w:val="24"/>
        </w:rPr>
      </w:pPr>
      <w:r w:rsidRPr="008B30F0">
        <w:rPr>
          <w:rFonts w:ascii="Times New Roman" w:eastAsia="Calibri" w:hAnsi="Times New Roman" w:cs="Times New Roman"/>
          <w:i w:val="0"/>
          <w:iCs w:val="0"/>
          <w:color w:val="000000" w:themeColor="text1"/>
          <w:sz w:val="24"/>
          <w:szCs w:val="24"/>
        </w:rPr>
        <w:t xml:space="preserve">The single RCT investigating the emergence of macrolide resistance as a primary outcome with oropharyngeal swabs randomised 204 healthy adult volunteers to just 3 days of azithromycin, 7 days of clarithromycin or 2 placebo groups </w:t>
      </w:r>
      <w:r w:rsidRPr="008B30F0">
        <w:rPr>
          <w:rFonts w:ascii="Times New Roman" w:eastAsia="Calibri" w:hAnsi="Times New Roman" w:cs="Times New Roman"/>
          <w:i w:val="0"/>
          <w:iCs w:val="0"/>
          <w:color w:val="000000" w:themeColor="text1"/>
          <w:sz w:val="24"/>
          <w:szCs w:val="24"/>
        </w:rPr>
        <w:fldChar w:fldCharType="begin"/>
      </w:r>
      <w:r w:rsidR="00EE22EB" w:rsidRPr="008B30F0">
        <w:rPr>
          <w:rFonts w:ascii="Times New Roman" w:eastAsia="Calibri" w:hAnsi="Times New Roman" w:cs="Times New Roman"/>
          <w:i w:val="0"/>
          <w:iCs w:val="0"/>
          <w:color w:val="000000" w:themeColor="text1"/>
          <w:sz w:val="24"/>
          <w:szCs w:val="24"/>
        </w:rPr>
        <w:instrText xml:space="preserve"> ADDIN EN.CITE &lt;EndNote&gt;&lt;Cite&gt;&lt;Author&gt;Malhotra-Kumar&lt;/Author&gt;&lt;Year&gt;2007&lt;/Year&gt;&lt;RecNum&gt;16&lt;/RecNum&gt;&lt;DisplayText&gt;(Malhotra-Kumar et al., 2007)&lt;/DisplayText&gt;&lt;record&gt;&lt;rec-number&gt;16&lt;/rec-number&gt;&lt;foreign-keys&gt;&lt;key app="EN" db-id="z50rresss5e5vfe0s2qpewtuxsprsrse5fff" timestamp="1560940924"&gt;16&lt;/key&gt;&lt;/foreign-keys&gt;&lt;ref-type name="Journal Article"&gt;17&lt;/ref-type&gt;&lt;contributors&gt;&lt;authors&gt;&lt;author&gt;Malhotra-Kumar, S.&lt;/author&gt;&lt;author&gt;Lammens, C.&lt;/author&gt;&lt;author&gt;Coenen, S.&lt;/author&gt;&lt;author&gt;Van Herck, K.&lt;/author&gt;&lt;author&gt;Goossens, H.&lt;/author&gt;&lt;/authors&gt;&lt;/contributors&gt;&lt;auth-address&gt;Department of Medical Microbiology, University of Antwerp, Belgium.&lt;/auth-address&gt;&lt;titles&gt;&lt;title&gt;Effect of azithromycin and clarithromycin therapy on pharyngeal carriage of macrolide-resistant streptococci in healthy volunteers: a randomised, double-blind, placebo-controlled study&lt;/title&gt;&lt;secondary-title&gt;Lancet&lt;/secondary-title&gt;&lt;/titles&gt;&lt;periodical&gt;&lt;full-title&gt;Lancet&lt;/full-title&gt;&lt;/periodical&gt;&lt;pages&gt;482-90&lt;/pages&gt;&lt;volume&gt;369&lt;/volume&gt;&lt;number&gt;9560&lt;/number&gt;&lt;edition&gt;2007/02/13&lt;/edition&gt;&lt;keywords&gt;&lt;keyword&gt;Adolescent&lt;/keyword&gt;&lt;keyword&gt;Adult&lt;/keyword&gt;&lt;keyword&gt;Anti-Bacterial Agents/*pharmacology&lt;/keyword&gt;&lt;keyword&gt;Azithromycin/pharmacology&lt;/keyword&gt;&lt;keyword&gt;Carrier State&lt;/keyword&gt;&lt;keyword&gt;Clarithromycin/pharmacology&lt;/keyword&gt;&lt;keyword&gt;Double-Blind Method&lt;/keyword&gt;&lt;keyword&gt;Drug Resistance, Bacterial/*drug effects&lt;/keyword&gt;&lt;keyword&gt;Female&lt;/keyword&gt;&lt;keyword&gt;Humans&lt;/keyword&gt;&lt;keyword&gt;Macrolides/*pharmacology&lt;/keyword&gt;&lt;keyword&gt;Male&lt;/keyword&gt;&lt;keyword&gt;Middle Aged&lt;/keyword&gt;&lt;keyword&gt;Pharynx/drug effects/*microbiology&lt;/keyword&gt;&lt;keyword&gt;*Streptococcus&lt;/keyword&gt;&lt;/keywords&gt;&lt;dates&gt;&lt;year&gt;2007&lt;/year&gt;&lt;pub-dates&gt;&lt;date&gt;Feb 10&lt;/date&gt;&lt;/pub-dates&gt;&lt;/dates&gt;&lt;isbn&gt;0140-6736&lt;/isbn&gt;&lt;accession-num&gt;17292768&lt;/accession-num&gt;&lt;urls&gt;&lt;/urls&gt;&lt;electronic-resource-num&gt;10.1016/s0140-6736(07)60235-9&lt;/electronic-resource-num&gt;&lt;remote-database-provider&gt;NLM&lt;/remote-database-provider&gt;&lt;language&gt;eng&lt;/language&gt;&lt;/record&gt;&lt;/Cite&gt;&lt;/EndNote&gt;</w:instrText>
      </w:r>
      <w:r w:rsidRPr="008B30F0">
        <w:rPr>
          <w:rFonts w:ascii="Times New Roman" w:eastAsia="Calibri" w:hAnsi="Times New Roman" w:cs="Times New Roman"/>
          <w:i w:val="0"/>
          <w:iCs w:val="0"/>
          <w:color w:val="000000" w:themeColor="text1"/>
          <w:sz w:val="24"/>
          <w:szCs w:val="24"/>
        </w:rPr>
        <w:fldChar w:fldCharType="separate"/>
      </w:r>
      <w:r w:rsidR="00EE22EB" w:rsidRPr="008B30F0">
        <w:rPr>
          <w:rFonts w:ascii="Times New Roman" w:eastAsia="Calibri" w:hAnsi="Times New Roman" w:cs="Times New Roman"/>
          <w:i w:val="0"/>
          <w:iCs w:val="0"/>
          <w:noProof/>
          <w:color w:val="000000" w:themeColor="text1"/>
          <w:sz w:val="24"/>
          <w:szCs w:val="24"/>
        </w:rPr>
        <w:t>(Malhotra-Kumar et al., 2007)</w:t>
      </w:r>
      <w:r w:rsidRPr="008B30F0">
        <w:rPr>
          <w:rFonts w:ascii="Times New Roman" w:eastAsia="Calibri" w:hAnsi="Times New Roman" w:cs="Times New Roman"/>
          <w:i w:val="0"/>
          <w:iCs w:val="0"/>
          <w:color w:val="000000" w:themeColor="text1"/>
          <w:sz w:val="24"/>
          <w:szCs w:val="24"/>
        </w:rPr>
        <w:fldChar w:fldCharType="end"/>
      </w:r>
      <w:r w:rsidRPr="008B30F0">
        <w:rPr>
          <w:rFonts w:ascii="Times New Roman" w:eastAsia="Calibri" w:hAnsi="Times New Roman" w:cs="Times New Roman"/>
          <w:i w:val="0"/>
          <w:iCs w:val="0"/>
          <w:color w:val="000000" w:themeColor="text1"/>
          <w:sz w:val="24"/>
          <w:szCs w:val="24"/>
        </w:rPr>
        <w:t>. They report</w:t>
      </w:r>
      <w:r w:rsidR="006016A1" w:rsidRPr="008B30F0">
        <w:rPr>
          <w:rFonts w:ascii="Times New Roman" w:eastAsia="Calibri" w:hAnsi="Times New Roman" w:cs="Times New Roman"/>
          <w:i w:val="0"/>
          <w:iCs w:val="0"/>
          <w:color w:val="000000" w:themeColor="text1"/>
          <w:sz w:val="24"/>
          <w:szCs w:val="24"/>
        </w:rPr>
        <w:t>ed a</w:t>
      </w:r>
      <w:r w:rsidRPr="008B30F0">
        <w:rPr>
          <w:rFonts w:ascii="Times New Roman" w:eastAsia="Calibri" w:hAnsi="Times New Roman" w:cs="Times New Roman"/>
          <w:i w:val="0"/>
          <w:iCs w:val="0"/>
          <w:color w:val="000000" w:themeColor="text1"/>
          <w:sz w:val="24"/>
          <w:szCs w:val="24"/>
        </w:rPr>
        <w:t xml:space="preserve"> significant increase in resistant organisms, with the largest increased difference in the mean proportion of resistance from baseline amongst the groups at day 28. </w:t>
      </w:r>
      <w:r w:rsidR="004B3A57" w:rsidRPr="008B30F0">
        <w:rPr>
          <w:rFonts w:ascii="Times New Roman" w:eastAsia="Calibri" w:hAnsi="Times New Roman" w:cs="Times New Roman"/>
          <w:i w:val="0"/>
          <w:iCs w:val="0"/>
          <w:color w:val="000000" w:themeColor="text1"/>
          <w:sz w:val="24"/>
          <w:szCs w:val="24"/>
        </w:rPr>
        <w:t xml:space="preserve">Importantly, a </w:t>
      </w:r>
      <w:r w:rsidRPr="008B30F0">
        <w:rPr>
          <w:rFonts w:ascii="Times New Roman" w:eastAsia="Calibri" w:hAnsi="Times New Roman" w:cs="Times New Roman"/>
          <w:i w:val="0"/>
          <w:iCs w:val="0"/>
          <w:color w:val="000000" w:themeColor="text1"/>
          <w:sz w:val="24"/>
          <w:szCs w:val="24"/>
        </w:rPr>
        <w:t xml:space="preserve">significant proportional increase from baseline was still demonstrated at day 180 post exposure </w:t>
      </w:r>
      <w:r w:rsidR="0092228C" w:rsidRPr="008B30F0">
        <w:rPr>
          <w:rFonts w:ascii="Times New Roman" w:eastAsia="Calibri" w:hAnsi="Times New Roman" w:cs="Times New Roman"/>
          <w:i w:val="0"/>
          <w:iCs w:val="0"/>
          <w:color w:val="000000" w:themeColor="text1"/>
          <w:sz w:val="24"/>
          <w:szCs w:val="24"/>
        </w:rPr>
        <w:t xml:space="preserve">(full results shown in </w:t>
      </w:r>
      <w:r w:rsidRPr="008B30F0">
        <w:rPr>
          <w:rFonts w:ascii="Times New Roman" w:eastAsia="Calibri" w:hAnsi="Times New Roman" w:cs="Times New Roman"/>
          <w:i w:val="0"/>
          <w:iCs w:val="0"/>
          <w:color w:val="000000" w:themeColor="text1"/>
          <w:sz w:val="24"/>
          <w:szCs w:val="24"/>
        </w:rPr>
        <w:fldChar w:fldCharType="begin"/>
      </w:r>
      <w:r w:rsidRPr="008B30F0">
        <w:rPr>
          <w:rFonts w:ascii="Times New Roman" w:eastAsia="Calibri" w:hAnsi="Times New Roman" w:cs="Times New Roman"/>
          <w:i w:val="0"/>
          <w:iCs w:val="0"/>
          <w:color w:val="000000" w:themeColor="text1"/>
          <w:sz w:val="24"/>
          <w:szCs w:val="24"/>
        </w:rPr>
        <w:instrText xml:space="preserve"> REF _Ref104062048 \h </w:instrText>
      </w:r>
      <w:r w:rsidR="00985A2A" w:rsidRPr="008B30F0">
        <w:rPr>
          <w:rFonts w:ascii="Times New Roman" w:eastAsia="Calibri" w:hAnsi="Times New Roman" w:cs="Times New Roman"/>
          <w:i w:val="0"/>
          <w:iCs w:val="0"/>
          <w:color w:val="000000" w:themeColor="text1"/>
          <w:sz w:val="24"/>
          <w:szCs w:val="24"/>
        </w:rPr>
        <w:instrText xml:space="preserve"> \* MERGEFORMAT </w:instrText>
      </w:r>
      <w:r w:rsidRPr="008B30F0">
        <w:rPr>
          <w:rFonts w:ascii="Times New Roman" w:eastAsia="Calibri" w:hAnsi="Times New Roman" w:cs="Times New Roman"/>
          <w:i w:val="0"/>
          <w:iCs w:val="0"/>
          <w:color w:val="000000" w:themeColor="text1"/>
          <w:sz w:val="24"/>
          <w:szCs w:val="24"/>
        </w:rPr>
      </w:r>
      <w:r w:rsidRPr="008B30F0">
        <w:rPr>
          <w:rFonts w:ascii="Times New Roman" w:eastAsia="Calibri" w:hAnsi="Times New Roman" w:cs="Times New Roman"/>
          <w:i w:val="0"/>
          <w:iCs w:val="0"/>
          <w:color w:val="000000" w:themeColor="text1"/>
          <w:sz w:val="24"/>
          <w:szCs w:val="24"/>
        </w:rPr>
        <w:fldChar w:fldCharType="separate"/>
      </w:r>
      <w:r w:rsidR="00C574EC" w:rsidRPr="00C574EC">
        <w:rPr>
          <w:rFonts w:ascii="Times New Roman" w:hAnsi="Times New Roman" w:cs="Times New Roman"/>
          <w:i w:val="0"/>
          <w:iCs w:val="0"/>
          <w:color w:val="000000" w:themeColor="text1"/>
          <w:sz w:val="24"/>
          <w:szCs w:val="24"/>
        </w:rPr>
        <w:t>Table 5</w:t>
      </w:r>
      <w:r w:rsidRPr="008B30F0">
        <w:rPr>
          <w:rFonts w:ascii="Times New Roman" w:eastAsia="Calibri" w:hAnsi="Times New Roman" w:cs="Times New Roman"/>
          <w:i w:val="0"/>
          <w:iCs w:val="0"/>
          <w:color w:val="000000" w:themeColor="text1"/>
          <w:sz w:val="24"/>
          <w:szCs w:val="24"/>
        </w:rPr>
        <w:fldChar w:fldCharType="end"/>
      </w:r>
      <w:r w:rsidRPr="008B30F0">
        <w:rPr>
          <w:rFonts w:ascii="Times New Roman" w:eastAsia="Calibri" w:hAnsi="Times New Roman" w:cs="Times New Roman"/>
          <w:i w:val="0"/>
          <w:iCs w:val="0"/>
          <w:color w:val="000000" w:themeColor="text1"/>
          <w:sz w:val="24"/>
          <w:szCs w:val="24"/>
        </w:rPr>
        <w:t>).</w:t>
      </w:r>
      <w:r w:rsidRPr="008B30F0">
        <w:rPr>
          <w:rFonts w:ascii="Times New Roman" w:hAnsi="Times New Roman" w:cs="Times New Roman"/>
          <w:i w:val="0"/>
          <w:iCs w:val="0"/>
          <w:color w:val="000000" w:themeColor="text1"/>
          <w:sz w:val="24"/>
          <w:szCs w:val="24"/>
        </w:rPr>
        <w:t xml:space="preserve"> </w:t>
      </w:r>
      <w:r w:rsidRPr="008B30F0">
        <w:rPr>
          <w:rFonts w:ascii="Times New Roman" w:eastAsia="Calibri" w:hAnsi="Times New Roman" w:cs="Times New Roman"/>
          <w:i w:val="0"/>
          <w:iCs w:val="0"/>
          <w:color w:val="000000" w:themeColor="text1"/>
          <w:sz w:val="24"/>
          <w:szCs w:val="24"/>
        </w:rPr>
        <w:t>The proportion of macrolide-resistant streptococci</w:t>
      </w:r>
      <w:r w:rsidR="002064C3" w:rsidRPr="008B30F0">
        <w:rPr>
          <w:rFonts w:ascii="Times New Roman" w:eastAsia="Calibri" w:hAnsi="Times New Roman" w:cs="Times New Roman"/>
          <w:i w:val="0"/>
          <w:iCs w:val="0"/>
          <w:color w:val="000000" w:themeColor="text1"/>
          <w:sz w:val="24"/>
          <w:szCs w:val="24"/>
        </w:rPr>
        <w:t xml:space="preserve"> (comprising both </w:t>
      </w:r>
      <w:r w:rsidR="002064C3" w:rsidRPr="008B30F0">
        <w:rPr>
          <w:rFonts w:ascii="Times New Roman" w:eastAsia="Calibri" w:hAnsi="Times New Roman" w:cs="Times New Roman"/>
          <w:color w:val="000000" w:themeColor="text1"/>
          <w:sz w:val="24"/>
          <w:szCs w:val="24"/>
        </w:rPr>
        <w:t>S. pneumoniae</w:t>
      </w:r>
      <w:r w:rsidR="002064C3" w:rsidRPr="008B30F0">
        <w:rPr>
          <w:rFonts w:ascii="Times New Roman" w:eastAsia="Calibri" w:hAnsi="Times New Roman" w:cs="Times New Roman"/>
          <w:i w:val="0"/>
          <w:iCs w:val="0"/>
          <w:color w:val="000000" w:themeColor="text1"/>
          <w:sz w:val="24"/>
          <w:szCs w:val="24"/>
        </w:rPr>
        <w:t xml:space="preserve"> and </w:t>
      </w:r>
      <w:r w:rsidR="002064C3" w:rsidRPr="008B30F0">
        <w:rPr>
          <w:rFonts w:ascii="Times New Roman" w:eastAsia="Calibri" w:hAnsi="Times New Roman" w:cs="Times New Roman"/>
          <w:color w:val="000000" w:themeColor="text1"/>
          <w:sz w:val="24"/>
          <w:szCs w:val="24"/>
        </w:rPr>
        <w:t>S. pyogenes</w:t>
      </w:r>
      <w:r w:rsidR="002064C3" w:rsidRPr="008B30F0">
        <w:rPr>
          <w:rFonts w:ascii="Times New Roman" w:eastAsia="Calibri" w:hAnsi="Times New Roman" w:cs="Times New Roman"/>
          <w:i w:val="0"/>
          <w:iCs w:val="0"/>
          <w:color w:val="000000" w:themeColor="text1"/>
          <w:sz w:val="24"/>
          <w:szCs w:val="24"/>
        </w:rPr>
        <w:t>)</w:t>
      </w:r>
      <w:r w:rsidRPr="008B30F0">
        <w:rPr>
          <w:rFonts w:ascii="Times New Roman" w:eastAsia="Calibri" w:hAnsi="Times New Roman" w:cs="Times New Roman"/>
          <w:i w:val="0"/>
          <w:iCs w:val="0"/>
          <w:color w:val="000000" w:themeColor="text1"/>
          <w:sz w:val="24"/>
          <w:szCs w:val="24"/>
        </w:rPr>
        <w:t xml:space="preserve"> was higher after azithromycin treatment than after clarithromycin use, with the largest difference between the two groups at day 28 (17.4% difference, p&lt;0.0001). However, use of clarithromycin, but not azithromycin, selected for the erm(B) gene, which confers high-level macrolide resistance. The reason for this difference between the 2 macrolides is not yet clear.</w:t>
      </w:r>
    </w:p>
    <w:p w14:paraId="38912A57" w14:textId="71C8C18A" w:rsidR="00E21FB0" w:rsidRDefault="00E21FB0" w:rsidP="00E428B4"/>
    <w:p w14:paraId="3DB5B010" w14:textId="77777777" w:rsidR="00E21FB0" w:rsidRPr="00836B9C" w:rsidRDefault="00E21FB0" w:rsidP="00E428B4"/>
    <w:p w14:paraId="402D2C9F" w14:textId="1C2424B1" w:rsidR="00E428B4" w:rsidRPr="00426DED" w:rsidRDefault="00E428B4" w:rsidP="00985A2A">
      <w:pPr>
        <w:pStyle w:val="Caption"/>
        <w:keepNext/>
        <w:spacing w:after="0" w:line="360" w:lineRule="auto"/>
        <w:rPr>
          <w:i w:val="0"/>
          <w:iCs w:val="0"/>
          <w:color w:val="000000" w:themeColor="text1"/>
          <w:sz w:val="24"/>
          <w:szCs w:val="24"/>
        </w:rPr>
      </w:pPr>
      <w:bookmarkStart w:id="44" w:name="_Ref104062048"/>
      <w:bookmarkStart w:id="45" w:name="_Toc117780246"/>
      <w:r w:rsidRPr="003A67AE">
        <w:rPr>
          <w:b/>
          <w:bCs/>
          <w:i w:val="0"/>
          <w:iCs w:val="0"/>
          <w:color w:val="000000" w:themeColor="text1"/>
          <w:sz w:val="24"/>
          <w:szCs w:val="24"/>
        </w:rPr>
        <w:t xml:space="preserve">Table </w:t>
      </w:r>
      <w:r w:rsidRPr="003A67AE">
        <w:rPr>
          <w:b/>
          <w:bCs/>
          <w:i w:val="0"/>
          <w:iCs w:val="0"/>
          <w:color w:val="000000" w:themeColor="text1"/>
          <w:sz w:val="24"/>
          <w:szCs w:val="24"/>
        </w:rPr>
        <w:fldChar w:fldCharType="begin"/>
      </w:r>
      <w:r w:rsidRPr="003A67AE">
        <w:rPr>
          <w:b/>
          <w:bCs/>
          <w:i w:val="0"/>
          <w:iCs w:val="0"/>
          <w:color w:val="000000" w:themeColor="text1"/>
          <w:sz w:val="24"/>
          <w:szCs w:val="24"/>
        </w:rPr>
        <w:instrText xml:space="preserve"> SEQ Table \* ARABIC </w:instrText>
      </w:r>
      <w:r w:rsidRPr="003A67AE">
        <w:rPr>
          <w:b/>
          <w:bCs/>
          <w:i w:val="0"/>
          <w:iCs w:val="0"/>
          <w:color w:val="000000" w:themeColor="text1"/>
          <w:sz w:val="24"/>
          <w:szCs w:val="24"/>
        </w:rPr>
        <w:fldChar w:fldCharType="separate"/>
      </w:r>
      <w:r w:rsidR="00C574EC">
        <w:rPr>
          <w:b/>
          <w:bCs/>
          <w:i w:val="0"/>
          <w:iCs w:val="0"/>
          <w:noProof/>
          <w:color w:val="000000" w:themeColor="text1"/>
          <w:sz w:val="24"/>
          <w:szCs w:val="24"/>
        </w:rPr>
        <w:t>5</w:t>
      </w:r>
      <w:r w:rsidRPr="003A67AE">
        <w:rPr>
          <w:b/>
          <w:bCs/>
          <w:i w:val="0"/>
          <w:iCs w:val="0"/>
          <w:color w:val="000000" w:themeColor="text1"/>
          <w:sz w:val="24"/>
          <w:szCs w:val="24"/>
        </w:rPr>
        <w:fldChar w:fldCharType="end"/>
      </w:r>
      <w:bookmarkEnd w:id="44"/>
      <w:r w:rsidRPr="001D04B2">
        <w:rPr>
          <w:i w:val="0"/>
          <w:iCs w:val="0"/>
          <w:color w:val="000000" w:themeColor="text1"/>
          <w:sz w:val="24"/>
          <w:szCs w:val="24"/>
        </w:rPr>
        <w:t>:</w:t>
      </w:r>
      <w:r w:rsidRPr="00426DED">
        <w:rPr>
          <w:i w:val="0"/>
          <w:iCs w:val="0"/>
          <w:color w:val="000000" w:themeColor="text1"/>
          <w:sz w:val="24"/>
          <w:szCs w:val="24"/>
        </w:rPr>
        <w:t xml:space="preserve"> </w:t>
      </w:r>
      <w:r w:rsidRPr="008B30F0">
        <w:rPr>
          <w:rFonts w:ascii="Times New Roman" w:hAnsi="Times New Roman" w:cs="Times New Roman"/>
          <w:i w:val="0"/>
          <w:iCs w:val="0"/>
          <w:color w:val="000000" w:themeColor="text1"/>
          <w:sz w:val="24"/>
          <w:szCs w:val="24"/>
        </w:rPr>
        <w:t>Proportional increase in mean macrolide</w:t>
      </w:r>
      <w:r w:rsidR="0092228C" w:rsidRPr="008B30F0">
        <w:rPr>
          <w:rFonts w:ascii="Times New Roman" w:hAnsi="Times New Roman" w:cs="Times New Roman"/>
          <w:i w:val="0"/>
          <w:iCs w:val="0"/>
          <w:color w:val="000000" w:themeColor="text1"/>
          <w:sz w:val="24"/>
          <w:szCs w:val="24"/>
        </w:rPr>
        <w:t>-</w:t>
      </w:r>
      <w:r w:rsidRPr="008B30F0">
        <w:rPr>
          <w:rFonts w:ascii="Times New Roman" w:hAnsi="Times New Roman" w:cs="Times New Roman"/>
          <w:i w:val="0"/>
          <w:iCs w:val="0"/>
          <w:color w:val="000000" w:themeColor="text1"/>
          <w:sz w:val="24"/>
          <w:szCs w:val="24"/>
        </w:rPr>
        <w:t>resistan</w:t>
      </w:r>
      <w:r w:rsidR="0092228C" w:rsidRPr="008B30F0">
        <w:rPr>
          <w:rFonts w:ascii="Times New Roman" w:hAnsi="Times New Roman" w:cs="Times New Roman"/>
          <w:i w:val="0"/>
          <w:iCs w:val="0"/>
          <w:color w:val="000000" w:themeColor="text1"/>
          <w:sz w:val="24"/>
          <w:szCs w:val="24"/>
        </w:rPr>
        <w:t>t</w:t>
      </w:r>
      <w:r w:rsidRPr="008B30F0">
        <w:rPr>
          <w:rFonts w:ascii="Times New Roman" w:hAnsi="Times New Roman" w:cs="Times New Roman"/>
          <w:i w:val="0"/>
          <w:iCs w:val="0"/>
          <w:color w:val="000000" w:themeColor="text1"/>
          <w:sz w:val="24"/>
          <w:szCs w:val="24"/>
        </w:rPr>
        <w:t xml:space="preserve"> </w:t>
      </w:r>
      <w:r w:rsidRPr="008B30F0">
        <w:rPr>
          <w:rFonts w:ascii="Times New Roman" w:hAnsi="Times New Roman" w:cs="Times New Roman"/>
          <w:color w:val="000000" w:themeColor="text1"/>
          <w:sz w:val="24"/>
          <w:szCs w:val="24"/>
        </w:rPr>
        <w:t xml:space="preserve">streptococci </w:t>
      </w:r>
      <w:r w:rsidRPr="008B30F0">
        <w:rPr>
          <w:rFonts w:ascii="Times New Roman" w:hAnsi="Times New Roman" w:cs="Times New Roman"/>
          <w:i w:val="0"/>
          <w:iCs w:val="0"/>
          <w:color w:val="000000" w:themeColor="text1"/>
          <w:sz w:val="24"/>
          <w:szCs w:val="24"/>
        </w:rPr>
        <w:t>from baseline following macrolide exposure (p&lt;0.001) (Malhotra-Kumar et al., 2007)</w:t>
      </w:r>
      <w:bookmarkEnd w:id="4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93"/>
        <w:gridCol w:w="2268"/>
        <w:gridCol w:w="2651"/>
        <w:gridCol w:w="2338"/>
      </w:tblGrid>
      <w:tr w:rsidR="00E428B4" w:rsidRPr="008F33C8" w14:paraId="48460468" w14:textId="77777777" w:rsidTr="00703D08">
        <w:tc>
          <w:tcPr>
            <w:tcW w:w="2093" w:type="dxa"/>
            <w:shd w:val="clear" w:color="auto" w:fill="BDD6EE" w:themeFill="accent1" w:themeFillTint="66"/>
          </w:tcPr>
          <w:p w14:paraId="2015AB8D" w14:textId="77777777" w:rsidR="00E428B4" w:rsidRPr="008F33C8" w:rsidRDefault="00E428B4" w:rsidP="00703D08">
            <w:pPr>
              <w:rPr>
                <w:rFonts w:eastAsia="Calibri" w:cs="Arial"/>
              </w:rPr>
            </w:pPr>
            <w:r w:rsidRPr="008F33C8">
              <w:rPr>
                <w:rFonts w:eastAsia="Calibri" w:cs="Arial"/>
              </w:rPr>
              <w:t>Day post exposure</w:t>
            </w:r>
          </w:p>
        </w:tc>
        <w:tc>
          <w:tcPr>
            <w:tcW w:w="2268" w:type="dxa"/>
            <w:shd w:val="clear" w:color="auto" w:fill="BDD6EE" w:themeFill="accent1" w:themeFillTint="66"/>
          </w:tcPr>
          <w:p w14:paraId="7A630740" w14:textId="77777777" w:rsidR="00E428B4" w:rsidRDefault="00E428B4" w:rsidP="00703D08">
            <w:pPr>
              <w:rPr>
                <w:rFonts w:eastAsia="Calibri" w:cs="Arial"/>
              </w:rPr>
            </w:pPr>
            <w:r w:rsidRPr="008F33C8">
              <w:rPr>
                <w:rFonts w:eastAsia="Calibri" w:cs="Arial"/>
              </w:rPr>
              <w:t>Azithromycin: 3 days</w:t>
            </w:r>
          </w:p>
          <w:p w14:paraId="441A29F2" w14:textId="77777777" w:rsidR="00E428B4" w:rsidRPr="008F33C8" w:rsidRDefault="00E428B4" w:rsidP="00703D08">
            <w:pPr>
              <w:rPr>
                <w:rFonts w:eastAsia="Calibri" w:cs="Arial"/>
              </w:rPr>
            </w:pPr>
            <w:r>
              <w:rPr>
                <w:rFonts w:eastAsia="Calibri" w:cs="Arial"/>
              </w:rPr>
              <w:t>(p value)</w:t>
            </w:r>
          </w:p>
        </w:tc>
        <w:tc>
          <w:tcPr>
            <w:tcW w:w="2651" w:type="dxa"/>
            <w:shd w:val="clear" w:color="auto" w:fill="BDD6EE" w:themeFill="accent1" w:themeFillTint="66"/>
          </w:tcPr>
          <w:p w14:paraId="3AC800F5" w14:textId="77777777" w:rsidR="00E428B4" w:rsidRDefault="00E428B4" w:rsidP="00703D08">
            <w:pPr>
              <w:rPr>
                <w:rFonts w:eastAsia="Calibri" w:cs="Arial"/>
              </w:rPr>
            </w:pPr>
            <w:r w:rsidRPr="008F33C8">
              <w:rPr>
                <w:rFonts w:eastAsia="Calibri" w:cs="Arial"/>
              </w:rPr>
              <w:t>Clarithromycin: 7 days</w:t>
            </w:r>
          </w:p>
          <w:p w14:paraId="25D97AE4" w14:textId="77777777" w:rsidR="00E428B4" w:rsidRPr="008F33C8" w:rsidRDefault="00E428B4" w:rsidP="00703D08">
            <w:pPr>
              <w:rPr>
                <w:rFonts w:eastAsia="Calibri" w:cs="Arial"/>
              </w:rPr>
            </w:pPr>
            <w:r>
              <w:rPr>
                <w:rFonts w:eastAsia="Calibri" w:cs="Arial"/>
              </w:rPr>
              <w:t>(p value)</w:t>
            </w:r>
          </w:p>
        </w:tc>
        <w:tc>
          <w:tcPr>
            <w:tcW w:w="2338" w:type="dxa"/>
            <w:shd w:val="clear" w:color="auto" w:fill="BDD6EE" w:themeFill="accent1" w:themeFillTint="66"/>
          </w:tcPr>
          <w:p w14:paraId="234C4609" w14:textId="77777777" w:rsidR="00E428B4" w:rsidRDefault="00E428B4" w:rsidP="00703D08">
            <w:pPr>
              <w:rPr>
                <w:rFonts w:eastAsia="Calibri" w:cs="Arial"/>
              </w:rPr>
            </w:pPr>
            <w:r w:rsidRPr="008F33C8">
              <w:rPr>
                <w:rFonts w:eastAsia="Calibri" w:cs="Arial"/>
              </w:rPr>
              <w:t>Placebo: 3 or 7 days</w:t>
            </w:r>
          </w:p>
          <w:p w14:paraId="40278C81" w14:textId="77777777" w:rsidR="00E428B4" w:rsidRPr="008F33C8" w:rsidRDefault="00E428B4" w:rsidP="00703D08">
            <w:pPr>
              <w:rPr>
                <w:rFonts w:eastAsia="Calibri" w:cs="Arial"/>
              </w:rPr>
            </w:pPr>
            <w:r>
              <w:rPr>
                <w:rFonts w:eastAsia="Calibri" w:cs="Arial"/>
              </w:rPr>
              <w:t>(p value)</w:t>
            </w:r>
          </w:p>
        </w:tc>
      </w:tr>
      <w:tr w:rsidR="00E428B4" w:rsidRPr="008F33C8" w14:paraId="401146DA" w14:textId="77777777" w:rsidTr="00703D08">
        <w:tc>
          <w:tcPr>
            <w:tcW w:w="2093" w:type="dxa"/>
          </w:tcPr>
          <w:p w14:paraId="4123F7ED" w14:textId="77777777" w:rsidR="00E428B4" w:rsidRPr="008F33C8" w:rsidRDefault="00E428B4" w:rsidP="00703D08">
            <w:pPr>
              <w:rPr>
                <w:rFonts w:eastAsia="Calibri" w:cs="Arial"/>
              </w:rPr>
            </w:pPr>
            <w:r w:rsidRPr="008F33C8">
              <w:rPr>
                <w:rFonts w:eastAsia="Calibri" w:cs="Arial"/>
              </w:rPr>
              <w:t>Baseline</w:t>
            </w:r>
          </w:p>
        </w:tc>
        <w:tc>
          <w:tcPr>
            <w:tcW w:w="2268" w:type="dxa"/>
          </w:tcPr>
          <w:p w14:paraId="1BEB1964" w14:textId="77777777" w:rsidR="00E428B4" w:rsidRDefault="00E428B4" w:rsidP="00703D08">
            <w:pPr>
              <w:rPr>
                <w:rFonts w:eastAsia="Calibri" w:cs="Arial"/>
              </w:rPr>
            </w:pPr>
            <w:r w:rsidRPr="008F33C8">
              <w:rPr>
                <w:rFonts w:eastAsia="Calibri" w:cs="Arial"/>
              </w:rPr>
              <w:t>25.9%  (22-30)</w:t>
            </w:r>
          </w:p>
          <w:p w14:paraId="2539C016" w14:textId="77777777" w:rsidR="00E428B4" w:rsidRPr="008F33C8" w:rsidRDefault="00E428B4" w:rsidP="00703D08">
            <w:pPr>
              <w:rPr>
                <w:rFonts w:eastAsia="Calibri" w:cs="Arial"/>
              </w:rPr>
            </w:pPr>
          </w:p>
        </w:tc>
        <w:tc>
          <w:tcPr>
            <w:tcW w:w="2651" w:type="dxa"/>
          </w:tcPr>
          <w:p w14:paraId="338ACCA8" w14:textId="77777777" w:rsidR="00E428B4" w:rsidRPr="008F33C8" w:rsidRDefault="00E428B4" w:rsidP="00703D08">
            <w:pPr>
              <w:rPr>
                <w:rFonts w:eastAsia="Calibri" w:cs="Arial"/>
              </w:rPr>
            </w:pPr>
            <w:r w:rsidRPr="008F33C8">
              <w:rPr>
                <w:rFonts w:eastAsia="Calibri" w:cs="Arial"/>
              </w:rPr>
              <w:t>30.1% (24-36)</w:t>
            </w:r>
          </w:p>
        </w:tc>
        <w:tc>
          <w:tcPr>
            <w:tcW w:w="2338" w:type="dxa"/>
          </w:tcPr>
          <w:p w14:paraId="6EDA1980" w14:textId="77777777" w:rsidR="00E428B4" w:rsidRPr="008F33C8" w:rsidRDefault="00E428B4" w:rsidP="00703D08">
            <w:pPr>
              <w:rPr>
                <w:rFonts w:eastAsia="Calibri" w:cs="Arial"/>
              </w:rPr>
            </w:pPr>
            <w:r w:rsidRPr="008F33C8">
              <w:rPr>
                <w:rFonts w:eastAsia="Calibri" w:cs="Arial"/>
              </w:rPr>
              <w:t>27.5%  (22-33)</w:t>
            </w:r>
          </w:p>
        </w:tc>
      </w:tr>
      <w:tr w:rsidR="00E428B4" w:rsidRPr="008F33C8" w14:paraId="628667F4" w14:textId="77777777" w:rsidTr="00703D08">
        <w:tc>
          <w:tcPr>
            <w:tcW w:w="2093" w:type="dxa"/>
          </w:tcPr>
          <w:p w14:paraId="71D7DCB4" w14:textId="77777777" w:rsidR="00E428B4" w:rsidRPr="008F33C8" w:rsidRDefault="00E428B4" w:rsidP="00703D08">
            <w:pPr>
              <w:rPr>
                <w:rFonts w:eastAsia="Calibri" w:cs="Arial"/>
              </w:rPr>
            </w:pPr>
            <w:r w:rsidRPr="008F33C8">
              <w:rPr>
                <w:rFonts w:eastAsia="Calibri" w:cs="Arial"/>
              </w:rPr>
              <w:t>Day 8</w:t>
            </w:r>
          </w:p>
        </w:tc>
        <w:tc>
          <w:tcPr>
            <w:tcW w:w="2268" w:type="dxa"/>
          </w:tcPr>
          <w:p w14:paraId="013AD87C" w14:textId="77777777" w:rsidR="00E428B4" w:rsidRDefault="00E428B4" w:rsidP="00703D08">
            <w:pPr>
              <w:rPr>
                <w:rFonts w:eastAsia="Calibri" w:cs="Arial"/>
              </w:rPr>
            </w:pPr>
            <w:r w:rsidRPr="008F33C8">
              <w:rPr>
                <w:rFonts w:eastAsia="Calibri" w:cs="Arial"/>
              </w:rPr>
              <w:t>56.8%  (54-67)</w:t>
            </w:r>
          </w:p>
          <w:p w14:paraId="498FC086" w14:textId="77777777" w:rsidR="00E428B4" w:rsidRPr="008F33C8" w:rsidRDefault="00E428B4" w:rsidP="00703D08">
            <w:pPr>
              <w:rPr>
                <w:rFonts w:eastAsia="Calibri" w:cs="Arial"/>
              </w:rPr>
            </w:pPr>
            <w:r>
              <w:rPr>
                <w:rFonts w:eastAsia="Calibri" w:cs="Arial"/>
              </w:rPr>
              <w:t>(&lt;0.0001)</w:t>
            </w:r>
          </w:p>
        </w:tc>
        <w:tc>
          <w:tcPr>
            <w:tcW w:w="2651" w:type="dxa"/>
          </w:tcPr>
          <w:p w14:paraId="2AD9A65B" w14:textId="77777777" w:rsidR="00E428B4" w:rsidRDefault="00E428B4" w:rsidP="00703D08">
            <w:pPr>
              <w:rPr>
                <w:rFonts w:eastAsia="Calibri" w:cs="Arial"/>
              </w:rPr>
            </w:pPr>
            <w:r w:rsidRPr="008F33C8">
              <w:rPr>
                <w:rFonts w:eastAsia="Calibri" w:cs="Arial"/>
              </w:rPr>
              <w:t>51.9% (45-58)</w:t>
            </w:r>
          </w:p>
          <w:p w14:paraId="7ACFAF8C" w14:textId="77777777" w:rsidR="00E428B4" w:rsidRPr="008F33C8" w:rsidRDefault="00E428B4" w:rsidP="00703D08">
            <w:pPr>
              <w:rPr>
                <w:rFonts w:eastAsia="Calibri" w:cs="Arial"/>
              </w:rPr>
            </w:pPr>
            <w:r>
              <w:rPr>
                <w:rFonts w:eastAsia="Calibri" w:cs="Arial"/>
              </w:rPr>
              <w:t>(&lt;0.0001)</w:t>
            </w:r>
          </w:p>
        </w:tc>
        <w:tc>
          <w:tcPr>
            <w:tcW w:w="2338" w:type="dxa"/>
          </w:tcPr>
          <w:p w14:paraId="0C8E7A6F" w14:textId="77777777" w:rsidR="00E428B4" w:rsidRDefault="00E428B4" w:rsidP="00703D08">
            <w:pPr>
              <w:rPr>
                <w:rFonts w:eastAsia="Calibri" w:cs="Arial"/>
              </w:rPr>
            </w:pPr>
            <w:r w:rsidRPr="008F33C8">
              <w:rPr>
                <w:rFonts w:eastAsia="Calibri" w:cs="Arial"/>
              </w:rPr>
              <w:t>3.8%    (2-10)</w:t>
            </w:r>
          </w:p>
          <w:p w14:paraId="50FBAF71" w14:textId="77777777" w:rsidR="00E428B4" w:rsidRPr="008F33C8" w:rsidRDefault="00E428B4" w:rsidP="00703D08">
            <w:pPr>
              <w:rPr>
                <w:rFonts w:eastAsia="Calibri" w:cs="Arial"/>
              </w:rPr>
            </w:pPr>
            <w:r>
              <w:rPr>
                <w:rFonts w:eastAsia="Calibri" w:cs="Arial"/>
              </w:rPr>
              <w:t>(0.2520)</w:t>
            </w:r>
          </w:p>
        </w:tc>
      </w:tr>
      <w:tr w:rsidR="00E428B4" w:rsidRPr="008F33C8" w14:paraId="22C37444" w14:textId="77777777" w:rsidTr="00703D08">
        <w:tc>
          <w:tcPr>
            <w:tcW w:w="2093" w:type="dxa"/>
          </w:tcPr>
          <w:p w14:paraId="594ED6AD" w14:textId="77777777" w:rsidR="00E428B4" w:rsidRPr="008F33C8" w:rsidRDefault="00E428B4" w:rsidP="00703D08">
            <w:pPr>
              <w:rPr>
                <w:rFonts w:eastAsia="Calibri" w:cs="Arial"/>
              </w:rPr>
            </w:pPr>
            <w:r w:rsidRPr="008F33C8">
              <w:rPr>
                <w:rFonts w:eastAsia="Calibri" w:cs="Arial"/>
              </w:rPr>
              <w:t>Day 28</w:t>
            </w:r>
          </w:p>
        </w:tc>
        <w:tc>
          <w:tcPr>
            <w:tcW w:w="2268" w:type="dxa"/>
          </w:tcPr>
          <w:p w14:paraId="408E9F49" w14:textId="77777777" w:rsidR="00E428B4" w:rsidRDefault="00E428B4" w:rsidP="00703D08">
            <w:pPr>
              <w:rPr>
                <w:rFonts w:eastAsia="Calibri" w:cs="Arial"/>
              </w:rPr>
            </w:pPr>
            <w:r w:rsidRPr="008F33C8">
              <w:rPr>
                <w:rFonts w:eastAsia="Calibri" w:cs="Arial"/>
              </w:rPr>
              <w:t>54%     (47-60)</w:t>
            </w:r>
          </w:p>
          <w:p w14:paraId="3A8197B3" w14:textId="77777777" w:rsidR="00E428B4" w:rsidRPr="008F33C8" w:rsidRDefault="00E428B4" w:rsidP="00703D08">
            <w:pPr>
              <w:rPr>
                <w:rFonts w:eastAsia="Calibri" w:cs="Arial"/>
              </w:rPr>
            </w:pPr>
            <w:r>
              <w:rPr>
                <w:rFonts w:eastAsia="Calibri" w:cs="Arial"/>
              </w:rPr>
              <w:t>(&lt;0.0001)</w:t>
            </w:r>
          </w:p>
        </w:tc>
        <w:tc>
          <w:tcPr>
            <w:tcW w:w="2651" w:type="dxa"/>
          </w:tcPr>
          <w:p w14:paraId="18A58240" w14:textId="77777777" w:rsidR="00E428B4" w:rsidRDefault="00E428B4" w:rsidP="00703D08">
            <w:pPr>
              <w:rPr>
                <w:rFonts w:eastAsia="Calibri" w:cs="Arial"/>
              </w:rPr>
            </w:pPr>
            <w:r w:rsidRPr="008F33C8">
              <w:rPr>
                <w:rFonts w:eastAsia="Calibri" w:cs="Arial"/>
              </w:rPr>
              <w:t>33%    (26-40)</w:t>
            </w:r>
          </w:p>
          <w:p w14:paraId="20828B06" w14:textId="77777777" w:rsidR="00E428B4" w:rsidRPr="008F33C8" w:rsidRDefault="00E428B4" w:rsidP="00703D08">
            <w:pPr>
              <w:rPr>
                <w:rFonts w:eastAsia="Calibri" w:cs="Arial"/>
              </w:rPr>
            </w:pPr>
            <w:r>
              <w:rPr>
                <w:rFonts w:eastAsia="Calibri" w:cs="Arial"/>
              </w:rPr>
              <w:t>(&lt;0.0001)</w:t>
            </w:r>
          </w:p>
        </w:tc>
        <w:tc>
          <w:tcPr>
            <w:tcW w:w="2338" w:type="dxa"/>
          </w:tcPr>
          <w:p w14:paraId="4B1C1A61" w14:textId="77777777" w:rsidR="00E428B4" w:rsidRDefault="00E428B4" w:rsidP="00703D08">
            <w:pPr>
              <w:rPr>
                <w:rFonts w:eastAsia="Calibri" w:cs="Arial"/>
              </w:rPr>
            </w:pPr>
            <w:r w:rsidRPr="008F33C8">
              <w:rPr>
                <w:rFonts w:eastAsia="Calibri" w:cs="Arial"/>
              </w:rPr>
              <w:t>2.4%    (-4.2 -9)</w:t>
            </w:r>
          </w:p>
          <w:p w14:paraId="102CD3BB" w14:textId="77777777" w:rsidR="00E428B4" w:rsidRPr="008F33C8" w:rsidRDefault="00E428B4" w:rsidP="00703D08">
            <w:pPr>
              <w:rPr>
                <w:rFonts w:eastAsia="Calibri" w:cs="Arial"/>
              </w:rPr>
            </w:pPr>
            <w:r>
              <w:rPr>
                <w:rFonts w:eastAsia="Calibri" w:cs="Arial"/>
              </w:rPr>
              <w:t>(0.4790)</w:t>
            </w:r>
          </w:p>
        </w:tc>
      </w:tr>
      <w:tr w:rsidR="00E428B4" w:rsidRPr="008F33C8" w14:paraId="13D61E30" w14:textId="77777777" w:rsidTr="00703D08">
        <w:tc>
          <w:tcPr>
            <w:tcW w:w="2093" w:type="dxa"/>
          </w:tcPr>
          <w:p w14:paraId="3F502B8C" w14:textId="77777777" w:rsidR="00E428B4" w:rsidRPr="008F33C8" w:rsidRDefault="00E428B4" w:rsidP="00703D08">
            <w:pPr>
              <w:rPr>
                <w:rFonts w:eastAsia="Calibri" w:cs="Arial"/>
              </w:rPr>
            </w:pPr>
            <w:r w:rsidRPr="008F33C8">
              <w:rPr>
                <w:rFonts w:eastAsia="Calibri" w:cs="Arial"/>
              </w:rPr>
              <w:t>Day 180</w:t>
            </w:r>
          </w:p>
        </w:tc>
        <w:tc>
          <w:tcPr>
            <w:tcW w:w="2268" w:type="dxa"/>
          </w:tcPr>
          <w:p w14:paraId="01A36158" w14:textId="77777777" w:rsidR="00E428B4" w:rsidRDefault="00E428B4" w:rsidP="00703D08">
            <w:pPr>
              <w:rPr>
                <w:rFonts w:eastAsia="Calibri" w:cs="Arial"/>
              </w:rPr>
            </w:pPr>
            <w:r w:rsidRPr="008F33C8">
              <w:rPr>
                <w:rFonts w:eastAsia="Calibri" w:cs="Arial"/>
              </w:rPr>
              <w:t>14.5%  (7-22)</w:t>
            </w:r>
          </w:p>
          <w:p w14:paraId="73DA2B62" w14:textId="77777777" w:rsidR="00E428B4" w:rsidRPr="008F33C8" w:rsidRDefault="00E428B4" w:rsidP="00703D08">
            <w:pPr>
              <w:rPr>
                <w:rFonts w:eastAsia="Calibri" w:cs="Arial"/>
              </w:rPr>
            </w:pPr>
            <w:r>
              <w:rPr>
                <w:rFonts w:eastAsia="Calibri" w:cs="Arial"/>
              </w:rPr>
              <w:t>(&lt;0.0003</w:t>
            </w:r>
          </w:p>
        </w:tc>
        <w:tc>
          <w:tcPr>
            <w:tcW w:w="2651" w:type="dxa"/>
          </w:tcPr>
          <w:p w14:paraId="13BF3435" w14:textId="77777777" w:rsidR="00E428B4" w:rsidRDefault="00E428B4" w:rsidP="00703D08">
            <w:pPr>
              <w:rPr>
                <w:rFonts w:eastAsia="Calibri" w:cs="Arial"/>
              </w:rPr>
            </w:pPr>
            <w:r w:rsidRPr="008F33C8">
              <w:rPr>
                <w:rFonts w:eastAsia="Calibri" w:cs="Arial"/>
              </w:rPr>
              <w:t>16.3% (8-25)</w:t>
            </w:r>
          </w:p>
          <w:p w14:paraId="29429FF6" w14:textId="77777777" w:rsidR="00E428B4" w:rsidRPr="008F33C8" w:rsidRDefault="00E428B4" w:rsidP="00703D08">
            <w:pPr>
              <w:rPr>
                <w:rFonts w:eastAsia="Calibri" w:cs="Arial"/>
              </w:rPr>
            </w:pPr>
            <w:r>
              <w:rPr>
                <w:rFonts w:eastAsia="Calibri" w:cs="Arial"/>
              </w:rPr>
              <w:t>(&lt;0.0001)</w:t>
            </w:r>
          </w:p>
        </w:tc>
        <w:tc>
          <w:tcPr>
            <w:tcW w:w="2338" w:type="dxa"/>
          </w:tcPr>
          <w:p w14:paraId="7BFF5783" w14:textId="77777777" w:rsidR="00E428B4" w:rsidRDefault="00E428B4" w:rsidP="00703D08">
            <w:pPr>
              <w:rPr>
                <w:rFonts w:eastAsia="Calibri" w:cs="Arial"/>
              </w:rPr>
            </w:pPr>
            <w:r w:rsidRPr="008F33C8">
              <w:rPr>
                <w:rFonts w:eastAsia="Calibri" w:cs="Arial"/>
              </w:rPr>
              <w:t>-0.9%   (-9-7)</w:t>
            </w:r>
          </w:p>
          <w:p w14:paraId="0DCD30CF" w14:textId="77777777" w:rsidR="00E428B4" w:rsidRPr="008F33C8" w:rsidRDefault="00E428B4" w:rsidP="00703D08">
            <w:pPr>
              <w:rPr>
                <w:rFonts w:eastAsia="Calibri" w:cs="Arial"/>
              </w:rPr>
            </w:pPr>
            <w:r>
              <w:rPr>
                <w:rFonts w:eastAsia="Calibri" w:cs="Arial"/>
              </w:rPr>
              <w:t>(0.8240)</w:t>
            </w:r>
          </w:p>
        </w:tc>
      </w:tr>
    </w:tbl>
    <w:p w14:paraId="70934D03" w14:textId="537A7500" w:rsidR="00E428B4" w:rsidRDefault="00E428B4" w:rsidP="00E428B4">
      <w:pPr>
        <w:spacing w:line="360" w:lineRule="auto"/>
        <w:rPr>
          <w:rFonts w:eastAsia="Calibri" w:cs="Arial"/>
        </w:rPr>
      </w:pPr>
    </w:p>
    <w:p w14:paraId="1BE76CD3" w14:textId="77777777" w:rsidR="00192ED6" w:rsidRPr="00241369" w:rsidRDefault="00192ED6" w:rsidP="00E428B4">
      <w:pPr>
        <w:spacing w:line="360" w:lineRule="auto"/>
        <w:rPr>
          <w:rFonts w:eastAsia="Calibri" w:cs="Arial"/>
        </w:rPr>
      </w:pPr>
    </w:p>
    <w:p w14:paraId="00B35748" w14:textId="40ADDC2B" w:rsidR="00E428B4" w:rsidRPr="00241369" w:rsidRDefault="00E428B4" w:rsidP="00DD2ED4">
      <w:pPr>
        <w:spacing w:after="160" w:line="360" w:lineRule="auto"/>
      </w:pPr>
      <w:r w:rsidRPr="00241369">
        <w:rPr>
          <w:rFonts w:eastAsia="Calibri" w:cs="Arial"/>
        </w:rPr>
        <w:t>The bacteriological profile of respiratory samples has been documented to alter following long-term macrolide use in a number of studies. Valery et al</w:t>
      </w:r>
      <w:r w:rsidR="002064C3">
        <w:rPr>
          <w:rFonts w:eastAsia="Calibri" w:cs="Arial"/>
        </w:rPr>
        <w:t>.</w:t>
      </w:r>
      <w:r w:rsidRPr="00241369">
        <w:rPr>
          <w:rFonts w:eastAsia="Calibri" w:cs="Arial"/>
        </w:rPr>
        <w:t xml:space="preserve"> reported a lower </w:t>
      </w:r>
      <w:r>
        <w:rPr>
          <w:rFonts w:eastAsia="Calibri" w:cs="Arial"/>
        </w:rPr>
        <w:t xml:space="preserve">nasopharyngeal </w:t>
      </w:r>
      <w:r w:rsidRPr="00241369">
        <w:rPr>
          <w:rFonts w:eastAsia="Calibri" w:cs="Arial"/>
        </w:rPr>
        <w:lastRenderedPageBreak/>
        <w:t xml:space="preserve">carriage of </w:t>
      </w:r>
      <w:r w:rsidRPr="00241369">
        <w:rPr>
          <w:rFonts w:eastAsia="Calibri" w:cs="Arial"/>
          <w:i/>
        </w:rPr>
        <w:t>H. influenzae</w:t>
      </w:r>
      <w:r w:rsidRPr="00241369">
        <w:rPr>
          <w:rFonts w:eastAsia="Calibri" w:cs="Arial"/>
        </w:rPr>
        <w:t xml:space="preserve"> and </w:t>
      </w:r>
      <w:r w:rsidRPr="00241369">
        <w:rPr>
          <w:rFonts w:eastAsia="Calibri" w:cs="Arial"/>
          <w:i/>
        </w:rPr>
        <w:t>M. catarrhalis</w:t>
      </w:r>
      <w:r w:rsidRPr="00241369">
        <w:rPr>
          <w:rFonts w:eastAsia="Calibri" w:cs="Arial"/>
        </w:rPr>
        <w:t xml:space="preserve"> in the azithromycin group</w:t>
      </w:r>
      <w:r>
        <w:rPr>
          <w:rFonts w:eastAsia="Calibri" w:cs="Arial"/>
        </w:rPr>
        <w:t xml:space="preserve"> (non-CF bronchiectasis patients)</w:t>
      </w:r>
      <w:r w:rsidRPr="00241369">
        <w:rPr>
          <w:rFonts w:eastAsia="Calibri" w:cs="Arial"/>
        </w:rPr>
        <w:t xml:space="preserve"> at the end of the study compared to the placebo group</w:t>
      </w:r>
      <w:r w:rsidR="002064C3">
        <w:rPr>
          <w:rFonts w:eastAsia="Calibri" w:cs="Arial"/>
        </w:rPr>
        <w:t>,</w:t>
      </w:r>
      <w:r w:rsidRPr="00241369">
        <w:rPr>
          <w:rFonts w:eastAsia="Calibri" w:cs="Arial"/>
        </w:rPr>
        <w:t xml:space="preserve"> but increased carriage of azithromycin-resistant </w:t>
      </w:r>
      <w:r w:rsidRPr="00241369">
        <w:rPr>
          <w:rFonts w:eastAsia="Calibri" w:cs="Arial"/>
          <w:i/>
        </w:rPr>
        <w:t>S. pneumoniae</w:t>
      </w:r>
      <w:r w:rsidRPr="00241369">
        <w:rPr>
          <w:rFonts w:eastAsia="Calibri" w:cs="Arial"/>
        </w:rPr>
        <w:t xml:space="preserve"> and </w:t>
      </w:r>
      <w:r>
        <w:rPr>
          <w:rFonts w:eastAsia="Calibri" w:cs="Arial"/>
          <w:i/>
        </w:rPr>
        <w:t xml:space="preserve">S. aureus </w:t>
      </w:r>
      <w:r>
        <w:rPr>
          <w:rFonts w:eastAsia="Calibri" w:cs="Arial"/>
        </w:rPr>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rPr>
          <w:rFonts w:eastAsia="Calibri" w:cs="Arial"/>
        </w:rPr>
        <w:instrText xml:space="preserve"> ADDIN EN.CITE </w:instrText>
      </w:r>
      <w:r w:rsidR="00EE22EB">
        <w:rPr>
          <w:rFonts w:eastAsia="Calibri" w:cs="Arial"/>
        </w:rPr>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rPr>
          <w:rFonts w:eastAsia="Calibri" w:cs="Arial"/>
        </w:rPr>
        <w:instrText xml:space="preserve"> ADDIN EN.CITE.DATA </w:instrText>
      </w:r>
      <w:r w:rsidR="00EE22EB">
        <w:rPr>
          <w:rFonts w:eastAsia="Calibri" w:cs="Arial"/>
        </w:rPr>
      </w:r>
      <w:r w:rsidR="00EE22EB">
        <w:rPr>
          <w:rFonts w:eastAsia="Calibri" w:cs="Arial"/>
        </w:rPr>
        <w:fldChar w:fldCharType="end"/>
      </w:r>
      <w:r>
        <w:rPr>
          <w:rFonts w:eastAsia="Calibri" w:cs="Arial"/>
        </w:rPr>
      </w:r>
      <w:r>
        <w:rPr>
          <w:rFonts w:eastAsia="Calibri" w:cs="Arial"/>
        </w:rPr>
        <w:fldChar w:fldCharType="separate"/>
      </w:r>
      <w:r w:rsidR="00EE22EB">
        <w:rPr>
          <w:rFonts w:eastAsia="Calibri" w:cs="Arial"/>
          <w:noProof/>
        </w:rPr>
        <w:t>(Valery et al., 2013)</w:t>
      </w:r>
      <w:r>
        <w:rPr>
          <w:rFonts w:eastAsia="Calibri" w:cs="Arial"/>
        </w:rPr>
        <w:fldChar w:fldCharType="end"/>
      </w:r>
      <w:r w:rsidRPr="003964F1">
        <w:rPr>
          <w:rFonts w:eastAsia="Calibri" w:cs="Arial"/>
        </w:rPr>
        <w:t>.</w:t>
      </w:r>
      <w:r w:rsidRPr="00241369">
        <w:rPr>
          <w:rFonts w:eastAsia="Calibri" w:cs="Arial"/>
        </w:rPr>
        <w:t xml:space="preserve"> A secondary analysis of this trial</w:t>
      </w:r>
      <w:r>
        <w:rPr>
          <w:rFonts w:eastAsia="Calibri" w:cs="Arial"/>
        </w:rPr>
        <w:t>,</w:t>
      </w:r>
      <w:r w:rsidRPr="00241369">
        <w:rPr>
          <w:rFonts w:eastAsia="Calibri" w:cs="Arial"/>
        </w:rPr>
        <w:t xml:space="preserve"> looking at post</w:t>
      </w:r>
      <w:r w:rsidR="002064C3">
        <w:rPr>
          <w:rFonts w:eastAsia="Calibri" w:cs="Arial"/>
        </w:rPr>
        <w:t>-</w:t>
      </w:r>
      <w:r w:rsidRPr="00241369">
        <w:rPr>
          <w:rFonts w:eastAsia="Calibri" w:cs="Arial"/>
        </w:rPr>
        <w:t xml:space="preserve">intervention swabs </w:t>
      </w:r>
      <w:r>
        <w:rPr>
          <w:rFonts w:eastAsia="Calibri" w:cs="Arial"/>
        </w:rPr>
        <w:t>collected more than 30 days and less than 12</w:t>
      </w:r>
      <w:r w:rsidR="002064C3">
        <w:rPr>
          <w:rFonts w:eastAsia="Calibri" w:cs="Arial"/>
        </w:rPr>
        <w:t xml:space="preserve"> </w:t>
      </w:r>
      <w:r>
        <w:rPr>
          <w:rFonts w:eastAsia="Calibri" w:cs="Arial"/>
        </w:rPr>
        <w:t>months post</w:t>
      </w:r>
      <w:r w:rsidR="002064C3">
        <w:rPr>
          <w:rFonts w:eastAsia="Calibri" w:cs="Arial"/>
        </w:rPr>
        <w:t>-</w:t>
      </w:r>
      <w:r>
        <w:rPr>
          <w:rFonts w:eastAsia="Calibri" w:cs="Arial"/>
        </w:rPr>
        <w:t>intervention,</w:t>
      </w:r>
      <w:r w:rsidRPr="00241369">
        <w:rPr>
          <w:rFonts w:eastAsia="Calibri" w:cs="Arial"/>
        </w:rPr>
        <w:t xml:space="preserve"> demonstrated recovery of the nasopharyngeal carriage of </w:t>
      </w:r>
      <w:r w:rsidRPr="00241369">
        <w:rPr>
          <w:rFonts w:eastAsia="Calibri" w:cs="Arial"/>
          <w:i/>
        </w:rPr>
        <w:t>H. influenzae</w:t>
      </w:r>
      <w:r w:rsidRPr="00241369">
        <w:rPr>
          <w:rFonts w:eastAsia="Calibri" w:cs="Arial"/>
        </w:rPr>
        <w:t xml:space="preserve"> and </w:t>
      </w:r>
      <w:r w:rsidRPr="00241369">
        <w:rPr>
          <w:rFonts w:eastAsia="Calibri" w:cs="Arial"/>
          <w:i/>
        </w:rPr>
        <w:t>M. catarrhalis</w:t>
      </w:r>
      <w:r>
        <w:rPr>
          <w:rFonts w:eastAsia="Calibri" w:cs="Arial"/>
        </w:rPr>
        <w:t xml:space="preserve"> and </w:t>
      </w:r>
      <w:r w:rsidRPr="00241369">
        <w:rPr>
          <w:rFonts w:eastAsia="Calibri" w:cs="Arial"/>
        </w:rPr>
        <w:t>a significant reduction of macrolide</w:t>
      </w:r>
      <w:r w:rsidR="0092228C">
        <w:rPr>
          <w:rFonts w:eastAsia="Calibri" w:cs="Arial"/>
        </w:rPr>
        <w:t xml:space="preserve"> </w:t>
      </w:r>
      <w:r w:rsidRPr="00241369">
        <w:rPr>
          <w:rFonts w:eastAsia="Calibri" w:cs="Arial"/>
        </w:rPr>
        <w:t xml:space="preserve">resistant </w:t>
      </w:r>
      <w:r w:rsidRPr="00241369">
        <w:rPr>
          <w:rFonts w:eastAsia="Calibri" w:cs="Arial"/>
          <w:i/>
        </w:rPr>
        <w:t>S. pneumoniae</w:t>
      </w:r>
      <w:r w:rsidRPr="00241369">
        <w:rPr>
          <w:rFonts w:eastAsia="Calibri" w:cs="Arial"/>
        </w:rPr>
        <w:t xml:space="preserve"> </w:t>
      </w:r>
      <w:r w:rsidR="002064C3">
        <w:rPr>
          <w:rFonts w:eastAsia="Calibri" w:cs="Arial"/>
        </w:rPr>
        <w:t>which were</w:t>
      </w:r>
      <w:r w:rsidR="002064C3" w:rsidRPr="00241369">
        <w:rPr>
          <w:rFonts w:eastAsia="Calibri" w:cs="Arial"/>
        </w:rPr>
        <w:t xml:space="preserve"> </w:t>
      </w:r>
      <w:r w:rsidRPr="00241369">
        <w:rPr>
          <w:rFonts w:eastAsia="Calibri" w:cs="Arial"/>
        </w:rPr>
        <w:t>replaced with susceptible strains in the azithromycin group</w:t>
      </w:r>
      <w:r>
        <w:rPr>
          <w:rFonts w:eastAsia="Calibri" w:cs="Arial"/>
        </w:rPr>
        <w:t xml:space="preserve"> </w:t>
      </w:r>
      <w:r>
        <w:rPr>
          <w:rFonts w:eastAsia="Calibri" w:cs="Arial"/>
        </w:rPr>
        <w:fldChar w:fldCharType="begin">
          <w:fldData xml:space="preserve">PEVuZE5vdGU+PENpdGU+PEF1dGhvcj5IYXJlPC9BdXRob3I+PFllYXI+MjAxNTwvWWVhcj48UmVj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</w:fldData>
        </w:fldChar>
      </w:r>
      <w:r w:rsidR="00346D5E">
        <w:rPr>
          <w:rFonts w:eastAsia="Calibri" w:cs="Arial"/>
        </w:rPr>
        <w:instrText xml:space="preserve"> ADDIN EN.CITE </w:instrText>
      </w:r>
      <w:r w:rsidR="00346D5E">
        <w:rPr>
          <w:rFonts w:eastAsia="Calibri" w:cs="Arial"/>
        </w:rPr>
        <w:fldChar w:fldCharType="begin">
          <w:fldData xml:space="preserve">PEVuZE5vdGU+PENpdGU+PEF1dGhvcj5IYXJlPC9BdXRob3I+PFllYXI+MjAxNTwvWWVhcj48UmVj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</w:fldData>
        </w:fldChar>
      </w:r>
      <w:r w:rsidR="00346D5E">
        <w:rPr>
          <w:rFonts w:eastAsia="Calibri" w:cs="Arial"/>
        </w:rPr>
        <w:instrText xml:space="preserve"> ADDIN EN.CITE.DATA </w:instrText>
      </w:r>
      <w:r w:rsidR="00346D5E">
        <w:rPr>
          <w:rFonts w:eastAsia="Calibri" w:cs="Arial"/>
        </w:rPr>
      </w:r>
      <w:r w:rsidR="00346D5E">
        <w:rPr>
          <w:rFonts w:eastAsia="Calibri" w:cs="Arial"/>
        </w:rPr>
        <w:fldChar w:fldCharType="end"/>
      </w:r>
      <w:r>
        <w:rPr>
          <w:rFonts w:eastAsia="Calibri" w:cs="Arial"/>
        </w:rPr>
      </w:r>
      <w:r>
        <w:rPr>
          <w:rFonts w:eastAsia="Calibri" w:cs="Arial"/>
        </w:rPr>
        <w:fldChar w:fldCharType="separate"/>
      </w:r>
      <w:r w:rsidR="00346D5E">
        <w:rPr>
          <w:rFonts w:eastAsia="Calibri" w:cs="Arial"/>
          <w:noProof/>
        </w:rPr>
        <w:t>(Hare et al., 2015a)</w:t>
      </w:r>
      <w:r>
        <w:rPr>
          <w:rFonts w:eastAsia="Calibri" w:cs="Arial"/>
        </w:rPr>
        <w:fldChar w:fldCharType="end"/>
      </w:r>
      <w:r w:rsidRPr="00241369">
        <w:rPr>
          <w:rFonts w:eastAsia="Calibri" w:cs="Arial"/>
        </w:rPr>
        <w:t xml:space="preserve">. </w:t>
      </w:r>
      <w:r>
        <w:rPr>
          <w:rFonts w:eastAsia="Calibri" w:cs="Arial"/>
        </w:rPr>
        <w:t>The median time of post</w:t>
      </w:r>
      <w:r w:rsidR="002064C3">
        <w:rPr>
          <w:rFonts w:eastAsia="Calibri" w:cs="Arial"/>
        </w:rPr>
        <w:t>-</w:t>
      </w:r>
      <w:r>
        <w:rPr>
          <w:rFonts w:eastAsia="Calibri" w:cs="Arial"/>
        </w:rPr>
        <w:t xml:space="preserve">intervention swab collection for the azithromycin group was 192 days for the Australian cohort and 187 days for the </w:t>
      </w:r>
      <w:r w:rsidRPr="0041782C">
        <w:rPr>
          <w:rFonts w:eastAsia="Calibri" w:cs="Arial"/>
        </w:rPr>
        <w:t xml:space="preserve">New </w:t>
      </w:r>
      <w:r w:rsidRPr="0041782C">
        <w:t>Zealand cohort</w:t>
      </w:r>
      <w:r>
        <w:t xml:space="preserve"> (placebo group 170.5 and 187 for the 2 countries)</w:t>
      </w:r>
      <w:r w:rsidRPr="0041782C">
        <w:t xml:space="preserve">. </w:t>
      </w:r>
      <w:r w:rsidRPr="00241369">
        <w:rPr>
          <w:rFonts w:eastAsia="Calibri" w:cs="Arial"/>
        </w:rPr>
        <w:t xml:space="preserve">Reduction of </w:t>
      </w:r>
      <w:r w:rsidRPr="00241369">
        <w:rPr>
          <w:rFonts w:eastAsia="Calibri" w:cs="Arial"/>
          <w:i/>
        </w:rPr>
        <w:t>S. aureus</w:t>
      </w:r>
      <w:r w:rsidRPr="00241369">
        <w:rPr>
          <w:rFonts w:eastAsia="Calibri" w:cs="Arial"/>
        </w:rPr>
        <w:t xml:space="preserve"> was also seen in th</w:t>
      </w:r>
      <w:r>
        <w:rPr>
          <w:rFonts w:eastAsia="Calibri" w:cs="Arial"/>
        </w:rPr>
        <w:t>e azithromycin group during this time period</w:t>
      </w:r>
      <w:r w:rsidRPr="00241369">
        <w:rPr>
          <w:rFonts w:eastAsia="Calibri" w:cs="Arial"/>
        </w:rPr>
        <w:t xml:space="preserve">, however all strains remained macrolide resistant. </w:t>
      </w:r>
      <w:r>
        <w:rPr>
          <w:rFonts w:eastAsia="Calibri" w:cs="Arial"/>
        </w:rPr>
        <w:t xml:space="preserve">Similarly, further analysis of the patients enrolled in the AMAZES study investigating the use of 48 weeks of azithromycin in adults with persistent uncontrolled asthma, found </w:t>
      </w:r>
      <w:r w:rsidR="0092228C">
        <w:rPr>
          <w:rFonts w:eastAsia="Calibri" w:cs="Arial"/>
        </w:rPr>
        <w:t xml:space="preserve">that </w:t>
      </w:r>
      <w:r>
        <w:rPr>
          <w:rFonts w:eastAsia="Calibri" w:cs="Arial"/>
        </w:rPr>
        <w:t xml:space="preserve">azithromycin reduced airway </w:t>
      </w:r>
      <w:r w:rsidRPr="009054E0">
        <w:rPr>
          <w:rFonts w:eastAsia="Calibri" w:cs="Arial"/>
          <w:i/>
        </w:rPr>
        <w:t>H. influenzae</w:t>
      </w:r>
      <w:r>
        <w:rPr>
          <w:rFonts w:eastAsia="Calibri" w:cs="Arial"/>
        </w:rPr>
        <w:t xml:space="preserve"> load </w:t>
      </w:r>
      <w:r w:rsidR="00474A61">
        <w:rPr>
          <w:rFonts w:eastAsia="Calibri" w:cs="Arial"/>
        </w:rPr>
        <w:t xml:space="preserve">(but not total bacterial load) </w:t>
      </w:r>
      <w:r>
        <w:rPr>
          <w:rFonts w:eastAsia="Calibri" w:cs="Arial"/>
        </w:rPr>
        <w:t xml:space="preserve">compared to placebo but detected a significant increase in </w:t>
      </w:r>
      <w:r w:rsidR="00474A61">
        <w:rPr>
          <w:rFonts w:eastAsia="Calibri" w:cs="Arial"/>
        </w:rPr>
        <w:t xml:space="preserve">the detection of </w:t>
      </w:r>
      <w:r>
        <w:rPr>
          <w:rFonts w:eastAsia="Calibri" w:cs="Arial"/>
        </w:rPr>
        <w:t xml:space="preserve">macrolide and tetracycline resistance genes </w:t>
      </w:r>
      <w:r>
        <w:rPr>
          <w:rFonts w:eastAsia="Calibri" w:cs="Arial"/>
        </w:rPr>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rPr>
          <w:rFonts w:eastAsia="Calibri" w:cs="Arial"/>
        </w:rPr>
        <w:instrText xml:space="preserve"> ADDIN EN.CITE </w:instrText>
      </w:r>
      <w:r w:rsidR="00EE22EB">
        <w:rPr>
          <w:rFonts w:eastAsia="Calibri" w:cs="Arial"/>
        </w:rPr>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rPr>
          <w:rFonts w:eastAsia="Calibri" w:cs="Arial"/>
        </w:rPr>
        <w:instrText xml:space="preserve"> ADDIN EN.CITE.DATA </w:instrText>
      </w:r>
      <w:r w:rsidR="00EE22EB">
        <w:rPr>
          <w:rFonts w:eastAsia="Calibri" w:cs="Arial"/>
        </w:rPr>
      </w:r>
      <w:r w:rsidR="00EE22EB">
        <w:rPr>
          <w:rFonts w:eastAsia="Calibri" w:cs="Arial"/>
        </w:rPr>
        <w:fldChar w:fldCharType="end"/>
      </w:r>
      <w:r>
        <w:rPr>
          <w:rFonts w:eastAsia="Calibri" w:cs="Arial"/>
        </w:rPr>
      </w:r>
      <w:r>
        <w:rPr>
          <w:rFonts w:eastAsia="Calibri" w:cs="Arial"/>
        </w:rPr>
        <w:fldChar w:fldCharType="separate"/>
      </w:r>
      <w:r w:rsidR="00EE22EB">
        <w:rPr>
          <w:rFonts w:eastAsia="Calibri" w:cs="Arial"/>
          <w:noProof/>
        </w:rPr>
        <w:t>(Taylor et al., 2019)</w:t>
      </w:r>
      <w:r>
        <w:rPr>
          <w:rFonts w:eastAsia="Calibri" w:cs="Arial"/>
        </w:rPr>
        <w:fldChar w:fldCharType="end"/>
      </w:r>
      <w:r>
        <w:rPr>
          <w:rFonts w:eastAsia="Calibri" w:cs="Arial"/>
        </w:rPr>
        <w:t>.</w:t>
      </w:r>
    </w:p>
    <w:p w14:paraId="4B517B84" w14:textId="50D5186F" w:rsidR="00E428B4" w:rsidRDefault="00E428B4" w:rsidP="002C53ED">
      <w:pPr>
        <w:spacing w:line="360" w:lineRule="auto"/>
      </w:pPr>
      <w:r w:rsidRPr="00241369">
        <w:rPr>
          <w:rFonts w:eastAsia="Calibri" w:cs="Arial"/>
        </w:rPr>
        <w:t xml:space="preserve">A further problem of employing standard culture methods alone (as in most of the reported studies) is that carriage of pathogens in the nasopharynx and oropharynx are reduced by long-term macrolide use. Thus, obtaining pathogen-rich samples for culture and susceptibility testing is challenging. Few studies have reported MIC results for specific pathogens. Reporting MICs and macrolide resistant gene expression would enable a better understanding of the extent of high and low resistance patterns. Using culture independent techniques would </w:t>
      </w:r>
      <w:r>
        <w:rPr>
          <w:rFonts w:eastAsia="Calibri" w:cs="Arial"/>
        </w:rPr>
        <w:t xml:space="preserve">potentially </w:t>
      </w:r>
      <w:r w:rsidRPr="00241369">
        <w:rPr>
          <w:rFonts w:eastAsia="Calibri" w:cs="Arial"/>
        </w:rPr>
        <w:t xml:space="preserve">have the benefit of increasing the understanding of the </w:t>
      </w:r>
      <w:r>
        <w:rPr>
          <w:rFonts w:eastAsia="Calibri" w:cs="Arial"/>
        </w:rPr>
        <w:t xml:space="preserve">mechanisms of resistance and the </w:t>
      </w:r>
      <w:r w:rsidRPr="00241369">
        <w:rPr>
          <w:rFonts w:eastAsia="Calibri" w:cs="Arial"/>
        </w:rPr>
        <w:t xml:space="preserve">effects on the microbiome and </w:t>
      </w:r>
      <w:proofErr w:type="spellStart"/>
      <w:r w:rsidRPr="00241369">
        <w:rPr>
          <w:rFonts w:eastAsia="Calibri" w:cs="Arial"/>
        </w:rPr>
        <w:t>resistome</w:t>
      </w:r>
      <w:proofErr w:type="spellEnd"/>
      <w:r w:rsidR="00B62520">
        <w:rPr>
          <w:rFonts w:eastAsia="Calibri" w:cs="Arial"/>
        </w:rPr>
        <w:t xml:space="preserve"> (discussed</w:t>
      </w:r>
      <w:r w:rsidR="00E024EC">
        <w:rPr>
          <w:rFonts w:eastAsia="Calibri" w:cs="Arial"/>
        </w:rPr>
        <w:t xml:space="preserve"> below</w:t>
      </w:r>
      <w:r w:rsidR="00B62520">
        <w:rPr>
          <w:rFonts w:eastAsia="Calibri" w:cs="Arial"/>
        </w:rPr>
        <w:t xml:space="preserve"> in section 1.6)</w:t>
      </w:r>
      <w:r w:rsidRPr="00241369">
        <w:rPr>
          <w:rFonts w:eastAsia="Calibri" w:cs="Arial"/>
        </w:rPr>
        <w:t xml:space="preserve">. </w:t>
      </w:r>
    </w:p>
    <w:p w14:paraId="6E2D001A" w14:textId="77777777" w:rsidR="00775407" w:rsidRPr="00775407" w:rsidRDefault="00775407" w:rsidP="002C53ED">
      <w:pPr>
        <w:spacing w:line="360" w:lineRule="auto"/>
      </w:pPr>
    </w:p>
    <w:p w14:paraId="220D2DB1" w14:textId="406FB951" w:rsidR="0021060C" w:rsidRPr="00BC60A1" w:rsidRDefault="0021060C" w:rsidP="004F3338">
      <w:pPr>
        <w:pStyle w:val="Heading2"/>
      </w:pPr>
      <w:bookmarkStart w:id="46" w:name="_Toc117765891"/>
      <w:r w:rsidRPr="00BC60A1">
        <w:t>Microbiome and microbiota</w:t>
      </w:r>
      <w:bookmarkEnd w:id="46"/>
    </w:p>
    <w:p w14:paraId="649FEE56" w14:textId="7A21B745" w:rsidR="002D71B6" w:rsidRDefault="00DE7D61" w:rsidP="00DD2ED4">
      <w:pPr>
        <w:spacing w:after="160" w:line="360" w:lineRule="auto"/>
      </w:pPr>
      <w:r>
        <w:t xml:space="preserve">PBB study 2 in chapter </w:t>
      </w:r>
      <w:r w:rsidR="002B6C9B">
        <w:t>5</w:t>
      </w:r>
      <w:r>
        <w:t xml:space="preserve"> focusses on the nasopharyngeal microbiome</w:t>
      </w:r>
      <w:r w:rsidR="002B6C9B">
        <w:t xml:space="preserve"> and the general concepts of the microbiome are introduced here. </w:t>
      </w:r>
      <w:r w:rsidR="0021060C" w:rsidRPr="00241369">
        <w:t xml:space="preserve">The human microbiota refers to all the microbial communities that reside within or on our bodies. Over the last decade, the number of identified prokaryotic species isolated from the human body has almost tripled. </w:t>
      </w:r>
      <w:r w:rsidR="00505C62">
        <w:t xml:space="preserve">By </w:t>
      </w:r>
      <w:r w:rsidR="003A5B9F">
        <w:t>2021</w:t>
      </w:r>
      <w:r w:rsidR="00505C62">
        <w:t>, a</w:t>
      </w:r>
      <w:r w:rsidR="00505C62" w:rsidRPr="00241369">
        <w:t xml:space="preserve"> </w:t>
      </w:r>
      <w:r w:rsidR="0021060C" w:rsidRPr="00241369">
        <w:t xml:space="preserve">total of </w:t>
      </w:r>
      <w:r w:rsidR="003A5B9F">
        <w:t>3253 bacterial</w:t>
      </w:r>
      <w:r w:rsidR="0021060C" w:rsidRPr="00241369">
        <w:t xml:space="preserve"> species </w:t>
      </w:r>
      <w:r w:rsidR="00505C62" w:rsidRPr="00241369">
        <w:t>ha</w:t>
      </w:r>
      <w:r w:rsidR="00505C62">
        <w:t xml:space="preserve">d been </w:t>
      </w:r>
      <w:r w:rsidR="0021060C" w:rsidRPr="00241369">
        <w:t>associated with human beings either as pathogens o</w:t>
      </w:r>
      <w:r w:rsidR="007247E7">
        <w:t>r</w:t>
      </w:r>
      <w:r w:rsidR="0021060C" w:rsidRPr="00241369">
        <w:t xml:space="preserve"> </w:t>
      </w:r>
      <w:r w:rsidR="0021060C" w:rsidRPr="008F33C8">
        <w:t>commensals</w:t>
      </w:r>
      <w:r w:rsidR="003A5B9F">
        <w:t xml:space="preserve"> </w:t>
      </w:r>
      <w:r w:rsidR="003A5B9F">
        <w:fldChar w:fldCharType="begin"/>
      </w:r>
      <w:r w:rsidR="00EE22EB">
        <w:instrText xml:space="preserve"> ADDIN EN.CITE &lt;EndNote&gt;&lt;Cite&gt;&lt;Author&gt;Diakite&lt;/Author&gt;&lt;Year&gt;2021&lt;/Year&gt;&lt;RecNum&gt;509&lt;/RecNum&gt;&lt;DisplayText&gt;(Diakite et al., 2021)&lt;/DisplayText&gt;&lt;record&gt;&lt;rec-number&gt;509&lt;/rec-number&gt;&lt;foreign-keys&gt;&lt;key app="EN" db-id="pr9rwt2w8padxcerwx6prd0a9wtda2w5fw2t" timestamp="1656407957"&gt;509&lt;/key&gt;&lt;/foreign-keys&gt;&lt;ref-type name="Journal Article"&gt;17&lt;/ref-type&gt;&lt;contributors&gt;&lt;authors&gt;&lt;author&gt;Diakite, Ami&lt;/author&gt;&lt;author&gt;Dubourg, Grégory&lt;/author&gt;&lt;author&gt;Raoult, Didier&lt;/author&gt;&lt;/authors&gt;&lt;/contributors&gt;&lt;titles&gt;&lt;title&gt;Updating the repertoire of cultured bacteria from the human being&lt;/title&gt;&lt;secondary-title&gt;Microbial Pathogenesis&lt;/secondary-title&gt;&lt;/titles&gt;&lt;periodical&gt;&lt;full-title&gt;Microbial Pathogenesis&lt;/full-title&gt;&lt;/periodical&gt;&lt;pages&gt;104698&lt;/pages&gt;&lt;volume&gt;150&lt;/volume&gt;&lt;keywords&gt;&lt;keyword&gt;Human repertoire&lt;/keyword&gt;&lt;keyword&gt;Bacteria&lt;/keyword&gt;&lt;keyword&gt;Culturomics&lt;/keyword&gt;&lt;/keywords&gt;&lt;dates&gt;&lt;year&gt;2021&lt;/year&gt;&lt;pub-dates&gt;&lt;date&gt;2021/01/01/&lt;/date&gt;&lt;/pub-dates&gt;&lt;/dates&gt;&lt;isbn&gt;0882-4010&lt;/isbn&gt;&lt;urls&gt;&lt;related-urls&gt;&lt;url&gt;https://www.sciencedirect.com/science/article/pii/S0882401020310640&lt;/url&gt;&lt;/related-urls&gt;&lt;/urls&gt;&lt;electronic-resource-num&gt;https://doi.org/10.1016/j.micpath.2020.104698&lt;/electronic-resource-num&gt;&lt;/record&gt;&lt;/Cite&gt;&lt;/EndNote&gt;</w:instrText>
      </w:r>
      <w:r w:rsidR="003A5B9F">
        <w:fldChar w:fldCharType="separate"/>
      </w:r>
      <w:r w:rsidR="00EE22EB">
        <w:rPr>
          <w:noProof/>
        </w:rPr>
        <w:t>(Diakite et al., 2021)</w:t>
      </w:r>
      <w:r w:rsidR="003A5B9F">
        <w:fldChar w:fldCharType="end"/>
      </w:r>
      <w:r w:rsidR="0021060C" w:rsidRPr="00241369">
        <w:t xml:space="preserve">. The microbiome refers to the collection of genomes of all the </w:t>
      </w:r>
      <w:r w:rsidR="0021060C" w:rsidRPr="00241369">
        <w:lastRenderedPageBreak/>
        <w:t>microorganisms present</w:t>
      </w:r>
      <w:r w:rsidR="009B2C1A">
        <w:t xml:space="preserve">. </w:t>
      </w:r>
      <w:r w:rsidR="0021060C" w:rsidRPr="00241369">
        <w:t xml:space="preserve">This was initially in terms of describing the composition of various communities within different niches in healthy humans, with an increasing number of studies now beginning to investigate the </w:t>
      </w:r>
      <w:r w:rsidR="0021060C" w:rsidRPr="00BD03ED">
        <w:rPr>
          <w:i/>
          <w:iCs/>
        </w:rPr>
        <w:t>function</w:t>
      </w:r>
      <w:r w:rsidR="0021060C" w:rsidRPr="00241369">
        <w:t xml:space="preserve"> of the microbiome in both health and disease.  </w:t>
      </w:r>
    </w:p>
    <w:p w14:paraId="239CF487" w14:textId="3325CD1B" w:rsidR="007E1C19" w:rsidRPr="00B6484C" w:rsidRDefault="008204B8" w:rsidP="00DD2ED4">
      <w:pPr>
        <w:spacing w:after="160" w:line="360" w:lineRule="auto"/>
      </w:pPr>
      <w:r>
        <w:t xml:space="preserve">The respiratory microbiome is discussed below (sections 1.6.1 – 1.6.4) but the most studied niche is the gut microbiota. </w:t>
      </w:r>
      <w:r w:rsidR="007E1C19">
        <w:t xml:space="preserve">In health, the microbiota </w:t>
      </w:r>
      <w:r w:rsidR="00E024EC">
        <w:t>confers</w:t>
      </w:r>
      <w:r w:rsidR="004A3346">
        <w:t xml:space="preserve"> beneficial effects </w:t>
      </w:r>
      <w:r w:rsidR="00A00D94">
        <w:t>including metabolic activities</w:t>
      </w:r>
      <w:r w:rsidR="00D64A2D">
        <w:t xml:space="preserve">, </w:t>
      </w:r>
      <w:r w:rsidR="00E024EC">
        <w:t xml:space="preserve">modulation </w:t>
      </w:r>
      <w:r w:rsidR="00D64A2D">
        <w:t xml:space="preserve">of the host’s </w:t>
      </w:r>
      <w:r w:rsidR="002F0A46">
        <w:t xml:space="preserve">innate and adaptive </w:t>
      </w:r>
      <w:r w:rsidR="00D64A2D">
        <w:t xml:space="preserve">immune system and colonisation resistance </w:t>
      </w:r>
      <w:r w:rsidR="00E024EC">
        <w:t>(</w:t>
      </w:r>
      <w:r w:rsidR="00901ABF">
        <w:t xml:space="preserve">preventing </w:t>
      </w:r>
      <w:r w:rsidR="00E024EC">
        <w:t xml:space="preserve">establishment of </w:t>
      </w:r>
      <w:r w:rsidR="00D64A2D">
        <w:t>potential pathogenic micro-</w:t>
      </w:r>
      <w:r w:rsidR="00D64A2D" w:rsidRPr="002A66C2">
        <w:t>organisms</w:t>
      </w:r>
      <w:r w:rsidR="002A66C2">
        <w:t xml:space="preserve"> such as </w:t>
      </w:r>
      <w:r w:rsidR="002A66C2" w:rsidRPr="002A66C2">
        <w:rPr>
          <w:i/>
          <w:iCs/>
        </w:rPr>
        <w:t>Clostridium diffic</w:t>
      </w:r>
      <w:r w:rsidR="005660D3">
        <w:rPr>
          <w:i/>
          <w:iCs/>
        </w:rPr>
        <w:t>i</w:t>
      </w:r>
      <w:r w:rsidR="002A66C2" w:rsidRPr="002A66C2">
        <w:rPr>
          <w:i/>
          <w:iCs/>
        </w:rPr>
        <w:t>le</w:t>
      </w:r>
      <w:r w:rsidR="00E024EC" w:rsidRPr="00207AA0">
        <w:t>)</w:t>
      </w:r>
      <w:r w:rsidR="00D64A2D" w:rsidRPr="002A66C2">
        <w:t xml:space="preserve">. </w:t>
      </w:r>
    </w:p>
    <w:p w14:paraId="7B38EC89" w14:textId="525C082A" w:rsidR="00450FF6" w:rsidRDefault="0021060C" w:rsidP="00DD2ED4">
      <w:pPr>
        <w:spacing w:after="160" w:line="360" w:lineRule="auto"/>
      </w:pPr>
      <w:r w:rsidRPr="008F33C8">
        <w:t>Next-generation sequencing is an overarching term covering a number of high-throughput methodologies that enable rapid sequencing of the base pairs in DNA or RNA samples</w:t>
      </w:r>
      <w:r>
        <w:t xml:space="preserve"> </w:t>
      </w:r>
      <w:r>
        <w:fldChar w:fldCharType="begin">
          <w:fldData xml:space="preserve">PEVuZE5vdGU+PENpdGU+PEF1dGhvcj5IdTwvQXV0aG9yPjxZZWFyPjIwMjE8L1llYXI+PFJlY051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</w:fldData>
        </w:fldChar>
      </w:r>
      <w:r w:rsidR="00EE22EB">
        <w:instrText xml:space="preserve"> ADDIN EN.CITE </w:instrText>
      </w:r>
      <w:r w:rsidR="00EE22EB">
        <w:fldChar w:fldCharType="begin">
          <w:fldData xml:space="preserve">PEVuZE5vdGU+PENpdGU+PEF1dGhvcj5IdTwvQXV0aG9yPjxZZWFyPjIwMjE8L1llYXI+PFJlY051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</w:fldData>
        </w:fldChar>
      </w:r>
      <w:r w:rsidR="00EE22EB">
        <w:instrText xml:space="preserve"> ADDIN EN.CITE.DATA </w:instrText>
      </w:r>
      <w:r w:rsidR="00EE22EB">
        <w:fldChar w:fldCharType="end"/>
      </w:r>
      <w:r>
        <w:fldChar w:fldCharType="separate"/>
      </w:r>
      <w:r w:rsidR="00EE22EB">
        <w:rPr>
          <w:noProof/>
        </w:rPr>
        <w:t>(Hu et al., 2021)</w:t>
      </w:r>
      <w:r>
        <w:fldChar w:fldCharType="end"/>
      </w:r>
      <w:r w:rsidRPr="008F33C8">
        <w:t xml:space="preserve">. </w:t>
      </w:r>
      <w:r w:rsidRPr="008F33C8">
        <w:rPr>
          <w:bCs/>
        </w:rPr>
        <w:t>Metagenomics</w:t>
      </w:r>
      <w:r w:rsidRPr="008F33C8">
        <w:t xml:space="preserve"> is the study of genetic material recovered directly from environmental samples</w:t>
      </w:r>
      <w:r>
        <w:t>.</w:t>
      </w:r>
      <w:r w:rsidRPr="008F33C8">
        <w:t xml:space="preserve"> Applied to microbiome research, it </w:t>
      </w:r>
      <w:r w:rsidRPr="00241369">
        <w:t xml:space="preserve">uses a variety of culture-independent techniques to analyse the DNA from </w:t>
      </w:r>
      <w:r>
        <w:t xml:space="preserve">mixed </w:t>
      </w:r>
      <w:r w:rsidRPr="00241369">
        <w:t>communities of microorganisms. Analysis of the community structure may use targeted regions of genes such as those on the 16s rRNA gene</w:t>
      </w:r>
      <w:r w:rsidR="00901ABF">
        <w:t>,</w:t>
      </w:r>
      <w:r w:rsidRPr="00241369">
        <w:t xml:space="preserve"> or shotgun sequencing to document </w:t>
      </w:r>
      <w:r>
        <w:t xml:space="preserve">all of </w:t>
      </w:r>
      <w:r w:rsidRPr="00241369">
        <w:t xml:space="preserve">the genes present. The 16S rRNA gene is present in all bacteria and archaea and is integral to the process of protein synthesis. This gene comprises of highly conserved areas as well as 9 hypervariable regions. The hypervariable regions allow for taxonomical classification. 16s </w:t>
      </w:r>
      <w:r>
        <w:t>g</w:t>
      </w:r>
      <w:r w:rsidRPr="00241369">
        <w:t>ene sequencing allows high</w:t>
      </w:r>
      <w:r w:rsidR="004A3346">
        <w:t xml:space="preserve"> </w:t>
      </w:r>
      <w:r w:rsidRPr="00241369">
        <w:t>throughput of samples and is relatively cheap. The limitations however are that on</w:t>
      </w:r>
      <w:r>
        <w:t>ly a small proportion of the 16s</w:t>
      </w:r>
      <w:r w:rsidRPr="00241369">
        <w:t xml:space="preserve"> gene is sequenced</w:t>
      </w:r>
      <w:r w:rsidR="001E7D92">
        <w:t xml:space="preserve"> (although more recent technologies are addressing this)</w:t>
      </w:r>
      <w:r w:rsidRPr="00241369">
        <w:t>, and no single variable region allows for complete differentiation of</w:t>
      </w:r>
      <w:r w:rsidR="001E7D92">
        <w:t xml:space="preserve"> all</w:t>
      </w:r>
      <w:r w:rsidRPr="00241369">
        <w:t xml:space="preserve"> bacteria </w:t>
      </w:r>
      <w:r>
        <w:fldChar w:fldCharType="begin"/>
      </w:r>
      <w:r>
        <w:instrText xml:space="preserve"> ADDIN EN.CITE &lt;EndNote&gt;&lt;Cite&gt;&lt;Author&gt;Weinstock&lt;/Author&gt;&lt;Year&gt;2012&lt;/Year&gt;&lt;RecNum&gt;88&lt;/RecNum&gt;&lt;DisplayText&gt;(Weinstock, 2012)&lt;/DisplayText&gt;&lt;record&gt;&lt;rec-number&gt;88&lt;/rec-number&gt;&lt;foreign-keys&gt;&lt;key app="EN" db-id="z50rresss5e5vfe0s2qpewtuxsprsrse5fff" timestamp="1578921023"&gt;88&lt;/key&gt;&lt;/foreign-keys&gt;&lt;ref-type name="Journal Article"&gt;17&lt;/ref-type&gt;&lt;contributors&gt;&lt;authors&gt;&lt;author&gt;Weinstock, George M.&lt;/author&gt;&lt;/authors&gt;&lt;/contributors&gt;&lt;titles&gt;&lt;title&gt;Genomic approaches to studying the human microbiota&lt;/title&gt;&lt;secondary-title&gt;Nature&lt;/secondary-title&gt;&lt;alt-title&gt;Nature&lt;/alt-title&gt;&lt;/titles&gt;&lt;periodical&gt;&lt;full-title&gt;Nature&lt;/full-title&gt;&lt;abbr-1&gt;Nature&lt;/abbr-1&gt;&lt;/periodical&gt;&lt;alt-periodical&gt;&lt;full-title&gt;Nature&lt;/full-title&gt;&lt;abbr-1&gt;Nature&lt;/abbr-1&gt;&lt;/alt-periodical&gt;&lt;pages&gt;250-256&lt;/pages&gt;&lt;volume&gt;489&lt;/volume&gt;&lt;number&gt;7415&lt;/number&gt;&lt;keywords&gt;&lt;keyword&gt;Bacteria/genetics/isolation &amp;amp; purification&lt;/keyword&gt;&lt;keyword&gt;*Biodiversity&lt;/keyword&gt;&lt;keyword&gt;Genome/genetics&lt;/keyword&gt;&lt;keyword&gt;Genomics/*methods&lt;/keyword&gt;&lt;keyword&gt;High-Throughput Nucleotide Sequencing&lt;/keyword&gt;&lt;keyword&gt;Humans&lt;/keyword&gt;&lt;keyword&gt;Metagenome/*genetics&lt;/keyword&gt;&lt;/keywords&gt;&lt;dates&gt;&lt;year&gt;2012&lt;/year&gt;&lt;/dates&gt;&lt;isbn&gt;1476-4687&amp;#xD;0028-0836&lt;/isbn&gt;&lt;accession-num&gt;22972298&lt;/accession-num&gt;&lt;urls&gt;&lt;related-urls&gt;&lt;url&gt;https://www.ncbi.nlm.nih.gov/pubmed/22972298&lt;/url&gt;&lt;url&gt;https://www.ncbi.nlm.nih.gov/pmc/articles/PMC3665339/&lt;/url&gt;&lt;/related-urls&gt;&lt;/urls&gt;&lt;electronic-resource-num&gt;10.1038/nature11553&lt;/electronic-resource-num&gt;&lt;remote-database-name&gt;PubMed&lt;/remote-database-name&gt;&lt;language&gt;eng&lt;/language&gt;&lt;/record&gt;&lt;/Cite&gt;&lt;/EndNote&gt;</w:instrText>
      </w:r>
      <w:r>
        <w:fldChar w:fldCharType="separate"/>
      </w:r>
      <w:r>
        <w:rPr>
          <w:noProof/>
        </w:rPr>
        <w:t>(Weinstock, 2012)</w:t>
      </w:r>
      <w:r>
        <w:fldChar w:fldCharType="end"/>
      </w:r>
      <w:r w:rsidRPr="00241369">
        <w:t xml:space="preserve">. </w:t>
      </w:r>
      <w:r w:rsidR="00450FF6">
        <w:t>The abundance of the detected bacteria is un</w:t>
      </w:r>
      <w:r w:rsidR="00A14548">
        <w:t>ab</w:t>
      </w:r>
      <w:r w:rsidR="00450FF6">
        <w:t xml:space="preserve">le to be assessed using this method, </w:t>
      </w:r>
      <w:r w:rsidR="00901ABF">
        <w:t xml:space="preserve">and </w:t>
      </w:r>
      <w:r w:rsidR="00450FF6">
        <w:t>viruses and fungi that may be relevant</w:t>
      </w:r>
      <w:r w:rsidR="00901ABF">
        <w:t xml:space="preserve"> cannot be detected</w:t>
      </w:r>
      <w:r w:rsidR="00450FF6">
        <w:t xml:space="preserve">. </w:t>
      </w:r>
      <w:r w:rsidR="00213EFD">
        <w:t>Results using 16S PCR should be considered with these limitations in mind.</w:t>
      </w:r>
    </w:p>
    <w:p w14:paraId="1377166F" w14:textId="56CEEC87" w:rsidR="002862E2" w:rsidRDefault="002862E2" w:rsidP="00DD2ED4">
      <w:pPr>
        <w:spacing w:after="160" w:line="360" w:lineRule="auto"/>
      </w:pPr>
      <w:r>
        <w:t xml:space="preserve">Until recently, </w:t>
      </w:r>
      <w:r w:rsidR="003C792E">
        <w:t>an O</w:t>
      </w:r>
      <w:r w:rsidR="005A2DCB">
        <w:t>TU</w:t>
      </w:r>
      <w:r w:rsidR="003C792E">
        <w:t xml:space="preserve"> </w:t>
      </w:r>
      <w:r w:rsidR="005A2DCB">
        <w:t xml:space="preserve">(operational taxonomic unit) </w:t>
      </w:r>
      <w:r w:rsidR="003C792E">
        <w:t xml:space="preserve">clustering approach was often taken in 16s metagenomic analysis to categorise bacteria. Sequences were clustered together based on a threshold of </w:t>
      </w:r>
      <w:r w:rsidR="005A2DCB">
        <w:t xml:space="preserve">at least </w:t>
      </w:r>
      <w:r w:rsidR="003C792E">
        <w:t xml:space="preserve">97% </w:t>
      </w:r>
      <w:r w:rsidR="00113C94">
        <w:t xml:space="preserve">similarity, attempting </w:t>
      </w:r>
      <w:r w:rsidR="003C792E">
        <w:t>to distinguish bacteria to a genus level. This method aimed to blur similar sequences into a final consensus sequence</w:t>
      </w:r>
      <w:r w:rsidR="00113C94">
        <w:t>,</w:t>
      </w:r>
      <w:r w:rsidR="003C792E">
        <w:t xml:space="preserve"> </w:t>
      </w:r>
      <w:r w:rsidR="00113C94">
        <w:t>but there is a</w:t>
      </w:r>
      <w:r w:rsidR="003C792E">
        <w:t xml:space="preserve"> risk of losing individual species identities. </w:t>
      </w:r>
      <w:r w:rsidR="005A2DCB">
        <w:t xml:space="preserve">More recently ASV (amplicon sequence variant) analysis </w:t>
      </w:r>
      <w:r w:rsidR="00113C94">
        <w:t xml:space="preserve">has been </w:t>
      </w:r>
      <w:r w:rsidR="005A2DCB">
        <w:t>used. This method determines the exact sequences that are present and how many time</w:t>
      </w:r>
      <w:r w:rsidR="004050AE">
        <w:t>s</w:t>
      </w:r>
      <w:r w:rsidR="005A2DCB">
        <w:t xml:space="preserve"> </w:t>
      </w:r>
      <w:r w:rsidR="005A2DCB">
        <w:lastRenderedPageBreak/>
        <w:t xml:space="preserve">they are read. Using an error model allows </w:t>
      </w:r>
      <w:r w:rsidR="00F25EA1">
        <w:t>reads to be compared and determine the probability of whether they are due to sequence errors or not. This approach</w:t>
      </w:r>
      <w:r w:rsidR="00113C94">
        <w:t>,</w:t>
      </w:r>
      <w:r w:rsidR="00F25EA1">
        <w:t xml:space="preserve"> using exact sequences and not clustering</w:t>
      </w:r>
      <w:r w:rsidR="00113C94">
        <w:t>,</w:t>
      </w:r>
      <w:r w:rsidR="00F25EA1">
        <w:t xml:space="preserve"> allows comparison between studies and a more precise identification down to the species level when compared to a reference database. </w:t>
      </w:r>
    </w:p>
    <w:p w14:paraId="5F5A2CD4" w14:textId="7E04220C" w:rsidR="00E853B9" w:rsidRDefault="0021060C" w:rsidP="00276CBF">
      <w:pPr>
        <w:spacing w:after="160" w:line="360" w:lineRule="auto"/>
      </w:pPr>
      <w:r w:rsidRPr="00241369">
        <w:t>Dysbios</w:t>
      </w:r>
      <w:r w:rsidR="00F515E9">
        <w:t>i</w:t>
      </w:r>
      <w:r w:rsidRPr="00241369">
        <w:t>s of the microbio</w:t>
      </w:r>
      <w:r>
        <w:t>ta</w:t>
      </w:r>
      <w:r w:rsidR="009933B8">
        <w:t xml:space="preserve"> as defined by Levy</w:t>
      </w:r>
      <w:r w:rsidR="00786F3C">
        <w:t xml:space="preserve"> </w:t>
      </w:r>
      <w:r w:rsidR="00F515E9">
        <w:fldChar w:fldCharType="begin"/>
      </w:r>
      <w:r w:rsidR="00EE22EB">
        <w:instrText xml:space="preserve"> ADDIN EN.CITE &lt;EndNote&gt;&lt;Cite&gt;&lt;Author&gt;Levy&lt;/Author&gt;&lt;Year&gt;2017&lt;/Year&gt;&lt;RecNum&gt;405&lt;/RecNum&gt;&lt;DisplayText&gt;(Levy et al., 2017)&lt;/DisplayText&gt;&lt;record&gt;&lt;rec-number&gt;405&lt;/rec-number&gt;&lt;foreign-keys&gt;&lt;key app="EN" db-id="pr9rwt2w8padxcerwx6prd0a9wtda2w5fw2t" timestamp="1642439345"&gt;405&lt;/key&gt;&lt;/foreign-keys&gt;&lt;ref-type name="Journal Article"&gt;17&lt;/ref-type&gt;&lt;contributors&gt;&lt;authors&gt;&lt;author&gt;Levy, Maayan&lt;/author&gt;&lt;author&gt;Kolodziejczyk, Aleksandra A.&lt;/author&gt;&lt;author&gt;Thaiss, Christoph A.&lt;/author&gt;&lt;author&gt;Elinav, Eran&lt;/author&gt;&lt;/authors&gt;&lt;/contributors&gt;&lt;titles&gt;&lt;title&gt;Dysbiosis and the immune system&lt;/title&gt;&lt;secondary-title&gt;Nature Reviews Immunology&lt;/secondary-title&gt;&lt;/titles&gt;&lt;periodical&gt;&lt;full-title&gt;Nature Reviews Immunology&lt;/full-title&gt;&lt;/periodical&gt;&lt;pages&gt;219-232&lt;/pages&gt;&lt;volume&gt;17&lt;/volume&gt;&lt;number&gt;4&lt;/number&gt;&lt;dates&gt;&lt;year&gt;2017&lt;/year&gt;&lt;pub-dates&gt;&lt;date&gt;2017/04/01&lt;/date&gt;&lt;/pub-dates&gt;&lt;/dates&gt;&lt;isbn&gt;1474-1741&lt;/isbn&gt;&lt;urls&gt;&lt;related-urls&gt;&lt;url&gt;https://doi.org/10.1038/nri.2017.7&lt;/url&gt;&lt;/related-urls&gt;&lt;/urls&gt;&lt;electronic-resource-num&gt;10.1038/nri.2017.7&lt;/electronic-resource-num&gt;&lt;/record&gt;&lt;/Cite&gt;&lt;/EndNote&gt;</w:instrText>
      </w:r>
      <w:r w:rsidR="00F515E9">
        <w:fldChar w:fldCharType="separate"/>
      </w:r>
      <w:r w:rsidR="00EE22EB">
        <w:rPr>
          <w:noProof/>
        </w:rPr>
        <w:t>(Levy et al., 2017)</w:t>
      </w:r>
      <w:r w:rsidR="00F515E9">
        <w:fldChar w:fldCharType="end"/>
      </w:r>
      <w:r w:rsidR="009933B8">
        <w:t xml:space="preserve"> </w:t>
      </w:r>
      <w:r w:rsidR="005A665B">
        <w:t xml:space="preserve">is </w:t>
      </w:r>
      <w:r w:rsidR="009933B8">
        <w:t xml:space="preserve">typically </w:t>
      </w:r>
      <w:r w:rsidR="005A665B">
        <w:t xml:space="preserve">characterised by </w:t>
      </w:r>
      <w:r w:rsidR="00276CBF">
        <w:t xml:space="preserve">an increase in </w:t>
      </w:r>
      <w:r w:rsidR="00276CBF" w:rsidRPr="00961B8E">
        <w:t>pathobionts, i.e., commensal bacteria that have the potential to cause pathology</w:t>
      </w:r>
      <w:r w:rsidR="00276CBF">
        <w:t xml:space="preserve">, loss of commensals or loss of diversity. </w:t>
      </w:r>
      <w:r w:rsidR="00F515E9">
        <w:t xml:space="preserve">Such changes in the composition of microorganisms </w:t>
      </w:r>
      <w:r w:rsidR="00BA200A">
        <w:t xml:space="preserve">may result in a reduction of the microbiota’s ability to function optimally. </w:t>
      </w:r>
      <w:r w:rsidR="009C2A87">
        <w:t xml:space="preserve">The microbiota is highly </w:t>
      </w:r>
      <w:r w:rsidR="009C2A87" w:rsidRPr="00241369">
        <w:t xml:space="preserve">dynamic, responding to various selective pressures including diet, </w:t>
      </w:r>
      <w:r w:rsidR="009C2A87">
        <w:t xml:space="preserve">cigarette </w:t>
      </w:r>
      <w:r w:rsidR="009C2A87" w:rsidRPr="00241369">
        <w:t>smoke exposure, medication</w:t>
      </w:r>
      <w:r w:rsidR="009C2A87">
        <w:t xml:space="preserve"> such as antibiotics</w:t>
      </w:r>
      <w:r w:rsidR="009C2A87" w:rsidRPr="00241369">
        <w:t xml:space="preserve"> and infection</w:t>
      </w:r>
      <w:r w:rsidR="00213EFD">
        <w:t>s,</w:t>
      </w:r>
      <w:r w:rsidR="009C2A87" w:rsidRPr="00241369">
        <w:t xml:space="preserve"> as well as </w:t>
      </w:r>
      <w:r w:rsidR="00213EFD">
        <w:t xml:space="preserve">undergoing significant </w:t>
      </w:r>
      <w:r w:rsidR="00213EFD" w:rsidRPr="00241369">
        <w:t>matur</w:t>
      </w:r>
      <w:r w:rsidR="00213EFD">
        <w:t>ation</w:t>
      </w:r>
      <w:r w:rsidR="00213EFD" w:rsidRPr="00241369">
        <w:t xml:space="preserve"> </w:t>
      </w:r>
      <w:r w:rsidR="009C2A87" w:rsidRPr="00241369">
        <w:t>throughout childhood</w:t>
      </w:r>
      <w:r w:rsidR="009C2A87">
        <w:t xml:space="preserve"> </w:t>
      </w:r>
      <w:r w:rsidR="009C2A87">
        <w:fldChar w:fldCharType="begin"/>
      </w:r>
      <w:r w:rsidR="00EE22EB">
        <w:instrText xml:space="preserve"> ADDIN EN.CITE &lt;EndNote&gt;&lt;Cite&gt;&lt;Author&gt;Man&lt;/Author&gt;&lt;Year&gt;2017&lt;/Year&gt;&lt;RecNum&gt;244&lt;/RecNum&gt;&lt;DisplayText&gt;(Man et al., 2017)&lt;/DisplayText&gt;&lt;record&gt;&lt;rec-number&gt;244&lt;/rec-number&gt;&lt;foreign-keys&gt;&lt;key app="EN" db-id="pr9rwt2w8padxcerwx6prd0a9wtda2w5fw2t" timestamp="1629731697"&gt;244&lt;/key&gt;&lt;/foreign-keys&gt;&lt;ref-type name="Journal Article"&gt;17&lt;/ref-type&gt;&lt;contributors&gt;&lt;authors&gt;&lt;author&gt;Man, W. H.&lt;/author&gt;&lt;author&gt;de Steenhuijsen Piters, W. A.&lt;/author&gt;&lt;author&gt;Bogaert, D.&lt;/author&gt;&lt;/authors&gt;&lt;/contributors&gt;&lt;auth-address&gt;Department of Pediatric Immunology and Infectious Diseases, Wilhelmina Children&amp;apos;s Hospital, University Medical Center Utrecht, Lundlaan 6, 3584 EA Utrecht, The Netherlands.&amp;#xD;Spaarne Gasthuis Academy, Spaarnepoort 1, 2134 TM, Hoofddorp, The Netherlands.&amp;#xD;The University of Edinburgh/MRC Centre for Inflammation Research, The Queen&amp;apos;s Medical Research Institute, 47 Little France Crescent, Edinburgh EH16 4TJ, UK.&lt;/auth-address&gt;&lt;titles&gt;&lt;title&gt;The microbiota of the respiratory tract: gatekeeper to respiratory health&lt;/title&gt;&lt;secondary-title&gt;Nat Rev Microbiol&lt;/secondary-title&gt;&lt;/titles&gt;&lt;periodical&gt;&lt;full-title&gt;Nat Rev Microbiol&lt;/full-title&gt;&lt;/periodical&gt;&lt;pages&gt;259-270&lt;/pages&gt;&lt;volume&gt;15&lt;/volume&gt;&lt;number&gt;5&lt;/number&gt;&lt;edition&gt;2017/03/21&lt;/edition&gt;&lt;keywords&gt;&lt;keyword&gt;Bacteria/genetics/*metabolism&lt;/keyword&gt;&lt;keyword&gt;Humans&lt;/keyword&gt;&lt;keyword&gt;*Microbiota/genetics/immunology/physiology&lt;/keyword&gt;&lt;keyword&gt;Respiratory System/immunology/*microbiology/*virology&lt;/keyword&gt;&lt;keyword&gt;Symbiosis&lt;/keyword&gt;&lt;/keywords&gt;&lt;dates&gt;&lt;year&gt;2017&lt;/year&gt;&lt;pub-dates&gt;&lt;date&gt;May&lt;/date&gt;&lt;/pub-dates&gt;&lt;/dates&gt;&lt;isbn&gt;1740-1526&lt;/isbn&gt;&lt;accession-num&gt;28316330&lt;/accession-num&gt;&lt;urls&gt;&lt;/urls&gt;&lt;electronic-resource-num&gt;10.1038/nrmicro.2017.14&lt;/electronic-resource-num&gt;&lt;remote-database-provider&gt;NLM&lt;/remote-database-provider&gt;&lt;language&gt;eng&lt;/language&gt;&lt;/record&gt;&lt;/Cite&gt;&lt;/EndNote&gt;</w:instrText>
      </w:r>
      <w:r w:rsidR="009C2A87">
        <w:fldChar w:fldCharType="separate"/>
      </w:r>
      <w:r w:rsidR="00EE22EB">
        <w:rPr>
          <w:noProof/>
        </w:rPr>
        <w:t>(Man et al., 2017)</w:t>
      </w:r>
      <w:r w:rsidR="009C2A87">
        <w:fldChar w:fldCharType="end"/>
      </w:r>
      <w:r w:rsidR="009C2A87" w:rsidRPr="00241369">
        <w:t xml:space="preserve">. </w:t>
      </w:r>
      <w:r w:rsidR="00BA200A">
        <w:t>These confounding factors need to be taken into account</w:t>
      </w:r>
      <w:r w:rsidR="000E27DF">
        <w:t xml:space="preserve"> when studying the microbiota in disease states</w:t>
      </w:r>
      <w:r w:rsidR="00BA200A">
        <w:t xml:space="preserve">. </w:t>
      </w:r>
    </w:p>
    <w:p w14:paraId="70C3AB88" w14:textId="6A86791E" w:rsidR="00194324" w:rsidRDefault="00676E63" w:rsidP="00276CBF">
      <w:pPr>
        <w:spacing w:after="160" w:line="360" w:lineRule="auto"/>
      </w:pPr>
      <w:r>
        <w:t xml:space="preserve">Dysbiosis of various microbiota have been associated with </w:t>
      </w:r>
      <w:r w:rsidR="000E27DF">
        <w:t>a range of</w:t>
      </w:r>
      <w:r>
        <w:t xml:space="preserve"> disease</w:t>
      </w:r>
      <w:r w:rsidR="000E27DF">
        <w:t>s</w:t>
      </w:r>
      <w:r>
        <w:t xml:space="preserve">. </w:t>
      </w:r>
      <w:r w:rsidR="000E27DF">
        <w:t>In</w:t>
      </w:r>
      <w:r w:rsidR="00633E94">
        <w:t xml:space="preserve"> the nasopharynx, </w:t>
      </w:r>
      <w:r w:rsidR="001459D0">
        <w:t>Teo et al</w:t>
      </w:r>
      <w:r w:rsidR="000E27DF">
        <w:t>.</w:t>
      </w:r>
      <w:r w:rsidR="001459D0">
        <w:t xml:space="preserve"> report</w:t>
      </w:r>
      <w:r w:rsidR="000E27DF">
        <w:t>ed</w:t>
      </w:r>
      <w:r w:rsidR="001459D0">
        <w:t xml:space="preserve"> a correlation </w:t>
      </w:r>
      <w:r w:rsidR="00213EFD">
        <w:t xml:space="preserve">between </w:t>
      </w:r>
      <w:r w:rsidR="001459D0">
        <w:t xml:space="preserve">virus-associated acute respiratory infections in the first 60 days of life </w:t>
      </w:r>
      <w:r w:rsidR="00213EFD">
        <w:t xml:space="preserve">and </w:t>
      </w:r>
      <w:r w:rsidR="001459D0">
        <w:t xml:space="preserve">nasopharyngeal colonisation with </w:t>
      </w:r>
      <w:r w:rsidR="001459D0" w:rsidRPr="002C7C40">
        <w:rPr>
          <w:i/>
          <w:iCs/>
        </w:rPr>
        <w:t>Streptococcus</w:t>
      </w:r>
      <w:r w:rsidR="001459D0">
        <w:t xml:space="preserve">, </w:t>
      </w:r>
      <w:r w:rsidR="001459D0" w:rsidRPr="002C7C40">
        <w:rPr>
          <w:i/>
          <w:iCs/>
        </w:rPr>
        <w:t>Moraxella</w:t>
      </w:r>
      <w:r w:rsidR="001459D0">
        <w:t xml:space="preserve"> or </w:t>
      </w:r>
      <w:r w:rsidR="001459D0" w:rsidRPr="002C7C40">
        <w:rPr>
          <w:i/>
          <w:iCs/>
        </w:rPr>
        <w:t>Haemophilus</w:t>
      </w:r>
      <w:r w:rsidR="00557A32">
        <w:t xml:space="preserve"> </w:t>
      </w:r>
      <w:r w:rsidR="00557A32">
        <w:fldChar w:fldCharType="begin"/>
      </w:r>
      <w:r w:rsidR="00EE22EB">
        <w:instrText xml:space="preserve"> ADDIN EN.CITE &lt;EndNote&gt;&lt;Cite&gt;&lt;Author&gt;Teo&lt;/Author&gt;&lt;Year&gt;2015&lt;/Year&gt;&lt;RecNum&gt;403&lt;/RecNum&gt;&lt;DisplayText&gt;(Teo et al., 2015)&lt;/DisplayText&gt;&lt;record&gt;&lt;rec-number&gt;403&lt;/rec-number&gt;&lt;foreign-keys&gt;&lt;key app="EN" db-id="pr9rwt2w8padxcerwx6prd0a9wtda2w5fw2t" timestamp="1642437448"&gt;403&lt;/key&gt;&lt;/foreign-keys&gt;&lt;ref-type name="Journal Article"&gt;17&lt;/ref-type&gt;&lt;contributors&gt;&lt;authors&gt;&lt;author&gt;Teo, Shu Mei&lt;/author&gt;&lt;author&gt;Mok, Danny&lt;/author&gt;&lt;author&gt;Pham, Kym&lt;/author&gt;&lt;author&gt;Kusel, Merci&lt;/author&gt;&lt;author&gt;Serralha, Michael&lt;/author&gt;&lt;author&gt;Troy, Niamh&lt;/author&gt;&lt;author&gt;Holt, Barbara J&lt;/author&gt;&lt;author&gt;Hales, Belinda J&lt;/author&gt;&lt;author&gt;Walker, Michael L&lt;/author&gt;&lt;author&gt;Hollams, Elysia&lt;/author&gt;&lt;author&gt;Bochkov, Yury A&lt;/author&gt;&lt;author&gt;Grindle, Kristine&lt;/author&gt;&lt;author&gt;Johnston, Sebastian L&lt;/author&gt;&lt;author&gt;Gern, James E&lt;/author&gt;&lt;author&gt;Sly, Peter D&lt;/author&gt;&lt;author&gt;Holt, Patrick G&lt;/author&gt;&lt;author&gt;Holt, Kathryn E&lt;/author&gt;&lt;author&gt;Inouye, Michael&lt;/author&gt;&lt;/authors&gt;&lt;/contributors&gt;&lt;titles&gt;&lt;title&gt;The Infant Nasopharyngeal Microbiome Impacts Severity of Lower Respiratory Infection and Risk of Asthma Development&lt;/title&gt;&lt;secondary-title&gt;Cell Host &amp;amp; Microbe&lt;/secondary-title&gt;&lt;/titles&gt;&lt;periodical&gt;&lt;full-title&gt;Cell Host &amp;amp; Microbe&lt;/full-title&gt;&lt;/periodical&gt;&lt;pages&gt;704-715&lt;/pages&gt;&lt;volume&gt;17&lt;/volume&gt;&lt;number&gt;5&lt;/number&gt;&lt;dates&gt;&lt;year&gt;2015&lt;/year&gt;&lt;pub-dates&gt;&lt;date&gt;2015/05/13/&lt;/date&gt;&lt;/pub-dates&gt;&lt;/dates&gt;&lt;isbn&gt;1931-3128&lt;/isbn&gt;&lt;urls&gt;&lt;related-urls&gt;&lt;url&gt;https://www.sciencedirect.com/science/article/pii/S1931312815001250&lt;/url&gt;&lt;/related-urls&gt;&lt;/urls&gt;&lt;electronic-resource-num&gt;https://doi.org/10.1016/j.chom.2015.03.008&lt;/electronic-resource-num&gt;&lt;/record&gt;&lt;/Cite&gt;&lt;/EndNote&gt;</w:instrText>
      </w:r>
      <w:r w:rsidR="00557A32">
        <w:fldChar w:fldCharType="separate"/>
      </w:r>
      <w:r w:rsidR="00EE22EB">
        <w:rPr>
          <w:noProof/>
        </w:rPr>
        <w:t>(Teo et al., 2015)</w:t>
      </w:r>
      <w:r w:rsidR="00557A32">
        <w:fldChar w:fldCharType="end"/>
      </w:r>
      <w:r w:rsidR="001C6447" w:rsidRPr="00197160">
        <w:rPr>
          <w:i/>
          <w:iCs/>
        </w:rPr>
        <w:t>.</w:t>
      </w:r>
      <w:r w:rsidR="001C6447">
        <w:t xml:space="preserve"> This was</w:t>
      </w:r>
      <w:r w:rsidR="001459D0">
        <w:t xml:space="preserve"> </w:t>
      </w:r>
      <w:r w:rsidR="000E27DF">
        <w:t xml:space="preserve">in comparison </w:t>
      </w:r>
      <w:r w:rsidR="001459D0">
        <w:t>to healthy infants</w:t>
      </w:r>
      <w:r w:rsidR="001C6447">
        <w:t xml:space="preserve">, </w:t>
      </w:r>
      <w:r w:rsidR="001459D0">
        <w:t xml:space="preserve">whose nasopharyngeal microbiome demonstrated colonisation with </w:t>
      </w:r>
      <w:r w:rsidR="001459D0" w:rsidRPr="002C7C40">
        <w:rPr>
          <w:i/>
          <w:iCs/>
        </w:rPr>
        <w:t>Staphylococcus</w:t>
      </w:r>
      <w:r w:rsidR="001459D0">
        <w:t xml:space="preserve"> or </w:t>
      </w:r>
      <w:r w:rsidR="001459D0" w:rsidRPr="002C7C40">
        <w:rPr>
          <w:i/>
          <w:iCs/>
        </w:rPr>
        <w:t xml:space="preserve">Corynebacterium </w:t>
      </w:r>
      <w:r w:rsidR="001459D0" w:rsidRPr="001459D0">
        <w:t>species</w:t>
      </w:r>
      <w:r w:rsidR="001459D0">
        <w:t xml:space="preserve"> up to 2</w:t>
      </w:r>
      <w:r w:rsidR="00D63B1C">
        <w:t>-</w:t>
      </w:r>
      <w:r w:rsidR="001459D0">
        <w:t>months of age</w:t>
      </w:r>
      <w:r w:rsidR="00276CBF">
        <w:t xml:space="preserve"> </w:t>
      </w:r>
      <w:r w:rsidR="00633E94">
        <w:fldChar w:fldCharType="begin"/>
      </w:r>
      <w:r w:rsidR="00EE22EB">
        <w:instrText xml:space="preserve"> ADDIN EN.CITE &lt;EndNote&gt;&lt;Cite&gt;&lt;Author&gt;Teo&lt;/Author&gt;&lt;Year&gt;2015&lt;/Year&gt;&lt;RecNum&gt;403&lt;/RecNum&gt;&lt;DisplayText&gt;(Teo et al., 2015)&lt;/DisplayText&gt;&lt;record&gt;&lt;rec-number&gt;403&lt;/rec-number&gt;&lt;foreign-keys&gt;&lt;key app="EN" db-id="pr9rwt2w8padxcerwx6prd0a9wtda2w5fw2t" timestamp="1642437448"&gt;403&lt;/key&gt;&lt;/foreign-keys&gt;&lt;ref-type name="Journal Article"&gt;17&lt;/ref-type&gt;&lt;contributors&gt;&lt;authors&gt;&lt;author&gt;Teo, Shu Mei&lt;/author&gt;&lt;author&gt;Mok, Danny&lt;/author&gt;&lt;author&gt;Pham, Kym&lt;/author&gt;&lt;author&gt;Kusel, Merci&lt;/author&gt;&lt;author&gt;Serralha, Michael&lt;/author&gt;&lt;author&gt;Troy, Niamh&lt;/author&gt;&lt;author&gt;Holt, Barbara J&lt;/author&gt;&lt;author&gt;Hales, Belinda J&lt;/author&gt;&lt;author&gt;Walker, Michael L&lt;/author&gt;&lt;author&gt;Hollams, Elysia&lt;/author&gt;&lt;author&gt;Bochkov, Yury A&lt;/author&gt;&lt;author&gt;Grindle, Kristine&lt;/author&gt;&lt;author&gt;Johnston, Sebastian L&lt;/author&gt;&lt;author&gt;Gern, James E&lt;/author&gt;&lt;author&gt;Sly, Peter D&lt;/author&gt;&lt;author&gt;Holt, Patrick G&lt;/author&gt;&lt;author&gt;Holt, Kathryn E&lt;/author&gt;&lt;author&gt;Inouye, Michael&lt;/author&gt;&lt;/authors&gt;&lt;/contributors&gt;&lt;titles&gt;&lt;title&gt;The Infant Nasopharyngeal Microbiome Impacts Severity of Lower Respiratory Infection and Risk of Asthma Development&lt;/title&gt;&lt;secondary-title&gt;Cell Host &amp;amp; Microbe&lt;/secondary-title&gt;&lt;/titles&gt;&lt;periodical&gt;&lt;full-title&gt;Cell Host &amp;amp; Microbe&lt;/full-title&gt;&lt;/periodical&gt;&lt;pages&gt;704-715&lt;/pages&gt;&lt;volume&gt;17&lt;/volume&gt;&lt;number&gt;5&lt;/number&gt;&lt;dates&gt;&lt;year&gt;2015&lt;/year&gt;&lt;pub-dates&gt;&lt;date&gt;2015/05/13/&lt;/date&gt;&lt;/pub-dates&gt;&lt;/dates&gt;&lt;isbn&gt;1931-3128&lt;/isbn&gt;&lt;urls&gt;&lt;related-urls&gt;&lt;url&gt;https://www.sciencedirect.com/science/article/pii/S1931312815001250&lt;/url&gt;&lt;/related-urls&gt;&lt;/urls&gt;&lt;electronic-resource-num&gt;https://doi.org/10.1016/j.chom.2015.03.008&lt;/electronic-resource-num&gt;&lt;/record&gt;&lt;/Cite&gt;&lt;/EndNote&gt;</w:instrText>
      </w:r>
      <w:r w:rsidR="00633E94">
        <w:fldChar w:fldCharType="separate"/>
      </w:r>
      <w:r w:rsidR="00EE22EB">
        <w:rPr>
          <w:noProof/>
        </w:rPr>
        <w:t>(Teo et al., 2015)</w:t>
      </w:r>
      <w:r w:rsidR="00633E94">
        <w:fldChar w:fldCharType="end"/>
      </w:r>
      <w:r w:rsidR="00633E94">
        <w:t>.</w:t>
      </w:r>
      <w:r w:rsidR="00401B3A">
        <w:t xml:space="preserve"> </w:t>
      </w:r>
      <w:r w:rsidR="0068328B">
        <w:t>Dysbiosis of the gut microbiota has been reported to play a role in the pathogenesis of inflammatory bowel disease</w:t>
      </w:r>
      <w:r w:rsidR="00213EFD">
        <w:t>,</w:t>
      </w:r>
      <w:r w:rsidR="0068328B">
        <w:t xml:space="preserve"> with differences in the microbiota of those with ulcerative colitis and Crohn’s disease compared to healthy controls</w:t>
      </w:r>
      <w:r w:rsidR="00D22034">
        <w:t xml:space="preserve"> </w:t>
      </w:r>
      <w:r w:rsidR="00CF23E9">
        <w:fldChar w:fldCharType="begin">
          <w:fldData xml:space="preserve">PEVuZE5vdGU+PENpdGU+PEF1dGhvcj5MbG95ZC1QcmljZTwvQXV0aG9yPjxZZWFyPjIwMTk8L1ll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YnItMT5OYXR1cmU8L2FiYnItMT48L2FsdC1wZXJpb2RpY2FsPjxwYWdlcz42NTUtNjYyPC9wYWdl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</w:fldData>
        </w:fldChar>
      </w:r>
      <w:r w:rsidR="00EE22EB">
        <w:instrText xml:space="preserve"> ADDIN EN.CITE </w:instrText>
      </w:r>
      <w:r w:rsidR="00EE22EB">
        <w:fldChar w:fldCharType="begin">
          <w:fldData xml:space="preserve">PEVuZE5vdGU+PENpdGU+PEF1dGhvcj5MbG95ZC1QcmljZTwvQXV0aG9yPjxZZWFyPjIwMTk8L1ll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</w:fldData>
        </w:fldChar>
      </w:r>
      <w:r w:rsidR="00EE22EB">
        <w:instrText xml:space="preserve"> ADDIN EN.CITE.DATA </w:instrText>
      </w:r>
      <w:r w:rsidR="00EE22EB">
        <w:fldChar w:fldCharType="end"/>
      </w:r>
      <w:r w:rsidR="00CF23E9">
        <w:fldChar w:fldCharType="separate"/>
      </w:r>
      <w:r w:rsidR="00EE22EB">
        <w:rPr>
          <w:noProof/>
        </w:rPr>
        <w:t>(Lloyd-Price et al., 2019)</w:t>
      </w:r>
      <w:r w:rsidR="00CF23E9">
        <w:fldChar w:fldCharType="end"/>
      </w:r>
      <w:r w:rsidR="00D30784">
        <w:t xml:space="preserve">. However, it is still to be determined whether such changes can predict future events. </w:t>
      </w:r>
      <w:r w:rsidR="0069559C">
        <w:t xml:space="preserve">It is hoped that features within the microbiome may be able to improve diagnostics, indicate prognosis and </w:t>
      </w:r>
      <w:r w:rsidR="00EE1173">
        <w:t xml:space="preserve">even </w:t>
      </w:r>
      <w:r w:rsidR="0069559C">
        <w:t xml:space="preserve">act as a therapeutic target. The most widely documented success in manipulating the microbiome is the case of </w:t>
      </w:r>
      <w:r w:rsidR="00C46725">
        <w:t xml:space="preserve">recurrent </w:t>
      </w:r>
      <w:proofErr w:type="spellStart"/>
      <w:r w:rsidR="00C46725" w:rsidRPr="00495D59">
        <w:rPr>
          <w:i/>
          <w:iCs/>
        </w:rPr>
        <w:t>Clostridioides</w:t>
      </w:r>
      <w:proofErr w:type="spellEnd"/>
      <w:r w:rsidR="00C46725" w:rsidRPr="00495D59">
        <w:rPr>
          <w:i/>
          <w:iCs/>
        </w:rPr>
        <w:t xml:space="preserve"> difficile</w:t>
      </w:r>
      <w:r w:rsidR="00C46725">
        <w:rPr>
          <w:i/>
          <w:iCs/>
        </w:rPr>
        <w:t xml:space="preserve"> </w:t>
      </w:r>
      <w:r w:rsidR="00C46725">
        <w:t>diarrhoeal infections</w:t>
      </w:r>
      <w:r w:rsidR="0069559C">
        <w:t>.</w:t>
      </w:r>
      <w:r w:rsidR="00C46725">
        <w:t xml:space="preserve"> </w:t>
      </w:r>
      <w:r w:rsidR="0069559C">
        <w:t>R</w:t>
      </w:r>
      <w:r w:rsidR="00C46725">
        <w:t xml:space="preserve">estoration of the gut microbiota through faecal microbiota transplantation has been found to be an effective treatment to eliminate </w:t>
      </w:r>
      <w:r w:rsidR="00C46725" w:rsidRPr="00495D59">
        <w:rPr>
          <w:i/>
          <w:iCs/>
        </w:rPr>
        <w:t xml:space="preserve">C. </w:t>
      </w:r>
      <w:r w:rsidR="00EE1173" w:rsidRPr="00495D59">
        <w:rPr>
          <w:i/>
          <w:iCs/>
        </w:rPr>
        <w:t>D</w:t>
      </w:r>
      <w:r w:rsidR="00C46725" w:rsidRPr="00495D59">
        <w:rPr>
          <w:i/>
          <w:iCs/>
        </w:rPr>
        <w:t>ifficile</w:t>
      </w:r>
      <w:r w:rsidR="00197160">
        <w:rPr>
          <w:i/>
          <w:iCs/>
        </w:rPr>
        <w:t xml:space="preserve"> </w:t>
      </w:r>
      <w:r w:rsidR="00197160" w:rsidRPr="004C1A32">
        <w:fldChar w:fldCharType="begin">
          <w:fldData xml:space="preserve">PEVuZE5vdGU+PENpdGU+PEF1dGhvcj5CYXVud2FsbDwvQXV0aG9yPjxZZWFyPjIwMjA8L1llYXI+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</w:fldData>
        </w:fldChar>
      </w:r>
      <w:r w:rsidR="00EE22EB">
        <w:instrText xml:space="preserve"> ADDIN EN.CITE </w:instrText>
      </w:r>
      <w:r w:rsidR="00EE22EB">
        <w:fldChar w:fldCharType="begin">
          <w:fldData xml:space="preserve">PEVuZE5vdGU+PENpdGU+PEF1dGhvcj5CYXVud2FsbDwvQXV0aG9yPjxZZWFyPjIwMjA8L1llYXI+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</w:fldData>
        </w:fldChar>
      </w:r>
      <w:r w:rsidR="00EE22EB">
        <w:instrText xml:space="preserve"> ADDIN EN.CITE.DATA </w:instrText>
      </w:r>
      <w:r w:rsidR="00EE22EB">
        <w:fldChar w:fldCharType="end"/>
      </w:r>
      <w:r w:rsidR="00197160" w:rsidRPr="004C1A32">
        <w:fldChar w:fldCharType="separate"/>
      </w:r>
      <w:r w:rsidR="00EE22EB">
        <w:rPr>
          <w:noProof/>
        </w:rPr>
        <w:t>(Baunwall et al., 2020)</w:t>
      </w:r>
      <w:r w:rsidR="00197160" w:rsidRPr="004C1A32">
        <w:fldChar w:fldCharType="end"/>
      </w:r>
      <w:r w:rsidR="00C46725" w:rsidRPr="00495D59">
        <w:rPr>
          <w:i/>
          <w:iCs/>
        </w:rPr>
        <w:t>.</w:t>
      </w:r>
      <w:r w:rsidR="00C46725">
        <w:rPr>
          <w:i/>
          <w:iCs/>
        </w:rPr>
        <w:t xml:space="preserve"> </w:t>
      </w:r>
      <w:r w:rsidR="006213EA" w:rsidRPr="004C1A32">
        <w:t>A small open label study also reported reduced hospitalisation and improved cognition following</w:t>
      </w:r>
      <w:r w:rsidR="006213EA">
        <w:rPr>
          <w:i/>
          <w:iCs/>
        </w:rPr>
        <w:t xml:space="preserve"> </w:t>
      </w:r>
      <w:r w:rsidR="006213EA">
        <w:t xml:space="preserve">faecal microbiota transplantation for hepatic encephalopathy </w:t>
      </w:r>
      <w:r w:rsidR="00197160">
        <w:fldChar w:fldCharType="begin">
          <w:fldData xml:space="preserve">PEVuZE5vdGU+PENpdGU+PEF1dGhvcj5CYWphajwvQXV0aG9yPjxZZWFyPjIwMTc8L1llYXI+PFJl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</w:fldData>
        </w:fldChar>
      </w:r>
      <w:r w:rsidR="00EE22EB">
        <w:instrText xml:space="preserve"> ADDIN EN.CITE </w:instrText>
      </w:r>
      <w:r w:rsidR="00EE22EB">
        <w:fldChar w:fldCharType="begin">
          <w:fldData xml:space="preserve">PEVuZE5vdGU+PENpdGU+PEF1dGhvcj5CYWphajwvQXV0aG9yPjxZZWFyPjIwMTc8L1llYXI+PFJl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</w:fldData>
        </w:fldChar>
      </w:r>
      <w:r w:rsidR="00EE22EB">
        <w:instrText xml:space="preserve"> ADDIN EN.CITE.DATA </w:instrText>
      </w:r>
      <w:r w:rsidR="00EE22EB">
        <w:fldChar w:fldCharType="end"/>
      </w:r>
      <w:r w:rsidR="00197160">
        <w:fldChar w:fldCharType="separate"/>
      </w:r>
      <w:r w:rsidR="00EE22EB">
        <w:rPr>
          <w:noProof/>
        </w:rPr>
        <w:t>(Bajaj et al., 2017)</w:t>
      </w:r>
      <w:r w:rsidR="00197160">
        <w:fldChar w:fldCharType="end"/>
      </w:r>
      <w:r w:rsidR="00197160">
        <w:t>,</w:t>
      </w:r>
      <w:r w:rsidR="006213EA">
        <w:t xml:space="preserve"> attributed to fewer </w:t>
      </w:r>
      <w:r w:rsidR="00644597">
        <w:t>detrimental microbiome-associated metabolites acting via the ‘gut-brain axis’</w:t>
      </w:r>
      <w:r w:rsidR="00197160">
        <w:t xml:space="preserve"> </w:t>
      </w:r>
      <w:r w:rsidR="00197160">
        <w:fldChar w:fldCharType="begin"/>
      </w:r>
      <w:r w:rsidR="00EE22EB">
        <w:instrText xml:space="preserve"> ADDIN EN.CITE &lt;EndNote&gt;&lt;Cite&gt;&lt;Author&gt;Mayer&lt;/Author&gt;&lt;Year&gt;2022&lt;/Year&gt;&lt;RecNum&gt;511&lt;/RecNum&gt;&lt;DisplayText&gt;(Mayer et al., 2022)&lt;/DisplayText&gt;&lt;record&gt;&lt;rec-number&gt;511&lt;/rec-number&gt;&lt;foreign-keys&gt;&lt;key app="EN" db-id="pr9rwt2w8padxcerwx6prd0a9wtda2w5fw2t" timestamp="1656408654"&gt;511&lt;/key&gt;&lt;/foreign-keys&gt;&lt;ref-type name="Journal Article"&gt;17&lt;/ref-type&gt;&lt;contributors&gt;&lt;authors&gt;&lt;author&gt;Mayer, E. A.&lt;/author&gt;&lt;author&gt;Nance, K.&lt;/author&gt;&lt;author&gt;Chen, S.&lt;/author&gt;&lt;/authors&gt;&lt;/contributors&gt;&lt;auth-address&gt;G. Oppenheimer Center for Neurobiology of Stress and Resilience and Vatche and Tamar Manoukian Division of Digestive Diseases, David Geffen School of Medicine, University of California, Los Angeles, California 90095, USA; email: emayer@.ucla.edu.&lt;/auth-address&gt;&lt;titles&gt;&lt;title&gt;The Gut-Brain Axis&lt;/title&gt;&lt;secondary-title&gt;Annu Rev Med&lt;/secondary-title&gt;&lt;/titles&gt;&lt;periodical&gt;&lt;full-title&gt;Annu Rev Med&lt;/full-title&gt;&lt;/periodical&gt;&lt;pages&gt;439-453&lt;/pages&gt;&lt;volume&gt;73&lt;/volume&gt;&lt;edition&gt;2021/10/21&lt;/edition&gt;&lt;keywords&gt;&lt;keyword&gt;Brain&lt;/keyword&gt;&lt;keyword&gt;Brain-Gut Axis&lt;/keyword&gt;&lt;keyword&gt;*Gastrointestinal Microbiome&lt;/keyword&gt;&lt;keyword&gt;Humans&lt;/keyword&gt;&lt;keyword&gt;*Irritable Bowel Syndrome/therapy&lt;/keyword&gt;&lt;keyword&gt;*Microbiota&lt;/keyword&gt;&lt;keyword&gt;*gut–brain–microbiome interactions&lt;/keyword&gt;&lt;keyword&gt;*interoception&lt;/keyword&gt;&lt;keyword&gt;*irritable bowel syndrome&lt;/keyword&gt;&lt;/keywords&gt;&lt;dates&gt;&lt;year&gt;2022&lt;/year&gt;&lt;pub-dates&gt;&lt;date&gt;Jan 27&lt;/date&gt;&lt;/pub-dates&gt;&lt;/dates&gt;&lt;isbn&gt;0066-4219&lt;/isbn&gt;&lt;accession-num&gt;34669431&lt;/accession-num&gt;&lt;urls&gt;&lt;/urls&gt;&lt;electronic-resource-num&gt;10.1146/annurev-med-042320-014032&lt;/electronic-resource-num&gt;&lt;remote-database-provider&gt;NLM&lt;/remote-database-provider&gt;&lt;language&gt;eng&lt;/language&gt;&lt;/record&gt;&lt;/Cite&gt;&lt;/EndNote&gt;</w:instrText>
      </w:r>
      <w:r w:rsidR="00197160">
        <w:fldChar w:fldCharType="separate"/>
      </w:r>
      <w:r w:rsidR="00EE22EB">
        <w:rPr>
          <w:noProof/>
        </w:rPr>
        <w:t xml:space="preserve">(Mayer et al., </w:t>
      </w:r>
      <w:r w:rsidR="00EE22EB">
        <w:rPr>
          <w:noProof/>
        </w:rPr>
        <w:lastRenderedPageBreak/>
        <w:t>2022)</w:t>
      </w:r>
      <w:r w:rsidR="00197160">
        <w:fldChar w:fldCharType="end"/>
      </w:r>
      <w:r w:rsidR="004C1A32">
        <w:t>.</w:t>
      </w:r>
      <w:r w:rsidR="00EE1173">
        <w:t xml:space="preserve"> </w:t>
      </w:r>
      <w:r w:rsidR="00A02058">
        <w:t xml:space="preserve">These studies </w:t>
      </w:r>
      <w:r w:rsidR="00C46725">
        <w:t>provide evidence that the microbiota can, in principle be an important therapeutic target.</w:t>
      </w:r>
    </w:p>
    <w:p w14:paraId="2404411B" w14:textId="77777777" w:rsidR="000C7486" w:rsidRDefault="000C7486" w:rsidP="002C53ED">
      <w:pPr>
        <w:spacing w:line="360" w:lineRule="auto"/>
      </w:pPr>
    </w:p>
    <w:p w14:paraId="5776838E" w14:textId="7408380E" w:rsidR="0080098B" w:rsidRPr="00241369" w:rsidRDefault="0080098B" w:rsidP="002C53ED">
      <w:pPr>
        <w:pStyle w:val="Heading3"/>
        <w:spacing w:before="0" w:line="360" w:lineRule="auto"/>
      </w:pPr>
      <w:bookmarkStart w:id="47" w:name="_Toc117765892"/>
      <w:r>
        <w:t>The upper respiratory microbiome</w:t>
      </w:r>
      <w:bookmarkEnd w:id="47"/>
    </w:p>
    <w:p w14:paraId="02CC6E0A" w14:textId="68DE2632" w:rsidR="005D46E7" w:rsidRPr="00DD2ED4" w:rsidRDefault="0021060C" w:rsidP="00F27D1E">
      <w:pPr>
        <w:spacing w:after="160" w:line="360" w:lineRule="auto"/>
      </w:pPr>
      <w:r w:rsidRPr="00241369">
        <w:t>The nasopharynx is colonised by diverse bacterial species. These include</w:t>
      </w:r>
      <w:r w:rsidRPr="00241369">
        <w:rPr>
          <w:i/>
        </w:rPr>
        <w:t xml:space="preserve"> Streptococcus</w:t>
      </w:r>
      <w:r w:rsidRPr="00241369">
        <w:t xml:space="preserve"> </w:t>
      </w:r>
      <w:proofErr w:type="spellStart"/>
      <w:r w:rsidRPr="00241369">
        <w:t>spp</w:t>
      </w:r>
      <w:proofErr w:type="spellEnd"/>
      <w:r w:rsidRPr="00241369">
        <w:t xml:space="preserve">, </w:t>
      </w:r>
      <w:r w:rsidRPr="00241369">
        <w:rPr>
          <w:i/>
        </w:rPr>
        <w:t>Haemophilus</w:t>
      </w:r>
      <w:r w:rsidRPr="00241369">
        <w:t xml:space="preserve"> </w:t>
      </w:r>
      <w:proofErr w:type="spellStart"/>
      <w:r w:rsidRPr="00241369">
        <w:t>spp</w:t>
      </w:r>
      <w:proofErr w:type="spellEnd"/>
      <w:r w:rsidRPr="00241369">
        <w:t xml:space="preserve">, </w:t>
      </w:r>
      <w:proofErr w:type="spellStart"/>
      <w:r w:rsidRPr="00241369">
        <w:rPr>
          <w:i/>
        </w:rPr>
        <w:t>Dolosigranum</w:t>
      </w:r>
      <w:proofErr w:type="spellEnd"/>
      <w:r w:rsidRPr="00241369">
        <w:rPr>
          <w:i/>
        </w:rPr>
        <w:t xml:space="preserve"> </w:t>
      </w:r>
      <w:proofErr w:type="spellStart"/>
      <w:r w:rsidRPr="00241369">
        <w:t>spp</w:t>
      </w:r>
      <w:proofErr w:type="spellEnd"/>
      <w:r w:rsidRPr="00241369">
        <w:t xml:space="preserve"> as well as </w:t>
      </w:r>
      <w:r w:rsidRPr="00241369">
        <w:rPr>
          <w:i/>
        </w:rPr>
        <w:t>Moraxella</w:t>
      </w:r>
      <w:r w:rsidRPr="00241369">
        <w:t xml:space="preserve"> </w:t>
      </w:r>
      <w:proofErr w:type="spellStart"/>
      <w:r w:rsidRPr="00241369">
        <w:t>spp</w:t>
      </w:r>
      <w:proofErr w:type="spellEnd"/>
      <w:r w:rsidRPr="00241369">
        <w:t xml:space="preserve">, </w:t>
      </w:r>
      <w:r w:rsidRPr="00241369">
        <w:rPr>
          <w:i/>
        </w:rPr>
        <w:t>Staphylococcus</w:t>
      </w:r>
      <w:r w:rsidRPr="00241369">
        <w:t xml:space="preserve"> spp. and </w:t>
      </w:r>
      <w:r w:rsidRPr="00241369">
        <w:rPr>
          <w:i/>
        </w:rPr>
        <w:t>Corynebacterium</w:t>
      </w:r>
      <w:r w:rsidRPr="00241369">
        <w:t xml:space="preserve"> spp. </w:t>
      </w:r>
      <w:r w:rsidR="004D274E">
        <w:t xml:space="preserve">Some of these species including </w:t>
      </w:r>
      <w:r w:rsidR="004D274E" w:rsidRPr="003E1B44">
        <w:rPr>
          <w:i/>
        </w:rPr>
        <w:t>Corynebacterium</w:t>
      </w:r>
      <w:r w:rsidR="004D274E">
        <w:t xml:space="preserve"> are not </w:t>
      </w:r>
      <w:r w:rsidR="00EE1173">
        <w:t>generally associated with</w:t>
      </w:r>
      <w:r w:rsidR="004D274E">
        <w:t xml:space="preserve"> disease. Others</w:t>
      </w:r>
      <w:r>
        <w:t xml:space="preserve"> are important human pathogens </w:t>
      </w:r>
      <w:r w:rsidR="00A02058">
        <w:t>e.g.</w:t>
      </w:r>
      <w:r>
        <w:t xml:space="preserve"> </w:t>
      </w:r>
      <w:r w:rsidR="00A02058" w:rsidRPr="000D3734">
        <w:rPr>
          <w:i/>
        </w:rPr>
        <w:t>S</w:t>
      </w:r>
      <w:r w:rsidR="00A02058">
        <w:rPr>
          <w:i/>
        </w:rPr>
        <w:t>.</w:t>
      </w:r>
      <w:r w:rsidR="00A02058" w:rsidRPr="000D3734">
        <w:rPr>
          <w:i/>
        </w:rPr>
        <w:t xml:space="preserve"> </w:t>
      </w:r>
      <w:r>
        <w:rPr>
          <w:i/>
        </w:rPr>
        <w:t>pneumoniae,</w:t>
      </w:r>
      <w:r>
        <w:t xml:space="preserve"> yet the host may remain an asymptomatic carrier unless they become compromised</w:t>
      </w:r>
      <w:r w:rsidR="00A02058">
        <w:t xml:space="preserve"> in some way</w:t>
      </w:r>
      <w:r>
        <w:t>.</w:t>
      </w:r>
      <w:r w:rsidR="00634A34">
        <w:t xml:space="preserve"> This may </w:t>
      </w:r>
      <w:r w:rsidR="00A02058">
        <w:t>for exa</w:t>
      </w:r>
      <w:r w:rsidR="004D274E">
        <w:t xml:space="preserve">mple occur </w:t>
      </w:r>
      <w:r w:rsidR="00634A34">
        <w:t>during a viral upper respiratory tract infection</w:t>
      </w:r>
      <w:r w:rsidR="004D274E">
        <w:t>,</w:t>
      </w:r>
      <w:r w:rsidR="00634A34">
        <w:t xml:space="preserve"> when the respiratory epithelium is damaged and the bacterial load in the nasopharynx increases.</w:t>
      </w:r>
      <w:r>
        <w:t xml:space="preserve"> </w:t>
      </w:r>
      <w:r w:rsidR="005D46E7">
        <w:t>V</w:t>
      </w:r>
      <w:r w:rsidR="005D46E7" w:rsidRPr="00241369">
        <w:t xml:space="preserve">iruses such as human adenovirus and rhinovirus have been detected in the majority of healthy asymptomatic </w:t>
      </w:r>
      <w:r w:rsidR="005D46E7" w:rsidRPr="00DD2ED4">
        <w:t xml:space="preserve">children </w:t>
      </w:r>
      <w:r w:rsidR="005D46E7" w:rsidRPr="00DD2ED4">
        <w:fldChar w:fldCharType="begin"/>
      </w:r>
      <w:r w:rsidR="00EE22EB" w:rsidRPr="00DD2ED4">
        <w:instrText xml:space="preserve"> ADDIN EN.CITE &lt;EndNote&gt;&lt;Cite&gt;&lt;Author&gt;Man&lt;/Author&gt;&lt;Year&gt;2017&lt;/Year&gt;&lt;RecNum&gt;244&lt;/RecNum&gt;&lt;DisplayText&gt;(Man et al., 2017)&lt;/DisplayText&gt;&lt;record&gt;&lt;rec-number&gt;244&lt;/rec-number&gt;&lt;foreign-keys&gt;&lt;key app="EN" db-id="pr9rwt2w8padxcerwx6prd0a9wtda2w5fw2t" timestamp="1629731697"&gt;244&lt;/key&gt;&lt;/foreign-keys&gt;&lt;ref-type name="Journal Article"&gt;17&lt;/ref-type&gt;&lt;contributors&gt;&lt;authors&gt;&lt;author&gt;Man, W. H.&lt;/author&gt;&lt;author&gt;de Steenhuijsen Piters, W. A.&lt;/author&gt;&lt;author&gt;Bogaert, D.&lt;/author&gt;&lt;/authors&gt;&lt;/contributors&gt;&lt;auth-address&gt;Department of Pediatric Immunology and Infectious Diseases, Wilhelmina Children&amp;apos;s Hospital, University Medical Center Utrecht, Lundlaan 6, 3584 EA Utrecht, The Netherlands.&amp;#xD;Spaarne Gasthuis Academy, Spaarnepoort 1, 2134 TM, Hoofddorp, The Netherlands.&amp;#xD;The University of Edinburgh/MRC Centre for Inflammation Research, The Queen&amp;apos;s Medical Research Institute, 47 Little France Crescent, Edinburgh EH16 4TJ, UK.&lt;/auth-address&gt;&lt;titles&gt;&lt;title&gt;The microbiota of the respiratory tract: gatekeeper to respiratory health&lt;/title&gt;&lt;secondary-title&gt;Nat Rev Microbiol&lt;/secondary-title&gt;&lt;/titles&gt;&lt;periodical&gt;&lt;full-title&gt;Nat Rev Microbiol&lt;/full-title&gt;&lt;/periodical&gt;&lt;pages&gt;259-270&lt;/pages&gt;&lt;volume&gt;15&lt;/volume&gt;&lt;number&gt;5&lt;/number&gt;&lt;edition&gt;2017/03/21&lt;/edition&gt;&lt;keywords&gt;&lt;keyword&gt;Bacteria/genetics/*metabolism&lt;/keyword&gt;&lt;keyword&gt;Humans&lt;/keyword&gt;&lt;keyword&gt;*Microbiota/genetics/immunology/physiology&lt;/keyword&gt;&lt;keyword&gt;Respiratory System/immunology/*microbiology/*virology&lt;/keyword&gt;&lt;keyword&gt;Symbiosis&lt;/keyword&gt;&lt;/keywords&gt;&lt;dates&gt;&lt;year&gt;2017&lt;/year&gt;&lt;pub-dates&gt;&lt;date&gt;May&lt;/date&gt;&lt;/pub-dates&gt;&lt;/dates&gt;&lt;isbn&gt;1740-1526&lt;/isbn&gt;&lt;accession-num&gt;28316330&lt;/accession-num&gt;&lt;urls&gt;&lt;/urls&gt;&lt;electronic-resource-num&gt;10.1038/nrmicro.2017.14&lt;/electronic-resource-num&gt;&lt;remote-database-provider&gt;NLM&lt;/remote-database-provider&gt;&lt;language&gt;eng&lt;/language&gt;&lt;/record&gt;&lt;/Cite&gt;&lt;/EndNote&gt;</w:instrText>
      </w:r>
      <w:r w:rsidR="005D46E7" w:rsidRPr="00DD2ED4">
        <w:fldChar w:fldCharType="separate"/>
      </w:r>
      <w:r w:rsidR="00EE22EB" w:rsidRPr="00DD2ED4">
        <w:rPr>
          <w:noProof/>
        </w:rPr>
        <w:t>(Man et al., 2017)</w:t>
      </w:r>
      <w:r w:rsidR="005D46E7" w:rsidRPr="00DD2ED4">
        <w:fldChar w:fldCharType="end"/>
      </w:r>
      <w:r w:rsidR="005D46E7" w:rsidRPr="00DD2ED4">
        <w:t xml:space="preserve">. </w:t>
      </w:r>
    </w:p>
    <w:p w14:paraId="630DCD53" w14:textId="7BA5FE38" w:rsidR="005D46E7" w:rsidRPr="00DD2ED4" w:rsidRDefault="004C3DFA" w:rsidP="00F27D1E">
      <w:pPr>
        <w:pStyle w:val="CommentText"/>
        <w:spacing w:line="360" w:lineRule="auto"/>
        <w:rPr>
          <w:rFonts w:ascii="Times New Roman" w:hAnsi="Times New Roman" w:cs="Times New Roman"/>
          <w:sz w:val="24"/>
          <w:szCs w:val="24"/>
        </w:rPr>
      </w:pPr>
      <w:r w:rsidRPr="00DD2ED4">
        <w:rPr>
          <w:rFonts w:ascii="Times New Roman" w:hAnsi="Times New Roman" w:cs="Times New Roman"/>
          <w:i/>
          <w:sz w:val="24"/>
          <w:szCs w:val="24"/>
        </w:rPr>
        <w:t>S. pneumoniae</w:t>
      </w:r>
      <w:r w:rsidRPr="00DD2ED4">
        <w:rPr>
          <w:rFonts w:ascii="Times New Roman" w:hAnsi="Times New Roman" w:cs="Times New Roman"/>
          <w:sz w:val="24"/>
          <w:szCs w:val="24"/>
        </w:rPr>
        <w:t xml:space="preserve"> frequently colonises the nasopharynx</w:t>
      </w:r>
      <w:r w:rsidR="00450ADB">
        <w:rPr>
          <w:rFonts w:ascii="Times New Roman" w:hAnsi="Times New Roman" w:cs="Times New Roman"/>
          <w:sz w:val="24"/>
          <w:szCs w:val="24"/>
        </w:rPr>
        <w:t xml:space="preserve"> in children</w:t>
      </w:r>
      <w:r w:rsidRPr="00DD2ED4">
        <w:rPr>
          <w:rFonts w:ascii="Times New Roman" w:hAnsi="Times New Roman" w:cs="Times New Roman"/>
          <w:sz w:val="24"/>
          <w:szCs w:val="24"/>
        </w:rPr>
        <w:t xml:space="preserve">. </w:t>
      </w:r>
      <w:r w:rsidR="002254A5" w:rsidRPr="00DD2ED4">
        <w:rPr>
          <w:rFonts w:ascii="Times New Roman" w:hAnsi="Times New Roman" w:cs="Times New Roman"/>
          <w:sz w:val="24"/>
          <w:szCs w:val="24"/>
        </w:rPr>
        <w:t>Many remain asymptomatic yet c</w:t>
      </w:r>
      <w:r w:rsidRPr="00DD2ED4">
        <w:rPr>
          <w:rFonts w:ascii="Times New Roman" w:hAnsi="Times New Roman" w:cs="Times New Roman"/>
          <w:sz w:val="24"/>
          <w:szCs w:val="24"/>
        </w:rPr>
        <w:t xml:space="preserve">olonisation is a prerequisite for invasive pneumococcal disease with the local host immune response playing an important regulatory role in controlling carriage </w:t>
      </w:r>
      <w:r w:rsidRPr="00DD2ED4">
        <w:rPr>
          <w:rFonts w:ascii="Times New Roman" w:hAnsi="Times New Roman" w:cs="Times New Roman"/>
          <w:sz w:val="24"/>
          <w:szCs w:val="24"/>
        </w:rPr>
        <w:fldChar w:fldCharType="begin"/>
      </w:r>
      <w:r w:rsidR="00EE22EB" w:rsidRPr="00DD2ED4">
        <w:rPr>
          <w:rFonts w:ascii="Times New Roman" w:hAnsi="Times New Roman" w:cs="Times New Roman"/>
          <w:sz w:val="24"/>
          <w:szCs w:val="24"/>
        </w:rPr>
        <w:instrText xml:space="preserve"> ADDIN EN.CITE &lt;EndNote&gt;&lt;Cite&gt;&lt;Author&gt;Bogaert&lt;/Author&gt;&lt;Year&gt;2004&lt;/Year&gt;&lt;RecNum&gt;354&lt;/RecNum&gt;&lt;DisplayText&gt;(Bogaert et al., 2004a)&lt;/DisplayText&gt;&lt;record&gt;&lt;rec-number&gt;354&lt;/rec-number&gt;&lt;foreign-keys&gt;&lt;key app="EN" db-id="pr9rwt2w8padxcerwx6prd0a9wtda2w5fw2t" timestamp="1629805859"&gt;354&lt;/key&gt;&lt;/foreign-keys&gt;&lt;ref-type name="Journal Article"&gt;17&lt;/ref-type&gt;&lt;contributors&gt;&lt;authors&gt;&lt;author&gt;Bogaert, D.&lt;/author&gt;&lt;author&gt;De Groot, R.&lt;/author&gt;&lt;author&gt;Hermans, P. W.&lt;/author&gt;&lt;/authors&gt;&lt;/contributors&gt;&lt;auth-address&gt;Laboratory of Paediatrics, Erasmus MC-Sophia, Rotterdam, Netherlands.&lt;/auth-address&gt;&lt;titles&gt;&lt;title&gt;Streptococcus pneumoniae colonisation: the key to pneumococcal disease&lt;/title&gt;&lt;secondary-title&gt;Lancet Infect Dis&lt;/secondary-title&gt;&lt;/titles&gt;&lt;periodical&gt;&lt;full-title&gt;Lancet Infect Dis&lt;/full-title&gt;&lt;/periodical&gt;&lt;pages&gt;144-54&lt;/pages&gt;&lt;volume&gt;4&lt;/volume&gt;&lt;number&gt;3&lt;/number&gt;&lt;edition&gt;2004/03/05&lt;/edition&gt;&lt;keywords&gt;&lt;keyword&gt;Adolescent&lt;/keyword&gt;&lt;keyword&gt;Adult&lt;/keyword&gt;&lt;keyword&gt;Bacterial Adhesion/drug effects/physiology&lt;/keyword&gt;&lt;keyword&gt;Carrier State/drug therapy/microbiology/*prevention &amp;amp; control&lt;/keyword&gt;&lt;keyword&gt;Child&lt;/keyword&gt;&lt;keyword&gt;Child, Preschool&lt;/keyword&gt;&lt;keyword&gt;Female&lt;/keyword&gt;&lt;keyword&gt;Humans&lt;/keyword&gt;&lt;keyword&gt;Infant&lt;/keyword&gt;&lt;keyword&gt;Infant, Newborn&lt;/keyword&gt;&lt;keyword&gt;Male&lt;/keyword&gt;&lt;keyword&gt;Nasopharynx/microbiology&lt;/keyword&gt;&lt;keyword&gt;Penicillin Resistance&lt;/keyword&gt;&lt;keyword&gt;Pneumococcal Infections/drug therapy/microbiology/*prevention &amp;amp; control&lt;/keyword&gt;&lt;keyword&gt;*Pneumococcal Vaccines&lt;/keyword&gt;&lt;keyword&gt;Streptococcus pneumoniae/growth &amp;amp; development/pathogenicity/*physiology&lt;/keyword&gt;&lt;keyword&gt;Vaccines, Conjugate&lt;/keyword&gt;&lt;/keywords&gt;&lt;dates&gt;&lt;year&gt;2004&lt;/year&gt;&lt;pub-dates&gt;&lt;date&gt;Mar&lt;/date&gt;&lt;/pub-dates&gt;&lt;/dates&gt;&lt;isbn&gt;1473-3099 (Print)&amp;#xD;1473-3099&lt;/isbn&gt;&lt;accession-num&gt;14998500&lt;/accession-num&gt;&lt;urls&gt;&lt;/urls&gt;&lt;electronic-resource-num&gt;10.1016/s1473-3099(04)00938-7&lt;/electronic-resource-num&gt;&lt;remote-database-provider&gt;NLM&lt;/remote-database-provider&gt;&lt;language&gt;eng&lt;/language&gt;&lt;/record&gt;&lt;/Cite&gt;&lt;/EndNote&gt;</w:instrText>
      </w:r>
      <w:r w:rsidRPr="00DD2ED4">
        <w:rPr>
          <w:rFonts w:ascii="Times New Roman" w:hAnsi="Times New Roman" w:cs="Times New Roman"/>
          <w:sz w:val="24"/>
          <w:szCs w:val="24"/>
        </w:rPr>
        <w:fldChar w:fldCharType="separate"/>
      </w:r>
      <w:r w:rsidR="00EE22EB" w:rsidRPr="00DD2ED4">
        <w:rPr>
          <w:rFonts w:ascii="Times New Roman" w:hAnsi="Times New Roman" w:cs="Times New Roman"/>
          <w:noProof/>
          <w:sz w:val="24"/>
          <w:szCs w:val="24"/>
        </w:rPr>
        <w:t>(Bogaert et al., 2004a)</w:t>
      </w:r>
      <w:r w:rsidRPr="00DD2ED4">
        <w:rPr>
          <w:rFonts w:ascii="Times New Roman" w:hAnsi="Times New Roman" w:cs="Times New Roman"/>
          <w:sz w:val="24"/>
          <w:szCs w:val="24"/>
        </w:rPr>
        <w:fldChar w:fldCharType="end"/>
      </w:r>
      <w:r w:rsidRPr="00DD2ED4">
        <w:rPr>
          <w:rFonts w:ascii="Times New Roman" w:hAnsi="Times New Roman" w:cs="Times New Roman"/>
          <w:sz w:val="24"/>
          <w:szCs w:val="24"/>
        </w:rPr>
        <w:t xml:space="preserve">. </w:t>
      </w:r>
      <w:r w:rsidR="004D274E" w:rsidRPr="00DD2ED4">
        <w:rPr>
          <w:rFonts w:ascii="Times New Roman" w:hAnsi="Times New Roman" w:cs="Times New Roman"/>
          <w:sz w:val="24"/>
          <w:szCs w:val="24"/>
        </w:rPr>
        <w:t>The composition of the nasopharyngeal micr</w:t>
      </w:r>
      <w:r w:rsidR="00616585" w:rsidRPr="00DD2ED4">
        <w:rPr>
          <w:rFonts w:ascii="Times New Roman" w:hAnsi="Times New Roman" w:cs="Times New Roman"/>
          <w:sz w:val="24"/>
          <w:szCs w:val="24"/>
        </w:rPr>
        <w:t>o</w:t>
      </w:r>
      <w:r w:rsidR="004D274E" w:rsidRPr="00DD2ED4">
        <w:rPr>
          <w:rFonts w:ascii="Times New Roman" w:hAnsi="Times New Roman" w:cs="Times New Roman"/>
          <w:sz w:val="24"/>
          <w:szCs w:val="24"/>
        </w:rPr>
        <w:t xml:space="preserve">biome varied between healthy children and those with invasive pneumococcal disease </w:t>
      </w:r>
      <w:r w:rsidR="00616585" w:rsidRPr="00DD2ED4">
        <w:rPr>
          <w:rFonts w:ascii="Times New Roman" w:hAnsi="Times New Roman" w:cs="Times New Roman"/>
          <w:sz w:val="24"/>
          <w:szCs w:val="24"/>
        </w:rPr>
        <w:fldChar w:fldCharType="begin"/>
      </w:r>
      <w:r w:rsidR="00EE22EB" w:rsidRPr="00DD2ED4">
        <w:rPr>
          <w:rFonts w:ascii="Times New Roman" w:hAnsi="Times New Roman" w:cs="Times New Roman"/>
          <w:sz w:val="24"/>
          <w:szCs w:val="24"/>
        </w:rPr>
        <w:instrText xml:space="preserve"> ADDIN EN.CITE &lt;EndNote&gt;&lt;Cite&gt;&lt;Author&gt;Camelo-Castillo&lt;/Author&gt;&lt;Year&gt;2019&lt;/Year&gt;&lt;RecNum&gt;514&lt;/RecNum&gt;&lt;DisplayText&gt;(Camelo-Castillo et al., 2019)&lt;/DisplayText&gt;&lt;record&gt;&lt;rec-number&gt;514&lt;/rec-number&gt;&lt;foreign-keys&gt;&lt;key app="EN" db-id="pr9rwt2w8padxcerwx6prd0a9wtda2w5fw2t" timestamp="1656409433"&gt;514&lt;/key&gt;&lt;/foreign-keys&gt;&lt;ref-type name="Journal Article"&gt;17&lt;/ref-type&gt;&lt;contributors&gt;&lt;authors&gt;&lt;author&gt;Camelo-Castillo, A.&lt;/author&gt;&lt;author&gt;Henares, D.&lt;/author&gt;&lt;author&gt;Brotons, P.&lt;/author&gt;&lt;author&gt;Galiana, A.&lt;/author&gt;&lt;author&gt;Rodríguez, J. C.&lt;/author&gt;&lt;author&gt;Mira, A.&lt;/author&gt;&lt;author&gt;Muñoz-Almagro, C.&lt;/author&gt;&lt;/authors&gt;&lt;/contributors&gt;&lt;auth-address&gt;Institut de Recerca Sant Joan de Déu, Hospital Sant Joan de Déu, Barcelona, Spain.&amp;#xD;Network of Epidemiology and Public Health, CIBERESP, Barcelona, Spain.&amp;#xD;Department of Microbiology, Hospital de Alicante, Alicante, Spain.&amp;#xD;Center for Advanced Research in Public Health, FISABIO Foundation, Valencia, Spain.&amp;#xD;School of Medicine, Universitat Internacional de Catalunya, Barcelona, Spain.&lt;/auth-address&gt;&lt;titles&gt;&lt;title&gt;Nasopharyngeal Microbiota in Children With Invasive Pneumococcal Disease: Identification of Bacteria With Potential Disease-Promoting and Protective Effects&lt;/title&gt;&lt;secondary-title&gt;Front Microbiol&lt;/secondary-title&gt;&lt;/titles&gt;&lt;periodical&gt;&lt;full-title&gt;Front Microbiol&lt;/full-title&gt;&lt;/periodical&gt;&lt;pages&gt;11&lt;/pages&gt;&lt;volume&gt;10&lt;/volume&gt;&lt;edition&gt;2019/02/13&lt;/edition&gt;&lt;keywords&gt;&lt;keyword&gt;Dolosigranulum&lt;/keyword&gt;&lt;keyword&gt;Streptococcus pneumoniae&lt;/keyword&gt;&lt;keyword&gt;children&lt;/keyword&gt;&lt;keyword&gt;invasive pneumococcal disease&lt;/keyword&gt;&lt;keyword&gt;nasopharyngeal microbiota&lt;/keyword&gt;&lt;/keywords&gt;&lt;dates&gt;&lt;year&gt;2019&lt;/year&gt;&lt;/dates&gt;&lt;isbn&gt;1664-302X (Print)&amp;#xD;1664-302x&lt;/isbn&gt;&lt;accession-num&gt;30745895&lt;/accession-num&gt;&lt;urls&gt;&lt;/urls&gt;&lt;custom2&gt;PMC6360994&lt;/custom2&gt;&lt;electronic-resource-num&gt;10.3389/fmicb.2019.00011&lt;/electronic-resource-num&gt;&lt;remote-database-provider&gt;NLM&lt;/remote-database-provider&gt;&lt;language&gt;eng&lt;/language&gt;&lt;/record&gt;&lt;/Cite&gt;&lt;/EndNote&gt;</w:instrText>
      </w:r>
      <w:r w:rsidR="00616585" w:rsidRPr="00DD2ED4">
        <w:rPr>
          <w:rFonts w:ascii="Times New Roman" w:hAnsi="Times New Roman" w:cs="Times New Roman"/>
          <w:sz w:val="24"/>
          <w:szCs w:val="24"/>
        </w:rPr>
        <w:fldChar w:fldCharType="separate"/>
      </w:r>
      <w:r w:rsidR="00EE22EB" w:rsidRPr="00DD2ED4">
        <w:rPr>
          <w:rFonts w:ascii="Times New Roman" w:hAnsi="Times New Roman" w:cs="Times New Roman"/>
          <w:noProof/>
          <w:sz w:val="24"/>
          <w:szCs w:val="24"/>
        </w:rPr>
        <w:t>(Camelo-Castillo et al., 2019)</w:t>
      </w:r>
      <w:r w:rsidR="00616585" w:rsidRPr="00DD2ED4">
        <w:rPr>
          <w:rFonts w:ascii="Times New Roman" w:hAnsi="Times New Roman" w:cs="Times New Roman"/>
          <w:sz w:val="24"/>
          <w:szCs w:val="24"/>
        </w:rPr>
        <w:fldChar w:fldCharType="end"/>
      </w:r>
      <w:r w:rsidR="001D06E1">
        <w:rPr>
          <w:rFonts w:ascii="Times New Roman" w:hAnsi="Times New Roman" w:cs="Times New Roman"/>
          <w:sz w:val="24"/>
          <w:szCs w:val="24"/>
        </w:rPr>
        <w:t xml:space="preserve">. A potential antagonistic effect was found of </w:t>
      </w:r>
      <w:proofErr w:type="spellStart"/>
      <w:r w:rsidR="004D274E" w:rsidRPr="00DD2ED4">
        <w:rPr>
          <w:rFonts w:ascii="Times New Roman" w:hAnsi="Times New Roman" w:cs="Times New Roman"/>
          <w:i/>
          <w:iCs/>
          <w:sz w:val="24"/>
          <w:szCs w:val="24"/>
        </w:rPr>
        <w:t>Dolosigranulum</w:t>
      </w:r>
      <w:proofErr w:type="spellEnd"/>
      <w:r w:rsidR="004D274E" w:rsidRPr="00DD2ED4">
        <w:rPr>
          <w:rFonts w:ascii="Times New Roman" w:hAnsi="Times New Roman" w:cs="Times New Roman"/>
          <w:sz w:val="24"/>
          <w:szCs w:val="24"/>
        </w:rPr>
        <w:t xml:space="preserve"> against </w:t>
      </w:r>
      <w:r w:rsidR="001D06E1" w:rsidRPr="001D06E1">
        <w:rPr>
          <w:rFonts w:ascii="Times New Roman" w:hAnsi="Times New Roman" w:cs="Times New Roman"/>
          <w:i/>
          <w:iCs/>
          <w:sz w:val="24"/>
          <w:szCs w:val="24"/>
        </w:rPr>
        <w:t>Pneumococcus</w:t>
      </w:r>
      <w:r w:rsidR="004D274E" w:rsidRPr="00DD2ED4">
        <w:rPr>
          <w:rFonts w:ascii="Times New Roman" w:hAnsi="Times New Roman" w:cs="Times New Roman"/>
          <w:sz w:val="24"/>
          <w:szCs w:val="24"/>
        </w:rPr>
        <w:t>.</w:t>
      </w:r>
      <w:r w:rsidR="005D46E7" w:rsidRPr="00DD2ED4">
        <w:rPr>
          <w:rFonts w:ascii="Times New Roman" w:hAnsi="Times New Roman" w:cs="Times New Roman"/>
          <w:sz w:val="24"/>
          <w:szCs w:val="24"/>
        </w:rPr>
        <w:t xml:space="preserve"> </w:t>
      </w:r>
    </w:p>
    <w:p w14:paraId="481B79A3" w14:textId="19827C94" w:rsidR="004C3DFA" w:rsidRPr="00DD2ED4" w:rsidRDefault="005D46E7" w:rsidP="00DD2ED4">
      <w:pPr>
        <w:pStyle w:val="CommentText"/>
        <w:spacing w:line="360" w:lineRule="auto"/>
        <w:rPr>
          <w:rFonts w:ascii="Times New Roman" w:hAnsi="Times New Roman" w:cs="Times New Roman"/>
          <w:sz w:val="24"/>
          <w:szCs w:val="24"/>
        </w:rPr>
      </w:pPr>
      <w:r w:rsidRPr="00DD2ED4">
        <w:rPr>
          <w:rFonts w:ascii="Times New Roman" w:hAnsi="Times New Roman" w:cs="Times New Roman"/>
          <w:sz w:val="24"/>
          <w:szCs w:val="24"/>
        </w:rPr>
        <w:t xml:space="preserve">The microbiome may influence or be influenced by a more diverse range of respiratory infections. </w:t>
      </w:r>
      <w:r w:rsidR="009605F8">
        <w:rPr>
          <w:rFonts w:ascii="Times New Roman" w:hAnsi="Times New Roman" w:cs="Times New Roman"/>
          <w:sz w:val="24"/>
          <w:szCs w:val="24"/>
        </w:rPr>
        <w:t xml:space="preserve">An abundance of </w:t>
      </w:r>
      <w:r w:rsidRPr="00DD2ED4">
        <w:rPr>
          <w:rFonts w:ascii="Times New Roman" w:hAnsi="Times New Roman" w:cs="Times New Roman"/>
          <w:i/>
          <w:sz w:val="24"/>
          <w:szCs w:val="24"/>
        </w:rPr>
        <w:t>Haemophilus spp.</w:t>
      </w:r>
      <w:r w:rsidRPr="00DD2ED4">
        <w:rPr>
          <w:rFonts w:ascii="Times New Roman" w:hAnsi="Times New Roman" w:cs="Times New Roman"/>
          <w:sz w:val="24"/>
          <w:szCs w:val="24"/>
        </w:rPr>
        <w:t xml:space="preserve"> and </w:t>
      </w:r>
      <w:r w:rsidRPr="00DD2ED4">
        <w:rPr>
          <w:rFonts w:ascii="Times New Roman" w:hAnsi="Times New Roman" w:cs="Times New Roman"/>
          <w:i/>
          <w:sz w:val="24"/>
          <w:szCs w:val="24"/>
        </w:rPr>
        <w:t>S. pneumoniae</w:t>
      </w:r>
      <w:r w:rsidRPr="00DD2ED4">
        <w:rPr>
          <w:rFonts w:ascii="Times New Roman" w:hAnsi="Times New Roman" w:cs="Times New Roman"/>
          <w:sz w:val="24"/>
          <w:szCs w:val="24"/>
        </w:rPr>
        <w:t xml:space="preserve"> in the nasopharynx </w:t>
      </w:r>
      <w:r w:rsidR="009605F8">
        <w:rPr>
          <w:rFonts w:ascii="Times New Roman" w:hAnsi="Times New Roman" w:cs="Times New Roman"/>
          <w:sz w:val="24"/>
          <w:szCs w:val="24"/>
        </w:rPr>
        <w:t>and fewer potentially beneficial bacteria (</w:t>
      </w:r>
      <w:r w:rsidR="009605F8" w:rsidRPr="00DD2ED4">
        <w:rPr>
          <w:rFonts w:ascii="Times New Roman" w:hAnsi="Times New Roman" w:cs="Times New Roman"/>
          <w:i/>
          <w:sz w:val="24"/>
          <w:szCs w:val="24"/>
        </w:rPr>
        <w:t xml:space="preserve">Corynebacterium, </w:t>
      </w:r>
      <w:proofErr w:type="spellStart"/>
      <w:r w:rsidR="009605F8" w:rsidRPr="00DD2ED4">
        <w:rPr>
          <w:rFonts w:ascii="Times New Roman" w:hAnsi="Times New Roman" w:cs="Times New Roman"/>
          <w:i/>
          <w:sz w:val="24"/>
          <w:szCs w:val="24"/>
        </w:rPr>
        <w:t>Dolosigranulum</w:t>
      </w:r>
      <w:proofErr w:type="spellEnd"/>
      <w:r w:rsidR="009605F8" w:rsidRPr="00DD2ED4">
        <w:rPr>
          <w:rFonts w:ascii="Times New Roman" w:hAnsi="Times New Roman" w:cs="Times New Roman"/>
          <w:i/>
          <w:sz w:val="24"/>
          <w:szCs w:val="24"/>
        </w:rPr>
        <w:t>, Moraxella</w:t>
      </w:r>
      <w:r w:rsidR="009605F8" w:rsidRPr="00DD2ED4">
        <w:rPr>
          <w:rFonts w:ascii="Times New Roman" w:hAnsi="Times New Roman" w:cs="Times New Roman"/>
          <w:sz w:val="24"/>
          <w:szCs w:val="24"/>
        </w:rPr>
        <w:t xml:space="preserve"> and </w:t>
      </w:r>
      <w:proofErr w:type="spellStart"/>
      <w:r w:rsidR="009605F8" w:rsidRPr="00DD2ED4">
        <w:rPr>
          <w:rFonts w:ascii="Times New Roman" w:hAnsi="Times New Roman" w:cs="Times New Roman"/>
          <w:i/>
          <w:sz w:val="24"/>
          <w:szCs w:val="24"/>
        </w:rPr>
        <w:t>Helococcus</w:t>
      </w:r>
      <w:proofErr w:type="spellEnd"/>
      <w:r w:rsidR="009605F8">
        <w:rPr>
          <w:rFonts w:ascii="Times New Roman" w:hAnsi="Times New Roman" w:cs="Times New Roman"/>
          <w:i/>
          <w:sz w:val="24"/>
          <w:szCs w:val="24"/>
        </w:rPr>
        <w:t>)</w:t>
      </w:r>
      <w:r w:rsidR="009605F8">
        <w:rPr>
          <w:rFonts w:ascii="Times New Roman" w:hAnsi="Times New Roman" w:cs="Times New Roman"/>
          <w:sz w:val="24"/>
          <w:szCs w:val="24"/>
        </w:rPr>
        <w:t xml:space="preserve"> were</w:t>
      </w:r>
      <w:r w:rsidRPr="00DD2ED4">
        <w:rPr>
          <w:rFonts w:ascii="Times New Roman" w:hAnsi="Times New Roman" w:cs="Times New Roman"/>
          <w:sz w:val="24"/>
          <w:szCs w:val="24"/>
        </w:rPr>
        <w:t xml:space="preserve"> associated with </w:t>
      </w:r>
      <w:r w:rsidR="009605F8">
        <w:rPr>
          <w:rFonts w:ascii="Times New Roman" w:hAnsi="Times New Roman" w:cs="Times New Roman"/>
          <w:sz w:val="24"/>
          <w:szCs w:val="24"/>
        </w:rPr>
        <w:t xml:space="preserve">children admitted to PICU with LRTIs compared to healthy controls </w:t>
      </w:r>
      <w:r w:rsidRPr="00DD2ED4">
        <w:rPr>
          <w:rFonts w:ascii="Times New Roman" w:hAnsi="Times New Roman" w:cs="Times New Roman"/>
          <w:sz w:val="24"/>
          <w:szCs w:val="24"/>
        </w:rPr>
        <w:fldChar w:fldCharType="begin">
          <w:fldData xml:space="preserve">PEVuZE5vdGU+PENpdGU+PEF1dGhvcj5NYW48L0F1dGhvcj48WWVhcj4yMDE5PC9ZZWFyPjxSZWNO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</w:fldData>
        </w:fldChar>
      </w:r>
      <w:r w:rsidR="00EE22EB" w:rsidRPr="00DD2ED4">
        <w:rPr>
          <w:rFonts w:ascii="Times New Roman" w:hAnsi="Times New Roman" w:cs="Times New Roman"/>
          <w:sz w:val="24"/>
          <w:szCs w:val="24"/>
        </w:rPr>
        <w:instrText xml:space="preserve"> ADDIN EN.CITE </w:instrText>
      </w:r>
      <w:r w:rsidR="00EE22EB" w:rsidRPr="00DD2ED4">
        <w:rPr>
          <w:rFonts w:ascii="Times New Roman" w:hAnsi="Times New Roman" w:cs="Times New Roman"/>
          <w:sz w:val="24"/>
          <w:szCs w:val="24"/>
        </w:rPr>
        <w:fldChar w:fldCharType="begin">
          <w:fldData xml:space="preserve">PEVuZE5vdGU+PENpdGU+PEF1dGhvcj5NYW48L0F1dGhvcj48WWVhcj4yMDE5PC9ZZWFyPjxSZWNO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</w:fldData>
        </w:fldChar>
      </w:r>
      <w:r w:rsidR="00EE22EB" w:rsidRPr="00DD2ED4">
        <w:rPr>
          <w:rFonts w:ascii="Times New Roman" w:hAnsi="Times New Roman" w:cs="Times New Roman"/>
          <w:sz w:val="24"/>
          <w:szCs w:val="24"/>
        </w:rPr>
        <w:instrText xml:space="preserve"> ADDIN EN.CITE.DATA </w:instrText>
      </w:r>
      <w:r w:rsidR="00EE22EB" w:rsidRPr="00DD2ED4">
        <w:rPr>
          <w:rFonts w:ascii="Times New Roman" w:hAnsi="Times New Roman" w:cs="Times New Roman"/>
          <w:sz w:val="24"/>
          <w:szCs w:val="24"/>
        </w:rPr>
      </w:r>
      <w:r w:rsidR="00EE22EB" w:rsidRPr="00DD2ED4">
        <w:rPr>
          <w:rFonts w:ascii="Times New Roman" w:hAnsi="Times New Roman" w:cs="Times New Roman"/>
          <w:sz w:val="24"/>
          <w:szCs w:val="24"/>
        </w:rPr>
        <w:fldChar w:fldCharType="end"/>
      </w:r>
      <w:r w:rsidRPr="00DD2ED4">
        <w:rPr>
          <w:rFonts w:ascii="Times New Roman" w:hAnsi="Times New Roman" w:cs="Times New Roman"/>
          <w:sz w:val="24"/>
          <w:szCs w:val="24"/>
        </w:rPr>
      </w:r>
      <w:r w:rsidRPr="00DD2ED4">
        <w:rPr>
          <w:rFonts w:ascii="Times New Roman" w:hAnsi="Times New Roman" w:cs="Times New Roman"/>
          <w:sz w:val="24"/>
          <w:szCs w:val="24"/>
        </w:rPr>
        <w:fldChar w:fldCharType="separate"/>
      </w:r>
      <w:r w:rsidR="00EE22EB" w:rsidRPr="00DD2ED4">
        <w:rPr>
          <w:rFonts w:ascii="Times New Roman" w:hAnsi="Times New Roman" w:cs="Times New Roman"/>
          <w:noProof/>
          <w:sz w:val="24"/>
          <w:szCs w:val="24"/>
        </w:rPr>
        <w:t>(Man et al., 2019)</w:t>
      </w:r>
      <w:r w:rsidRPr="00DD2ED4">
        <w:rPr>
          <w:rFonts w:ascii="Times New Roman" w:hAnsi="Times New Roman" w:cs="Times New Roman"/>
          <w:sz w:val="24"/>
          <w:szCs w:val="24"/>
        </w:rPr>
        <w:fldChar w:fldCharType="end"/>
      </w:r>
      <w:r w:rsidRPr="00DD2ED4">
        <w:rPr>
          <w:rFonts w:ascii="Times New Roman" w:hAnsi="Times New Roman" w:cs="Times New Roman"/>
          <w:sz w:val="24"/>
          <w:szCs w:val="24"/>
        </w:rPr>
        <w:t>.</w:t>
      </w:r>
      <w:r w:rsidR="009605F8" w:rsidRPr="009605F8">
        <w:rPr>
          <w:rFonts w:ascii="Times New Roman" w:hAnsi="Times New Roman" w:cs="Times New Roman"/>
          <w:sz w:val="24"/>
          <w:szCs w:val="24"/>
        </w:rPr>
        <w:t xml:space="preserve"> </w:t>
      </w:r>
      <w:r w:rsidR="009605F8">
        <w:rPr>
          <w:rFonts w:ascii="Times New Roman" w:hAnsi="Times New Roman" w:cs="Times New Roman"/>
          <w:sz w:val="24"/>
          <w:szCs w:val="24"/>
        </w:rPr>
        <w:t xml:space="preserve">This </w:t>
      </w:r>
      <w:r w:rsidR="009605F8" w:rsidRPr="00DD2ED4">
        <w:rPr>
          <w:rFonts w:ascii="Times New Roman" w:hAnsi="Times New Roman" w:cs="Times New Roman"/>
          <w:sz w:val="24"/>
          <w:szCs w:val="24"/>
        </w:rPr>
        <w:t>suggest</w:t>
      </w:r>
      <w:r w:rsidR="009605F8">
        <w:rPr>
          <w:rFonts w:ascii="Times New Roman" w:hAnsi="Times New Roman" w:cs="Times New Roman"/>
          <w:sz w:val="24"/>
          <w:szCs w:val="24"/>
        </w:rPr>
        <w:t>s</w:t>
      </w:r>
      <w:r w:rsidR="009605F8" w:rsidRPr="00DD2ED4">
        <w:rPr>
          <w:rFonts w:ascii="Times New Roman" w:hAnsi="Times New Roman" w:cs="Times New Roman"/>
          <w:sz w:val="24"/>
          <w:szCs w:val="24"/>
        </w:rPr>
        <w:t xml:space="preserve"> these children had or developed a reduced resistance to </w:t>
      </w:r>
      <w:r w:rsidR="00A4214E">
        <w:rPr>
          <w:rFonts w:ascii="Times New Roman" w:hAnsi="Times New Roman" w:cs="Times New Roman"/>
          <w:sz w:val="24"/>
          <w:szCs w:val="24"/>
        </w:rPr>
        <w:t xml:space="preserve">pathogenic bacterial </w:t>
      </w:r>
      <w:r w:rsidR="009605F8" w:rsidRPr="00DD2ED4">
        <w:rPr>
          <w:rFonts w:ascii="Times New Roman" w:hAnsi="Times New Roman" w:cs="Times New Roman"/>
          <w:sz w:val="24"/>
          <w:szCs w:val="24"/>
        </w:rPr>
        <w:t>overgrowth</w:t>
      </w:r>
      <w:r w:rsidR="00A4214E">
        <w:rPr>
          <w:rFonts w:ascii="Times New Roman" w:hAnsi="Times New Roman" w:cs="Times New Roman"/>
          <w:sz w:val="24"/>
          <w:szCs w:val="24"/>
        </w:rPr>
        <w:t>.</w:t>
      </w:r>
    </w:p>
    <w:p w14:paraId="19E02241" w14:textId="2D6C4A58" w:rsidR="000A41BE" w:rsidRPr="00DD2ED4" w:rsidRDefault="0021060C" w:rsidP="00DD2ED4">
      <w:pPr>
        <w:spacing w:after="160" w:line="360" w:lineRule="auto"/>
      </w:pPr>
      <w:r w:rsidRPr="00DD2ED4">
        <w:t xml:space="preserve">Additionally, the airway microbiota </w:t>
      </w:r>
      <w:r w:rsidR="005D47F2" w:rsidRPr="00DD2ED4">
        <w:t xml:space="preserve">may </w:t>
      </w:r>
      <w:r w:rsidRPr="00DD2ED4">
        <w:t xml:space="preserve">play a role in the development </w:t>
      </w:r>
      <w:r w:rsidR="008905E1" w:rsidRPr="00DD2ED4">
        <w:t xml:space="preserve">or progression </w:t>
      </w:r>
      <w:r w:rsidRPr="00DD2ED4">
        <w:t>of chronic conditions such as asthma. A persistent ‘</w:t>
      </w:r>
      <w:r w:rsidRPr="00DD2ED4">
        <w:rPr>
          <w:i/>
          <w:iCs/>
        </w:rPr>
        <w:t>Moraxella</w:t>
      </w:r>
      <w:r w:rsidRPr="00DD2ED4">
        <w:t xml:space="preserve"> sparsity’ </w:t>
      </w:r>
      <w:r w:rsidR="00907F20" w:rsidRPr="00DD2ED4">
        <w:t xml:space="preserve">nasal microbiota </w:t>
      </w:r>
      <w:r w:rsidRPr="00DD2ED4">
        <w:t>profile, compared to a persistent ‘</w:t>
      </w:r>
      <w:r w:rsidRPr="00DD2ED4">
        <w:rPr>
          <w:i/>
          <w:iCs/>
        </w:rPr>
        <w:t>Moraxella</w:t>
      </w:r>
      <w:r w:rsidRPr="00DD2ED4">
        <w:t xml:space="preserve"> dominance’ profile during the ages 2-13 months, has been associated with a significantly higher risk of developing asthma (adjusted odds ratio 2.74; 95%CI 1.20-6.27) </w:t>
      </w:r>
      <w:r w:rsidRPr="00DD2ED4">
        <w:fldChar w:fldCharType="begin"/>
      </w:r>
      <w:r w:rsidR="00EE22EB" w:rsidRPr="00DD2ED4">
        <w:instrText xml:space="preserve"> ADDIN EN.CITE &lt;EndNote&gt;&lt;Cite&gt;&lt;Author&gt;Toivonen&lt;/Author&gt;&lt;Year&gt;2020&lt;/Year&gt;&lt;RecNum&gt;349&lt;/RecNum&gt;&lt;DisplayText&gt;(Toivonen et al., 2020)&lt;/DisplayText&gt;&lt;record&gt;&lt;rec-number&gt;349&lt;/rec-number&gt;&lt;foreign-keys&gt;&lt;key app="EN" db-id="pr9rwt2w8padxcerwx6prd0a9wtda2w5fw2t" timestamp="1629804971"&gt;349&lt;/key&gt;&lt;/foreign-keys&gt;&lt;ref-type name="Journal Article"&gt;17&lt;/ref-type&gt;&lt;contributors&gt;&lt;authors&gt;&lt;author&gt;Toivonen, Laura&lt;/author&gt;&lt;author&gt;Karppinen, Sinikka&lt;/author&gt;&lt;author&gt;Schuez-Havupalo, Linnea&lt;/author&gt;&lt;author&gt;Waris, Matti&lt;/author&gt;&lt;author&gt;He, Qiushui&lt;/author&gt;&lt;author&gt;Hoffman, Kristi L.&lt;/author&gt;&lt;author&gt;Petrosino, Joseph F.&lt;/author&gt;&lt;author&gt;Dumas, Orianne&lt;/author&gt;&lt;author&gt;Camargo, Carlos A.&lt;/author&gt;&lt;author&gt;Hasegawa, Kohei&lt;/author&gt;&lt;author&gt;Peltola, Ville&lt;/author&gt;&lt;/authors&gt;&lt;/contributors&gt;&lt;titles&gt;&lt;title&gt;Longitudinal Changes in Early Nasal Microbiota and the Risk of Childhood Asthma&lt;/title&gt;&lt;secondary-title&gt;Pediatrics&lt;/secondary-title&gt;&lt;/titles&gt;&lt;periodical&gt;&lt;full-title&gt;Pediatrics&lt;/full-title&gt;&lt;/periodical&gt;&lt;pages&gt;e20200421&lt;/pages&gt;&lt;volume&gt;146&lt;/volume&gt;&lt;number&gt;4&lt;/number&gt;&lt;dates&gt;&lt;year&gt;2020&lt;/year&gt;&lt;/dates&gt;&lt;urls&gt;&lt;related-urls&gt;&lt;url&gt;https://pediatrics.aappublications.org/content/pediatrics/146/4/e20200421.full.pdf&lt;/url&gt;&lt;/related-urls&gt;&lt;/urls&gt;&lt;electronic-resource-num&gt;10.1542/peds.2020-0421&lt;/electronic-resource-num&gt;&lt;/record&gt;&lt;/Cite&gt;&lt;/EndNote&gt;</w:instrText>
      </w:r>
      <w:r w:rsidRPr="00DD2ED4">
        <w:fldChar w:fldCharType="separate"/>
      </w:r>
      <w:r w:rsidR="00EE22EB" w:rsidRPr="00DD2ED4">
        <w:rPr>
          <w:noProof/>
        </w:rPr>
        <w:t>(Toivonen et al., 2020)</w:t>
      </w:r>
      <w:r w:rsidRPr="00DD2ED4">
        <w:fldChar w:fldCharType="end"/>
      </w:r>
      <w:r w:rsidRPr="00DD2ED4">
        <w:t xml:space="preserve">. </w:t>
      </w:r>
      <w:r w:rsidR="005D47F2" w:rsidRPr="00DD2ED4">
        <w:t>However</w:t>
      </w:r>
      <w:r w:rsidR="000A41BE" w:rsidRPr="00DD2ED4">
        <w:t>,</w:t>
      </w:r>
      <w:r w:rsidRPr="00DD2ED4">
        <w:t xml:space="preserve"> in school aged children with mild to moderate </w:t>
      </w:r>
      <w:r w:rsidRPr="00DD2ED4">
        <w:lastRenderedPageBreak/>
        <w:t xml:space="preserve">asthma, an upper respiratory tract microbiota dominated by </w:t>
      </w:r>
      <w:r w:rsidRPr="00DD2ED4">
        <w:rPr>
          <w:i/>
          <w:iCs/>
        </w:rPr>
        <w:t>Corynebacterium</w:t>
      </w:r>
      <w:r w:rsidRPr="00DD2ED4">
        <w:t xml:space="preserve"> </w:t>
      </w:r>
      <w:r w:rsidR="008905E1" w:rsidRPr="00DD2ED4">
        <w:t xml:space="preserve">and </w:t>
      </w:r>
      <w:proofErr w:type="spellStart"/>
      <w:r w:rsidRPr="00DD2ED4">
        <w:rPr>
          <w:i/>
          <w:iCs/>
        </w:rPr>
        <w:t>Dolosigranulum</w:t>
      </w:r>
      <w:proofErr w:type="spellEnd"/>
      <w:r w:rsidRPr="00DD2ED4">
        <w:t xml:space="preserve"> </w:t>
      </w:r>
      <w:r w:rsidR="005D47F2" w:rsidRPr="00DD2ED4">
        <w:t xml:space="preserve">was </w:t>
      </w:r>
      <w:r w:rsidRPr="00DD2ED4">
        <w:t>associated with less severe exacerbations than</w:t>
      </w:r>
      <w:r w:rsidR="005D47F2" w:rsidRPr="00DD2ED4">
        <w:t xml:space="preserve"> seen in</w:t>
      </w:r>
      <w:r w:rsidRPr="00DD2ED4">
        <w:t xml:space="preserve"> those with microbiota dominated by more pathogenic bacteria: </w:t>
      </w:r>
      <w:r w:rsidRPr="00DD2ED4">
        <w:rPr>
          <w:i/>
          <w:iCs/>
        </w:rPr>
        <w:t>Moraxella</w:t>
      </w:r>
      <w:r w:rsidRPr="00DD2ED4">
        <w:t xml:space="preserve">, </w:t>
      </w:r>
      <w:r w:rsidRPr="00DD2ED4">
        <w:rPr>
          <w:i/>
          <w:iCs/>
        </w:rPr>
        <w:t>Streptococcus</w:t>
      </w:r>
      <w:r w:rsidRPr="00DD2ED4">
        <w:t xml:space="preserve"> and </w:t>
      </w:r>
      <w:r w:rsidRPr="00DD2ED4">
        <w:rPr>
          <w:i/>
          <w:iCs/>
        </w:rPr>
        <w:t>Staphylococcus</w:t>
      </w:r>
      <w:r w:rsidRPr="00DD2ED4">
        <w:t xml:space="preserve"> </w:t>
      </w:r>
      <w:r w:rsidRPr="00DD2ED4">
        <w:fldChar w:fldCharType="begin">
          <w:fldData xml:space="preserve">PEVuZE5vdGU+PENpdGU+PEF1dGhvcj5aaG91PC9BdXRob3I+PFllYXI+MjAxOTwvWWVhcj48UmVj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</w:fldData>
        </w:fldChar>
      </w:r>
      <w:r w:rsidR="00EE22EB" w:rsidRPr="00DD2ED4">
        <w:instrText xml:space="preserve"> ADDIN EN.CITE </w:instrText>
      </w:r>
      <w:r w:rsidR="00EE22EB" w:rsidRPr="00DD2ED4">
        <w:fldChar w:fldCharType="begin">
          <w:fldData xml:space="preserve">PEVuZE5vdGU+PENpdGU+PEF1dGhvcj5aaG91PC9BdXRob3I+PFllYXI+MjAxOTwvWWVhcj48UmVj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</w:fldData>
        </w:fldChar>
      </w:r>
      <w:r w:rsidR="00EE22EB" w:rsidRPr="00DD2ED4">
        <w:instrText xml:space="preserve"> ADDIN EN.CITE.DATA </w:instrText>
      </w:r>
      <w:r w:rsidR="00EE22EB" w:rsidRPr="00DD2ED4">
        <w:fldChar w:fldCharType="end"/>
      </w:r>
      <w:r w:rsidRPr="00DD2ED4">
        <w:fldChar w:fldCharType="separate"/>
      </w:r>
      <w:r w:rsidR="00EE22EB" w:rsidRPr="00DD2ED4">
        <w:rPr>
          <w:noProof/>
        </w:rPr>
        <w:t>(Zhou et al., 2019)</w:t>
      </w:r>
      <w:r w:rsidRPr="00DD2ED4">
        <w:fldChar w:fldCharType="end"/>
      </w:r>
      <w:r w:rsidRPr="00DD2ED4">
        <w:t xml:space="preserve">. Longitudinal changes </w:t>
      </w:r>
      <w:r w:rsidR="005D47F2" w:rsidRPr="00DD2ED4">
        <w:t xml:space="preserve">in </w:t>
      </w:r>
      <w:r w:rsidRPr="00DD2ED4">
        <w:t xml:space="preserve">the </w:t>
      </w:r>
      <w:r w:rsidR="00907F20" w:rsidRPr="00DD2ED4">
        <w:t xml:space="preserve">nasal </w:t>
      </w:r>
      <w:r w:rsidRPr="00DD2ED4">
        <w:t xml:space="preserve">microbiota with early </w:t>
      </w:r>
      <w:r w:rsidRPr="00DD2ED4">
        <w:rPr>
          <w:i/>
          <w:iCs/>
        </w:rPr>
        <w:t>Moraxella</w:t>
      </w:r>
      <w:r w:rsidRPr="00DD2ED4">
        <w:t xml:space="preserve"> sparsity, secondary to exposure to two or more courses of antibiotics during the period 0-11 months of age, have also been associated with an increased risk </w:t>
      </w:r>
      <w:r w:rsidR="00D8154C" w:rsidRPr="00DD2ED4">
        <w:t>of</w:t>
      </w:r>
      <w:r w:rsidRPr="00DD2ED4">
        <w:t xml:space="preserve"> developing asthma </w:t>
      </w:r>
      <w:r w:rsidRPr="00DD2ED4">
        <w:fldChar w:fldCharType="begin">
          <w:fldData xml:space="preserve">PEVuZE5vdGU+PENpdGU+PEF1dGhvcj5Ub2l2b25lbjwvQXV0aG9yPjxZZWFyPjIwMjE8L1llYXI+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</w:fldData>
        </w:fldChar>
      </w:r>
      <w:r w:rsidR="00EE22EB" w:rsidRPr="00DD2ED4">
        <w:instrText xml:space="preserve"> ADDIN EN.CITE </w:instrText>
      </w:r>
      <w:r w:rsidR="00EE22EB" w:rsidRPr="00DD2ED4">
        <w:fldChar w:fldCharType="begin">
          <w:fldData xml:space="preserve">PEVuZE5vdGU+PENpdGU+PEF1dGhvcj5Ub2l2b25lbjwvQXV0aG9yPjxZZWFyPjIwMjE8L1llYXI+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</w:fldData>
        </w:fldChar>
      </w:r>
      <w:r w:rsidR="00EE22EB" w:rsidRPr="00DD2ED4">
        <w:instrText xml:space="preserve"> ADDIN EN.CITE.DATA </w:instrText>
      </w:r>
      <w:r w:rsidR="00EE22EB" w:rsidRPr="00DD2ED4">
        <w:fldChar w:fldCharType="end"/>
      </w:r>
      <w:r w:rsidRPr="00DD2ED4">
        <w:fldChar w:fldCharType="separate"/>
      </w:r>
      <w:r w:rsidR="00EE22EB" w:rsidRPr="00DD2ED4">
        <w:rPr>
          <w:noProof/>
        </w:rPr>
        <w:t>(Toivonen et al., 2021)</w:t>
      </w:r>
      <w:r w:rsidRPr="00DD2ED4">
        <w:fldChar w:fldCharType="end"/>
      </w:r>
      <w:r w:rsidRPr="00DD2ED4">
        <w:t xml:space="preserve">. </w:t>
      </w:r>
      <w:r w:rsidR="004D18B8" w:rsidRPr="00DD2ED4">
        <w:t xml:space="preserve">The presence of some species within the nasopharynx such as </w:t>
      </w:r>
      <w:proofErr w:type="spellStart"/>
      <w:r w:rsidR="004D18B8" w:rsidRPr="00DD2ED4">
        <w:rPr>
          <w:i/>
          <w:iCs/>
        </w:rPr>
        <w:t>Prevotella</w:t>
      </w:r>
      <w:proofErr w:type="spellEnd"/>
      <w:r w:rsidR="004D18B8" w:rsidRPr="00DD2ED4">
        <w:rPr>
          <w:i/>
          <w:iCs/>
        </w:rPr>
        <w:t xml:space="preserve"> spp</w:t>
      </w:r>
      <w:r w:rsidR="004D18B8" w:rsidRPr="00DD2ED4">
        <w:t xml:space="preserve">. and </w:t>
      </w:r>
      <w:proofErr w:type="spellStart"/>
      <w:r w:rsidR="004D18B8" w:rsidRPr="00DD2ED4">
        <w:rPr>
          <w:i/>
          <w:iCs/>
        </w:rPr>
        <w:t>Leptotrichia</w:t>
      </w:r>
      <w:proofErr w:type="spellEnd"/>
      <w:r w:rsidR="004D18B8" w:rsidRPr="00DD2ED4">
        <w:rPr>
          <w:i/>
          <w:iCs/>
        </w:rPr>
        <w:t xml:space="preserve"> spp</w:t>
      </w:r>
      <w:r w:rsidR="004D18B8" w:rsidRPr="00DD2ED4">
        <w:t xml:space="preserve">. have been strongly associated with subsequent development of upper respiratory tract infections (URTIs) in children </w:t>
      </w:r>
      <w:r w:rsidR="004D18B8" w:rsidRPr="00DD2ED4">
        <w:fldChar w:fldCharType="begin"/>
      </w:r>
      <w:r w:rsidR="004D18B8" w:rsidRPr="00DD2ED4">
        <w:instrText xml:space="preserve"> ADDIN EN.CITE &lt;EndNote&gt;&lt;Cite&gt;&lt;Author&gt;Bosch&lt;/Author&gt;&lt;Year&gt;2017&lt;/Year&gt;&lt;RecNum&gt;168&lt;/RecNum&gt;&lt;DisplayText&gt;(Bosch et al., 2017)&lt;/DisplayText&gt;&lt;record&gt;&lt;rec-number&gt;168&lt;/rec-number&gt;&lt;foreign-keys&gt;&lt;key app="EN" db-id="pr9rwt2w8padxcerwx6prd0a9wtda2w5fw2t" timestamp="1629731697"&gt;168&lt;/key&gt;&lt;/foreign-keys&gt;&lt;ref-type name="Journal Article"&gt;17&lt;/ref-type&gt;&lt;contributors&gt;&lt;authors&gt;&lt;author&gt;Astrid A. T. M. Bosch&lt;/author&gt;&lt;author&gt;Wouter A. A. de Steenhuijsen Piters&lt;/author&gt;&lt;author&gt;Marlies A. van Houten&lt;/author&gt;&lt;author&gt;Mei Ling J. N. Chu&lt;/author&gt;&lt;author&gt;Giske Biesbroek&lt;/author&gt;&lt;author&gt;Jolanda Kool&lt;/author&gt;&lt;author&gt;Paula Pernet&lt;/author&gt;&lt;author&gt;Pieter-Kees C. M. de Groot&lt;/author&gt;&lt;author&gt;Marinus J. C. Eijkemans&lt;/author&gt;&lt;author&gt;Bart J. F. Keijser&lt;/author&gt;&lt;author&gt;Elisabeth A. M. Sanders&lt;/author&gt;&lt;author&gt;Debby Bogaert&lt;/author&gt;&lt;/authors&gt;&lt;/contributors&gt;&lt;titles&gt;&lt;title&gt;Maturation of the Infant Respiratory Microbiota, Environmental Drivers, and Health Consequences. A Prospective Cohort Study&lt;/title&gt;&lt;secondary-title&gt;American Journal of Respiratory and Critical Care Medicine&lt;/secondary-title&gt;&lt;/titles&gt;&lt;periodical&gt;&lt;full-title&gt;American Journal of Respiratory and Critical Care Medicine&lt;/full-title&gt;&lt;/periodical&gt;&lt;pages&gt;1582-1590&lt;/pages&gt;&lt;volume&gt;196&lt;/volume&gt;&lt;number&gt;12&lt;/number&gt;&lt;keywords&gt;&lt;keyword&gt;respiratory microbiota,nasopharynx,respiratory tract infections,development,risk factors&lt;/keyword&gt;&lt;/keywords&gt;&lt;dates&gt;&lt;year&gt;2017&lt;/year&gt;&lt;/dates&gt;&lt;accession-num&gt;28665684&lt;/accession-num&gt;&lt;urls&gt;&lt;related-urls&gt;&lt;url&gt;https://www.atsjournals.org/doi/abs/10.1164/rccm.201703-0554OC&lt;/url&gt;&lt;/related-urls&gt;&lt;/urls&gt;&lt;electronic-resource-num&gt;10.1164/rccm.201703-0554OC&lt;/electronic-resource-num&gt;&lt;/record&gt;&lt;/Cite&gt;&lt;/EndNote&gt;</w:instrText>
      </w:r>
      <w:r w:rsidR="004D18B8" w:rsidRPr="00DD2ED4">
        <w:fldChar w:fldCharType="separate"/>
      </w:r>
      <w:r w:rsidR="004D18B8" w:rsidRPr="00DD2ED4">
        <w:rPr>
          <w:noProof/>
        </w:rPr>
        <w:t>(Bosch et al., 2017)</w:t>
      </w:r>
      <w:r w:rsidR="004D18B8" w:rsidRPr="00DD2ED4">
        <w:fldChar w:fldCharType="end"/>
      </w:r>
      <w:r w:rsidR="004D18B8" w:rsidRPr="00DD2ED4">
        <w:t>.</w:t>
      </w:r>
    </w:p>
    <w:p w14:paraId="13D2D6C3" w14:textId="4337FC95" w:rsidR="0021060C" w:rsidRPr="001D04B2" w:rsidRDefault="0021060C" w:rsidP="00207AA0">
      <w:pPr>
        <w:spacing w:after="160" w:line="360" w:lineRule="auto"/>
      </w:pPr>
      <w:r w:rsidRPr="00071A18">
        <w:t xml:space="preserve">The composition of the airway microbiome may also influence the efficacy of antibiotic treatment for exacerbations, as well as the duration of symptoms. </w:t>
      </w:r>
      <w:r w:rsidR="00B66E68">
        <w:t xml:space="preserve">An RCT in 68 children with asthma-like-symptoms randomised participants to </w:t>
      </w:r>
      <w:r w:rsidR="00B768FC">
        <w:t>azithromycin or placebo during acute asthma like episodes</w:t>
      </w:r>
      <w:r w:rsidR="002E3893" w:rsidRPr="00BA76D8">
        <w:t>.</w:t>
      </w:r>
      <w:r w:rsidR="00FC69B8" w:rsidRPr="00BA76D8">
        <w:t xml:space="preserve"> </w:t>
      </w:r>
      <w:r w:rsidR="000768B1" w:rsidRPr="00BA76D8">
        <w:t xml:space="preserve"> A</w:t>
      </w:r>
      <w:r w:rsidR="00B768FC" w:rsidRPr="00BA76D8">
        <w:t xml:space="preserve"> </w:t>
      </w:r>
      <w:r w:rsidRPr="00BA76D8">
        <w:t xml:space="preserve">greater richness and diversity </w:t>
      </w:r>
      <w:r w:rsidR="000768B1" w:rsidRPr="00BA76D8">
        <w:t xml:space="preserve">of the nasopharyngeal microbiota was found </w:t>
      </w:r>
      <w:r w:rsidRPr="00BA76D8">
        <w:t xml:space="preserve">to be associated with a longer duration of asthma-like symptom episodes </w:t>
      </w:r>
      <w:r w:rsidRPr="00BA76D8">
        <w:fldChar w:fldCharType="begin">
          <w:fldData xml:space="preserve">PEVuZE5vdGU+PENpdGU+PEF1dGhvcj5UaG9yc2VuPC9BdXRob3I+PFllYXI+MjAyMTwvWWVhcj48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</w:fldData>
        </w:fldChar>
      </w:r>
      <w:r w:rsidR="00EE22EB">
        <w:instrText xml:space="preserve"> ADDIN EN.CITE </w:instrText>
      </w:r>
      <w:r w:rsidR="00EE22EB">
        <w:fldChar w:fldCharType="begin">
          <w:fldData xml:space="preserve">PEVuZE5vdGU+PENpdGU+PEF1dGhvcj5UaG9yc2VuPC9BdXRob3I+PFllYXI+MjAyMTwvWWVhcj48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</w:fldData>
        </w:fldChar>
      </w:r>
      <w:r w:rsidR="00EE22EB">
        <w:instrText xml:space="preserve"> ADDIN EN.CITE.DATA </w:instrText>
      </w:r>
      <w:r w:rsidR="00EE22EB">
        <w:fldChar w:fldCharType="end"/>
      </w:r>
      <w:r w:rsidRPr="00BA76D8">
        <w:fldChar w:fldCharType="separate"/>
      </w:r>
      <w:r w:rsidR="00EE22EB">
        <w:rPr>
          <w:noProof/>
        </w:rPr>
        <w:t>(Thorsen et al., 2021)</w:t>
      </w:r>
      <w:r w:rsidRPr="00BA76D8">
        <w:fldChar w:fldCharType="end"/>
      </w:r>
      <w:r w:rsidRPr="00BA76D8">
        <w:t xml:space="preserve">. </w:t>
      </w:r>
      <w:r w:rsidR="002C64DF">
        <w:t>Importantly, a</w:t>
      </w:r>
      <w:r w:rsidR="002C64DF" w:rsidRPr="00BA76D8">
        <w:t xml:space="preserve">s </w:t>
      </w:r>
      <w:r w:rsidRPr="00BA76D8">
        <w:t>sample richness increased, the efficacy of azithromycin was also reported to increase</w:t>
      </w:r>
      <w:r w:rsidR="005D47F2">
        <w:t>,</w:t>
      </w:r>
      <w:r w:rsidRPr="00BA76D8">
        <w:t xml:space="preserve"> with a 10% greater azithromycin response for each 10-OTU increase </w:t>
      </w:r>
      <w:r w:rsidRPr="00BA76D8">
        <w:fldChar w:fldCharType="begin">
          <w:fldData xml:space="preserve">PEVuZE5vdGU+PENpdGU+PEF1dGhvcj5UaG9yc2VuPC9BdXRob3I+PFllYXI+MjAyMTwvWWVhcj48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</w:fldData>
        </w:fldChar>
      </w:r>
      <w:r w:rsidR="00EE22EB">
        <w:instrText xml:space="preserve"> ADDIN EN.CITE </w:instrText>
      </w:r>
      <w:r w:rsidR="00EE22EB">
        <w:fldChar w:fldCharType="begin">
          <w:fldData xml:space="preserve">PEVuZE5vdGU+PENpdGU+PEF1dGhvcj5UaG9yc2VuPC9BdXRob3I+PFllYXI+MjAyMTwvWWVhcj48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</w:fldData>
        </w:fldChar>
      </w:r>
      <w:r w:rsidR="00EE22EB">
        <w:instrText xml:space="preserve"> ADDIN EN.CITE.DATA </w:instrText>
      </w:r>
      <w:r w:rsidR="00EE22EB">
        <w:fldChar w:fldCharType="end"/>
      </w:r>
      <w:r w:rsidRPr="00BA76D8">
        <w:fldChar w:fldCharType="separate"/>
      </w:r>
      <w:r w:rsidR="00EE22EB">
        <w:rPr>
          <w:noProof/>
        </w:rPr>
        <w:t>(Thorsen et al., 2021)</w:t>
      </w:r>
      <w:r w:rsidRPr="00BA76D8">
        <w:fldChar w:fldCharType="end"/>
      </w:r>
      <w:r w:rsidRPr="00BA76D8">
        <w:t xml:space="preserve">. </w:t>
      </w:r>
    </w:p>
    <w:p w14:paraId="15EF0B13" w14:textId="1553683C" w:rsidR="0021060C" w:rsidRDefault="00DE79F5" w:rsidP="002C53ED">
      <w:pPr>
        <w:spacing w:line="360" w:lineRule="auto"/>
      </w:pPr>
      <w:r>
        <w:t xml:space="preserve">The nasal, oral and nasopharyngeal microbiomes are readily accessible and hence easy to study. </w:t>
      </w:r>
      <w:r w:rsidR="009A5F1F">
        <w:t>M</w:t>
      </w:r>
      <w:r>
        <w:t xml:space="preserve">icrobes within these niches </w:t>
      </w:r>
      <w:r w:rsidR="009A5F1F">
        <w:t>influence carriage and potential invasion. However there is emerging interest in the microbiome of the lower respiratory tract</w:t>
      </w:r>
      <w:r w:rsidR="002C64DF">
        <w:t>,</w:t>
      </w:r>
      <w:r w:rsidR="009A5F1F">
        <w:t xml:space="preserve"> which is more challenging to access especially in children</w:t>
      </w:r>
    </w:p>
    <w:p w14:paraId="7F43E24C" w14:textId="77777777" w:rsidR="00375DAC" w:rsidRPr="00241369" w:rsidRDefault="00375DAC" w:rsidP="002C53ED">
      <w:pPr>
        <w:spacing w:line="360" w:lineRule="auto"/>
      </w:pPr>
    </w:p>
    <w:p w14:paraId="0E888B4E" w14:textId="4A561516" w:rsidR="0021060C" w:rsidRPr="00241369" w:rsidRDefault="0021060C" w:rsidP="002C53ED">
      <w:pPr>
        <w:pStyle w:val="Heading3"/>
        <w:spacing w:before="0" w:line="360" w:lineRule="auto"/>
      </w:pPr>
      <w:bookmarkStart w:id="48" w:name="_Toc117765893"/>
      <w:r w:rsidRPr="00241369">
        <w:t>The l</w:t>
      </w:r>
      <w:r w:rsidR="0080098B">
        <w:t>ower respiratory</w:t>
      </w:r>
      <w:r w:rsidRPr="00241369">
        <w:t xml:space="preserve"> microbiome.</w:t>
      </w:r>
      <w:bookmarkEnd w:id="48"/>
      <w:r w:rsidRPr="00241369">
        <w:t xml:space="preserve"> </w:t>
      </w:r>
    </w:p>
    <w:p w14:paraId="2754FA0B" w14:textId="09B24863" w:rsidR="0021060C" w:rsidRPr="00241369" w:rsidRDefault="0021060C" w:rsidP="00893356">
      <w:pPr>
        <w:spacing w:after="160" w:line="360" w:lineRule="auto"/>
      </w:pPr>
      <w:r w:rsidRPr="00241369">
        <w:t xml:space="preserve">Until recently the lungs were thought to be a sterile environment. With culture- independent techniques, numerous microorganisms including bacteria, viruses and fungi have been identified </w:t>
      </w:r>
      <w:r w:rsidR="002C64DF">
        <w:t>in samples from below the vocal cords</w:t>
      </w:r>
      <w:r w:rsidRPr="00241369">
        <w:t xml:space="preserve">. It is thought that the healthy lung microbiota </w:t>
      </w:r>
      <w:r w:rsidR="0052139A">
        <w:t xml:space="preserve">may consist </w:t>
      </w:r>
      <w:r w:rsidRPr="00241369">
        <w:t>of transient</w:t>
      </w:r>
      <w:r w:rsidR="0052139A">
        <w:t xml:space="preserve"> populations of</w:t>
      </w:r>
      <w:r w:rsidRPr="00241369">
        <w:t xml:space="preserve"> microorganisms, rather than the resident communities found in chronic respiratory diseases </w:t>
      </w:r>
      <w:r>
        <w:fldChar w:fldCharType="begin"/>
      </w:r>
      <w:r w:rsidR="00EE22EB">
        <w:instrText xml:space="preserve"> ADDIN EN.CITE &lt;EndNote&gt;&lt;Cite&gt;&lt;Author&gt;Man&lt;/Author&gt;&lt;Year&gt;2017&lt;/Year&gt;&lt;RecNum&gt;244&lt;/RecNum&gt;&lt;DisplayText&gt;(Man et al., 2017)&lt;/DisplayText&gt;&lt;record&gt;&lt;rec-number&gt;244&lt;/rec-number&gt;&lt;foreign-keys&gt;&lt;key app="EN" db-id="pr9rwt2w8padxcerwx6prd0a9wtda2w5fw2t" timestamp="1629731697"&gt;244&lt;/key&gt;&lt;/foreign-keys&gt;&lt;ref-type name="Journal Article"&gt;17&lt;/ref-type&gt;&lt;contributors&gt;&lt;authors&gt;&lt;author&gt;Man, W. H.&lt;/author&gt;&lt;author&gt;de Steenhuijsen Piters, W. A.&lt;/author&gt;&lt;author&gt;Bogaert, D.&lt;/author&gt;&lt;/authors&gt;&lt;/contributors&gt;&lt;auth-address&gt;Department of Pediatric Immunology and Infectious Diseases, Wilhelmina Children&amp;apos;s Hospital, University Medical Center Utrecht, Lundlaan 6, 3584 EA Utrecht, The Netherlands.&amp;#xD;Spaarne Gasthuis Academy, Spaarnepoort 1, 2134 TM, Hoofddorp, The Netherlands.&amp;#xD;The University of Edinburgh/MRC Centre for Inflammation Research, The Queen&amp;apos;s Medical Research Institute, 47 Little France Crescent, Edinburgh EH16 4TJ, UK.&lt;/auth-address&gt;&lt;titles&gt;&lt;title&gt;The microbiota of the respiratory tract: gatekeeper to respiratory health&lt;/title&gt;&lt;secondary-title&gt;Nat Rev Microbiol&lt;/secondary-title&gt;&lt;/titles&gt;&lt;periodical&gt;&lt;full-title&gt;Nat Rev Microbiol&lt;/full-title&gt;&lt;/periodical&gt;&lt;pages&gt;259-270&lt;/pages&gt;&lt;volume&gt;15&lt;/volume&gt;&lt;number&gt;5&lt;/number&gt;&lt;edition&gt;2017/03/21&lt;/edition&gt;&lt;keywords&gt;&lt;keyword&gt;Bacteria/genetics/*metabolism&lt;/keyword&gt;&lt;keyword&gt;Humans&lt;/keyword&gt;&lt;keyword&gt;*Microbiota/genetics/immunology/physiology&lt;/keyword&gt;&lt;keyword&gt;Respiratory System/immunology/*microbiology/*virology&lt;/keyword&gt;&lt;keyword&gt;Symbiosis&lt;/keyword&gt;&lt;/keywords&gt;&lt;dates&gt;&lt;year&gt;2017&lt;/year&gt;&lt;pub-dates&gt;&lt;date&gt;May&lt;/date&gt;&lt;/pub-dates&gt;&lt;/dates&gt;&lt;isbn&gt;1740-1526&lt;/isbn&gt;&lt;accession-num&gt;28316330&lt;/accession-num&gt;&lt;urls&gt;&lt;/urls&gt;&lt;electronic-resource-num&gt;10.1038/nrmicro.2017.14&lt;/electronic-resource-num&gt;&lt;remote-database-provider&gt;NLM&lt;/remote-database-provider&gt;&lt;language&gt;eng&lt;/language&gt;&lt;/record&gt;&lt;/Cite&gt;&lt;/EndNote&gt;</w:instrText>
      </w:r>
      <w:r>
        <w:fldChar w:fldCharType="separate"/>
      </w:r>
      <w:r w:rsidR="00EE22EB">
        <w:rPr>
          <w:noProof/>
        </w:rPr>
        <w:t>(Man et al., 2017)</w:t>
      </w:r>
      <w:r>
        <w:fldChar w:fldCharType="end"/>
      </w:r>
      <w:r w:rsidRPr="00241369">
        <w:t xml:space="preserve">. </w:t>
      </w:r>
      <w:r w:rsidR="00CB6870">
        <w:t>Obtaining samples from the lower airways has specific challenges</w:t>
      </w:r>
      <w:r w:rsidR="0052139A">
        <w:t>, particularly in children</w:t>
      </w:r>
      <w:r w:rsidR="00CB6870">
        <w:t xml:space="preserve">. </w:t>
      </w:r>
      <w:r w:rsidR="002C64DF">
        <w:t>Firstly,</w:t>
      </w:r>
      <w:r w:rsidR="00CB6870">
        <w:t xml:space="preserve"> the requirement for </w:t>
      </w:r>
      <w:r w:rsidR="00F27D1E">
        <w:t>a</w:t>
      </w:r>
      <w:r w:rsidR="0052139A">
        <w:t xml:space="preserve"> </w:t>
      </w:r>
      <w:r w:rsidR="00CB6870">
        <w:t xml:space="preserve">general anaesthetic and associated risks make sampling less readily available than the upper airway. Secondly </w:t>
      </w:r>
      <w:r w:rsidR="00EE42BC">
        <w:t xml:space="preserve">as the </w:t>
      </w:r>
      <w:r w:rsidR="00EE42BC">
        <w:lastRenderedPageBreak/>
        <w:t xml:space="preserve">lower airways are </w:t>
      </w:r>
      <w:r w:rsidR="00EE42BC" w:rsidRPr="00FC2501">
        <w:t>accessed, there</w:t>
      </w:r>
      <w:r w:rsidR="00EE42BC">
        <w:t xml:space="preserve"> is potential for contamination by going through the upper airway</w:t>
      </w:r>
      <w:r w:rsidR="00F87252">
        <w:t xml:space="preserve">s. Using protected sampling via a sterile catheter </w:t>
      </w:r>
      <w:r w:rsidR="0052139A">
        <w:t xml:space="preserve">only ‘opened’ within the lung </w:t>
      </w:r>
      <w:r w:rsidR="00F87252">
        <w:t xml:space="preserve">aims to mitigate this risk. Finally, the </w:t>
      </w:r>
      <w:r w:rsidR="005637DB">
        <w:t xml:space="preserve">very </w:t>
      </w:r>
      <w:r w:rsidR="00F87252">
        <w:t>low biomas</w:t>
      </w:r>
      <w:r w:rsidR="002C3E02">
        <w:t>s</w:t>
      </w:r>
      <w:r w:rsidR="00F87252">
        <w:t xml:space="preserve"> of lower </w:t>
      </w:r>
      <w:r w:rsidR="002C3E02">
        <w:t>respiratory</w:t>
      </w:r>
      <w:r w:rsidR="00F87252">
        <w:t xml:space="preserve"> tract samples make them particularly susceptible to contamination during the </w:t>
      </w:r>
      <w:r w:rsidR="002C3E02">
        <w:t>laboratory analysis</w:t>
      </w:r>
      <w:r w:rsidR="0010600C">
        <w:t xml:space="preserve"> (contamination in DNA extraction kits, reagents and laboratory environment)</w:t>
      </w:r>
      <w:r w:rsidR="002C3E02">
        <w:t xml:space="preserve">. </w:t>
      </w:r>
    </w:p>
    <w:p w14:paraId="03976CC1" w14:textId="3CA9435E" w:rsidR="008B30F0" w:rsidRPr="00241369" w:rsidRDefault="0021060C" w:rsidP="00893356">
      <w:pPr>
        <w:spacing w:after="160" w:line="360" w:lineRule="auto"/>
      </w:pPr>
      <w:r w:rsidRPr="00241369">
        <w:t xml:space="preserve">It has been suggested that the lung microbiota is determined by three factors </w:t>
      </w:r>
      <w:r>
        <w:fldChar w:fldCharType="begin"/>
      </w:r>
      <w:r w:rsidR="00CD2C33">
        <w:instrText xml:space="preserve"> ADDIN EN.CITE &lt;EndNote&gt;&lt;Cite&gt;&lt;Author&gt;Dickson&lt;/Author&gt;&lt;Year&gt;2015&lt;/Year&gt;&lt;RecNum&gt;247&lt;/RecNum&gt;&lt;DisplayText&gt;(Dickson et al., 2015)&lt;/DisplayText&gt;&lt;record&gt;&lt;rec-number&gt;247&lt;/rec-number&gt;&lt;foreign-keys&gt;&lt;key app="EN" db-id="pr9rwt2w8padxcerwx6prd0a9wtda2w5fw2t" timestamp="1629731697"&gt;247&lt;/key&gt;&lt;/foreign-keys&gt;&lt;ref-type name="Journal Article"&gt;17&lt;/ref-type&gt;&lt;contributors&gt;&lt;authors&gt;&lt;author&gt;Dickson, R. P.&lt;/author&gt;&lt;author&gt;Huffnagle, G. B.&lt;/author&gt;&lt;/authors&gt;&lt;/contributors&gt;&lt;auth-address&gt;Division of Pulmonary and Critical Care Medicine, Department of Internal Medicine, University of Michigan Medical School, Ann Arbor, Michigan, United States of America.&lt;/auth-address&gt;&lt;titles&gt;&lt;title&gt;The Lung Microbiome: New Principles for Respiratory Bacteriology in Health and Disease&lt;/title&gt;&lt;secondary-title&gt;PLoS Pathog&lt;/secondary-title&gt;&lt;/titles&gt;&lt;periodical&gt;&lt;full-title&gt;PLoS Pathog&lt;/full-title&gt;&lt;/periodical&gt;&lt;pages&gt;e1004923&lt;/pages&gt;&lt;volume&gt;11&lt;/volume&gt;&lt;number&gt;7&lt;/number&gt;&lt;edition&gt;2015/07/15&lt;/edition&gt;&lt;keywords&gt;&lt;keyword&gt;Animals&lt;/keyword&gt;&lt;keyword&gt;Humans&lt;/keyword&gt;&lt;keyword&gt;Lung/*microbiology&lt;/keyword&gt;&lt;keyword&gt;*Microbiota&lt;/keyword&gt;&lt;/keywords&gt;&lt;dates&gt;&lt;year&gt;2015&lt;/year&gt;&lt;pub-dates&gt;&lt;date&gt;Jul&lt;/date&gt;&lt;/pub-dates&gt;&lt;/dates&gt;&lt;isbn&gt;1553-7366&lt;/isbn&gt;&lt;accession-num&gt;26158874&lt;/accession-num&gt;&lt;urls&gt;&lt;/urls&gt;&lt;custom2&gt;PMC4497592&lt;/custom2&gt;&lt;electronic-resource-num&gt;10.1371/journal.ppat.1004923&lt;/electronic-resource-num&gt;&lt;remote-database-provider&gt;NLM&lt;/remote-database-provider&gt;&lt;language&gt;eng&lt;/language&gt;&lt;/record&gt;&lt;/Cite&gt;&lt;/EndNote&gt;</w:instrText>
      </w:r>
      <w:r>
        <w:fldChar w:fldCharType="separate"/>
      </w:r>
      <w:r w:rsidR="00CD2C33">
        <w:rPr>
          <w:noProof/>
        </w:rPr>
        <w:t>(Dickson et al., 2015)</w:t>
      </w:r>
      <w:r>
        <w:fldChar w:fldCharType="end"/>
      </w:r>
      <w:r w:rsidRPr="00241369">
        <w:t xml:space="preserve">. </w:t>
      </w:r>
    </w:p>
    <w:p w14:paraId="1759BAD7" w14:textId="537F009F" w:rsidR="00375DAC" w:rsidRDefault="0021060C">
      <w:pPr>
        <w:numPr>
          <w:ilvl w:val="0"/>
          <w:numId w:val="8"/>
        </w:numPr>
        <w:spacing w:line="360" w:lineRule="auto"/>
        <w:contextualSpacing/>
      </w:pPr>
      <w:r w:rsidRPr="00241369">
        <w:t>Microbial migration</w:t>
      </w:r>
      <w:r w:rsidR="00375DAC">
        <w:t>:</w:t>
      </w:r>
      <w:r w:rsidR="00375DAC">
        <w:tab/>
        <w:t>D</w:t>
      </w:r>
      <w:r w:rsidRPr="00241369">
        <w:t xml:space="preserve">irect inhalation, micro aspiration, and dispersal through </w:t>
      </w:r>
    </w:p>
    <w:p w14:paraId="35626C4B" w14:textId="6BF9E316" w:rsidR="0021060C" w:rsidRPr="00241369" w:rsidRDefault="0021060C" w:rsidP="00375DAC">
      <w:pPr>
        <w:spacing w:line="360" w:lineRule="auto"/>
        <w:ind w:left="3285" w:firstLine="315"/>
        <w:contextualSpacing/>
      </w:pPr>
      <w:r w:rsidRPr="00241369">
        <w:t>the respiratory mucosa</w:t>
      </w:r>
      <w:r w:rsidR="002C64DF">
        <w:t>.</w:t>
      </w:r>
    </w:p>
    <w:p w14:paraId="3DC26264" w14:textId="77777777" w:rsidR="00FF7F9B" w:rsidRDefault="0021060C">
      <w:pPr>
        <w:numPr>
          <w:ilvl w:val="0"/>
          <w:numId w:val="8"/>
        </w:numPr>
        <w:spacing w:line="360" w:lineRule="auto"/>
        <w:contextualSpacing/>
      </w:pPr>
      <w:r w:rsidRPr="00241369">
        <w:t>Microbial elimination</w:t>
      </w:r>
      <w:r w:rsidR="00FF7F9B">
        <w:t>:</w:t>
      </w:r>
      <w:r w:rsidR="00FF7F9B">
        <w:tab/>
        <w:t>C</w:t>
      </w:r>
      <w:r w:rsidRPr="00FF7F9B">
        <w:t xml:space="preserve">ough, muco-ciliary clearance, innate and adaptive </w:t>
      </w:r>
    </w:p>
    <w:p w14:paraId="1BE14886" w14:textId="365EF03E" w:rsidR="0021060C" w:rsidRPr="00FF7F9B" w:rsidRDefault="002C64DF" w:rsidP="00FF7F9B">
      <w:pPr>
        <w:spacing w:line="360" w:lineRule="auto"/>
        <w:ind w:left="3285" w:firstLine="315"/>
        <w:contextualSpacing/>
      </w:pPr>
      <w:r w:rsidRPr="00FF7F9B">
        <w:t>I</w:t>
      </w:r>
      <w:r w:rsidR="0021060C" w:rsidRPr="00FF7F9B">
        <w:t>mmunity</w:t>
      </w:r>
      <w:r>
        <w:t>.</w:t>
      </w:r>
      <w:r w:rsidR="0021060C" w:rsidRPr="00FF7F9B">
        <w:t xml:space="preserve"> </w:t>
      </w:r>
    </w:p>
    <w:p w14:paraId="3D9047D0" w14:textId="67A975DA" w:rsidR="006A5BEF" w:rsidRDefault="0021060C">
      <w:pPr>
        <w:numPr>
          <w:ilvl w:val="0"/>
          <w:numId w:val="8"/>
        </w:numPr>
        <w:spacing w:after="160" w:line="360" w:lineRule="auto"/>
        <w:ind w:left="1122" w:hanging="357"/>
        <w:contextualSpacing/>
      </w:pPr>
      <w:r w:rsidRPr="00241369">
        <w:t>Local growth conditions</w:t>
      </w:r>
      <w:r w:rsidR="00FF7F9B">
        <w:t>:</w:t>
      </w:r>
      <w:r w:rsidRPr="00241369">
        <w:t xml:space="preserve"> </w:t>
      </w:r>
      <w:r w:rsidR="00FF7F9B">
        <w:tab/>
        <w:t xml:space="preserve">For </w:t>
      </w:r>
      <w:r w:rsidR="0052139A">
        <w:t>example</w:t>
      </w:r>
      <w:r w:rsidRPr="00241369">
        <w:t xml:space="preserve"> pH, pO2, inflammatory cells</w:t>
      </w:r>
      <w:r w:rsidR="002C64DF">
        <w:t>.</w:t>
      </w:r>
    </w:p>
    <w:p w14:paraId="6B1B0954" w14:textId="77777777" w:rsidR="006016EB" w:rsidRPr="002C64DF" w:rsidRDefault="006016EB" w:rsidP="006016EB">
      <w:pPr>
        <w:spacing w:after="160" w:line="360" w:lineRule="auto"/>
        <w:ind w:left="1122"/>
        <w:contextualSpacing/>
      </w:pPr>
    </w:p>
    <w:p w14:paraId="462A2CDC" w14:textId="5B90DAF0" w:rsidR="0021060C" w:rsidRPr="00241369" w:rsidRDefault="0021060C" w:rsidP="00F27D1E">
      <w:pPr>
        <w:spacing w:before="160" w:after="160" w:line="360" w:lineRule="auto"/>
      </w:pPr>
      <w:r w:rsidRPr="00241369">
        <w:t xml:space="preserve">In many chronic lung diseases including COPD, </w:t>
      </w:r>
      <w:r w:rsidR="002C64DF">
        <w:t>CF</w:t>
      </w:r>
      <w:r w:rsidR="002E3D70">
        <w:t xml:space="preserve"> </w:t>
      </w:r>
      <w:r w:rsidR="002E3D70" w:rsidRPr="00241369">
        <w:t>and</w:t>
      </w:r>
      <w:r w:rsidRPr="00241369">
        <w:t xml:space="preserve"> bronchiectasis there are specific patterns of</w:t>
      </w:r>
      <w:r w:rsidR="002C64DF">
        <w:t xml:space="preserve"> lower respiratory tract</w:t>
      </w:r>
      <w:r w:rsidRPr="00241369">
        <w:t xml:space="preserve"> microbiota seen</w:t>
      </w:r>
      <w:r w:rsidR="000A1A2D">
        <w:t>,</w:t>
      </w:r>
      <w:r w:rsidRPr="00241369">
        <w:t xml:space="preserve"> with a loss of diversity and over-representation of </w:t>
      </w:r>
      <w:r w:rsidRPr="00FF7F9B">
        <w:rPr>
          <w:i/>
          <w:iCs/>
        </w:rPr>
        <w:t>Proteobacteria</w:t>
      </w:r>
      <w:r w:rsidRPr="00241369">
        <w:t xml:space="preserve"> related to disease severity and exacerbations </w:t>
      </w:r>
      <w:r>
        <w:fldChar w:fldCharType="begin">
          <w:fldData xml:space="preserve">PEVuZE5vdGU+PENpdGU+PEF1dGhvcj5GYW5lcjwvQXV0aG9yPjxZZWFyPjIwMTc8L1llYXI+PFJl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</w:fldData>
        </w:fldChar>
      </w:r>
      <w:r w:rsidR="00EE22EB">
        <w:instrText xml:space="preserve"> ADDIN EN.CITE </w:instrText>
      </w:r>
      <w:r w:rsidR="00EE22EB">
        <w:fldChar w:fldCharType="begin">
          <w:fldData xml:space="preserve">PEVuZE5vdGU+PENpdGU+PEF1dGhvcj5GYW5lcjwvQXV0aG9yPjxZZWFyPjIwMTc8L1llYXI+PFJl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</w:fldData>
        </w:fldChar>
      </w:r>
      <w:r w:rsidR="00EE22EB">
        <w:instrText xml:space="preserve"> ADDIN EN.CITE.DATA </w:instrText>
      </w:r>
      <w:r w:rsidR="00EE22EB">
        <w:fldChar w:fldCharType="end"/>
      </w:r>
      <w:r>
        <w:fldChar w:fldCharType="separate"/>
      </w:r>
      <w:r w:rsidR="00EE22EB">
        <w:rPr>
          <w:noProof/>
        </w:rPr>
        <w:t>(Faner et al., 2017)</w:t>
      </w:r>
      <w:r>
        <w:fldChar w:fldCharType="end"/>
      </w:r>
      <w:r w:rsidRPr="00241369">
        <w:t xml:space="preserve">. </w:t>
      </w:r>
      <w:r w:rsidR="002E3D70">
        <w:t xml:space="preserve">It is unclear whether the detected dysbiosis is </w:t>
      </w:r>
      <w:r w:rsidR="000A1A2D">
        <w:t>secondary</w:t>
      </w:r>
      <w:r w:rsidR="002E3D70">
        <w:t xml:space="preserve"> to the chronic disease or is contributing to it (‘chicken or egg’). The establishment of causation versus association</w:t>
      </w:r>
      <w:r w:rsidR="000A1A2D">
        <w:t xml:space="preserve"> in this setting</w:t>
      </w:r>
      <w:r w:rsidR="002E3D70">
        <w:t xml:space="preserve"> is challenging. </w:t>
      </w:r>
      <w:r w:rsidRPr="00241369">
        <w:t>This is an active area of research and our understanding of the role of microbiota in determining a number of key features of various diseases, whilst limited, is growing.</w:t>
      </w:r>
    </w:p>
    <w:p w14:paraId="5B07DADF" w14:textId="32FA860F" w:rsidR="0021060C" w:rsidRPr="00241369" w:rsidRDefault="0021060C" w:rsidP="00DD2ED4">
      <w:pPr>
        <w:spacing w:after="160" w:line="360" w:lineRule="auto"/>
      </w:pPr>
      <w:r w:rsidRPr="00241369">
        <w:t xml:space="preserve">The </w:t>
      </w:r>
      <w:r w:rsidR="000A1A2D">
        <w:t xml:space="preserve">lung </w:t>
      </w:r>
      <w:r w:rsidRPr="00241369">
        <w:t>microbiome of those with bronchiectasis shows lung bacterial communities</w:t>
      </w:r>
      <w:r w:rsidR="000A1A2D">
        <w:t xml:space="preserve"> often</w:t>
      </w:r>
      <w:r w:rsidRPr="00241369">
        <w:t xml:space="preserve"> dominated by </w:t>
      </w:r>
      <w:r w:rsidRPr="00241369">
        <w:rPr>
          <w:i/>
          <w:iCs/>
        </w:rPr>
        <w:t>Pseudomonas</w:t>
      </w:r>
      <w:r w:rsidRPr="00241369">
        <w:t xml:space="preserve">, </w:t>
      </w:r>
      <w:r w:rsidRPr="00241369">
        <w:rPr>
          <w:i/>
          <w:iCs/>
        </w:rPr>
        <w:t>Haemophilus</w:t>
      </w:r>
      <w:r w:rsidRPr="00241369">
        <w:t xml:space="preserve"> and </w:t>
      </w:r>
      <w:r w:rsidRPr="00241369">
        <w:rPr>
          <w:i/>
          <w:iCs/>
        </w:rPr>
        <w:t>Streptococcus.</w:t>
      </w:r>
      <w:r w:rsidRPr="00241369">
        <w:t xml:space="preserve"> Dominance with </w:t>
      </w:r>
      <w:r w:rsidRPr="00241369">
        <w:rPr>
          <w:i/>
          <w:iCs/>
        </w:rPr>
        <w:t>Pseudomonas</w:t>
      </w:r>
      <w:r w:rsidR="00F5195B">
        <w:t xml:space="preserve">, </w:t>
      </w:r>
      <w:r w:rsidR="00F5195B" w:rsidRPr="00FF7F9B">
        <w:rPr>
          <w:i/>
          <w:iCs/>
        </w:rPr>
        <w:t>Enterobacteriaceae</w:t>
      </w:r>
      <w:r w:rsidR="00F5195B">
        <w:t xml:space="preserve"> and </w:t>
      </w:r>
      <w:r w:rsidR="00F5195B" w:rsidRPr="001D04B2">
        <w:rPr>
          <w:i/>
          <w:iCs/>
        </w:rPr>
        <w:t xml:space="preserve">Stenotrophomonas </w:t>
      </w:r>
      <w:r w:rsidRPr="00241369">
        <w:t>has been linked to severe disease and</w:t>
      </w:r>
      <w:r w:rsidR="00F5195B">
        <w:t xml:space="preserve"> greater lung inflammation with </w:t>
      </w:r>
      <w:r w:rsidR="00F5195B" w:rsidRPr="00FF7F9B">
        <w:rPr>
          <w:i/>
          <w:iCs/>
        </w:rPr>
        <w:t xml:space="preserve">Pseudomonas </w:t>
      </w:r>
      <w:r w:rsidR="00F5195B">
        <w:t xml:space="preserve">and </w:t>
      </w:r>
      <w:r w:rsidR="00F5195B" w:rsidRPr="00FF7F9B">
        <w:rPr>
          <w:i/>
          <w:iCs/>
        </w:rPr>
        <w:t>Enterobacteriaceae</w:t>
      </w:r>
      <w:r w:rsidR="00F5195B">
        <w:t xml:space="preserve"> associated with more frequent exacerbations</w:t>
      </w:r>
      <w:r w:rsidR="00091FE5">
        <w:t xml:space="preserve"> </w:t>
      </w:r>
      <w:r w:rsidR="00091FE5">
        <w:fldChar w:fldCharType="begin">
          <w:fldData xml:space="preserve">PEVuZE5vdGU+PENpdGU+PEF1dGhvcj5EaWNrZXI8L0F1dGhvcj48WWVhcj4yMDIxPC9ZZWFyPjxS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==
</w:fldData>
        </w:fldChar>
      </w:r>
      <w:r w:rsidR="00EE22EB">
        <w:instrText xml:space="preserve"> ADDIN EN.CITE </w:instrText>
      </w:r>
      <w:r w:rsidR="00EE22EB">
        <w:fldChar w:fldCharType="begin">
          <w:fldData xml:space="preserve">PEVuZE5vdGU+PENpdGU+PEF1dGhvcj5EaWNrZXI8L0F1dGhvcj48WWVhcj4yMDIxPC9ZZWFyPjxS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==
</w:fldData>
        </w:fldChar>
      </w:r>
      <w:r w:rsidR="00EE22EB">
        <w:instrText xml:space="preserve"> ADDIN EN.CITE.DATA </w:instrText>
      </w:r>
      <w:r w:rsidR="00EE22EB">
        <w:fldChar w:fldCharType="end"/>
      </w:r>
      <w:r w:rsidR="00091FE5">
        <w:fldChar w:fldCharType="separate"/>
      </w:r>
      <w:r w:rsidR="00EE22EB">
        <w:rPr>
          <w:noProof/>
        </w:rPr>
        <w:t>(Dicker et al., 2021)</w:t>
      </w:r>
      <w:r w:rsidR="00091FE5">
        <w:fldChar w:fldCharType="end"/>
      </w:r>
      <w:r w:rsidRPr="00241369">
        <w:t xml:space="preserve">. Those with very low diversity </w:t>
      </w:r>
      <w:r w:rsidR="009470BE">
        <w:t xml:space="preserve">in sputum </w:t>
      </w:r>
      <w:r w:rsidRPr="00241369">
        <w:t xml:space="preserve">have been associated with more rapid lung function decline </w:t>
      </w:r>
      <w:r>
        <w:fldChar w:fldCharType="begin"/>
      </w:r>
      <w:r w:rsidR="00EE22EB">
        <w:instrText xml:space="preserve"> ADDIN EN.CITE &lt;EndNote&gt;&lt;Cite&gt;&lt;Author&gt;Woo&lt;/Author&gt;&lt;Year&gt;2019&lt;/Year&gt;&lt;RecNum&gt;188&lt;/RecNum&gt;&lt;DisplayText&gt;(Woo et al., 2019)&lt;/DisplayText&gt;&lt;record&gt;&lt;rec-number&gt;188&lt;/rec-number&gt;&lt;foreign-keys&gt;&lt;key app="EN" db-id="pr9rwt2w8padxcerwx6prd0a9wtda2w5fw2t" timestamp="1629731697"&gt;188&lt;/key&gt;&lt;/foreign-keys&gt;&lt;ref-type name="Journal Article"&gt;17&lt;/ref-type&gt;&lt;contributors&gt;&lt;authors&gt;&lt;author&gt;Woo, T. E.&lt;/author&gt;&lt;author&gt;Lim, R.&lt;/author&gt;&lt;author&gt;Heirali, A. A.&lt;/author&gt;&lt;author&gt;Acosta, N.&lt;/author&gt;&lt;author&gt;Rabin, H. R.&lt;/author&gt;&lt;author&gt;Mody, C. H.&lt;/author&gt;&lt;author&gt;Somayaji, R.&lt;/author&gt;&lt;author&gt;Surette, M. G.&lt;/author&gt;&lt;author&gt;Sibley, C. D.&lt;/author&gt;&lt;author&gt;Storey, D. G.&lt;/author&gt;&lt;author&gt;Parkins, M. D.&lt;/author&gt;&lt;/authors&gt;&lt;/contributors&gt;&lt;titles&gt;&lt;title&gt;A longitudinal characterization of the Non-Cystic Fibrosis Bronchiectasis airway microbiome&lt;/title&gt;&lt;secondary-title&gt;Scientific Reports&lt;/secondary-title&gt;&lt;/titles&gt;&lt;periodical&gt;&lt;full-title&gt;Scientific reports&lt;/full-title&gt;&lt;abbr-1&gt;Sci Rep&lt;/abbr-1&gt;&lt;/periodical&gt;&lt;pages&gt;6871&lt;/pages&gt;&lt;volume&gt;9&lt;/volume&gt;&lt;number&gt;1&lt;/number&gt;&lt;dates&gt;&lt;year&gt;2019&lt;/year&gt;&lt;pub-dates&gt;&lt;date&gt;2019/05/03&lt;/date&gt;&lt;/pub-dates&gt;&lt;/dates&gt;&lt;isbn&gt;2045-2322&lt;/isbn&gt;&lt;urls&gt;&lt;related-urls&gt;&lt;url&gt;https://doi.org/10.1038/s41598-019-42862-y&lt;/url&gt;&lt;/related-urls&gt;&lt;/urls&gt;&lt;electronic-resource-num&gt;10.1038/s41598-019-42862-y&lt;/electronic-resource-num&gt;&lt;/record&gt;&lt;/Cite&gt;&lt;/EndNote&gt;</w:instrText>
      </w:r>
      <w:r>
        <w:fldChar w:fldCharType="separate"/>
      </w:r>
      <w:r w:rsidR="00EE22EB">
        <w:rPr>
          <w:noProof/>
        </w:rPr>
        <w:t>(Woo et al., 2019)</w:t>
      </w:r>
      <w:r>
        <w:fldChar w:fldCharType="end"/>
      </w:r>
      <w:r w:rsidRPr="00241369">
        <w:t xml:space="preserve">. It is difficult to establish the role of the microbiome in exacerbations, </w:t>
      </w:r>
      <w:r w:rsidR="002E3D70">
        <w:t>which</w:t>
      </w:r>
      <w:r w:rsidRPr="00241369">
        <w:t xml:space="preserve"> may</w:t>
      </w:r>
      <w:r w:rsidR="002E3D70">
        <w:t xml:space="preserve"> mostly</w:t>
      </w:r>
      <w:r w:rsidRPr="00241369">
        <w:t xml:space="preserve"> be caused by bacteria, viruses</w:t>
      </w:r>
      <w:r w:rsidR="009470BE">
        <w:t xml:space="preserve"> and </w:t>
      </w:r>
      <w:r w:rsidRPr="00241369">
        <w:t>other environmental factors</w:t>
      </w:r>
      <w:r w:rsidR="009470BE">
        <w:t>. T</w:t>
      </w:r>
      <w:r w:rsidRPr="00241369">
        <w:t xml:space="preserve">reatments such as antibiotics may also influence results. There are thus heterogenous changes reported in studies investigating the microbiome during exacerbations. Further research is required to understand these subtypes of exacerbations </w:t>
      </w:r>
      <w:r w:rsidRPr="00241369">
        <w:lastRenderedPageBreak/>
        <w:t>associated with different patterns seen within the lung microbiome</w:t>
      </w:r>
      <w:r>
        <w:t xml:space="preserve"> and </w:t>
      </w:r>
      <w:r w:rsidR="00FF7F9B">
        <w:t xml:space="preserve">this </w:t>
      </w:r>
      <w:r>
        <w:t xml:space="preserve">has recently been reviewed in detail by Richardson </w:t>
      </w:r>
      <w:r w:rsidR="000C7486">
        <w:t xml:space="preserve">et al </w:t>
      </w:r>
      <w:r>
        <w:fldChar w:fldCharType="begin"/>
      </w:r>
      <w:r w:rsidR="00EE22EB">
        <w:instrText xml:space="preserve"> ADDIN EN.CITE &lt;EndNote&gt;&lt;Cite&gt;&lt;Author&gt;Richardson&lt;/Author&gt;&lt;Year&gt;2019&lt;/Year&gt;&lt;RecNum&gt;220&lt;/RecNum&gt;&lt;DisplayText&gt;(Richardson et al., 2019)&lt;/DisplayText&gt;&lt;record&gt;&lt;rec-number&gt;220&lt;/rec-number&gt;&lt;foreign-keys&gt;&lt;key app="EN" db-id="pr9rwt2w8padxcerwx6prd0a9wtda2w5fw2t" timestamp="1629731697"&gt;220&lt;/key&gt;&lt;/foreign-keys&gt;&lt;ref-type name="Journal Article"&gt;17&lt;/ref-type&gt;&lt;contributors&gt;&lt;authors&gt;&lt;author&gt;Richardson, Hollian&lt;/author&gt;&lt;author&gt;Dicker, Alison J.&lt;/author&gt;&lt;author&gt;Barclay, Heather&lt;/author&gt;&lt;author&gt;Chalmers, James D.&lt;/author&gt;&lt;/authors&gt;&lt;/contributors&gt;&lt;titles&gt;&lt;title&gt;The microbiome in bronchiectasis&lt;/title&gt;&lt;secondary-title&gt;European Respiratory Review&lt;/secondary-title&gt;&lt;/titles&gt;&lt;periodical&gt;&lt;full-title&gt;European Respiratory Review&lt;/full-title&gt;&lt;/periodical&gt;&lt;pages&gt;190048&lt;/pages&gt;&lt;volume&gt;28&lt;/volume&gt;&lt;number&gt;153&lt;/number&gt;&lt;dates&gt;&lt;year&gt;2019&lt;/year&gt;&lt;/dates&gt;&lt;urls&gt;&lt;related-urls&gt;&lt;url&gt;http://err.ersjournals.com/content/28/153/190048.abstract&lt;/url&gt;&lt;/related-urls&gt;&lt;/urls&gt;&lt;electronic-resource-num&gt;10.1183/16000617.0048-2019&lt;/electronic-resource-num&gt;&lt;/record&gt;&lt;/Cite&gt;&lt;/EndNote&gt;</w:instrText>
      </w:r>
      <w:r>
        <w:fldChar w:fldCharType="separate"/>
      </w:r>
      <w:r w:rsidR="00EE22EB">
        <w:rPr>
          <w:noProof/>
        </w:rPr>
        <w:t>(Richardson et al., 2019)</w:t>
      </w:r>
      <w:r>
        <w:fldChar w:fldCharType="end"/>
      </w:r>
      <w:r>
        <w:t>.</w:t>
      </w:r>
      <w:r w:rsidR="002E3D70">
        <w:t xml:space="preserve"> </w:t>
      </w:r>
    </w:p>
    <w:p w14:paraId="778981D9" w14:textId="3C112FC0" w:rsidR="0021060C" w:rsidRDefault="000A1A2D" w:rsidP="002C53ED">
      <w:pPr>
        <w:spacing w:line="360" w:lineRule="auto"/>
      </w:pPr>
      <w:r>
        <w:t>Lower airway m</w:t>
      </w:r>
      <w:r w:rsidRPr="00241369">
        <w:t xml:space="preserve">icrobiome </w:t>
      </w:r>
      <w:r w:rsidR="0021060C" w:rsidRPr="00241369">
        <w:t>analysis in those with cystic fibrosis</w:t>
      </w:r>
      <w:r w:rsidR="0021060C">
        <w:t xml:space="preserve"> </w:t>
      </w:r>
      <w:r w:rsidR="00AE588B">
        <w:t xml:space="preserve">(CF) </w:t>
      </w:r>
      <w:r w:rsidR="0021060C" w:rsidRPr="00241369">
        <w:t xml:space="preserve">has shown that a decline in specific species such as </w:t>
      </w:r>
      <w:r w:rsidR="0021060C" w:rsidRPr="00241369">
        <w:rPr>
          <w:i/>
          <w:iCs/>
        </w:rPr>
        <w:t xml:space="preserve">Haemophilus </w:t>
      </w:r>
      <w:r w:rsidR="00290D75" w:rsidRPr="00241369">
        <w:t>prece</w:t>
      </w:r>
      <w:r w:rsidR="00290D75">
        <w:t>des</w:t>
      </w:r>
      <w:r w:rsidR="0021060C" w:rsidRPr="00241369">
        <w:t xml:space="preserve"> colonization with </w:t>
      </w:r>
      <w:r w:rsidR="0021060C" w:rsidRPr="00241369">
        <w:rPr>
          <w:i/>
          <w:iCs/>
        </w:rPr>
        <w:t>P. aeruginosa</w:t>
      </w:r>
      <w:r w:rsidR="0021060C" w:rsidRPr="00241369">
        <w:t xml:space="preserve">. </w:t>
      </w:r>
      <w:r w:rsidR="00BE5066">
        <w:t>O</w:t>
      </w:r>
      <w:r w:rsidR="0021060C" w:rsidRPr="00241369">
        <w:t xml:space="preserve">rganisms identified on standard clinical culture, such as </w:t>
      </w:r>
      <w:r w:rsidR="0021060C" w:rsidRPr="00241369">
        <w:rPr>
          <w:i/>
          <w:iCs/>
        </w:rPr>
        <w:t>P. aeruginosa</w:t>
      </w:r>
      <w:r w:rsidR="0021060C" w:rsidRPr="00241369">
        <w:t xml:space="preserve">, </w:t>
      </w:r>
      <w:r w:rsidR="0021060C" w:rsidRPr="00241369">
        <w:rPr>
          <w:i/>
          <w:iCs/>
        </w:rPr>
        <w:t>S</w:t>
      </w:r>
      <w:r w:rsidR="009842BB">
        <w:rPr>
          <w:i/>
          <w:iCs/>
        </w:rPr>
        <w:t>. aureus</w:t>
      </w:r>
      <w:r w:rsidR="0021060C" w:rsidRPr="00241369">
        <w:t xml:space="preserve"> and </w:t>
      </w:r>
      <w:proofErr w:type="spellStart"/>
      <w:r w:rsidR="0021060C" w:rsidRPr="00241369">
        <w:rPr>
          <w:i/>
          <w:iCs/>
        </w:rPr>
        <w:t>Burkholderia</w:t>
      </w:r>
      <w:proofErr w:type="spellEnd"/>
      <w:r w:rsidR="009842BB">
        <w:rPr>
          <w:i/>
          <w:iCs/>
        </w:rPr>
        <w:t xml:space="preserve"> </w:t>
      </w:r>
      <w:proofErr w:type="spellStart"/>
      <w:r w:rsidR="009842BB">
        <w:rPr>
          <w:i/>
          <w:iCs/>
        </w:rPr>
        <w:t>spp</w:t>
      </w:r>
      <w:proofErr w:type="spellEnd"/>
      <w:r w:rsidR="0021060C" w:rsidRPr="00241369">
        <w:t xml:space="preserve">, may be core members of the microbiome </w:t>
      </w:r>
      <w:r w:rsidR="0021060C">
        <w:fldChar w:fldCharType="begin"/>
      </w:r>
      <w:r w:rsidR="00CD2C33">
        <w:instrText xml:space="preserve"> ADDIN EN.CITE &lt;EndNote&gt;&lt;Cite&gt;&lt;Author&gt;Huang&lt;/Author&gt;&lt;Year&gt;2016&lt;/Year&gt;&lt;RecNum&gt;250&lt;/RecNum&gt;&lt;DisplayText&gt;(Huang et al., 2016)&lt;/DisplayText&gt;&lt;record&gt;&lt;rec-number&gt;250&lt;/rec-number&gt;&lt;foreign-keys&gt;&lt;key app="EN" db-id="pr9rwt2w8padxcerwx6prd0a9wtda2w5fw2t" timestamp="1629731697"&gt;250&lt;/key&gt;&lt;/foreign-keys&gt;&lt;ref-type name="Journal Article"&gt;17&lt;/ref-type&gt;&lt;contributors&gt;&lt;authors&gt;&lt;author&gt;Huang, Y. J.&lt;/author&gt;&lt;author&gt;LiPuma, J. J.&lt;/author&gt;&lt;/authors&gt;&lt;/contributors&gt;&lt;auth-address&gt;Division of Pulmonary/Critical Care Medicine, University of Michigan Medical School, 6301 MSRB III/SPC 5642, 1150 West Medical Center Drive, Ann Arbor, MI 48109, USA. Electronic address: yvjhuang@umich.edu.&amp;#xD;Department of Pediatrics and Communicable Diseases, University of Michigan Medical School, 8323 MSRB III/SPC 5646, 1150 West Medical Center Drive, Ann Arbor, MI 48109, USA.&lt;/auth-address&gt;&lt;titles&gt;&lt;title&gt;The Microbiome in Cystic Fibrosis&lt;/title&gt;&lt;secondary-title&gt;Clin Chest Med&lt;/secondary-title&gt;&lt;/titles&gt;&lt;periodical&gt;&lt;full-title&gt;Clin Chest Med&lt;/full-title&gt;&lt;/periodical&gt;&lt;pages&gt;59-67&lt;/pages&gt;&lt;volume&gt;37&lt;/volume&gt;&lt;number&gt;1&lt;/number&gt;&lt;edition&gt;2016/02/10&lt;/edition&gt;&lt;keywords&gt;&lt;keyword&gt;Bacterial Infections/*complications/microbiology&lt;/keyword&gt;&lt;keyword&gt;Cystic Fibrosis/*complications/microbiology&lt;/keyword&gt;&lt;keyword&gt;Humans&lt;/keyword&gt;&lt;keyword&gt;Lung/*microbiology&lt;/keyword&gt;&lt;keyword&gt;*Microbiota&lt;/keyword&gt;&lt;keyword&gt;Bacteria&lt;/keyword&gt;&lt;keyword&gt;Culture-independent&lt;/keyword&gt;&lt;keyword&gt;Fungi&lt;/keyword&gt;&lt;keyword&gt;Gut&lt;/keyword&gt;&lt;keyword&gt;Lung&lt;/keyword&gt;&lt;keyword&gt;Microbiota&lt;/keyword&gt;&lt;keyword&gt;Virus&lt;/keyword&gt;&lt;/keywords&gt;&lt;dates&gt;&lt;year&gt;2016&lt;/year&gt;&lt;pub-dates&gt;&lt;date&gt;Mar&lt;/date&gt;&lt;/pub-dates&gt;&lt;/dates&gt;&lt;isbn&gt;0272-5231&lt;/isbn&gt;&lt;accession-num&gt;26857768&lt;/accession-num&gt;&lt;urls&gt;&lt;/urls&gt;&lt;custom2&gt;PMC5154676&lt;/custom2&gt;&lt;custom6&gt;NIHMS747302&lt;/custom6&gt;&lt;electronic-resource-num&gt;10.1016/j.ccm.2015.10.003&lt;/electronic-resource-num&gt;&lt;remote-database-provider&gt;NLM&lt;/remote-database-provider&gt;&lt;language&gt;eng&lt;/language&gt;&lt;/record&gt;&lt;/Cite&gt;&lt;/EndNote&gt;</w:instrText>
      </w:r>
      <w:r w:rsidR="0021060C">
        <w:fldChar w:fldCharType="separate"/>
      </w:r>
      <w:r w:rsidR="00CD2C33">
        <w:rPr>
          <w:noProof/>
        </w:rPr>
        <w:t>(Huang et al., 2016)</w:t>
      </w:r>
      <w:r w:rsidR="0021060C">
        <w:fldChar w:fldCharType="end"/>
      </w:r>
      <w:r w:rsidR="0021060C" w:rsidRPr="00241369">
        <w:t xml:space="preserve">. Culture-independent analyses have </w:t>
      </w:r>
      <w:r w:rsidR="009842BB">
        <w:t>yielded</w:t>
      </w:r>
      <w:r w:rsidR="0021060C" w:rsidRPr="00241369">
        <w:t xml:space="preserve"> similar findings but in addition</w:t>
      </w:r>
      <w:r w:rsidR="0021060C">
        <w:t>,</w:t>
      </w:r>
      <w:r w:rsidR="0021060C" w:rsidRPr="00241369">
        <w:t xml:space="preserve"> other anaerobic</w:t>
      </w:r>
      <w:r w:rsidR="0021060C">
        <w:t xml:space="preserve"> species </w:t>
      </w:r>
      <w:r w:rsidR="009842BB" w:rsidRPr="00241369">
        <w:t xml:space="preserve">such as </w:t>
      </w:r>
      <w:proofErr w:type="spellStart"/>
      <w:r w:rsidR="009842BB" w:rsidRPr="003E1B44">
        <w:rPr>
          <w:i/>
          <w:iCs/>
        </w:rPr>
        <w:t>Porphyromonas</w:t>
      </w:r>
      <w:proofErr w:type="spellEnd"/>
      <w:r w:rsidR="009842BB" w:rsidRPr="00241369">
        <w:t xml:space="preserve">, </w:t>
      </w:r>
      <w:proofErr w:type="spellStart"/>
      <w:r w:rsidR="009842BB" w:rsidRPr="003E1B44">
        <w:rPr>
          <w:i/>
          <w:iCs/>
        </w:rPr>
        <w:t>Prevotella</w:t>
      </w:r>
      <w:proofErr w:type="spellEnd"/>
      <w:r w:rsidR="009842BB" w:rsidRPr="00241369">
        <w:t xml:space="preserve"> and </w:t>
      </w:r>
      <w:proofErr w:type="spellStart"/>
      <w:r w:rsidR="009842BB" w:rsidRPr="003E1B44">
        <w:rPr>
          <w:i/>
          <w:iCs/>
        </w:rPr>
        <w:t>Veillonella</w:t>
      </w:r>
      <w:proofErr w:type="spellEnd"/>
      <w:r w:rsidR="009842BB" w:rsidRPr="00241369">
        <w:t xml:space="preserve"> genera</w:t>
      </w:r>
      <w:r w:rsidR="009842BB">
        <w:t xml:space="preserve"> </w:t>
      </w:r>
      <w:r w:rsidR="0021060C">
        <w:t>contribute</w:t>
      </w:r>
      <w:r w:rsidR="0021060C" w:rsidRPr="00241369">
        <w:t xml:space="preserve"> to the core microbiota </w:t>
      </w:r>
      <w:r w:rsidR="0021060C">
        <w:fldChar w:fldCharType="begin"/>
      </w:r>
      <w:r w:rsidR="00EE22EB">
        <w:instrText xml:space="preserve"> ADDIN EN.CITE &lt;EndNote&gt;&lt;Cite&gt;&lt;Author&gt;van der Gast&lt;/Author&gt;&lt;Year&gt;2011&lt;/Year&gt;&lt;RecNum&gt;251&lt;/RecNum&gt;&lt;DisplayText&gt;(van der Gast et al., 2011)&lt;/DisplayText&gt;&lt;record&gt;&lt;rec-number&gt;251&lt;/rec-number&gt;&lt;foreign-keys&gt;&lt;key app="EN" db-id="pr9rwt2w8padxcerwx6prd0a9wtda2w5fw2t" timestamp="1629731697"&gt;251&lt;/key&gt;&lt;/foreign-keys&gt;&lt;ref-type name="Journal Article"&gt;17&lt;/ref-type&gt;&lt;contributors&gt;&lt;authors&gt;&lt;author&gt;van der Gast, Christopher J.&lt;/author&gt;&lt;author&gt;Walker, Alan W.&lt;/author&gt;&lt;author&gt;Stressmann, Franziska A.&lt;/author&gt;&lt;author&gt;Rogers, Geraint B.&lt;/author&gt;&lt;author&gt;Scott, Paul&lt;/author&gt;&lt;author&gt;Daniels, Thomas W.&lt;/author&gt;&lt;author&gt;Carroll, Mary P.&lt;/author&gt;&lt;author&gt;Parkhill, Julian&lt;/author&gt;&lt;author&gt;Bruce, Kenneth D.&lt;/author&gt;&lt;/authors&gt;&lt;/contributors&gt;&lt;titles&gt;&lt;title&gt;Partitioning core and satellite taxa from within cystic fibrosis lung bacterial communities&lt;/title&gt;&lt;secondary-title&gt;The ISME Journal&lt;/secondary-title&gt;&lt;/titles&gt;&lt;periodical&gt;&lt;full-title&gt;The ISME Journal&lt;/full-title&gt;&lt;/periodical&gt;&lt;pages&gt;780-791&lt;/pages&gt;&lt;volume&gt;5&lt;/volume&gt;&lt;number&gt;5&lt;/number&gt;&lt;dates&gt;&lt;year&gt;2011&lt;/year&gt;&lt;pub-dates&gt;&lt;date&gt;2011/05/01&lt;/date&gt;&lt;/pub-dates&gt;&lt;/dates&gt;&lt;isbn&gt;1751-7370&lt;/isbn&gt;&lt;urls&gt;&lt;related-urls&gt;&lt;url&gt;https://doi.org/10.1038/ismej.2010.175&lt;/url&gt;&lt;/related-urls&gt;&lt;/urls&gt;&lt;electronic-resource-num&gt;10.1038/ismej.2010.175&lt;/electronic-resource-num&gt;&lt;/record&gt;&lt;/Cite&gt;&lt;/EndNote&gt;</w:instrText>
      </w:r>
      <w:r w:rsidR="0021060C">
        <w:fldChar w:fldCharType="separate"/>
      </w:r>
      <w:r w:rsidR="00EE22EB">
        <w:rPr>
          <w:noProof/>
        </w:rPr>
        <w:t>(van der Gast et al., 2011)</w:t>
      </w:r>
      <w:r w:rsidR="0021060C">
        <w:fldChar w:fldCharType="end"/>
      </w:r>
      <w:r w:rsidR="0021060C" w:rsidRPr="00241369">
        <w:t xml:space="preserve">. </w:t>
      </w:r>
      <w:r w:rsidR="00F82A6B">
        <w:t>Previously it was thought that</w:t>
      </w:r>
      <w:r w:rsidR="009842BB">
        <w:t>,</w:t>
      </w:r>
      <w:r w:rsidR="00F82A6B">
        <w:t xml:space="preserve"> w</w:t>
      </w:r>
      <w:r w:rsidR="0021060C" w:rsidRPr="00241369">
        <w:t xml:space="preserve">hilst microbial airway community compositions vary greatly among patients, they are often relatively stable in individuals with </w:t>
      </w:r>
      <w:r w:rsidR="0021060C">
        <w:t xml:space="preserve">CF </w:t>
      </w:r>
      <w:r w:rsidR="0021060C" w:rsidRPr="00241369">
        <w:t xml:space="preserve">over time </w:t>
      </w:r>
      <w:r w:rsidR="0021060C">
        <w:fldChar w:fldCharType="begin"/>
      </w:r>
      <w:r w:rsidR="00CD2C33">
        <w:instrText xml:space="preserve"> ADDIN EN.CITE &lt;EndNote&gt;&lt;Cite&gt;&lt;Author&gt;Huang&lt;/Author&gt;&lt;Year&gt;2016&lt;/Year&gt;&lt;RecNum&gt;250&lt;/RecNum&gt;&lt;DisplayText&gt;(Huang et al., 2016)&lt;/DisplayText&gt;&lt;record&gt;&lt;rec-number&gt;250&lt;/rec-number&gt;&lt;foreign-keys&gt;&lt;key app="EN" db-id="pr9rwt2w8padxcerwx6prd0a9wtda2w5fw2t" timestamp="1629731697"&gt;250&lt;/key&gt;&lt;/foreign-keys&gt;&lt;ref-type name="Journal Article"&gt;17&lt;/ref-type&gt;&lt;contributors&gt;&lt;authors&gt;&lt;author&gt;Huang, Y. J.&lt;/author&gt;&lt;author&gt;LiPuma, J. J.&lt;/author&gt;&lt;/authors&gt;&lt;/contributors&gt;&lt;auth-address&gt;Division of Pulmonary/Critical Care Medicine, University of Michigan Medical School, 6301 MSRB III/SPC 5642, 1150 West Medical Center Drive, Ann Arbor, MI 48109, USA. Electronic address: yvjhuang@umich.edu.&amp;#xD;Department of Pediatrics and Communicable Diseases, University of Michigan Medical School, 8323 MSRB III/SPC 5646, 1150 West Medical Center Drive, Ann Arbor, MI 48109, USA.&lt;/auth-address&gt;&lt;titles&gt;&lt;title&gt;The Microbiome in Cystic Fibrosis&lt;/title&gt;&lt;secondary-title&gt;Clin Chest Med&lt;/secondary-title&gt;&lt;/titles&gt;&lt;periodical&gt;&lt;full-title&gt;Clin Chest Med&lt;/full-title&gt;&lt;/periodical&gt;&lt;pages&gt;59-67&lt;/pages&gt;&lt;volume&gt;37&lt;/volume&gt;&lt;number&gt;1&lt;/number&gt;&lt;edition&gt;2016/02/10&lt;/edition&gt;&lt;keywords&gt;&lt;keyword&gt;Bacterial Infections/*complications/microbiology&lt;/keyword&gt;&lt;keyword&gt;Cystic Fibrosis/*complications/microbiology&lt;/keyword&gt;&lt;keyword&gt;Humans&lt;/keyword&gt;&lt;keyword&gt;Lung/*microbiology&lt;/keyword&gt;&lt;keyword&gt;*Microbiota&lt;/keyword&gt;&lt;keyword&gt;Bacteria&lt;/keyword&gt;&lt;keyword&gt;Culture-independent&lt;/keyword&gt;&lt;keyword&gt;Fungi&lt;/keyword&gt;&lt;keyword&gt;Gut&lt;/keyword&gt;&lt;keyword&gt;Lung&lt;/keyword&gt;&lt;keyword&gt;Microbiota&lt;/keyword&gt;&lt;keyword&gt;Virus&lt;/keyword&gt;&lt;/keywords&gt;&lt;dates&gt;&lt;year&gt;2016&lt;/year&gt;&lt;pub-dates&gt;&lt;date&gt;Mar&lt;/date&gt;&lt;/pub-dates&gt;&lt;/dates&gt;&lt;isbn&gt;0272-5231&lt;/isbn&gt;&lt;accession-num&gt;26857768&lt;/accession-num&gt;&lt;urls&gt;&lt;/urls&gt;&lt;custom2&gt;PMC5154676&lt;/custom2&gt;&lt;custom6&gt;NIHMS747302&lt;/custom6&gt;&lt;electronic-resource-num&gt;10.1016/j.ccm.2015.10.003&lt;/electronic-resource-num&gt;&lt;remote-database-provider&gt;NLM&lt;/remote-database-provider&gt;&lt;language&gt;eng&lt;/language&gt;&lt;/record&gt;&lt;/Cite&gt;&lt;/EndNote&gt;</w:instrText>
      </w:r>
      <w:r w:rsidR="0021060C">
        <w:fldChar w:fldCharType="separate"/>
      </w:r>
      <w:r w:rsidR="00CD2C33">
        <w:rPr>
          <w:noProof/>
        </w:rPr>
        <w:t>(Huang et al., 2016)</w:t>
      </w:r>
      <w:r w:rsidR="0021060C">
        <w:fldChar w:fldCharType="end"/>
      </w:r>
      <w:r w:rsidR="0021060C" w:rsidRPr="00241369">
        <w:t xml:space="preserve">. </w:t>
      </w:r>
      <w:r w:rsidR="00F82A6B">
        <w:t xml:space="preserve">More recently however, adolescents with CF </w:t>
      </w:r>
      <w:r w:rsidR="009842BB">
        <w:t>displaying</w:t>
      </w:r>
      <w:r w:rsidR="00F82A6B">
        <w:t xml:space="preserve"> a dynamic and diverse lung microbiome </w:t>
      </w:r>
      <w:r w:rsidR="009842BB">
        <w:t>were shown to have</w:t>
      </w:r>
      <w:r w:rsidR="00197029">
        <w:t xml:space="preserve"> slower decline of lung function compared to those with a more stable and less diverse lung microbiome</w:t>
      </w:r>
      <w:r w:rsidR="0023380C">
        <w:t xml:space="preserve"> </w:t>
      </w:r>
      <w:r w:rsidR="0023380C">
        <w:fldChar w:fldCharType="begin"/>
      </w:r>
      <w:r w:rsidR="00EE22EB">
        <w:instrText xml:space="preserve"> ADDIN EN.CITE &lt;EndNote&gt;&lt;Cite&gt;&lt;Author&gt;Metzger&lt;/Author&gt;&lt;Year&gt;2021&lt;/Year&gt;&lt;RecNum&gt;417&lt;/RecNum&gt;&lt;DisplayText&gt;(Metzger et al., 2021)&lt;/DisplayText&gt;&lt;record&gt;&lt;rec-number&gt;417&lt;/rec-number&gt;&lt;foreign-keys&gt;&lt;key app="EN" db-id="pr9rwt2w8padxcerwx6prd0a9wtda2w5fw2t" timestamp="1648049180"&gt;417&lt;/key&gt;&lt;/foreign-keys&gt;&lt;ref-type name="Journal Article"&gt;17&lt;/ref-type&gt;&lt;contributors&gt;&lt;authors&gt;&lt;author&gt;Metzger, Marisa I.&lt;/author&gt;&lt;author&gt;Graeber, Simon Y.&lt;/author&gt;&lt;author&gt;Stahl, Mirjam&lt;/author&gt;&lt;author&gt;Sommerburg, Olaf&lt;/author&gt;&lt;author&gt;Mall, Marcus A.&lt;/author&gt;&lt;author&gt;Dalpke, Alexander H.&lt;/author&gt;&lt;author&gt;Boutin, Sébastien&lt;/author&gt;&lt;/authors&gt;&lt;/contributors&gt;&lt;titles&gt;&lt;title&gt;A Volatile and Dynamic Longitudinal Microbiome Is Associated With Less Reduction in Lung Function in Adolescents With Cystic Fibrosis&lt;/title&gt;&lt;secondary-title&gt;Frontiers in cellular and infection microbiology&lt;/secondary-title&gt;&lt;alt-title&gt;Front Cell Infect Microbiol&lt;/alt-title&gt;&lt;/titles&gt;&lt;alt-periodical&gt;&lt;full-title&gt;Front Cell Infect Microbiol&lt;/full-title&gt;&lt;/alt-periodical&gt;&lt;pages&gt;763121-763121&lt;/pages&gt;&lt;volume&gt;11&lt;/volume&gt;&lt;keywords&gt;&lt;keyword&gt;*Pseudomonas aeruginosa&lt;/keyword&gt;&lt;keyword&gt;*adolescent&lt;/keyword&gt;&lt;keyword&gt;*cystic fibrosis&lt;/keyword&gt;&lt;keyword&gt;*longitudinal study&lt;/keyword&gt;&lt;keyword&gt;*lung microbiome&lt;/keyword&gt;&lt;keyword&gt;*volatility analysis&lt;/keyword&gt;&lt;keyword&gt;Adolescent&lt;/keyword&gt;&lt;keyword&gt;Cross-Sectional Studies&lt;/keyword&gt;&lt;keyword&gt;*Cystic Fibrosis/complications&lt;/keyword&gt;&lt;keyword&gt;Humans&lt;/keyword&gt;&lt;keyword&gt;Lung&lt;/keyword&gt;&lt;keyword&gt;*Microbiota&lt;/keyword&gt;&lt;keyword&gt;RNA, Ribosomal, 16S/genetics&lt;/keyword&gt;&lt;keyword&gt;Sputum&lt;/keyword&gt;&lt;/keywords&gt;&lt;dates&gt;&lt;year&gt;2021&lt;/year&gt;&lt;/dates&gt;&lt;publisher&gt;Frontiers Media S.A.&lt;/publisher&gt;&lt;isbn&gt;2235-2988&lt;/isbn&gt;&lt;accession-num&gt;34938669&lt;/accession-num&gt;&lt;urls&gt;&lt;related-urls&gt;&lt;url&gt;https://pubmed.ncbi.nlm.nih.gov/34938669&lt;/url&gt;&lt;url&gt;https://www.ncbi.nlm.nih.gov/pmc/articles/PMC8687143/&lt;/url&gt;&lt;/related-urls&gt;&lt;/urls&gt;&lt;electronic-resource-num&gt;10.3389/fcimb.2021.763121&lt;/electronic-resource-num&gt;&lt;remote-database-name&gt;PubMed&lt;/remote-database-name&gt;&lt;language&gt;eng&lt;/language&gt;&lt;/record&gt;&lt;/Cite&gt;&lt;/EndNote&gt;</w:instrText>
      </w:r>
      <w:r w:rsidR="0023380C">
        <w:fldChar w:fldCharType="separate"/>
      </w:r>
      <w:r w:rsidR="00EE22EB">
        <w:rPr>
          <w:noProof/>
        </w:rPr>
        <w:t>(Metzger et al., 2021)</w:t>
      </w:r>
      <w:r w:rsidR="0023380C">
        <w:fldChar w:fldCharType="end"/>
      </w:r>
      <w:r w:rsidR="00197029">
        <w:t>.</w:t>
      </w:r>
      <w:r w:rsidR="0023380C">
        <w:t xml:space="preserve"> </w:t>
      </w:r>
      <w:r w:rsidR="00096324">
        <w:t>Untargeted</w:t>
      </w:r>
      <w:r w:rsidR="0023380C">
        <w:t xml:space="preserve"> metabolomics</w:t>
      </w:r>
      <w:r w:rsidR="00096324">
        <w:t xml:space="preserve"> and quantitative metagenomics has allowed further characterisation of the cystic fibrosis lung microbiome. Silveira et al </w:t>
      </w:r>
      <w:r w:rsidR="00B128AD">
        <w:t>report</w:t>
      </w:r>
      <w:r w:rsidR="00096324">
        <w:t xml:space="preserve"> that during rapid periods of lung function loss, </w:t>
      </w:r>
      <w:r w:rsidR="00B128AD">
        <w:t xml:space="preserve">accumulation of fermentation products from anaerobic bacteria opens a niche for </w:t>
      </w:r>
      <w:r w:rsidR="00B128AD" w:rsidRPr="001D04B2">
        <w:rPr>
          <w:i/>
          <w:iCs/>
        </w:rPr>
        <w:t>P. aeruginosa</w:t>
      </w:r>
      <w:r w:rsidR="00B128AD">
        <w:t xml:space="preserve">. The use of clindamycin reduced the abundance of </w:t>
      </w:r>
      <w:r w:rsidR="00B128AD" w:rsidRPr="001D04B2">
        <w:rPr>
          <w:i/>
          <w:iCs/>
        </w:rPr>
        <w:t>P. aeruginosa</w:t>
      </w:r>
      <w:r w:rsidR="00B128AD">
        <w:t xml:space="preserve"> despite </w:t>
      </w:r>
      <w:r w:rsidR="009842BB">
        <w:t xml:space="preserve">its resistance </w:t>
      </w:r>
      <w:r w:rsidR="00B128AD">
        <w:t xml:space="preserve">to this </w:t>
      </w:r>
      <w:r w:rsidR="00FF55FC">
        <w:t>antibiotic, perhaps</w:t>
      </w:r>
      <w:r w:rsidR="00B128AD">
        <w:t xml:space="preserve"> </w:t>
      </w:r>
      <w:r w:rsidR="009842BB">
        <w:t xml:space="preserve">indicating </w:t>
      </w:r>
      <w:r w:rsidR="00B128AD">
        <w:t>depend</w:t>
      </w:r>
      <w:r w:rsidR="001B0DE8">
        <w:t>enc</w:t>
      </w:r>
      <w:r w:rsidR="009842BB">
        <w:t>e</w:t>
      </w:r>
      <w:r w:rsidR="001B0DE8">
        <w:t xml:space="preserve"> of </w:t>
      </w:r>
      <w:r w:rsidR="001B0DE8" w:rsidRPr="001D04B2">
        <w:rPr>
          <w:i/>
          <w:iCs/>
        </w:rPr>
        <w:t>P.</w:t>
      </w:r>
      <w:r w:rsidR="00C47244">
        <w:rPr>
          <w:i/>
          <w:iCs/>
        </w:rPr>
        <w:t xml:space="preserve"> </w:t>
      </w:r>
      <w:r w:rsidR="001B0DE8" w:rsidRPr="001D04B2">
        <w:rPr>
          <w:i/>
          <w:iCs/>
        </w:rPr>
        <w:t>aeruginosa</w:t>
      </w:r>
      <w:r w:rsidR="001B0DE8">
        <w:t xml:space="preserve"> on anaerobic bacteria </w:t>
      </w:r>
      <w:r w:rsidR="00294C3A">
        <w:t>metabolites</w:t>
      </w:r>
      <w:r w:rsidR="001B0DE8">
        <w:t xml:space="preserve"> </w:t>
      </w:r>
      <w:r w:rsidR="001B0DE8">
        <w:fldChar w:fldCharType="begin">
          <w:fldData xml:space="preserve">PEVuZE5vdGU+PENpdGU+PEF1dGhvcj5TaWx2ZWlyYTwvQXV0aG9yPjxZZWFyPjIwMjE8L1llYXI+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</w:fldData>
        </w:fldChar>
      </w:r>
      <w:r w:rsidR="00EE22EB">
        <w:instrText xml:space="preserve"> ADDIN EN.CITE </w:instrText>
      </w:r>
      <w:r w:rsidR="00EE22EB">
        <w:fldChar w:fldCharType="begin">
          <w:fldData xml:space="preserve">PEVuZE5vdGU+PENpdGU+PEF1dGhvcj5TaWx2ZWlyYTwvQXV0aG9yPjxZZWFyPjIwMjE8L1llYXI+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</w:fldData>
        </w:fldChar>
      </w:r>
      <w:r w:rsidR="00EE22EB">
        <w:instrText xml:space="preserve"> ADDIN EN.CITE.DATA </w:instrText>
      </w:r>
      <w:r w:rsidR="00EE22EB">
        <w:fldChar w:fldCharType="end"/>
      </w:r>
      <w:r w:rsidR="001B0DE8">
        <w:fldChar w:fldCharType="separate"/>
      </w:r>
      <w:r w:rsidR="00EE22EB">
        <w:rPr>
          <w:noProof/>
        </w:rPr>
        <w:t>(Silveira et al., 2021)</w:t>
      </w:r>
      <w:r w:rsidR="001B0DE8">
        <w:fldChar w:fldCharType="end"/>
      </w:r>
      <w:r w:rsidR="001B0DE8">
        <w:t xml:space="preserve">. </w:t>
      </w:r>
      <w:r w:rsidR="0021060C">
        <w:t>The microbiome in cystic fibrosis pulmonary disease has been recently reviewed by Francoise et al</w:t>
      </w:r>
      <w:r w:rsidR="00294C3A">
        <w:t>.</w:t>
      </w:r>
      <w:r w:rsidR="0021060C">
        <w:t xml:space="preserve"> </w:t>
      </w:r>
      <w:r w:rsidR="0021060C">
        <w:fldChar w:fldCharType="begin">
          <w:fldData xml:space="preserve">PEVuZE5vdGU+PENpdGU+PEF1dGhvcj5GcmFuw6dvaXNlPC9BdXRob3I+PFllYXI+MjAyMDwvWWVh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</w:fldData>
        </w:fldChar>
      </w:r>
      <w:r w:rsidR="00CD2C33">
        <w:instrText xml:space="preserve"> ADDIN EN.CITE </w:instrText>
      </w:r>
      <w:r w:rsidR="00CD2C33">
        <w:fldChar w:fldCharType="begin">
          <w:fldData xml:space="preserve">PEVuZE5vdGU+PENpdGU+PEF1dGhvcj5GcmFuw6dvaXNlPC9BdXRob3I+PFllYXI+MjAyMDwvWWVh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</w:fldData>
        </w:fldChar>
      </w:r>
      <w:r w:rsidR="00CD2C33">
        <w:instrText xml:space="preserve"> ADDIN EN.CITE.DATA </w:instrText>
      </w:r>
      <w:r w:rsidR="00CD2C33">
        <w:fldChar w:fldCharType="end"/>
      </w:r>
      <w:r w:rsidR="0021060C">
        <w:fldChar w:fldCharType="separate"/>
      </w:r>
      <w:r w:rsidR="00CD2C33">
        <w:rPr>
          <w:noProof/>
        </w:rPr>
        <w:t>(Françoise et al., 2020)</w:t>
      </w:r>
      <w:r w:rsidR="0021060C">
        <w:fldChar w:fldCharType="end"/>
      </w:r>
      <w:r w:rsidR="0021060C">
        <w:t xml:space="preserve">. </w:t>
      </w:r>
      <w:r w:rsidR="0021060C" w:rsidRPr="00241369">
        <w:t xml:space="preserve">As the microbiome </w:t>
      </w:r>
      <w:r w:rsidR="00091FE5">
        <w:t xml:space="preserve">and complex interaction networks </w:t>
      </w:r>
      <w:r w:rsidR="0021060C" w:rsidRPr="00241369">
        <w:t>become better understood</w:t>
      </w:r>
      <w:r w:rsidR="0021060C">
        <w:t>,</w:t>
      </w:r>
      <w:r w:rsidR="0021060C" w:rsidRPr="00241369">
        <w:t xml:space="preserve"> the challenge will be to see if clinical outcomes can be influenced by manipulating the airway microbiome, or </w:t>
      </w:r>
      <w:r w:rsidR="00294C3A">
        <w:t>if it can be used to</w:t>
      </w:r>
      <w:r w:rsidR="00294C3A" w:rsidRPr="00241369">
        <w:t xml:space="preserve"> </w:t>
      </w:r>
      <w:r w:rsidR="0021060C" w:rsidRPr="00241369">
        <w:t xml:space="preserve">prognosticate disease progression and complications. </w:t>
      </w:r>
    </w:p>
    <w:p w14:paraId="590CADD5" w14:textId="77777777" w:rsidR="00194324" w:rsidRDefault="00194324" w:rsidP="002C53ED">
      <w:pPr>
        <w:spacing w:line="360" w:lineRule="auto"/>
      </w:pPr>
    </w:p>
    <w:p w14:paraId="2415C4E8" w14:textId="77777777" w:rsidR="00C320B6" w:rsidRPr="00241369" w:rsidRDefault="00C320B6" w:rsidP="00C320B6">
      <w:pPr>
        <w:pStyle w:val="Heading3"/>
        <w:spacing w:before="0" w:line="360" w:lineRule="auto"/>
      </w:pPr>
      <w:bookmarkStart w:id="49" w:name="_Toc117765894"/>
      <w:r w:rsidRPr="00241369">
        <w:t xml:space="preserve">The lung microbiome in </w:t>
      </w:r>
      <w:r>
        <w:t>protracted bacterial</w:t>
      </w:r>
      <w:r w:rsidRPr="00241369">
        <w:t xml:space="preserve"> bronchitis</w:t>
      </w:r>
      <w:bookmarkEnd w:id="49"/>
    </w:p>
    <w:p w14:paraId="722FB618" w14:textId="77777777" w:rsidR="00C320B6" w:rsidRPr="00C735E9" w:rsidRDefault="00C320B6" w:rsidP="00C320B6">
      <w:pPr>
        <w:spacing w:line="360" w:lineRule="auto"/>
      </w:pPr>
      <w:r w:rsidRPr="00241369">
        <w:t xml:space="preserve">Few studies have been carried out looking at the microbiota of children with PBB. </w:t>
      </w:r>
      <w:r>
        <w:t xml:space="preserve"> An early study </w:t>
      </w:r>
      <w:r w:rsidRPr="00241369">
        <w:t>demonstrated that children with CF</w:t>
      </w:r>
      <w:r>
        <w:t xml:space="preserve"> (25 subjects)</w:t>
      </w:r>
      <w:r w:rsidRPr="00241369">
        <w:t xml:space="preserve">, </w:t>
      </w:r>
      <w:r>
        <w:t xml:space="preserve">non-CF </w:t>
      </w:r>
      <w:r w:rsidRPr="00241369">
        <w:t>bronchiectasis</w:t>
      </w:r>
      <w:r>
        <w:t xml:space="preserve"> (19 subjects)</w:t>
      </w:r>
      <w:r w:rsidRPr="00241369">
        <w:t xml:space="preserve"> and PBB</w:t>
      </w:r>
      <w:r>
        <w:t xml:space="preserve"> (12 subjects)</w:t>
      </w:r>
      <w:r w:rsidRPr="00241369">
        <w:t xml:space="preserve"> had similar core microbiota, perhaps suggesting a link between these diseases</w:t>
      </w:r>
      <w:r>
        <w:t xml:space="preserve"> </w:t>
      </w:r>
      <w:r>
        <w:fldChar w:fldCharType="begin">
          <w:fldData xml:space="preserve">PEVuZE5vdGU+PENpdGU+PEF1dGhvcj52YW4gZGVyIEdhc3Q8L0F1dGhvcj48WWVhcj4yMDE0PC9Z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==
</w:fldData>
        </w:fldChar>
      </w:r>
      <w:r>
        <w:instrText xml:space="preserve"> ADDIN EN.CITE </w:instrText>
      </w:r>
      <w:r>
        <w:fldChar w:fldCharType="begin">
          <w:fldData xml:space="preserve">PEVuZE5vdGU+PENpdGU+PEF1dGhvcj52YW4gZGVyIEdhc3Q8L0F1dGhvcj48WWVhcj4yMDE0PC9Z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==
</w:fldData>
        </w:fldChar>
      </w:r>
      <w:r>
        <w:instrText xml:space="preserve"> ADDIN EN.CITE.DATA </w:instrText>
      </w:r>
      <w:r>
        <w:fldChar w:fldCharType="end"/>
      </w:r>
      <w:r>
        <w:fldChar w:fldCharType="separate"/>
      </w:r>
      <w:r>
        <w:rPr>
          <w:noProof/>
        </w:rPr>
        <w:t>(van der Gast et al., 2014)</w:t>
      </w:r>
      <w:r>
        <w:fldChar w:fldCharType="end"/>
      </w:r>
      <w:r>
        <w:t>. Although the numbers of patients were limited, the microbiota described</w:t>
      </w:r>
      <w:r w:rsidRPr="00241369">
        <w:t xml:space="preserve"> were distinctly different from adults with CF and bronchiectasis. </w:t>
      </w:r>
      <w:r>
        <w:t>This temporal change has been studied s</w:t>
      </w:r>
      <w:r w:rsidRPr="00241369">
        <w:t>pecifically</w:t>
      </w:r>
      <w:r>
        <w:t xml:space="preserve"> in</w:t>
      </w:r>
      <w:r w:rsidRPr="00241369">
        <w:t xml:space="preserve"> CF, </w:t>
      </w:r>
      <w:r>
        <w:t xml:space="preserve">with progressive </w:t>
      </w:r>
      <w:r w:rsidRPr="00241369">
        <w:t xml:space="preserve">patterns of dysbiosis </w:t>
      </w:r>
      <w:r>
        <w:t>over time</w:t>
      </w:r>
      <w:r w:rsidRPr="00241369">
        <w:t xml:space="preserve">. A reduction </w:t>
      </w:r>
      <w:r w:rsidRPr="00241369">
        <w:lastRenderedPageBreak/>
        <w:t>in lung microbiota diversity and increasing dominance of respiratory pathogens in patients with CF has been correlated with disease progression and decline in lung function</w:t>
      </w:r>
      <w:r>
        <w:t xml:space="preserve"> </w:t>
      </w:r>
      <w:r>
        <w:fldChar w:fldCharType="begin">
          <w:fldData xml:space="preserve">PEVuZE5vdGU+PENpdGU+PEF1dGhvcj5Db3g8L0F1dGhvcj48WWVhcj4yMDEwPC9ZZWFyPjxSZWNO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PEVuZE5vdGU+PENpdGU+PEF1dGhvcj5Db3g8L0F1dGhvcj48WWVhcj4yMDEwPC9ZZWFyPjxSZWNO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(Cox et al., 2010)</w:t>
      </w:r>
      <w:r>
        <w:fldChar w:fldCharType="end"/>
      </w:r>
      <w:r w:rsidRPr="00241369">
        <w:t>.</w:t>
      </w:r>
    </w:p>
    <w:p w14:paraId="2B69B14E" w14:textId="77777777" w:rsidR="00C320B6" w:rsidRPr="00241369" w:rsidRDefault="00C320B6" w:rsidP="00C320B6">
      <w:pPr>
        <w:spacing w:after="160" w:line="360" w:lineRule="auto"/>
      </w:pPr>
      <w:r w:rsidRPr="00241369">
        <w:t xml:space="preserve">Cuthbertson studied </w:t>
      </w:r>
      <w:proofErr w:type="spellStart"/>
      <w:r w:rsidRPr="00241369">
        <w:t>bronchoscopic</w:t>
      </w:r>
      <w:proofErr w:type="spellEnd"/>
      <w:r w:rsidRPr="00241369">
        <w:t xml:space="preserve"> protected brushings of 24 children with PBB compared to a control group of 20 healthy children. They found lower alpha diversity in children with PBB than healthy controls and changes in the community composition</w:t>
      </w:r>
      <w:r>
        <w:t xml:space="preserve"> (</w:t>
      </w:r>
      <w:r w:rsidRPr="00241369">
        <w:t xml:space="preserve">significant dominance of </w:t>
      </w:r>
      <w:r w:rsidRPr="00241369">
        <w:rPr>
          <w:i/>
          <w:iCs/>
        </w:rPr>
        <w:t>Haemophilus</w:t>
      </w:r>
      <w:r w:rsidRPr="00241369">
        <w:t xml:space="preserve"> and </w:t>
      </w:r>
      <w:r w:rsidRPr="00241369">
        <w:rPr>
          <w:i/>
          <w:iCs/>
        </w:rPr>
        <w:t>Neisseria</w:t>
      </w:r>
      <w:r w:rsidRPr="00241369">
        <w:t xml:space="preserve"> and a non-significant increase in </w:t>
      </w:r>
      <w:r w:rsidRPr="00241369">
        <w:rPr>
          <w:i/>
          <w:iCs/>
        </w:rPr>
        <w:t xml:space="preserve">Moraxella </w:t>
      </w:r>
      <w:r w:rsidRPr="00241369">
        <w:t xml:space="preserve">and </w:t>
      </w:r>
      <w:r w:rsidRPr="00241369">
        <w:rPr>
          <w:i/>
          <w:iCs/>
        </w:rPr>
        <w:t xml:space="preserve">Streptococcus </w:t>
      </w:r>
      <w:proofErr w:type="spellStart"/>
      <w:r w:rsidRPr="00241369">
        <w:rPr>
          <w:i/>
          <w:iCs/>
        </w:rPr>
        <w:t>spp</w:t>
      </w:r>
      <w:proofErr w:type="spellEnd"/>
      <w:r w:rsidRPr="00241369">
        <w:t xml:space="preserve"> in the children with PBB</w:t>
      </w:r>
      <w:r>
        <w:t xml:space="preserve">, </w:t>
      </w:r>
      <w:r>
        <w:fldChar w:fldCharType="begin"/>
      </w:r>
      <w:r>
        <w:instrText xml:space="preserve"> ADDIN EN.CITE &lt;EndNote&gt;&lt;Cite&gt;&lt;Author&gt;Cuthbertson&lt;/Author&gt;&lt;Year&gt;2017&lt;/Year&gt;&lt;RecNum&gt;161&lt;/RecNum&gt;&lt;DisplayText&gt;(Cuthbertson et al., 2017)&lt;/DisplayText&gt;&lt;record&gt;&lt;rec-number&gt;161&lt;/rec-number&gt;&lt;foreign-keys&gt;&lt;key app="EN" db-id="pr9rwt2w8padxcerwx6prd0a9wtda2w5fw2t" timestamp="1629731697"&gt;161&lt;/key&gt;&lt;/foreign-keys&gt;&lt;ref-type name="Journal Article"&gt;17&lt;/ref-type&gt;&lt;contributors&gt;&lt;authors&gt;&lt;author&gt;Cuthbertson, Leah&lt;/author&gt;&lt;author&gt;Craven, Vanessa&lt;/author&gt;&lt;author&gt;Bingle, Lynne&lt;/author&gt;&lt;author&gt;Cookson, William O. C. M.&lt;/author&gt;&lt;author&gt;Everard, Mark L.&lt;/author&gt;&lt;author&gt;Moffatt, Miriam F.&lt;/author&gt;&lt;/authors&gt;&lt;/contributors&gt;&lt;titles&gt;&lt;title&gt;The impact of persistent bacterial bronchitis on the pulmonary microbiome of children&lt;/title&gt;&lt;secondary-title&gt;PloS one&lt;/secondary-title&gt;&lt;alt-title&gt;PLoS One&lt;/alt-title&gt;&lt;/titles&gt;&lt;periodical&gt;&lt;full-title&gt;PLoS One&lt;/full-title&gt;&lt;/periodical&gt;&lt;alt-periodical&gt;&lt;full-title&gt;PLoS One&lt;/full-title&gt;&lt;/alt-periodical&gt;&lt;pages&gt;e0190075-e0190075&lt;/pages&gt;&lt;volume&gt;12&lt;/volume&gt;&lt;number&gt;12&lt;/number&gt;&lt;keywords&gt;&lt;keyword&gt;Adult&lt;/keyword&gt;&lt;keyword&gt;Bacterial Infections/*physiopathology&lt;/keyword&gt;&lt;keyword&gt;Bronchitis/*physiopathology&lt;/keyword&gt;&lt;keyword&gt;Case-Control Studies&lt;/keyword&gt;&lt;keyword&gt;Child&lt;/keyword&gt;&lt;keyword&gt;Child, Preschool&lt;/keyword&gt;&lt;keyword&gt;Female&lt;/keyword&gt;&lt;keyword&gt;Humans&lt;/keyword&gt;&lt;keyword&gt;Male&lt;/keyword&gt;&lt;keyword&gt;*Microbiota&lt;/keyword&gt;&lt;/keywords&gt;&lt;dates&gt;&lt;year&gt;2017&lt;/year&gt;&lt;/dates&gt;&lt;publisher&gt;Public Library of Science&lt;/publisher&gt;&lt;isbn&gt;1932-6203&lt;/isbn&gt;&lt;accession-num&gt;29281698&lt;/accession-num&gt;&lt;urls&gt;&lt;related-urls&gt;&lt;url&gt;https://www.ncbi.nlm.nih.gov/pubmed/29281698&lt;/url&gt;&lt;url&gt;https://www.ncbi.nlm.nih.gov/pmc/articles/PMC5744971/&lt;/url&gt;&lt;/related-urls&gt;&lt;/urls&gt;&lt;electronic-resource-num&gt;10.1371/journal.pone.0190075&lt;/electronic-resource-num&gt;&lt;remote-database-name&gt;PubMed&lt;/remote-database-name&gt;&lt;language&gt;eng&lt;/language&gt;&lt;/record&gt;&lt;/Cite&gt;&lt;/EndNote&gt;</w:instrText>
      </w:r>
      <w:r>
        <w:fldChar w:fldCharType="separate"/>
      </w:r>
      <w:r>
        <w:rPr>
          <w:noProof/>
        </w:rPr>
        <w:t>(Cuthbertson et al., 2017)</w:t>
      </w:r>
      <w:r>
        <w:fldChar w:fldCharType="end"/>
      </w:r>
      <w:r w:rsidRPr="00241369">
        <w:t xml:space="preserve">. </w:t>
      </w:r>
    </w:p>
    <w:p w14:paraId="10C3B71C" w14:textId="77777777" w:rsidR="00C320B6" w:rsidRDefault="00C320B6" w:rsidP="00C320B6">
      <w:pPr>
        <w:spacing w:line="360" w:lineRule="auto"/>
      </w:pPr>
      <w:r w:rsidRPr="00241369">
        <w:t>A more recent study investigated inflammatory markers and the microbiota in paediatric PBB. They reported an increase in BAL bacterial biomass, associated with increased neutrophil percentage, IL</w:t>
      </w:r>
      <w:r>
        <w:t>-</w:t>
      </w:r>
      <w:r w:rsidRPr="00241369">
        <w:t>8 and IL</w:t>
      </w:r>
      <w:r>
        <w:t>-</w:t>
      </w:r>
      <w:r w:rsidRPr="00241369">
        <w:t>1β, in</w:t>
      </w:r>
      <w:r>
        <w:t xml:space="preserve"> 28</w:t>
      </w:r>
      <w:r w:rsidRPr="00241369">
        <w:t xml:space="preserve"> children with PBB compared to</w:t>
      </w:r>
      <w:r>
        <w:t xml:space="preserve"> 8</w:t>
      </w:r>
      <w:r w:rsidRPr="00241369">
        <w:t xml:space="preserve"> healthy age matched controls </w:t>
      </w:r>
      <w:r>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(Marsh et al., 2019)</w:t>
      </w:r>
      <w:r>
        <w:fldChar w:fldCharType="end"/>
      </w:r>
      <w:r w:rsidRPr="00241369">
        <w:t>. Contrary to previous studies, they found similar alpha diversity in the 2 groups</w:t>
      </w:r>
      <w:r>
        <w:t>,</w:t>
      </w:r>
      <w:r w:rsidRPr="00241369">
        <w:t xml:space="preserve"> </w:t>
      </w:r>
      <w:r>
        <w:t>possibly</w:t>
      </w:r>
      <w:r w:rsidRPr="00241369">
        <w:t xml:space="preserve"> due to </w:t>
      </w:r>
      <w:r>
        <w:t xml:space="preserve">the use of </w:t>
      </w:r>
      <w:r w:rsidRPr="00241369">
        <w:t xml:space="preserve">unprotected BAL sampling </w:t>
      </w:r>
      <w:r>
        <w:t xml:space="preserve">leading to </w:t>
      </w:r>
      <w:r w:rsidRPr="00241369">
        <w:t xml:space="preserve">upper respiratory tract microbiota contamination. Cluster analysis partitioned BAL microbiota into 4 main clusters. These were either dominated by the respiratory pathogens </w:t>
      </w:r>
      <w:r w:rsidRPr="00241369">
        <w:rPr>
          <w:i/>
          <w:iCs/>
        </w:rPr>
        <w:t>H. influenzae</w:t>
      </w:r>
      <w:r w:rsidRPr="00241369">
        <w:t xml:space="preserve"> and </w:t>
      </w:r>
      <w:r w:rsidRPr="00241369">
        <w:rPr>
          <w:i/>
          <w:iCs/>
        </w:rPr>
        <w:t>M. catarrhalis</w:t>
      </w:r>
      <w:r w:rsidRPr="00241369">
        <w:t xml:space="preserve"> when alpha diversity was low, or a more diverse microbiota including the prominence of </w:t>
      </w:r>
      <w:proofErr w:type="spellStart"/>
      <w:r w:rsidRPr="00241369">
        <w:rPr>
          <w:i/>
          <w:iCs/>
        </w:rPr>
        <w:t>Prevotella</w:t>
      </w:r>
      <w:proofErr w:type="spellEnd"/>
      <w:r w:rsidRPr="00241369">
        <w:rPr>
          <w:i/>
          <w:iCs/>
        </w:rPr>
        <w:t xml:space="preserve"> spp</w:t>
      </w:r>
      <w:r w:rsidRPr="00241369">
        <w:t xml:space="preserve">. Another important finding was of increased inflammation in both the </w:t>
      </w:r>
      <w:proofErr w:type="spellStart"/>
      <w:r w:rsidRPr="00241369">
        <w:rPr>
          <w:i/>
          <w:iCs/>
        </w:rPr>
        <w:t>Prevotella</w:t>
      </w:r>
      <w:proofErr w:type="spellEnd"/>
      <w:r w:rsidRPr="00241369">
        <w:rPr>
          <w:i/>
          <w:iCs/>
        </w:rPr>
        <w:t xml:space="preserve"> spp</w:t>
      </w:r>
      <w:r w:rsidRPr="00241369">
        <w:t>. associated profiles and pathogen associated profiles. They suggest</w:t>
      </w:r>
      <w:r>
        <w:t>ed</w:t>
      </w:r>
      <w:r w:rsidRPr="00241369">
        <w:t xml:space="preserve"> that bacteria other than the previously identified respiratory pathogens may contribute to airway inflammation in paediatric PBB </w:t>
      </w:r>
      <w:r>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(Marsh et al., 2019)</w:t>
      </w:r>
      <w:r>
        <w:fldChar w:fldCharType="end"/>
      </w:r>
      <w:r>
        <w:t>. Of note, the impact of azithromycin on the respiratory microbiome of children with PBB is completely unknown.</w:t>
      </w:r>
    </w:p>
    <w:p w14:paraId="3F54625F" w14:textId="77777777" w:rsidR="00C320B6" w:rsidRPr="00241369" w:rsidRDefault="00C320B6" w:rsidP="00C320B6">
      <w:pPr>
        <w:spacing w:line="360" w:lineRule="auto"/>
      </w:pPr>
    </w:p>
    <w:p w14:paraId="1AEEA4D2" w14:textId="270C03B7" w:rsidR="00A93108" w:rsidRPr="000044FE" w:rsidRDefault="00A93108" w:rsidP="002C53ED">
      <w:pPr>
        <w:pStyle w:val="Heading3"/>
        <w:spacing w:before="0" w:line="360" w:lineRule="auto"/>
      </w:pPr>
      <w:bookmarkStart w:id="50" w:name="_Toc117765895"/>
      <w:r w:rsidRPr="000044FE">
        <w:t xml:space="preserve">The impact of </w:t>
      </w:r>
      <w:r w:rsidR="00945C2E">
        <w:t>macrolides</w:t>
      </w:r>
      <w:r w:rsidR="00945C2E" w:rsidRPr="000044FE">
        <w:t xml:space="preserve"> </w:t>
      </w:r>
      <w:r w:rsidRPr="000044FE">
        <w:t>on the microbiome</w:t>
      </w:r>
      <w:bookmarkEnd w:id="50"/>
    </w:p>
    <w:p w14:paraId="6C1EDAE2" w14:textId="3FAFDA04" w:rsidR="00A93108" w:rsidRPr="000044FE" w:rsidRDefault="00A93108" w:rsidP="002C53ED">
      <w:pPr>
        <w:spacing w:line="360" w:lineRule="auto"/>
      </w:pPr>
      <w:r w:rsidRPr="000044FE">
        <w:t xml:space="preserve">Due to a paucity of studies, particularly in paediatric populations, the effects of azithromycin on the respiratory microbiome are not well characterised. The majority of studies </w:t>
      </w:r>
      <w:r w:rsidR="009808B9" w:rsidRPr="000044FE">
        <w:t xml:space="preserve">that have addressed this issue do </w:t>
      </w:r>
      <w:r w:rsidRPr="000044FE">
        <w:t>demonstrate some alterations</w:t>
      </w:r>
      <w:r w:rsidR="009808B9" w:rsidRPr="000044FE">
        <w:t>,</w:t>
      </w:r>
      <w:r w:rsidRPr="000044FE">
        <w:t xml:space="preserve"> however the extent, duration and resulting effects are not </w:t>
      </w:r>
      <w:r w:rsidR="00FD070C">
        <w:t>well documented</w:t>
      </w:r>
      <w:r w:rsidRPr="000044FE">
        <w:t>.</w:t>
      </w:r>
    </w:p>
    <w:p w14:paraId="76BFF939" w14:textId="3A79A4C7" w:rsidR="00A93108" w:rsidRPr="000044FE" w:rsidRDefault="00A93108" w:rsidP="002C53ED">
      <w:pPr>
        <w:spacing w:line="360" w:lineRule="auto"/>
      </w:pPr>
      <w:r w:rsidRPr="000044FE">
        <w:t xml:space="preserve">In one RCT, </w:t>
      </w:r>
      <w:r w:rsidR="009808B9" w:rsidRPr="000044FE">
        <w:t xml:space="preserve">a </w:t>
      </w:r>
      <w:r w:rsidRPr="000044FE">
        <w:t xml:space="preserve">14 day course of azithromycin </w:t>
      </w:r>
      <w:r w:rsidR="009808B9" w:rsidRPr="000044FE">
        <w:t xml:space="preserve">was </w:t>
      </w:r>
      <w:r w:rsidRPr="000044FE">
        <w:t xml:space="preserve">shown to alter the </w:t>
      </w:r>
      <w:r w:rsidR="00945C2E">
        <w:t>nasal</w:t>
      </w:r>
      <w:r w:rsidR="00945C2E" w:rsidRPr="000044FE">
        <w:t xml:space="preserve"> </w:t>
      </w:r>
      <w:r w:rsidRPr="000044FE">
        <w:t xml:space="preserve">microbiota in healthy infants hospitalised with RSV bronchiolitis. The relative abundance of </w:t>
      </w:r>
      <w:r w:rsidRPr="000044FE">
        <w:rPr>
          <w:i/>
          <w:iCs/>
        </w:rPr>
        <w:t xml:space="preserve">Moraxella </w:t>
      </w:r>
      <w:r w:rsidR="009808B9" w:rsidRPr="000044FE">
        <w:t xml:space="preserve">and </w:t>
      </w:r>
      <w:r w:rsidR="009808B9" w:rsidRPr="000044FE">
        <w:rPr>
          <w:i/>
          <w:iCs/>
        </w:rPr>
        <w:t>Streptococcus</w:t>
      </w:r>
      <w:r w:rsidR="009808B9" w:rsidRPr="000044FE">
        <w:t xml:space="preserve"> </w:t>
      </w:r>
      <w:r w:rsidRPr="000044FE">
        <w:t>decreased significantly following azithromycin treatment compared to a placebo group where</w:t>
      </w:r>
      <w:r w:rsidR="009808B9" w:rsidRPr="000044FE">
        <w:t>as</w:t>
      </w:r>
      <w:r w:rsidRPr="000044FE">
        <w:t xml:space="preserve"> the relative abundances of </w:t>
      </w:r>
      <w:proofErr w:type="spellStart"/>
      <w:r w:rsidRPr="000044FE">
        <w:rPr>
          <w:i/>
          <w:iCs/>
        </w:rPr>
        <w:t>Dolosigranulum</w:t>
      </w:r>
      <w:proofErr w:type="spellEnd"/>
      <w:r w:rsidRPr="000044FE">
        <w:t xml:space="preserve"> and </w:t>
      </w:r>
      <w:r w:rsidRPr="000044FE">
        <w:rPr>
          <w:i/>
          <w:iCs/>
        </w:rPr>
        <w:t>Corynebacterium</w:t>
      </w:r>
      <w:r w:rsidRPr="000044FE">
        <w:t xml:space="preserve"> significantly increased </w:t>
      </w:r>
      <w:r w:rsidR="00755214" w:rsidRPr="000044FE">
        <w:fldChar w:fldCharType="begin">
          <w:fldData xml:space="preserve">PEVuZE5vdGU+PENpdGU+PEF1dGhvcj5aaG91PC9BdXRob3I+PFllYXI+MjAxNjwvWWVhcj48UmVj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</w:fldData>
        </w:fldChar>
      </w:r>
      <w:r w:rsidR="00EE22EB">
        <w:instrText xml:space="preserve"> ADDIN EN.CITE </w:instrText>
      </w:r>
      <w:r w:rsidR="00EE22EB">
        <w:fldChar w:fldCharType="begin">
          <w:fldData xml:space="preserve">PEVuZE5vdGU+PENpdGU+PEF1dGhvcj5aaG91PC9BdXRob3I+PFllYXI+MjAxNjwvWWVhcj48UmVj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</w:fldData>
        </w:fldChar>
      </w:r>
      <w:r w:rsidR="00EE22EB">
        <w:instrText xml:space="preserve"> ADDIN EN.CITE.DATA </w:instrText>
      </w:r>
      <w:r w:rsidR="00EE22EB">
        <w:fldChar w:fldCharType="end"/>
      </w:r>
      <w:r w:rsidR="00755214" w:rsidRPr="000044FE">
        <w:fldChar w:fldCharType="separate"/>
      </w:r>
      <w:r w:rsidR="00EE22EB">
        <w:rPr>
          <w:noProof/>
        </w:rPr>
        <w:t>(Zhou et al., 2016)</w:t>
      </w:r>
      <w:r w:rsidR="00755214" w:rsidRPr="000044FE">
        <w:fldChar w:fldCharType="end"/>
      </w:r>
      <w:r w:rsidRPr="000044FE">
        <w:t xml:space="preserve">. </w:t>
      </w:r>
      <w:r w:rsidR="00945C2E" w:rsidRPr="000044FE">
        <w:t xml:space="preserve">A small number of trials have investigated the impact of long term </w:t>
      </w:r>
      <w:r w:rsidR="00945C2E" w:rsidRPr="000044FE">
        <w:lastRenderedPageBreak/>
        <w:t>azithromycin on the microbiome. The majority of these however have not been specifically designed to investigate changes within the microbiome and hence the number of samples included in the microbiome analysis have been small.</w:t>
      </w:r>
      <w:r w:rsidR="00945C2E">
        <w:t xml:space="preserve"> </w:t>
      </w:r>
      <w:r w:rsidRPr="000044FE">
        <w:t xml:space="preserve">A double blind RCT in adult smokers with emphysema, randomised to 8 weeks of daily azithromycin or placebo, reported a reduction in alpha diversity on </w:t>
      </w:r>
      <w:r w:rsidR="00945C2E">
        <w:t>broncho-alveolar lavage (</w:t>
      </w:r>
      <w:r w:rsidRPr="000044FE">
        <w:t>BAL</w:t>
      </w:r>
      <w:r w:rsidR="00945C2E">
        <w:t>)</w:t>
      </w:r>
      <w:r w:rsidRPr="000044FE">
        <w:t xml:space="preserve"> following azithromycin but no change to the bacterial burden. This resulted in 11 low abundance taxa being reduced, none of which were classical pulmonary pathogens</w:t>
      </w:r>
      <w:r w:rsidR="00755214" w:rsidRPr="000044FE">
        <w:t xml:space="preserve"> </w:t>
      </w:r>
      <w:r w:rsidR="00755214" w:rsidRPr="000044FE">
        <w:fldChar w:fldCharType="begin">
          <w:fldData xml:space="preserve">PEVuZE5vdGU+PENpdGU+PEF1dGhvcj5TZWdhbDwvQXV0aG9yPjxZZWFyPjIwMTc8L1llYXI+PFJl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</w:fldData>
        </w:fldChar>
      </w:r>
      <w:r w:rsidR="00EE22EB">
        <w:instrText xml:space="preserve"> ADDIN EN.CITE </w:instrText>
      </w:r>
      <w:r w:rsidR="00EE22EB">
        <w:fldChar w:fldCharType="begin">
          <w:fldData xml:space="preserve">PEVuZE5vdGU+PENpdGU+PEF1dGhvcj5TZWdhbDwvQXV0aG9yPjxZZWFyPjIwMTc8L1llYXI+PFJl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</w:fldData>
        </w:fldChar>
      </w:r>
      <w:r w:rsidR="00EE22EB">
        <w:instrText xml:space="preserve"> ADDIN EN.CITE.DATA </w:instrText>
      </w:r>
      <w:r w:rsidR="00EE22EB">
        <w:fldChar w:fldCharType="end"/>
      </w:r>
      <w:r w:rsidR="00755214" w:rsidRPr="000044FE">
        <w:fldChar w:fldCharType="separate"/>
      </w:r>
      <w:r w:rsidR="00EE22EB">
        <w:rPr>
          <w:noProof/>
        </w:rPr>
        <w:t>(Segal et al., 2017)</w:t>
      </w:r>
      <w:r w:rsidR="00755214" w:rsidRPr="000044FE">
        <w:fldChar w:fldCharType="end"/>
      </w:r>
      <w:r w:rsidRPr="000044FE">
        <w:t xml:space="preserve">. </w:t>
      </w:r>
      <w:r w:rsidR="00FD070C">
        <w:t>The significance of this finding was unclear.</w:t>
      </w:r>
    </w:p>
    <w:p w14:paraId="622869BC" w14:textId="76E06DB5" w:rsidR="00A93108" w:rsidRPr="000044FE" w:rsidRDefault="00A93108" w:rsidP="00DD2ED4">
      <w:pPr>
        <w:spacing w:after="160" w:line="360" w:lineRule="auto"/>
      </w:pPr>
      <w:r w:rsidRPr="000044FE">
        <w:t>In adult asthmatic patients, randomisation to 48 weeks of azithromycin treatment did not result in a significant change in sputum bacterial load compared to placebo</w:t>
      </w:r>
      <w:r w:rsidR="00D84F81" w:rsidRPr="000044FE">
        <w:t xml:space="preserve"> </w:t>
      </w:r>
      <w:r w:rsidR="00D84F81" w:rsidRPr="000044FE">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instrText xml:space="preserve"> ADDIN EN.CITE </w:instrText>
      </w:r>
      <w:r w:rsidR="00EE22EB">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instrText xml:space="preserve"> ADDIN EN.CITE.DATA </w:instrText>
      </w:r>
      <w:r w:rsidR="00EE22EB">
        <w:fldChar w:fldCharType="end"/>
      </w:r>
      <w:r w:rsidR="00D84F81" w:rsidRPr="000044FE">
        <w:fldChar w:fldCharType="separate"/>
      </w:r>
      <w:r w:rsidR="00EE22EB">
        <w:rPr>
          <w:noProof/>
        </w:rPr>
        <w:t>(Taylor et al., 2019)</w:t>
      </w:r>
      <w:r w:rsidR="00D84F81" w:rsidRPr="000044FE">
        <w:fldChar w:fldCharType="end"/>
      </w:r>
      <w:r w:rsidRPr="000044FE">
        <w:t>. It did however significantly reduce Faith’s phylogenetic diversity (a phylogenetic generalisation of species richness</w:t>
      </w:r>
      <w:r w:rsidR="00C735E9">
        <w:t xml:space="preserve"> </w:t>
      </w:r>
      <w:r w:rsidR="00C735E9">
        <w:fldChar w:fldCharType="begin"/>
      </w:r>
      <w:r w:rsidR="00C735E9">
        <w:instrText xml:space="preserve"> ADDIN EN.CITE &lt;EndNote&gt;&lt;Cite&gt;&lt;Author&gt;Faith&lt;/Author&gt;&lt;Year&gt;1992&lt;/Year&gt;&lt;RecNum&gt;398&lt;/RecNum&gt;&lt;DisplayText&gt;(Faith, 1992)&lt;/DisplayText&gt;&lt;record&gt;&lt;rec-number&gt;398&lt;/rec-number&gt;&lt;foreign-keys&gt;&lt;key app="EN" db-id="pr9rwt2w8padxcerwx6prd0a9wtda2w5fw2t" timestamp="1641912443"&gt;398&lt;/key&gt;&lt;/foreign-keys&gt;&lt;ref-type name="Journal Article"&gt;17&lt;/ref-type&gt;&lt;contributors&gt;&lt;authors&gt;&lt;author&gt;Faith, D. P.&lt;/author&gt;&lt;/authors&gt;&lt;/contributors&gt;&lt;auth-address&gt;Division of Wildlife and Ecology, Commonwealth Scientific and Industrial Research Organisation, PO Box 84, Lyneham, ACT 2602, Australia.&lt;/auth-address&gt;&lt;titles&gt;&lt;title&gt;SYSTEMATICS AND CONSERVATION: ON PREDICTING THE FEATURE DIVERSITY OF SUBSETS OF TAXA&lt;/title&gt;&lt;secondary-title&gt;Cladistics&lt;/secondary-title&gt;&lt;/titles&gt;&lt;periodical&gt;&lt;full-title&gt;Cladistics&lt;/full-title&gt;&lt;/periodical&gt;&lt;pages&gt;361-373&lt;/pages&gt;&lt;volume&gt;8&lt;/volume&gt;&lt;number&gt;4&lt;/number&gt;&lt;edition&gt;1992/12/01&lt;/edition&gt;&lt;dates&gt;&lt;year&gt;1992&lt;/year&gt;&lt;pub-dates&gt;&lt;date&gt;Dec&lt;/date&gt;&lt;/pub-dates&gt;&lt;/dates&gt;&lt;isbn&gt;0748-3007&lt;/isbn&gt;&lt;accession-num&gt;34929967&lt;/accession-num&gt;&lt;urls&gt;&lt;/urls&gt;&lt;electronic-resource-num&gt;10.1111/j.1096-0031.1992.tb00078.x&lt;/electronic-resource-num&gt;&lt;remote-database-provider&gt;NLM&lt;/remote-database-provider&gt;&lt;language&gt;eng&lt;/language&gt;&lt;/record&gt;&lt;/Cite&gt;&lt;/EndNote&gt;</w:instrText>
      </w:r>
      <w:r w:rsidR="00C735E9">
        <w:fldChar w:fldCharType="separate"/>
      </w:r>
      <w:r w:rsidR="00C735E9">
        <w:rPr>
          <w:noProof/>
        </w:rPr>
        <w:t>(Faith, 1992)</w:t>
      </w:r>
      <w:r w:rsidR="00C735E9">
        <w:fldChar w:fldCharType="end"/>
      </w:r>
      <w:r w:rsidR="00AE588B">
        <w:t>)</w:t>
      </w:r>
      <w:r w:rsidR="00C735E9">
        <w:t xml:space="preserve"> </w:t>
      </w:r>
      <w:r w:rsidRPr="001D04B2">
        <w:t xml:space="preserve">and </w:t>
      </w:r>
      <w:r w:rsidR="00FD070C" w:rsidRPr="001D04B2">
        <w:rPr>
          <w:i/>
        </w:rPr>
        <w:t>H</w:t>
      </w:r>
      <w:r w:rsidR="00FD070C">
        <w:rPr>
          <w:i/>
        </w:rPr>
        <w:t>.</w:t>
      </w:r>
      <w:r w:rsidR="00FD070C" w:rsidRPr="001D04B2">
        <w:rPr>
          <w:i/>
        </w:rPr>
        <w:t xml:space="preserve"> </w:t>
      </w:r>
      <w:r w:rsidRPr="001D04B2">
        <w:rPr>
          <w:i/>
        </w:rPr>
        <w:t>influenzae</w:t>
      </w:r>
      <w:r w:rsidRPr="001D04B2">
        <w:t xml:space="preserve"> load </w:t>
      </w:r>
      <w:r w:rsidR="00755214" w:rsidRPr="001D04B2">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instrText xml:space="preserve"> ADDIN EN.CITE </w:instrText>
      </w:r>
      <w:r w:rsidR="00EE22EB">
        <w:fldChar w:fldCharType="begin">
          <w:fldData xml:space="preserve">PEVuZE5vdGU+PENpdGU+PEF1dGhvcj5UYXlsb3I8L0F1dGhvcj48WWVhcj4yMDE5PC9ZZWFyPjxS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</w:fldData>
        </w:fldChar>
      </w:r>
      <w:r w:rsidR="00EE22EB">
        <w:instrText xml:space="preserve"> ADDIN EN.CITE.DATA </w:instrText>
      </w:r>
      <w:r w:rsidR="00EE22EB">
        <w:fldChar w:fldCharType="end"/>
      </w:r>
      <w:r w:rsidR="00755214" w:rsidRPr="001D04B2">
        <w:fldChar w:fldCharType="separate"/>
      </w:r>
      <w:r w:rsidR="00EE22EB">
        <w:rPr>
          <w:noProof/>
        </w:rPr>
        <w:t>(Taylor et al., 2019)</w:t>
      </w:r>
      <w:r w:rsidR="00755214" w:rsidRPr="001D04B2">
        <w:fldChar w:fldCharType="end"/>
      </w:r>
      <w:r w:rsidRPr="000044FE">
        <w:t xml:space="preserve">. In adults with non-CF bronchiectasis exposed to 12-months of erythromycin, a significant change in sputum microbiota composition was reported compared to placebo. This was demonstrated in those with infection dominated by organisms other than </w:t>
      </w:r>
      <w:r w:rsidRPr="000044FE">
        <w:rPr>
          <w:i/>
        </w:rPr>
        <w:t>P. aeruginosa</w:t>
      </w:r>
      <w:r w:rsidRPr="000044FE">
        <w:t xml:space="preserve"> and was again represented by a relative reduction in the abundance of </w:t>
      </w:r>
      <w:r w:rsidRPr="000044FE">
        <w:rPr>
          <w:i/>
          <w:iCs/>
        </w:rPr>
        <w:t>H. influenza</w:t>
      </w:r>
      <w:r w:rsidRPr="000044FE">
        <w:t xml:space="preserve">e. However, there was an associated significant increase in the relative abundance of </w:t>
      </w:r>
      <w:r w:rsidRPr="000044FE">
        <w:rPr>
          <w:i/>
        </w:rPr>
        <w:t>P. aeruginosa</w:t>
      </w:r>
      <w:r w:rsidRPr="000044FE">
        <w:t xml:space="preserve"> </w:t>
      </w:r>
      <w:r w:rsidR="00755214" w:rsidRPr="000044FE">
        <w:fldChar w:fldCharType="begin">
          <w:fldData xml:space="preserve">PEVuZE5vdGU+PENpdGU+PEF1dGhvcj5Sb2dlcnM8L0F1dGhvcj48WWVhcj4yMDE0PC9ZZWFyPjxS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</w:fldData>
        </w:fldChar>
      </w:r>
      <w:r w:rsidR="00EE22EB">
        <w:instrText xml:space="preserve"> ADDIN EN.CITE </w:instrText>
      </w:r>
      <w:r w:rsidR="00EE22EB">
        <w:fldChar w:fldCharType="begin">
          <w:fldData xml:space="preserve">PEVuZE5vdGU+PENpdGU+PEF1dGhvcj5Sb2dlcnM8L0F1dGhvcj48WWVhcj4yMDE0PC9ZZWFyPjxS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</w:fldData>
        </w:fldChar>
      </w:r>
      <w:r w:rsidR="00EE22EB">
        <w:instrText xml:space="preserve"> ADDIN EN.CITE.DATA </w:instrText>
      </w:r>
      <w:r w:rsidR="00EE22EB">
        <w:fldChar w:fldCharType="end"/>
      </w:r>
      <w:r w:rsidR="00755214" w:rsidRPr="000044FE">
        <w:fldChar w:fldCharType="separate"/>
      </w:r>
      <w:r w:rsidR="00EE22EB">
        <w:rPr>
          <w:noProof/>
        </w:rPr>
        <w:t>(Rogers et al., 2014)</w:t>
      </w:r>
      <w:r w:rsidR="00755214" w:rsidRPr="000044FE">
        <w:fldChar w:fldCharType="end"/>
      </w:r>
      <w:r w:rsidRPr="000044FE">
        <w:t>. This highlights the importance of characterising and understanding the effects of long-term azithromycin</w:t>
      </w:r>
      <w:r w:rsidR="00D806E8">
        <w:t>,</w:t>
      </w:r>
      <w:r w:rsidR="00D84F81" w:rsidRPr="000044FE">
        <w:t xml:space="preserve"> as </w:t>
      </w:r>
      <w:r w:rsidR="00D84F81" w:rsidRPr="000044FE">
        <w:rPr>
          <w:i/>
          <w:iCs/>
        </w:rPr>
        <w:t>P</w:t>
      </w:r>
      <w:r w:rsidR="00A462B2" w:rsidRPr="000044FE">
        <w:rPr>
          <w:i/>
          <w:iCs/>
        </w:rPr>
        <w:t>.</w:t>
      </w:r>
      <w:r w:rsidR="00D84F81" w:rsidRPr="000044FE">
        <w:rPr>
          <w:i/>
          <w:iCs/>
        </w:rPr>
        <w:t xml:space="preserve"> </w:t>
      </w:r>
      <w:r w:rsidR="00A462B2" w:rsidRPr="000044FE">
        <w:rPr>
          <w:i/>
          <w:iCs/>
        </w:rPr>
        <w:t>aeruginosa</w:t>
      </w:r>
      <w:r w:rsidR="00A462B2" w:rsidRPr="000044FE">
        <w:t xml:space="preserve"> may be more difficult to treat </w:t>
      </w:r>
      <w:r w:rsidR="00A66E58">
        <w:t xml:space="preserve">than </w:t>
      </w:r>
      <w:r w:rsidR="00A66E58" w:rsidRPr="00A66E58">
        <w:rPr>
          <w:i/>
          <w:iCs/>
        </w:rPr>
        <w:t>H. influenzae</w:t>
      </w:r>
      <w:r w:rsidR="00A66E58">
        <w:t xml:space="preserve"> </w:t>
      </w:r>
      <w:r w:rsidR="00A462B2" w:rsidRPr="000044FE">
        <w:t>due to its intrinsic antimicrobial resistance</w:t>
      </w:r>
      <w:r w:rsidRPr="000044FE">
        <w:t xml:space="preserve">. A recent study in </w:t>
      </w:r>
      <w:r w:rsidR="00A66E58">
        <w:t xml:space="preserve">38 </w:t>
      </w:r>
      <w:r w:rsidRPr="000044FE">
        <w:t xml:space="preserve">adults with cystic fibrosis investigated the effects of </w:t>
      </w:r>
      <w:r w:rsidR="00090B5F" w:rsidRPr="000044FE">
        <w:t>long-term</w:t>
      </w:r>
      <w:r w:rsidRPr="000044FE">
        <w:t xml:space="preserve"> </w:t>
      </w:r>
      <w:r w:rsidR="00A462B2" w:rsidRPr="000044FE">
        <w:t xml:space="preserve">(at least 2 years) </w:t>
      </w:r>
      <w:r w:rsidRPr="000044FE">
        <w:t>azithromycin. They drew samples from a prospectively collected biobank and again did not find an obvious effect on sputum microbiota p</w:t>
      </w:r>
      <w:r w:rsidR="000A1F01" w:rsidRPr="000044FE">
        <w:t>re</w:t>
      </w:r>
      <w:r w:rsidR="00A462B2" w:rsidRPr="000044FE">
        <w:t>-</w:t>
      </w:r>
      <w:r w:rsidRPr="000044FE">
        <w:t xml:space="preserve"> and post</w:t>
      </w:r>
      <w:r w:rsidR="00A462B2" w:rsidRPr="000044FE">
        <w:t>-</w:t>
      </w:r>
      <w:r w:rsidRPr="000044FE">
        <w:t>treatment</w:t>
      </w:r>
      <w:r w:rsidR="000A1F01" w:rsidRPr="000044FE">
        <w:t xml:space="preserve"> </w:t>
      </w:r>
      <w:r w:rsidR="000A1F01" w:rsidRPr="000044FE">
        <w:fldChar w:fldCharType="begin"/>
      </w:r>
      <w:r w:rsidR="00EE22EB">
        <w:instrText xml:space="preserve"> ADDIN EN.CITE &lt;EndNote&gt;&lt;Cite&gt;&lt;Author&gt;Acosta&lt;/Author&gt;&lt;Year&gt;2021&lt;/Year&gt;&lt;RecNum&gt;380&lt;/RecNum&gt;&lt;DisplayText&gt;(Acosta et al., 2021)&lt;/DisplayText&gt;&lt;record&gt;&lt;rec-number&gt;380&lt;/rec-number&gt;&lt;foreign-keys&gt;&lt;key app="EN" db-id="pr9rwt2w8padxcerwx6prd0a9wtda2w5fw2t" timestamp="1629980069"&gt;380&lt;/key&gt;&lt;/foreign-keys&gt;&lt;ref-type name="Journal Article"&gt;17&lt;/ref-type&gt;&lt;contributors&gt;&lt;authors&gt;&lt;author&gt;Acosta, Nicole&lt;/author&gt;&lt;author&gt;Thornton, Christina S.&lt;/author&gt;&lt;author&gt;Surette, Michael G.&lt;/author&gt;&lt;author&gt;Somayaji, Ranjani&lt;/author&gt;&lt;author&gt;et al.&lt;/author&gt;&lt;/authors&gt;&lt;/contributors&gt;&lt;titles&gt;&lt;title&gt;Azithromycin and the microbiota of cystic fibrosis sputum&lt;/title&gt;&lt;secondary-title&gt;BMC Microbiology&lt;/secondary-title&gt;&lt;/titles&gt;&lt;periodical&gt;&lt;full-title&gt;BMC Microbiology&lt;/full-title&gt;&lt;/periodical&gt;&lt;pages&gt;96&lt;/pages&gt;&lt;volume&gt;21&lt;/volume&gt;&lt;number&gt;1&lt;/number&gt;&lt;dates&gt;&lt;year&gt;2021&lt;/year&gt;&lt;pub-dates&gt;&lt;date&gt;2021/03/30&lt;/date&gt;&lt;/pub-dates&gt;&lt;/dates&gt;&lt;isbn&gt;1471-2180&lt;/isbn&gt;&lt;urls&gt;&lt;related-urls&gt;&lt;url&gt;https://doi.org/10.1186/s12866-021-02159-5&lt;/url&gt;&lt;/related-urls&gt;&lt;/urls&gt;&lt;electronic-resource-num&gt;10.1186/s12866-021-02159-5&lt;/electronic-resource-num&gt;&lt;/record&gt;&lt;/Cite&gt;&lt;/EndNote&gt;</w:instrText>
      </w:r>
      <w:r w:rsidR="000A1F01" w:rsidRPr="000044FE">
        <w:fldChar w:fldCharType="separate"/>
      </w:r>
      <w:r w:rsidR="00EE22EB">
        <w:rPr>
          <w:noProof/>
        </w:rPr>
        <w:t>(Acosta et al., 2021)</w:t>
      </w:r>
      <w:r w:rsidR="000A1F01" w:rsidRPr="000044FE">
        <w:fldChar w:fldCharType="end"/>
      </w:r>
      <w:r w:rsidRPr="000044FE">
        <w:t xml:space="preserve">. Participants in these studies have been older adults, who may well have more established respiratory microbiomes than children. </w:t>
      </w:r>
    </w:p>
    <w:p w14:paraId="44D6AA20" w14:textId="3AABB892" w:rsidR="00A93108" w:rsidRDefault="00A462B2" w:rsidP="002C53ED">
      <w:pPr>
        <w:spacing w:line="360" w:lineRule="auto"/>
        <w:rPr>
          <w:lang w:val="en-US"/>
        </w:rPr>
      </w:pPr>
      <w:r w:rsidRPr="000044FE">
        <w:rPr>
          <w:lang w:val="en-US"/>
        </w:rPr>
        <w:t>Overall therefore</w:t>
      </w:r>
      <w:r w:rsidR="000F33BB">
        <w:rPr>
          <w:lang w:val="en-US"/>
        </w:rPr>
        <w:t>,</w:t>
      </w:r>
      <w:r w:rsidRPr="000044FE">
        <w:rPr>
          <w:lang w:val="en-US"/>
        </w:rPr>
        <w:t xml:space="preserve"> there is limited information on the impact of long-term azithromycin prophylaxis on the respiratory microbiome, </w:t>
      </w:r>
      <w:r w:rsidR="000044FE" w:rsidRPr="000044FE">
        <w:rPr>
          <w:lang w:val="en-US"/>
        </w:rPr>
        <w:t>particularly</w:t>
      </w:r>
      <w:r w:rsidRPr="000044FE">
        <w:rPr>
          <w:lang w:val="en-US"/>
        </w:rPr>
        <w:t xml:space="preserve"> in the </w:t>
      </w:r>
      <w:proofErr w:type="spellStart"/>
      <w:r w:rsidRPr="000044FE">
        <w:rPr>
          <w:lang w:val="en-US"/>
        </w:rPr>
        <w:t>paediatric</w:t>
      </w:r>
      <w:proofErr w:type="spellEnd"/>
      <w:r w:rsidRPr="000044FE">
        <w:rPr>
          <w:lang w:val="en-US"/>
        </w:rPr>
        <w:t xml:space="preserve"> setting. </w:t>
      </w:r>
    </w:p>
    <w:p w14:paraId="3CF68976" w14:textId="77777777" w:rsidR="00194324" w:rsidRPr="00241369" w:rsidRDefault="00194324" w:rsidP="002C53ED">
      <w:pPr>
        <w:spacing w:line="360" w:lineRule="auto"/>
      </w:pPr>
    </w:p>
    <w:p w14:paraId="3A57A219" w14:textId="1A9B8D76" w:rsidR="002B54ED" w:rsidRPr="00241369" w:rsidRDefault="002B54ED" w:rsidP="004F3338">
      <w:pPr>
        <w:pStyle w:val="Heading2"/>
      </w:pPr>
      <w:bookmarkStart w:id="51" w:name="_Toc117765896"/>
      <w:bookmarkStart w:id="52" w:name="_Toc117765897"/>
      <w:bookmarkStart w:id="53" w:name="_Toc117765898"/>
      <w:bookmarkStart w:id="54" w:name="_Toc117765899"/>
      <w:bookmarkStart w:id="55" w:name="_Toc117765900"/>
      <w:bookmarkStart w:id="56" w:name="_Toc117765901"/>
      <w:bookmarkStart w:id="57" w:name="_Toc117765902"/>
      <w:bookmarkStart w:id="58" w:name="_Toc117765903"/>
      <w:bookmarkStart w:id="59" w:name="_Toc117765904"/>
      <w:bookmarkStart w:id="60" w:name="_Toc117765905"/>
      <w:bookmarkEnd w:id="51"/>
      <w:bookmarkEnd w:id="52"/>
      <w:bookmarkEnd w:id="53"/>
      <w:bookmarkEnd w:id="54"/>
      <w:bookmarkEnd w:id="55"/>
      <w:bookmarkEnd w:id="56"/>
      <w:bookmarkEnd w:id="57"/>
      <w:bookmarkEnd w:id="58"/>
      <w:bookmarkEnd w:id="59"/>
      <w:r w:rsidRPr="00241369">
        <w:t>Qualitative research to explore parental perceptions</w:t>
      </w:r>
      <w:bookmarkEnd w:id="60"/>
    </w:p>
    <w:p w14:paraId="4EF25BEB" w14:textId="5ECD9CBF" w:rsidR="002B54ED" w:rsidRPr="00284867" w:rsidRDefault="003E29E9" w:rsidP="00284867">
      <w:pPr>
        <w:spacing w:after="160" w:line="360" w:lineRule="auto"/>
      </w:pPr>
      <w:r>
        <w:t>Unlike</w:t>
      </w:r>
      <w:r w:rsidR="007362B9">
        <w:t xml:space="preserve"> </w:t>
      </w:r>
      <w:r>
        <w:t>adult patients</w:t>
      </w:r>
      <w:r w:rsidR="00CD73FD">
        <w:t xml:space="preserve"> with capacity</w:t>
      </w:r>
      <w:r>
        <w:t xml:space="preserve">, </w:t>
      </w:r>
      <w:r w:rsidR="00CD73FD">
        <w:t xml:space="preserve">children may have decisions about their health-care needs and treatment made by their parents. Parental views on such treatments may thus shape the adoption of, and compliance with treatments, particularly in the longer term. It is thus of importance to explore parental understanding and concerns regarding the condition their child </w:t>
      </w:r>
      <w:r w:rsidR="00CD73FD">
        <w:lastRenderedPageBreak/>
        <w:t xml:space="preserve">suffers from, the value and side-effects of the treatments available, as well as their attitudes on the impact of such treatments. Such perceptions will affect the treatment that the child may be started on (or not) and the compliance with treatment. To study these parameters requires qualitative methodologies. </w:t>
      </w:r>
      <w:r w:rsidR="002B54ED" w:rsidRPr="00241369">
        <w:t xml:space="preserve">Qualitative research is concerned with the subjective world and offers insight into social, emotional and experimental phenomena by exploring the what, how and why </w:t>
      </w:r>
      <w:r w:rsidR="00587CD0" w:rsidRPr="00284867">
        <w:fldChar w:fldCharType="begin"/>
      </w:r>
      <w:r w:rsidR="00EE22EB" w:rsidRPr="00284867">
        <w:instrText xml:space="preserve"> ADDIN EN.CITE &lt;EndNote&gt;&lt;Cite&gt;&lt;Author&gt;Giacomini&lt;/Author&gt;&lt;Year&gt;2000&lt;/Year&gt;&lt;RecNum&gt;211&lt;/RecNum&gt;&lt;DisplayText&gt;(Giacomini et al., 2000)&lt;/DisplayText&gt;&lt;record&gt;&lt;rec-number&gt;211&lt;/rec-number&gt;&lt;foreign-keys&gt;&lt;key app="EN" db-id="pr9rwt2w8padxcerwx6prd0a9wtda2w5fw2t" timestamp="1629731697"&gt;211&lt;/key&gt;&lt;/foreign-keys&gt;&lt;ref-type name="Journal Article"&gt;17&lt;/ref-type&gt;&lt;contributors&gt;&lt;authors&gt;&lt;author&gt;Giacomini, Mita K.&lt;/author&gt;&lt;author&gt;Cook, Deborah J.&lt;/author&gt;&lt;author&gt;for the Evidence-Based Medicine Working Group&lt;/author&gt;&lt;/authors&gt;&lt;/contributors&gt;&lt;titles&gt;&lt;title&gt;Users&amp;apos; Guides to the Medical LiteratureXXIII. Qualitative Research in Health Care A. Are the Results of the Study Valid?&lt;/title&gt;&lt;secondary-title&gt;JAMA&lt;/secondary-title&gt;&lt;/titles&gt;&lt;periodical&gt;&lt;full-title&gt;Jama&lt;/full-title&gt;&lt;/periodical&gt;&lt;pages&gt;357-362&lt;/pages&gt;&lt;volume&gt;284&lt;/volume&gt;&lt;number&gt;3&lt;/number&gt;&lt;dates&gt;&lt;year&gt;2000&lt;/year&gt;&lt;/dates&gt;&lt;isbn&gt;0098-7484&lt;/isbn&gt;&lt;urls&gt;&lt;related-urls&gt;&lt;url&gt;https://doi.org/10.1001/jama.284.3.357&lt;/url&gt;&lt;/related-urls&gt;&lt;/urls&gt;&lt;electronic-resource-num&gt;10.1001/jama.284.3.357&lt;/electronic-resource-num&gt;&lt;access-date&gt;1/6/2020&lt;/access-date&gt;&lt;/record&gt;&lt;/Cite&gt;&lt;/EndNote&gt;</w:instrText>
      </w:r>
      <w:r w:rsidR="00587CD0" w:rsidRPr="00284867">
        <w:fldChar w:fldCharType="separate"/>
      </w:r>
      <w:r w:rsidR="00EE22EB" w:rsidRPr="00284867">
        <w:rPr>
          <w:noProof/>
        </w:rPr>
        <w:t>(Giacomini et al., 2000)</w:t>
      </w:r>
      <w:r w:rsidR="00587CD0" w:rsidRPr="00284867">
        <w:fldChar w:fldCharType="end"/>
      </w:r>
      <w:r w:rsidR="002B54ED" w:rsidRPr="00284867">
        <w:t xml:space="preserve">. Three commonly used methods are summarised below </w:t>
      </w:r>
      <w:r w:rsidR="00587CD0" w:rsidRPr="00284867">
        <w:fldChar w:fldCharType="begin"/>
      </w:r>
      <w:r w:rsidR="00930AD0" w:rsidRPr="00284867">
        <w:instrText xml:space="preserve"> ADDIN EN.CITE &lt;EndNote&gt;&lt;Cite&gt;&lt;Author&gt;Mack N&lt;/Author&gt;&lt;Year&gt;2005&lt;/Year&gt;&lt;RecNum&gt;254&lt;/RecNum&gt;&lt;DisplayText&gt;(Mack N, 2005)&lt;/DisplayText&gt;&lt;record&gt;&lt;rec-number&gt;254&lt;/rec-number&gt;&lt;foreign-keys&gt;&lt;key app="EN" db-id="pr9rwt2w8padxcerwx6prd0a9wtda2w5fw2t" timestamp="1629731697"&gt;254&lt;/key&gt;&lt;/foreign-keys&gt;&lt;ref-type name="Journal Article"&gt;17&lt;/ref-type&gt;&lt;contributors&gt;&lt;authors&gt;&lt;author&gt;Mack N, Woodsong C, MacQueen KM, Guest G and Namey E&lt;/author&gt;&lt;/authors&gt;&lt;/contributors&gt;&lt;titles&gt;&lt;title&gt;Qualitative Research Methods: A data collector&amp;apos;s field guide&lt;/title&gt;&lt;/titles&gt;&lt;dates&gt;&lt;year&gt;2005&lt;/year&gt;&lt;/dates&gt;&lt;urls&gt;&lt;/urls&gt;&lt;/record&gt;&lt;/Cite&gt;&lt;/EndNote&gt;</w:instrText>
      </w:r>
      <w:r w:rsidR="00587CD0" w:rsidRPr="00284867">
        <w:fldChar w:fldCharType="separate"/>
      </w:r>
      <w:r w:rsidR="00F11334" w:rsidRPr="00284867">
        <w:rPr>
          <w:noProof/>
        </w:rPr>
        <w:t>(Mack N, 2005)</w:t>
      </w:r>
      <w:r w:rsidR="00587CD0" w:rsidRPr="00284867">
        <w:fldChar w:fldCharType="end"/>
      </w:r>
      <w:r w:rsidR="007362B9" w:rsidRPr="00284867">
        <w:t>.</w:t>
      </w:r>
    </w:p>
    <w:p w14:paraId="7A7F0C1C" w14:textId="6BDE6522" w:rsidR="00C32B0B" w:rsidRPr="00284867" w:rsidRDefault="002B54ED">
      <w:pPr>
        <w:pStyle w:val="ListParagraph"/>
        <w:numPr>
          <w:ilvl w:val="0"/>
          <w:numId w:val="12"/>
        </w:numPr>
        <w:spacing w:after="0" w:line="360" w:lineRule="auto"/>
        <w:rPr>
          <w:rFonts w:ascii="Times New Roman" w:hAnsi="Times New Roman" w:cs="Times New Roman"/>
          <w:sz w:val="24"/>
          <w:szCs w:val="24"/>
        </w:rPr>
      </w:pPr>
      <w:r w:rsidRPr="00284867">
        <w:rPr>
          <w:rFonts w:ascii="Times New Roman" w:hAnsi="Times New Roman" w:cs="Times New Roman"/>
          <w:sz w:val="24"/>
          <w:szCs w:val="24"/>
        </w:rPr>
        <w:t>Participant observation</w:t>
      </w:r>
      <w:r w:rsidR="00C32B0B" w:rsidRPr="00284867">
        <w:rPr>
          <w:rFonts w:ascii="Times New Roman" w:hAnsi="Times New Roman" w:cs="Times New Roman"/>
          <w:sz w:val="24"/>
          <w:szCs w:val="24"/>
        </w:rPr>
        <w:t>:</w:t>
      </w:r>
      <w:r w:rsidR="00C32B0B" w:rsidRPr="00284867">
        <w:rPr>
          <w:rFonts w:ascii="Times New Roman" w:hAnsi="Times New Roman" w:cs="Times New Roman"/>
          <w:sz w:val="24"/>
          <w:szCs w:val="24"/>
        </w:rPr>
        <w:tab/>
        <w:t>T</w:t>
      </w:r>
      <w:r w:rsidRPr="00284867">
        <w:rPr>
          <w:rFonts w:ascii="Times New Roman" w:hAnsi="Times New Roman" w:cs="Times New Roman"/>
          <w:sz w:val="24"/>
          <w:szCs w:val="24"/>
        </w:rPr>
        <w:t xml:space="preserve">o gain intimate familiarity with a group of individuals in </w:t>
      </w:r>
    </w:p>
    <w:p w14:paraId="42BD211C" w14:textId="301D98E3" w:rsidR="002B54ED" w:rsidRPr="00284867" w:rsidRDefault="002B54ED" w:rsidP="00C32B0B">
      <w:pPr>
        <w:pStyle w:val="ListParagraph"/>
        <w:spacing w:after="0" w:line="360" w:lineRule="auto"/>
        <w:ind w:left="2880" w:firstLine="720"/>
        <w:rPr>
          <w:rFonts w:ascii="Times New Roman" w:hAnsi="Times New Roman" w:cs="Times New Roman"/>
          <w:sz w:val="24"/>
          <w:szCs w:val="24"/>
        </w:rPr>
      </w:pPr>
      <w:r w:rsidRPr="00284867">
        <w:rPr>
          <w:rFonts w:ascii="Times New Roman" w:hAnsi="Times New Roman" w:cs="Times New Roman"/>
          <w:sz w:val="24"/>
          <w:szCs w:val="24"/>
        </w:rPr>
        <w:t>their usual contexts.</w:t>
      </w:r>
    </w:p>
    <w:p w14:paraId="0B0D590B" w14:textId="1A1DA45C" w:rsidR="00C32B0B" w:rsidRPr="00284867" w:rsidRDefault="002B54ED">
      <w:pPr>
        <w:pStyle w:val="ListParagraph"/>
        <w:numPr>
          <w:ilvl w:val="0"/>
          <w:numId w:val="12"/>
        </w:numPr>
        <w:spacing w:after="0" w:line="360" w:lineRule="auto"/>
        <w:rPr>
          <w:rFonts w:ascii="Times New Roman" w:hAnsi="Times New Roman" w:cs="Times New Roman"/>
          <w:sz w:val="24"/>
          <w:szCs w:val="24"/>
        </w:rPr>
      </w:pPr>
      <w:r w:rsidRPr="00284867">
        <w:rPr>
          <w:rFonts w:ascii="Times New Roman" w:hAnsi="Times New Roman" w:cs="Times New Roman"/>
          <w:sz w:val="24"/>
          <w:szCs w:val="24"/>
        </w:rPr>
        <w:t>In depth interviews</w:t>
      </w:r>
      <w:r w:rsidR="00C32B0B" w:rsidRPr="00284867">
        <w:rPr>
          <w:rFonts w:ascii="Times New Roman" w:hAnsi="Times New Roman" w:cs="Times New Roman"/>
          <w:sz w:val="24"/>
          <w:szCs w:val="24"/>
        </w:rPr>
        <w:t>:</w:t>
      </w:r>
      <w:r w:rsidR="00C32B0B" w:rsidRPr="00284867">
        <w:rPr>
          <w:rFonts w:ascii="Times New Roman" w:hAnsi="Times New Roman" w:cs="Times New Roman"/>
          <w:sz w:val="24"/>
          <w:szCs w:val="24"/>
        </w:rPr>
        <w:tab/>
      </w:r>
      <w:r w:rsidR="00C32B0B" w:rsidRPr="00284867">
        <w:rPr>
          <w:rFonts w:ascii="Times New Roman" w:hAnsi="Times New Roman" w:cs="Times New Roman"/>
          <w:sz w:val="24"/>
          <w:szCs w:val="24"/>
        </w:rPr>
        <w:tab/>
        <w:t>T</w:t>
      </w:r>
      <w:r w:rsidRPr="00284867">
        <w:rPr>
          <w:rFonts w:ascii="Times New Roman" w:hAnsi="Times New Roman" w:cs="Times New Roman"/>
          <w:sz w:val="24"/>
          <w:szCs w:val="24"/>
        </w:rPr>
        <w:t xml:space="preserve">o collect data on personal histories, perspectives, </w:t>
      </w:r>
    </w:p>
    <w:p w14:paraId="6CAC07BC" w14:textId="60D94A89" w:rsidR="002B54ED" w:rsidRPr="00284867" w:rsidRDefault="002B54ED" w:rsidP="00C32B0B">
      <w:pPr>
        <w:pStyle w:val="ListParagraph"/>
        <w:spacing w:after="0" w:line="360" w:lineRule="auto"/>
        <w:ind w:left="2880" w:firstLine="720"/>
        <w:rPr>
          <w:rFonts w:ascii="Times New Roman" w:hAnsi="Times New Roman" w:cs="Times New Roman"/>
          <w:sz w:val="24"/>
          <w:szCs w:val="24"/>
        </w:rPr>
      </w:pPr>
      <w:r w:rsidRPr="00284867">
        <w:rPr>
          <w:rFonts w:ascii="Times New Roman" w:hAnsi="Times New Roman" w:cs="Times New Roman"/>
          <w:sz w:val="24"/>
          <w:szCs w:val="24"/>
        </w:rPr>
        <w:t xml:space="preserve">attitudes and experiences. </w:t>
      </w:r>
    </w:p>
    <w:p w14:paraId="73338924" w14:textId="4744CEED" w:rsidR="00C32B0B" w:rsidRPr="00284867" w:rsidRDefault="002B54ED">
      <w:pPr>
        <w:pStyle w:val="ListParagraph"/>
        <w:numPr>
          <w:ilvl w:val="0"/>
          <w:numId w:val="12"/>
        </w:numPr>
        <w:spacing w:after="0" w:line="360" w:lineRule="auto"/>
        <w:rPr>
          <w:rFonts w:ascii="Times New Roman" w:hAnsi="Times New Roman" w:cs="Times New Roman"/>
          <w:sz w:val="24"/>
          <w:szCs w:val="24"/>
        </w:rPr>
      </w:pPr>
      <w:r w:rsidRPr="00284867">
        <w:rPr>
          <w:rFonts w:ascii="Times New Roman" w:hAnsi="Times New Roman" w:cs="Times New Roman"/>
          <w:sz w:val="24"/>
          <w:szCs w:val="24"/>
        </w:rPr>
        <w:t>Focus groups</w:t>
      </w:r>
      <w:r w:rsidR="00C32B0B" w:rsidRPr="00284867">
        <w:rPr>
          <w:rFonts w:ascii="Times New Roman" w:hAnsi="Times New Roman" w:cs="Times New Roman"/>
          <w:sz w:val="24"/>
          <w:szCs w:val="24"/>
        </w:rPr>
        <w:t>:</w:t>
      </w:r>
      <w:r w:rsidR="00C32B0B" w:rsidRPr="00284867">
        <w:rPr>
          <w:rFonts w:ascii="Times New Roman" w:hAnsi="Times New Roman" w:cs="Times New Roman"/>
          <w:sz w:val="24"/>
          <w:szCs w:val="24"/>
        </w:rPr>
        <w:tab/>
      </w:r>
      <w:r w:rsidR="00C32B0B" w:rsidRPr="00284867">
        <w:rPr>
          <w:rFonts w:ascii="Times New Roman" w:hAnsi="Times New Roman" w:cs="Times New Roman"/>
          <w:sz w:val="24"/>
          <w:szCs w:val="24"/>
        </w:rPr>
        <w:tab/>
      </w:r>
      <w:r w:rsidR="00C32B0B" w:rsidRPr="00284867">
        <w:rPr>
          <w:rFonts w:ascii="Times New Roman" w:hAnsi="Times New Roman" w:cs="Times New Roman"/>
          <w:sz w:val="24"/>
          <w:szCs w:val="24"/>
        </w:rPr>
        <w:tab/>
        <w:t>T</w:t>
      </w:r>
      <w:r w:rsidRPr="00284867">
        <w:rPr>
          <w:rFonts w:ascii="Times New Roman" w:hAnsi="Times New Roman" w:cs="Times New Roman"/>
          <w:sz w:val="24"/>
          <w:szCs w:val="24"/>
        </w:rPr>
        <w:t>o gain knowledge about social issues and cultural norms</w:t>
      </w:r>
      <w:r w:rsidR="007362B9" w:rsidRPr="00284867">
        <w:rPr>
          <w:rFonts w:ascii="Times New Roman" w:hAnsi="Times New Roman" w:cs="Times New Roman"/>
          <w:sz w:val="24"/>
          <w:szCs w:val="24"/>
        </w:rPr>
        <w:t>,</w:t>
      </w:r>
    </w:p>
    <w:p w14:paraId="1EB1ABF6" w14:textId="4533B12B" w:rsidR="002B54ED" w:rsidRPr="00284867" w:rsidRDefault="002B54ED" w:rsidP="00284867">
      <w:pPr>
        <w:pStyle w:val="ListParagraph"/>
        <w:spacing w:line="360" w:lineRule="auto"/>
        <w:ind w:left="2880" w:firstLine="720"/>
        <w:rPr>
          <w:rFonts w:ascii="Times New Roman" w:hAnsi="Times New Roman" w:cs="Times New Roman"/>
          <w:sz w:val="24"/>
          <w:szCs w:val="24"/>
        </w:rPr>
      </w:pPr>
      <w:r w:rsidRPr="00284867">
        <w:rPr>
          <w:rFonts w:ascii="Times New Roman" w:hAnsi="Times New Roman" w:cs="Times New Roman"/>
          <w:sz w:val="24"/>
          <w:szCs w:val="24"/>
        </w:rPr>
        <w:t xml:space="preserve"> in general relating to the subgroup</w:t>
      </w:r>
      <w:r w:rsidR="007362B9" w:rsidRPr="00284867">
        <w:rPr>
          <w:rFonts w:ascii="Times New Roman" w:hAnsi="Times New Roman" w:cs="Times New Roman"/>
          <w:sz w:val="24"/>
          <w:szCs w:val="24"/>
        </w:rPr>
        <w:t>s</w:t>
      </w:r>
      <w:r w:rsidRPr="00284867">
        <w:rPr>
          <w:rFonts w:ascii="Times New Roman" w:hAnsi="Times New Roman" w:cs="Times New Roman"/>
          <w:sz w:val="24"/>
          <w:szCs w:val="24"/>
        </w:rPr>
        <w:t xml:space="preserve"> represented. </w:t>
      </w:r>
    </w:p>
    <w:p w14:paraId="46B81528" w14:textId="3C3F27C7" w:rsidR="00A1500A" w:rsidRDefault="002B54ED" w:rsidP="00284867">
      <w:pPr>
        <w:spacing w:after="160" w:line="360" w:lineRule="auto"/>
      </w:pPr>
      <w:r w:rsidRPr="00241369">
        <w:t>These methods are generally flexible. Researchers are able to use their subjective judgment to explore anticipated and unexpected themes or issues that may arise. Qualitative results typically generate narrative accounts, explanations of phenomena or develop conceptual frameworks</w:t>
      </w:r>
      <w:r w:rsidR="005A3625">
        <w:t xml:space="preserve"> </w:t>
      </w:r>
      <w:r w:rsidR="00587CD0">
        <w:fldChar w:fldCharType="begin"/>
      </w:r>
      <w:r w:rsidR="00EE22EB">
        <w:instrText xml:space="preserve"> ADDIN EN.CITE &lt;EndNote&gt;&lt;Cite&gt;&lt;Author&gt;Giacomini&lt;/Author&gt;&lt;Year&gt;2000&lt;/Year&gt;&lt;RecNum&gt;211&lt;/RecNum&gt;&lt;DisplayText&gt;(Giacomini et al., 2000)&lt;/DisplayText&gt;&lt;record&gt;&lt;rec-number&gt;211&lt;/rec-number&gt;&lt;foreign-keys&gt;&lt;key app="EN" db-id="pr9rwt2w8padxcerwx6prd0a9wtda2w5fw2t" timestamp="1629731697"&gt;211&lt;/key&gt;&lt;/foreign-keys&gt;&lt;ref-type name="Journal Article"&gt;17&lt;/ref-type&gt;&lt;contributors&gt;&lt;authors&gt;&lt;author&gt;Giacomini, Mita K.&lt;/author&gt;&lt;author&gt;Cook, Deborah J.&lt;/author&gt;&lt;author&gt;for the Evidence-Based Medicine Working Group&lt;/author&gt;&lt;/authors&gt;&lt;/contributors&gt;&lt;titles&gt;&lt;title&gt;Users&amp;apos; Guides to the Medical LiteratureXXIII. Qualitative Research in Health Care A. Are the Results of the Study Valid?&lt;/title&gt;&lt;secondary-title&gt;JAMA&lt;/secondary-title&gt;&lt;/titles&gt;&lt;periodical&gt;&lt;full-title&gt;Jama&lt;/full-title&gt;&lt;/periodical&gt;&lt;pages&gt;357-362&lt;/pages&gt;&lt;volume&gt;284&lt;/volume&gt;&lt;number&gt;3&lt;/number&gt;&lt;dates&gt;&lt;year&gt;2000&lt;/year&gt;&lt;/dates&gt;&lt;isbn&gt;0098-7484&lt;/isbn&gt;&lt;urls&gt;&lt;related-urls&gt;&lt;url&gt;https://doi.org/10.1001/jama.284.3.357&lt;/url&gt;&lt;/related-urls&gt;&lt;/urls&gt;&lt;electronic-resource-num&gt;10.1001/jama.284.3.357&lt;/electronic-resource-num&gt;&lt;access-date&gt;1/6/2020&lt;/access-date&gt;&lt;/record&gt;&lt;/Cite&gt;&lt;/EndNote&gt;</w:instrText>
      </w:r>
      <w:r w:rsidR="00587CD0">
        <w:fldChar w:fldCharType="separate"/>
      </w:r>
      <w:r w:rsidR="00EE22EB">
        <w:rPr>
          <w:noProof/>
        </w:rPr>
        <w:t>(Giacomini et al., 2000)</w:t>
      </w:r>
      <w:r w:rsidR="00587CD0">
        <w:fldChar w:fldCharType="end"/>
      </w:r>
      <w:r w:rsidRPr="00241369">
        <w:t xml:space="preserve">. Once a theory has been developed and potentially relevant variables identified, quantitative methods can then be used to test these. </w:t>
      </w:r>
    </w:p>
    <w:p w14:paraId="20684863" w14:textId="53B2B7B8" w:rsidR="008710ED" w:rsidRDefault="00782843" w:rsidP="002C53ED">
      <w:pPr>
        <w:spacing w:line="360" w:lineRule="auto"/>
      </w:pPr>
      <w:r w:rsidRPr="00D21957">
        <w:t xml:space="preserve">In the field of paediatrics, </w:t>
      </w:r>
      <w:r w:rsidR="00A1500A" w:rsidRPr="00D21957">
        <w:t xml:space="preserve">qualitative research methods may require </w:t>
      </w:r>
      <w:r w:rsidR="00AB7DE3" w:rsidRPr="00D21957">
        <w:t xml:space="preserve">novel </w:t>
      </w:r>
      <w:r w:rsidR="00A1500A" w:rsidRPr="00D21957">
        <w:t xml:space="preserve">approaches depending on the research question </w:t>
      </w:r>
      <w:r w:rsidR="00AB7DE3" w:rsidRPr="00D21957">
        <w:t>being asked and</w:t>
      </w:r>
      <w:r w:rsidR="00A1500A" w:rsidRPr="00D21957">
        <w:t xml:space="preserve"> the developmental stage and maturity </w:t>
      </w:r>
      <w:r w:rsidR="00AB7DE3" w:rsidRPr="00D21957">
        <w:t>of the</w:t>
      </w:r>
      <w:r w:rsidR="00A1500A" w:rsidRPr="00D21957">
        <w:t xml:space="preserve"> child</w:t>
      </w:r>
      <w:r w:rsidR="00AB7DE3" w:rsidRPr="00D21957">
        <w:t xml:space="preserve">. Often, information about a child’s behaviour is obtained from others rather than themselves. With imaginative methodology and the use of </w:t>
      </w:r>
      <w:r w:rsidR="003B6133" w:rsidRPr="00D21957">
        <w:t>play, qualitative research can be carried out in children younger than three years if the information is thought to be best gained from the child themselves</w:t>
      </w:r>
      <w:r w:rsidR="00803170" w:rsidRPr="00D21957">
        <w:t xml:space="preserve"> </w:t>
      </w:r>
      <w:r w:rsidR="00803170" w:rsidRPr="00D21957">
        <w:fldChar w:fldCharType="begin"/>
      </w:r>
      <w:r w:rsidR="00B9334B">
        <w:instrText xml:space="preserve"> ADDIN EN.CITE &lt;EndNote&gt;&lt;Cite&gt;&lt;Author&gt;Platt&lt;/Author&gt;&lt;Year&gt;2016&lt;/Year&gt;&lt;RecNum&gt;372&lt;/RecNum&gt;&lt;DisplayText&gt;(Platt, 2016)&lt;/DisplayText&gt;&lt;record&gt;&lt;rec-number&gt;372&lt;/rec-number&gt;&lt;foreign-keys&gt;&lt;key app="EN" db-id="pr9rwt2w8padxcerwx6prd0a9wtda2w5fw2t" timestamp="1629814815"&gt;372&lt;/key&gt;&lt;/foreign-keys&gt;&lt;ref-type name="Web Page"&gt;12&lt;/ref-type&gt;&lt;contributors&gt;&lt;authors&gt;&lt;author&gt;Platt, L&lt;/author&gt;&lt;/authors&gt;&lt;/contributors&gt;&lt;titles&gt;&lt;title&gt;Conducting qualitative and quantitative research with children of different ages&lt;/title&gt;&lt;/titles&gt;&lt;dates&gt;&lt;year&gt;2016&lt;/year&gt;&lt;/dates&gt;&lt;pub-location&gt;London&lt;/pub-location&gt;&lt;publisher&gt;Global Kids Online&lt;/publisher&gt;&lt;urls&gt;&lt;related-urls&gt;&lt;url&gt;http://globalkidsonline.net/wp-content/uploads/2016/05/Guide-5-Research-with-children-of-different-ages-Platt.pdf&lt;/url&gt;&lt;/related-urls&gt;&lt;/urls&gt;&lt;/record&gt;&lt;/Cite&gt;&lt;/EndNote&gt;</w:instrText>
      </w:r>
      <w:r w:rsidR="00803170" w:rsidRPr="00D21957">
        <w:fldChar w:fldCharType="separate"/>
      </w:r>
      <w:r w:rsidR="00803170" w:rsidRPr="00D21957">
        <w:rPr>
          <w:noProof/>
        </w:rPr>
        <w:t>(Platt, 2016)</w:t>
      </w:r>
      <w:r w:rsidR="00803170" w:rsidRPr="00D21957">
        <w:fldChar w:fldCharType="end"/>
      </w:r>
      <w:r w:rsidR="003B6133" w:rsidRPr="00D21957">
        <w:t>. They should be regarded as active participants rather than those on whom research is being done. In some circumstances, particularly when younger children are involved, it may be more appropriate to gather information from parents or caregivers</w:t>
      </w:r>
      <w:r w:rsidR="00803170" w:rsidRPr="00D21957">
        <w:t xml:space="preserve"> </w:t>
      </w:r>
      <w:r w:rsidR="00803170" w:rsidRPr="00D21957">
        <w:fldChar w:fldCharType="begin"/>
      </w:r>
      <w:r w:rsidR="00B9334B">
        <w:instrText xml:space="preserve"> ADDIN EN.CITE &lt;EndNote&gt;&lt;Cite&gt;&lt;Author&gt;Platt&lt;/Author&gt;&lt;Year&gt;2016&lt;/Year&gt;&lt;RecNum&gt;372&lt;/RecNum&gt;&lt;DisplayText&gt;(Platt, 2016)&lt;/DisplayText&gt;&lt;record&gt;&lt;rec-number&gt;372&lt;/rec-number&gt;&lt;foreign-keys&gt;&lt;key app="EN" db-id="pr9rwt2w8padxcerwx6prd0a9wtda2w5fw2t" timestamp="1629814815"&gt;372&lt;/key&gt;&lt;/foreign-keys&gt;&lt;ref-type name="Web Page"&gt;12&lt;/ref-type&gt;&lt;contributors&gt;&lt;authors&gt;&lt;author&gt;Platt, L&lt;/author&gt;&lt;/authors&gt;&lt;/contributors&gt;&lt;titles&gt;&lt;title&gt;Conducting qualitative and quantitative research with children of different ages&lt;/title&gt;&lt;/titles&gt;&lt;dates&gt;&lt;year&gt;2016&lt;/year&gt;&lt;/dates&gt;&lt;pub-location&gt;London&lt;/pub-location&gt;&lt;publisher&gt;Global Kids Online&lt;/publisher&gt;&lt;urls&gt;&lt;related-urls&gt;&lt;url&gt;http://globalkidsonline.net/wp-content/uploads/2016/05/Guide-5-Research-with-children-of-different-ages-Platt.pdf&lt;/url&gt;&lt;/related-urls&gt;&lt;/urls&gt;&lt;/record&gt;&lt;/Cite&gt;&lt;/EndNote&gt;</w:instrText>
      </w:r>
      <w:r w:rsidR="00803170" w:rsidRPr="00D21957">
        <w:fldChar w:fldCharType="separate"/>
      </w:r>
      <w:r w:rsidR="00803170" w:rsidRPr="00D21957">
        <w:rPr>
          <w:noProof/>
        </w:rPr>
        <w:t>(Platt, 2016)</w:t>
      </w:r>
      <w:r w:rsidR="00803170" w:rsidRPr="00D21957">
        <w:fldChar w:fldCharType="end"/>
      </w:r>
      <w:r w:rsidR="003B6133" w:rsidRPr="00D21957">
        <w:t>. Adults may have better recall of events and be more reliable informants.</w:t>
      </w:r>
      <w:r w:rsidR="003B6133">
        <w:t xml:space="preserve"> </w:t>
      </w:r>
    </w:p>
    <w:p w14:paraId="64235BD4" w14:textId="77777777" w:rsidR="00194324" w:rsidRDefault="00194324" w:rsidP="002C53ED">
      <w:pPr>
        <w:spacing w:line="360" w:lineRule="auto"/>
      </w:pPr>
    </w:p>
    <w:p w14:paraId="367630EA" w14:textId="2841ACC9" w:rsidR="008710ED" w:rsidRPr="00D21957" w:rsidRDefault="008710ED" w:rsidP="002C53ED">
      <w:pPr>
        <w:pStyle w:val="Heading3"/>
        <w:spacing w:before="0" w:line="360" w:lineRule="auto"/>
      </w:pPr>
      <w:bookmarkStart w:id="61" w:name="_Toc117765906"/>
      <w:r w:rsidRPr="00D21957">
        <w:t>The role of the parent in paediatric medicine.</w:t>
      </w:r>
      <w:bookmarkEnd w:id="61"/>
    </w:p>
    <w:p w14:paraId="1D0F9EF8" w14:textId="2225C164" w:rsidR="008710ED" w:rsidRPr="00E00DB4" w:rsidRDefault="00CD73FD" w:rsidP="00284867">
      <w:pPr>
        <w:spacing w:after="160" w:line="360" w:lineRule="auto"/>
      </w:pPr>
      <w:r w:rsidRPr="00D21957">
        <w:t xml:space="preserve">As noted above, a </w:t>
      </w:r>
      <w:r w:rsidR="008710ED" w:rsidRPr="00D21957">
        <w:t>key difference between paediatric and adult medicine is parental responsibility. Parents must make clinical decisions</w:t>
      </w:r>
      <w:r w:rsidR="00782843" w:rsidRPr="00D21957">
        <w:t>, in particular</w:t>
      </w:r>
      <w:r w:rsidR="008710ED" w:rsidRPr="00D21957">
        <w:t xml:space="preserve"> for younger children,</w:t>
      </w:r>
      <w:r w:rsidR="00C96589">
        <w:t xml:space="preserve"> often</w:t>
      </w:r>
      <w:r w:rsidR="008710ED" w:rsidRPr="00D21957">
        <w:t xml:space="preserve"> </w:t>
      </w:r>
      <w:r w:rsidR="008710ED" w:rsidRPr="00D21957">
        <w:lastRenderedPageBreak/>
        <w:t>without their child taking part in this process. Parental views therefore have a major influence on acceptance and adherence of treatments.</w:t>
      </w:r>
      <w:r w:rsidRPr="00D21957">
        <w:t xml:space="preserve"> </w:t>
      </w:r>
      <w:r w:rsidR="008710ED" w:rsidRPr="00D21957">
        <w:t>Including parents</w:t>
      </w:r>
      <w:r w:rsidR="008710ED" w:rsidRPr="00E00DB4">
        <w:t xml:space="preserve"> and children in decisions relating to medicines is key to medication optimisation </w:t>
      </w:r>
      <w:r w:rsidR="008710ED" w:rsidRPr="00E00DB4">
        <w:fldChar w:fldCharType="begin"/>
      </w:r>
      <w:r w:rsidR="00A67C03">
        <w:instrText xml:space="preserve"> ADDIN EN.CITE &lt;EndNote&gt;&lt;Cite&gt;&lt;Author&gt;Trivedi&lt;/Author&gt;&lt;Year&gt;2017&lt;/Year&gt;&lt;RecNum&gt;290&lt;/RecNum&gt;&lt;DisplayText&gt;(Trivedi, 2017)&lt;/DisplayText&gt;&lt;record&gt;&lt;rec-number&gt;290&lt;/rec-number&gt;&lt;foreign-keys&gt;&lt;key app="EN" db-id="pr9rwt2w8padxcerwx6prd0a9wtda2w5fw2t" timestamp="1629731697"&gt;290&lt;/key&gt;&lt;/foreign-keys&gt;&lt;ref-type name="Journal Article"&gt;17&lt;/ref-type&gt;&lt;contributors&gt;&lt;authors&gt;&lt;author&gt;Trivedi, A&lt;/author&gt;&lt;/authors&gt;&lt;/contributors&gt;&lt;titles&gt;&lt;title&gt;Communicating with parents and involving children in medicines optimisation&lt;/title&gt;&lt;secondary-title&gt;The Pharmaceutical Journal&lt;/secondary-title&gt;&lt;/titles&gt;&lt;periodical&gt;&lt;full-title&gt;The Pharmaceutical Journal&lt;/full-title&gt;&lt;/periodical&gt;&lt;dates&gt;&lt;year&gt;2017&lt;/year&gt;&lt;/dates&gt;&lt;urls&gt;&lt;/urls&gt;&lt;electronic-resource-num&gt;DOI: 10.1211/PJ.2017.20203683&lt;/electronic-resource-num&gt;&lt;/record&gt;&lt;/Cite&gt;&lt;/EndNote&gt;</w:instrText>
      </w:r>
      <w:r w:rsidR="008710ED" w:rsidRPr="00E00DB4">
        <w:fldChar w:fldCharType="separate"/>
      </w:r>
      <w:r w:rsidR="008710ED" w:rsidRPr="00E00DB4">
        <w:rPr>
          <w:noProof/>
        </w:rPr>
        <w:t>(Trivedi, 2017)</w:t>
      </w:r>
      <w:r w:rsidR="008710ED" w:rsidRPr="00E00DB4">
        <w:fldChar w:fldCharType="end"/>
      </w:r>
      <w:r w:rsidR="008710ED" w:rsidRPr="00E00DB4">
        <w:t xml:space="preserve">. In chronic paediatric illnesses, adherence to long-term medication is a significant problem with 50-88% reported to be non-adherent to their prescribed regimens </w:t>
      </w:r>
      <w:r w:rsidR="008710ED" w:rsidRPr="00E00DB4">
        <w:fldChar w:fldCharType="begin"/>
      </w:r>
      <w:r w:rsidR="00CD2C33">
        <w:instrText xml:space="preserve"> ADDIN EN.CITE &lt;EndNote&gt;&lt;Cite&gt;&lt;Author&gt;McGrady&lt;/Author&gt;&lt;Year&gt;2013&lt;/Year&gt;&lt;RecNum&gt;291&lt;/RecNum&gt;&lt;DisplayText&gt;(McGrady et al., 2013)&lt;/DisplayText&gt;&lt;record&gt;&lt;rec-number&gt;291&lt;/rec-number&gt;&lt;foreign-keys&gt;&lt;key app="EN" db-id="pr9rwt2w8padxcerwx6prd0a9wtda2w5fw2t" timestamp="1629731697"&gt;291&lt;/key&gt;&lt;/foreign-keys&gt;&lt;ref-type name="Journal Article"&gt;17&lt;/ref-type&gt;&lt;contributors&gt;&lt;authors&gt;&lt;author&gt;McGrady, M. E.&lt;/author&gt;&lt;author&gt;Hommel, K. A.&lt;/author&gt;&lt;/authors&gt;&lt;/contributors&gt;&lt;auth-address&gt;Center for Adherence and Self-Management, Cincinnati Children&amp;apos;s Hospital Medical, Center MLC 7039, 3333 Burnet Ave, Cincinnati, OH 45229-3026. meghan.mcgrady@cchmc.org.&lt;/auth-address&gt;&lt;titles&gt;&lt;title&gt;Medication adherence and health care utilization in pediatric chronic illness: a systematic review&lt;/title&gt;&lt;secondary-title&gt;Pediatrics&lt;/secondary-title&gt;&lt;/titles&gt;&lt;periodical&gt;&lt;full-title&gt;Pediatrics&lt;/full-title&gt;&lt;/periodical&gt;&lt;pages&gt;730-40&lt;/pages&gt;&lt;volume&gt;132&lt;/volume&gt;&lt;number&gt;4&lt;/number&gt;&lt;edition&gt;2013/09/04&lt;/edition&gt;&lt;keywords&gt;&lt;keyword&gt;Adolescent&lt;/keyword&gt;&lt;keyword&gt;Child&lt;/keyword&gt;&lt;keyword&gt;Chronic Disease/*drug therapy/epidemiology&lt;/keyword&gt;&lt;keyword&gt;Delivery of Health Care/*statistics &amp;amp; numerical data&lt;/keyword&gt;&lt;keyword&gt;Humans&lt;/keyword&gt;&lt;keyword&gt;*Medication Adherence&lt;/keyword&gt;&lt;keyword&gt;*Pediatrics/methods/trends&lt;/keyword&gt;&lt;keyword&gt;Randomized Controlled Trials as Topic/methods/trends&lt;/keyword&gt;&lt;keyword&gt;chronic disease&lt;/keyword&gt;&lt;keyword&gt;health care costs&lt;/keyword&gt;&lt;keyword&gt;health care quality, access, and evaluation&lt;/keyword&gt;&lt;keyword&gt;medication adherence&lt;/keyword&gt;&lt;/keywords&gt;&lt;dates&gt;&lt;year&gt;2013&lt;/year&gt;&lt;pub-dates&gt;&lt;date&gt;Oct&lt;/date&gt;&lt;/pub-dates&gt;&lt;/dates&gt;&lt;isbn&gt;0031-4005&lt;/isbn&gt;&lt;accession-num&gt;23999953&lt;/accession-num&gt;&lt;urls&gt;&lt;/urls&gt;&lt;custom2&gt;PMC3784296&lt;/custom2&gt;&lt;electronic-resource-num&gt;10.1542/peds.2013-1451&lt;/electronic-resource-num&gt;&lt;remote-database-provider&gt;NLM&lt;/remote-database-provider&gt;&lt;language&gt;eng&lt;/language&gt;&lt;/record&gt;&lt;/Cite&gt;&lt;/EndNote&gt;</w:instrText>
      </w:r>
      <w:r w:rsidR="008710ED" w:rsidRPr="00E00DB4">
        <w:fldChar w:fldCharType="separate"/>
      </w:r>
      <w:r w:rsidR="00CD2C33">
        <w:rPr>
          <w:noProof/>
        </w:rPr>
        <w:t>(McGrady et al., 2013)</w:t>
      </w:r>
      <w:r w:rsidR="008710ED" w:rsidRPr="00E00DB4">
        <w:fldChar w:fldCharType="end"/>
      </w:r>
      <w:r w:rsidR="008710ED" w:rsidRPr="00E00DB4">
        <w:t>. Conn et al</w:t>
      </w:r>
      <w:r w:rsidRPr="00D21957">
        <w:t>.</w:t>
      </w:r>
      <w:r w:rsidR="008710ED" w:rsidRPr="00E00DB4">
        <w:t xml:space="preserve"> found that parental concerns regarding medication was a major determinant of poor adherence </w:t>
      </w:r>
      <w:r w:rsidR="008710ED" w:rsidRPr="00E00DB4">
        <w:fldChar w:fldCharType="begin"/>
      </w:r>
      <w:r w:rsidR="00EE22EB">
        <w:instrText xml:space="preserve"> ADDIN EN.CITE &lt;EndNote&gt;&lt;Cite&gt;&lt;Author&gt;Conn&lt;/Author&gt;&lt;Year&gt;2005&lt;/Year&gt;&lt;RecNum&gt;192&lt;/RecNum&gt;&lt;DisplayText&gt;(Conn et al., 2005)&lt;/DisplayText&gt;&lt;record&gt;&lt;rec-number&gt;192&lt;/rec-number&gt;&lt;foreign-keys&gt;&lt;key app="EN" db-id="pr9rwt2w8padxcerwx6prd0a9wtda2w5fw2t" timestamp="1629731697"&gt;192&lt;/key&gt;&lt;/foreign-keys&gt;&lt;ref-type name="Journal Article"&gt;17&lt;/ref-type&gt;&lt;contributors&gt;&lt;authors&gt;&lt;author&gt;Conn, Kelly M.&lt;/author&gt;&lt;author&gt;Halterman, Jill S.&lt;/author&gt;&lt;author&gt;Fisher, Susan G.&lt;/author&gt;&lt;author&gt;Yoos, H. Lorrie&lt;/author&gt;&lt;author&gt;Chin, Nancy P.&lt;/author&gt;&lt;author&gt;Szilagyi, Peter G.&lt;/author&gt;&lt;/authors&gt;&lt;/contributors&gt;&lt;titles&gt;&lt;title&gt;Parental Beliefs About Medications and Medication Adherence Among Urban Children With Asthma&lt;/title&gt;&lt;secondary-title&gt;Ambulatory Pediatrics&lt;/secondary-title&gt;&lt;/titles&gt;&lt;periodical&gt;&lt;full-title&gt;Ambulatory Pediatrics&lt;/full-title&gt;&lt;/periodical&gt;&lt;pages&gt;306-310&lt;/pages&gt;&lt;volume&gt;5&lt;/volume&gt;&lt;number&gt;5&lt;/number&gt;&lt;keywords&gt;&lt;keyword&gt;beliefs about medications&lt;/keyword&gt;&lt;keyword&gt;childhood asthma&lt;/keyword&gt;&lt;keyword&gt;inner city&lt;/keyword&gt;&lt;keyword&gt;medication adherence&lt;/keyword&gt;&lt;keyword&gt;parental concern&lt;/keyword&gt;&lt;/keywords&gt;&lt;dates&gt;&lt;year&gt;2005&lt;/year&gt;&lt;pub-dates&gt;&lt;date&gt;2005/09/01/&lt;/date&gt;&lt;/pub-dates&gt;&lt;/dates&gt;&lt;isbn&gt;1530-1567&lt;/isbn&gt;&lt;urls&gt;&lt;related-urls&gt;&lt;url&gt;http://www.sciencedirect.com/science/article/pii/S1530156705603681&lt;/url&gt;&lt;/related-urls&gt;&lt;/urls&gt;&lt;electronic-resource-num&gt;https://doi.org/10.1367/A05-004R1.1&lt;/electronic-resource-num&gt;&lt;/record&gt;&lt;/Cite&gt;&lt;/EndNote&gt;</w:instrText>
      </w:r>
      <w:r w:rsidR="008710ED" w:rsidRPr="00E00DB4">
        <w:fldChar w:fldCharType="separate"/>
      </w:r>
      <w:r w:rsidR="00EE22EB">
        <w:rPr>
          <w:noProof/>
        </w:rPr>
        <w:t>(Conn et al., 2005)</w:t>
      </w:r>
      <w:r w:rsidR="008710ED" w:rsidRPr="00E00DB4">
        <w:fldChar w:fldCharType="end"/>
      </w:r>
      <w:r w:rsidR="008710ED" w:rsidRPr="00E00DB4">
        <w:t xml:space="preserve">. Similarly, parental knowledge, beliefs and attitudes have been identified as essential factors to consider when changes in antibiotic prescribing are required </w:t>
      </w:r>
      <w:r w:rsidR="008710ED" w:rsidRPr="00E00DB4">
        <w:fldChar w:fldCharType="begin"/>
      </w:r>
      <w:r w:rsidR="00250C95">
        <w:instrText xml:space="preserve"> ADDIN EN.CITE &lt;EndNote&gt;&lt;Cite&gt;&lt;Author&gt;Andrews&lt;/Author&gt;&lt;Year&gt;2012&lt;/Year&gt;&lt;RecNum&gt;292&lt;/RecNum&gt;&lt;DisplayText&gt;(Andrews, Thompson, Buckley, Heneghan, &amp;amp; al., 2012)&lt;/DisplayText&gt;&lt;record&gt;&lt;rec-number&gt;292&lt;/rec-number&gt;&lt;foreign-keys&gt;&lt;key app="EN" db-id="pr9rwt2w8padxcerwx6prd0a9wtda2w5fw2t" timestamp="1629731697"&gt;292&lt;/key&gt;&lt;/foreign-keys&gt;&lt;ref-type name="Journal Article"&gt;17&lt;/ref-type&gt;&lt;contributors&gt;&lt;authors&gt;&lt;author&gt;Andrews, T.&lt;/author&gt;&lt;author&gt;Thompson, M.&lt;/author&gt;&lt;author&gt;Buckley, D. I.&lt;/author&gt;&lt;author&gt;Heneghan, C.&lt;/author&gt;&lt;author&gt;et al.&lt;/author&gt;&lt;/authors&gt;&lt;/contributors&gt;&lt;auth-address&gt;Department of Family Medicine, Oregon Health and Science University, Portland, Oregon, United States of America.&lt;/auth-address&gt;&lt;titles&gt;&lt;title&gt;Interventions to influence consulting and antibiotic use for acute respiratory tract infections in children: a systematic review and meta-analysis&lt;/title&gt;&lt;secondary-title&gt;PLoS One&lt;/secondary-title&gt;&lt;/titles&gt;&lt;periodical&gt;&lt;full-title&gt;PLoS One&lt;/full-title&gt;&lt;/periodical&gt;&lt;pages&gt;e30334&lt;/pages&gt;&lt;volume&gt;7&lt;/volume&gt;&lt;number&gt;1&lt;/number&gt;&lt;edition&gt;2012/02/03&lt;/edition&gt;&lt;keywords&gt;&lt;keyword&gt;Acute Disease&lt;/keyword&gt;&lt;keyword&gt;Adolescent&lt;/keyword&gt;&lt;keyword&gt;Anti-Bacterial Agents/*therapeutic use&lt;/keyword&gt;&lt;keyword&gt;Child&lt;/keyword&gt;&lt;keyword&gt;Child, Preschool&lt;/keyword&gt;&lt;keyword&gt;Humans&lt;/keyword&gt;&lt;keyword&gt;Infant&lt;/keyword&gt;&lt;keyword&gt;Infant, Newborn&lt;/keyword&gt;&lt;keyword&gt;*Referral and Consultation/statistics &amp;amp; numerical data&lt;/keyword&gt;&lt;keyword&gt;Respiratory Tract Infections/epidemiology/*therapy&lt;/keyword&gt;&lt;/keywords&gt;&lt;dates&gt;&lt;year&gt;2012&lt;/year&gt;&lt;/dates&gt;&lt;isbn&gt;1932-6203&lt;/isbn&gt;&lt;accession-num&gt;22299036&lt;/accession-num&gt;&lt;urls&gt;&lt;/urls&gt;&lt;custom2&gt;PMC3267713&lt;/custom2&gt;&lt;electronic-resource-num&gt;10.1371/journal.pone.0030334&lt;/electronic-resource-num&gt;&lt;remote-database-provider&gt;NLM&lt;/remote-database-provider&gt;&lt;language&gt;eng&lt;/language&gt;&lt;/record&gt;&lt;/Cite&gt;&lt;/EndNote&gt;</w:instrText>
      </w:r>
      <w:r w:rsidR="008710ED" w:rsidRPr="00E00DB4">
        <w:fldChar w:fldCharType="separate"/>
      </w:r>
      <w:r w:rsidR="00250C95">
        <w:rPr>
          <w:noProof/>
        </w:rPr>
        <w:t>(Andrews, Thompson, Buckley, Heneghan, &amp; al., 2012)</w:t>
      </w:r>
      <w:r w:rsidR="008710ED" w:rsidRPr="00E00DB4">
        <w:fldChar w:fldCharType="end"/>
      </w:r>
      <w:r w:rsidR="008710ED" w:rsidRPr="00E00DB4">
        <w:t>.</w:t>
      </w:r>
    </w:p>
    <w:p w14:paraId="7794A804" w14:textId="1138A485" w:rsidR="008710ED" w:rsidRDefault="008710ED" w:rsidP="002C53ED">
      <w:pPr>
        <w:spacing w:line="360" w:lineRule="auto"/>
      </w:pPr>
      <w:r w:rsidRPr="00E00DB4">
        <w:t>Health and behaviour are related through a variety of complex interactions. Chronic disease has been described as a long</w:t>
      </w:r>
      <w:r w:rsidR="00C32B0B">
        <w:t>-</w:t>
      </w:r>
      <w:r w:rsidRPr="00E00DB4">
        <w:t>term stressor for families</w:t>
      </w:r>
      <w:r w:rsidR="005C7DD9">
        <w:t>,</w:t>
      </w:r>
      <w:r w:rsidRPr="00E00DB4">
        <w:t xml:space="preserve"> with 3 underlying determinants</w:t>
      </w:r>
      <w:r w:rsidR="00CD4B99" w:rsidRPr="00E00DB4">
        <w:t xml:space="preserve"> </w:t>
      </w:r>
      <w:r w:rsidR="00CD4B99" w:rsidRPr="00E00DB4">
        <w:fldChar w:fldCharType="begin"/>
      </w:r>
      <w:r w:rsidR="004A398A">
        <w:instrText xml:space="preserve"> ADDIN EN.CITE &lt;EndNote&gt;&lt;Cite&gt;&lt;Author&gt;Institute of Medicine&lt;/Author&gt;&lt;Year&gt;2001&lt;/Year&gt;&lt;RecNum&gt;252&lt;/RecNum&gt;&lt;DisplayText&gt;(Institute of Medicine, 2001)&lt;/DisplayText&gt;&lt;record&gt;&lt;rec-number&gt;252&lt;/rec-number&gt;&lt;foreign-keys&gt;&lt;key app="EN" db-id="pr9rwt2w8padxcerwx6prd0a9wtda2w5fw2t" timestamp="1629731697"&gt;252&lt;/key&gt;&lt;/foreign-keys&gt;&lt;ref-type name="Book"&gt;6&lt;/ref-type&gt;&lt;contributors&gt;&lt;authors&gt;&lt;author&gt;Institute of Medicine, &lt;/author&gt;&lt;/authors&gt;&lt;secondary-authors&gt;&lt;author&gt;US Committee on Health and Behavior: Reserach, Practice, and Policy&lt;/author&gt;&lt;/secondary-authors&gt;&lt;/contributors&gt;&lt;titles&gt;&lt;title&gt;Health and Behavior&lt;/title&gt;&lt;/titles&gt;&lt;dates&gt;&lt;year&gt;2001&lt;/year&gt;&lt;/dates&gt;&lt;pub-location&gt;Washington (DC)&lt;/pub-location&gt;&lt;publisher&gt;National Academies Press (US)&lt;/publisher&gt;&lt;isbn&gt;ISBN-10: 0-309-07030-9&lt;/isbn&gt;&lt;urls&gt;&lt;/urls&gt;&lt;/record&gt;&lt;/Cite&gt;&lt;Cite&gt;&lt;Author&gt;Institute of Medicine&lt;/Author&gt;&lt;Year&gt;2001&lt;/Year&gt;&lt;RecNum&gt;252&lt;/RecNum&gt;&lt;record&gt;&lt;rec-number&gt;252&lt;/rec-number&gt;&lt;foreign-keys&gt;&lt;key app="EN" db-id="pr9rwt2w8padxcerwx6prd0a9wtda2w5fw2t" timestamp="1629731697"&gt;252&lt;/key&gt;&lt;/foreign-keys&gt;&lt;ref-type name="Book"&gt;6&lt;/ref-type&gt;&lt;contributors&gt;&lt;authors&gt;&lt;author&gt;Institute of Medicine, &lt;/author&gt;&lt;/authors&gt;&lt;secondary-authors&gt;&lt;author&gt;US Committee on Health and Behavior: Reserach, Practice, and Policy&lt;/author&gt;&lt;/secondary-authors&gt;&lt;/contributors&gt;&lt;titles&gt;&lt;title&gt;Health and Behavior&lt;/title&gt;&lt;/titles&gt;&lt;dates&gt;&lt;year&gt;2001&lt;/year&gt;&lt;/dates&gt;&lt;pub-location&gt;Washington (DC)&lt;/pub-location&gt;&lt;publisher&gt;National Academies Press (US)&lt;/publisher&gt;&lt;isbn&gt;ISBN-10: 0-309-07030-9&lt;/isbn&gt;&lt;urls&gt;&lt;/urls&gt;&lt;/record&gt;&lt;/Cite&gt;&lt;/EndNote&gt;</w:instrText>
      </w:r>
      <w:r w:rsidR="00CD4B99" w:rsidRPr="00E00DB4">
        <w:fldChar w:fldCharType="separate"/>
      </w:r>
      <w:r w:rsidR="00CD4B99" w:rsidRPr="00E00DB4">
        <w:rPr>
          <w:noProof/>
        </w:rPr>
        <w:t>(Institute of Medicine, 2001)</w:t>
      </w:r>
      <w:r w:rsidR="00CD4B99" w:rsidRPr="00E00DB4">
        <w:fldChar w:fldCharType="end"/>
      </w:r>
      <w:r w:rsidRPr="00E00DB4">
        <w:t>. These include the change required by the family members, the capacity of the patient to make the required changes and the ability of medical service to mitigate or exacerbate the stresses of illness</w:t>
      </w:r>
      <w:r w:rsidR="00CD4B99" w:rsidRPr="00E00DB4">
        <w:t xml:space="preserve"> </w:t>
      </w:r>
      <w:r w:rsidR="00CD4B99" w:rsidRPr="00E00DB4">
        <w:fldChar w:fldCharType="begin"/>
      </w:r>
      <w:r w:rsidR="004A398A">
        <w:instrText xml:space="preserve"> ADDIN EN.CITE &lt;EndNote&gt;&lt;Cite&gt;&lt;Author&gt;Institute of Medicine&lt;/Author&gt;&lt;Year&gt;2001&lt;/Year&gt;&lt;RecNum&gt;252&lt;/RecNum&gt;&lt;DisplayText&gt;(Institute of Medicine, 2001)&lt;/DisplayText&gt;&lt;record&gt;&lt;rec-number&gt;252&lt;/rec-number&gt;&lt;foreign-keys&gt;&lt;key app="EN" db-id="pr9rwt2w8padxcerwx6prd0a9wtda2w5fw2t" timestamp="1629731697"&gt;252&lt;/key&gt;&lt;/foreign-keys&gt;&lt;ref-type name="Book"&gt;6&lt;/ref-type&gt;&lt;contributors&gt;&lt;authors&gt;&lt;author&gt;Institute of Medicine, &lt;/author&gt;&lt;/authors&gt;&lt;secondary-authors&gt;&lt;author&gt;US Committee on Health and Behavior: Reserach, Practice, and Policy&lt;/author&gt;&lt;/secondary-authors&gt;&lt;/contributors&gt;&lt;titles&gt;&lt;title&gt;Health and Behavior&lt;/title&gt;&lt;/titles&gt;&lt;dates&gt;&lt;year&gt;2001&lt;/year&gt;&lt;/dates&gt;&lt;pub-location&gt;Washington (DC)&lt;/pub-location&gt;&lt;publisher&gt;National Academies Press (US)&lt;/publisher&gt;&lt;isbn&gt;ISBN-10: 0-309-07030-9&lt;/isbn&gt;&lt;urls&gt;&lt;/urls&gt;&lt;/record&gt;&lt;/Cite&gt;&lt;/EndNote&gt;</w:instrText>
      </w:r>
      <w:r w:rsidR="00CD4B99" w:rsidRPr="00E00DB4">
        <w:fldChar w:fldCharType="separate"/>
      </w:r>
      <w:r w:rsidR="00CD4B99" w:rsidRPr="00E00DB4">
        <w:rPr>
          <w:noProof/>
        </w:rPr>
        <w:t>(Institute of Medicine, 2001)</w:t>
      </w:r>
      <w:r w:rsidR="00CD4B99" w:rsidRPr="00E00DB4">
        <w:fldChar w:fldCharType="end"/>
      </w:r>
      <w:r w:rsidRPr="00E00DB4">
        <w:t>. As such, exploring a parent’s experiences of having a child prescribed prophylaxis is important in order to help families and ensure they have the support they need to comply with medication regimes and seek assessment when needed.</w:t>
      </w:r>
      <w:r w:rsidRPr="00241369">
        <w:t xml:space="preserve"> </w:t>
      </w:r>
    </w:p>
    <w:p w14:paraId="6686F9C3" w14:textId="77777777" w:rsidR="00194324" w:rsidRPr="00241369" w:rsidRDefault="00194324" w:rsidP="002C53ED">
      <w:pPr>
        <w:spacing w:line="360" w:lineRule="auto"/>
      </w:pPr>
    </w:p>
    <w:p w14:paraId="35FE4D15" w14:textId="2B9BAFEA" w:rsidR="002B54ED" w:rsidRPr="00241369" w:rsidRDefault="002B54ED" w:rsidP="002C53ED">
      <w:pPr>
        <w:pStyle w:val="Heading3"/>
        <w:spacing w:before="0" w:line="360" w:lineRule="auto"/>
      </w:pPr>
      <w:bookmarkStart w:id="62" w:name="_Toc28850825"/>
      <w:bookmarkStart w:id="63" w:name="_Toc117765907"/>
      <w:r w:rsidRPr="00241369">
        <w:t>Parental perceptions of antibiotics in respiratory disease</w:t>
      </w:r>
      <w:bookmarkEnd w:id="62"/>
      <w:bookmarkEnd w:id="63"/>
    </w:p>
    <w:p w14:paraId="66CA5F93" w14:textId="66E1311E" w:rsidR="002B54ED" w:rsidRPr="00241369" w:rsidRDefault="002B54ED" w:rsidP="00284867">
      <w:pPr>
        <w:spacing w:after="160" w:line="360" w:lineRule="auto"/>
      </w:pPr>
      <w:r w:rsidRPr="00241369">
        <w:t>There is an increasing body of research into parental views of antibiotics specifically for acute respiratory tract infections. Most parents acknowledge that antibiotics are not used for common colds, do not expect antibiotics from their doctor for such episodes and only want advice or reassurance</w:t>
      </w:r>
      <w:r w:rsidR="003964F1">
        <w:t xml:space="preserve"> </w:t>
      </w:r>
      <w:r w:rsidR="00ED0001">
        <w:fldChar w:fldCharType="begin"/>
      </w:r>
      <w:r w:rsidR="00CD2C33">
        <w:instrText xml:space="preserve"> ADDIN EN.CITE &lt;EndNote&gt;&lt;Cite&gt;&lt;Author&gt;Havens&lt;/Author&gt;&lt;Year&gt;2016&lt;/Year&gt;&lt;RecNum&gt;71&lt;/RecNum&gt;&lt;DisplayText&gt;(Havens et al., 2016)&lt;/DisplayText&gt;&lt;record&gt;&lt;rec-number&gt;71&lt;/rec-number&gt;&lt;foreign-keys&gt;&lt;key app="EN" db-id="z50rresss5e5vfe0s2qpewtuxsprsrse5fff" timestamp="1576683870"&gt;71&lt;/key&gt;&lt;/foreign-keys&gt;&lt;ref-type name="Journal Article"&gt;17&lt;/ref-type&gt;&lt;contributors&gt;&lt;authors&gt;&lt;author&gt;Havens, Lauren&lt;/author&gt;&lt;author&gt;Schwartz, Misty&lt;/author&gt;&lt;/authors&gt;&lt;/contributors&gt;&lt;titles&gt;&lt;title&gt;Identification of Parents’ Perceptions of Antibiotic Use for Individualized Community Education&lt;/title&gt;&lt;secondary-title&gt;Global Pediatric Health&lt;/secondary-title&gt;&lt;/titles&gt;&lt;periodical&gt;&lt;full-title&gt;Global Pediatric Health&lt;/full-title&gt;&lt;/periodical&gt;&lt;pages&gt;2333794X16654067&lt;/pages&gt;&lt;volume&gt;3&lt;/volume&gt;&lt;dates&gt;&lt;year&gt;2016&lt;/year&gt;&lt;pub-dates&gt;&lt;date&gt;2016/01/01&lt;/date&gt;&lt;/pub-dates&gt;&lt;/dates&gt;&lt;publisher&gt;SAGE Publications Inc&lt;/publisher&gt;&lt;isbn&gt;2333-794X&lt;/isbn&gt;&lt;urls&gt;&lt;related-urls&gt;&lt;url&gt;https://doi.org/10.1177/2333794X16654067&lt;/url&gt;&lt;/related-urls&gt;&lt;/urls&gt;&lt;electronic-resource-num&gt;10.1177/2333794X16654067&lt;/electronic-resource-num&gt;&lt;access-date&gt;2019/12/18&lt;/access-date&gt;&lt;/record&gt;&lt;/Cite&gt;&lt;/EndNote&gt;</w:instrText>
      </w:r>
      <w:r w:rsidR="00ED0001">
        <w:fldChar w:fldCharType="separate"/>
      </w:r>
      <w:r w:rsidR="00CD2C33">
        <w:rPr>
          <w:noProof/>
        </w:rPr>
        <w:t>(Havens et al., 2016)</w:t>
      </w:r>
      <w:r w:rsidR="00ED0001">
        <w:fldChar w:fldCharType="end"/>
      </w:r>
      <w:r w:rsidRPr="00241369">
        <w:t xml:space="preserve">. However, </w:t>
      </w:r>
      <w:r w:rsidRPr="00241369">
        <w:rPr>
          <w:shd w:val="clear" w:color="auto" w:fill="FFFFFF" w:themeFill="background1"/>
        </w:rPr>
        <w:t>in a study surveying 170 parents</w:t>
      </w:r>
      <w:r w:rsidRPr="00241369">
        <w:t xml:space="preserve"> only 62% strongly agreed that antibiotics are used to treat only bacterial infections </w:t>
      </w:r>
      <w:r w:rsidR="00587CD0">
        <w:fldChar w:fldCharType="begin"/>
      </w:r>
      <w:r w:rsidR="00CD2C33">
        <w:instrText xml:space="preserve"> ADDIN EN.CITE &lt;EndNote&gt;&lt;Cite&gt;&lt;Author&gt;Havens&lt;/Author&gt;&lt;Year&gt;2016&lt;/Year&gt;&lt;RecNum&gt;71&lt;/RecNum&gt;&lt;DisplayText&gt;(Havens et al., 2016)&lt;/DisplayText&gt;&lt;record&gt;&lt;rec-number&gt;71&lt;/rec-number&gt;&lt;foreign-keys&gt;&lt;key app="EN" db-id="z50rresss5e5vfe0s2qpewtuxsprsrse5fff" timestamp="1576683870"&gt;71&lt;/key&gt;&lt;/foreign-keys&gt;&lt;ref-type name="Journal Article"&gt;17&lt;/ref-type&gt;&lt;contributors&gt;&lt;authors&gt;&lt;author&gt;Havens, Lauren&lt;/author&gt;&lt;author&gt;Schwartz, Misty&lt;/author&gt;&lt;/authors&gt;&lt;/contributors&gt;&lt;titles&gt;&lt;title&gt;Identification of Parents’ Perceptions of Antibiotic Use for Individualized Community Education&lt;/title&gt;&lt;secondary-title&gt;Global Pediatric Health&lt;/secondary-title&gt;&lt;/titles&gt;&lt;periodical&gt;&lt;full-title&gt;Global Pediatric Health&lt;/full-title&gt;&lt;/periodical&gt;&lt;pages&gt;2333794X16654067&lt;/pages&gt;&lt;volume&gt;3&lt;/volume&gt;&lt;dates&gt;&lt;year&gt;2016&lt;/year&gt;&lt;pub-dates&gt;&lt;date&gt;2016/01/01&lt;/date&gt;&lt;/pub-dates&gt;&lt;/dates&gt;&lt;publisher&gt;SAGE Publications Inc&lt;/publisher&gt;&lt;isbn&gt;2333-794X&lt;/isbn&gt;&lt;urls&gt;&lt;related-urls&gt;&lt;url&gt;https://doi.org/10.1177/2333794X16654067&lt;/url&gt;&lt;/related-urls&gt;&lt;/urls&gt;&lt;electronic-resource-num&gt;10.1177/2333794X16654067&lt;/electronic-resource-num&gt;&lt;access-date&gt;2019/12/18&lt;/access-date&gt;&lt;/record&gt;&lt;/Cite&gt;&lt;/EndNote&gt;</w:instrText>
      </w:r>
      <w:r w:rsidR="00587CD0">
        <w:fldChar w:fldCharType="separate"/>
      </w:r>
      <w:r w:rsidR="00CD2C33">
        <w:rPr>
          <w:noProof/>
        </w:rPr>
        <w:t>(Havens et al., 2016)</w:t>
      </w:r>
      <w:r w:rsidR="00587CD0">
        <w:fldChar w:fldCharType="end"/>
      </w:r>
      <w:r w:rsidRPr="00241369">
        <w:t>. An Australian telephone interview study of 401 care givers asked about recent antibiotic use in their children for acute respiratory tract infections. Most responders believed antibiotics provide benefits for common acute respiratory tract infections</w:t>
      </w:r>
      <w:r w:rsidR="00C96589">
        <w:t>,</w:t>
      </w:r>
      <w:r w:rsidRPr="00241369">
        <w:t xml:space="preserve"> especially ear infections, even when the majority of such infections are likely to be viral in origin and to be self</w:t>
      </w:r>
      <w:r w:rsidR="008505C2" w:rsidRPr="00241369">
        <w:t>-</w:t>
      </w:r>
      <w:r w:rsidRPr="00241369">
        <w:t>limiting. Care</w:t>
      </w:r>
      <w:r w:rsidR="008505C2" w:rsidRPr="00241369">
        <w:t>-</w:t>
      </w:r>
      <w:r w:rsidRPr="00241369">
        <w:t>giver</w:t>
      </w:r>
      <w:r w:rsidR="00801513">
        <w:t>s were reported to overestimate</w:t>
      </w:r>
      <w:r w:rsidRPr="00241369">
        <w:t xml:space="preserve"> the benefits of antibiotics on symptom duration by 5 to 10 fold </w:t>
      </w:r>
      <w:r w:rsidR="00ED0001">
        <w:fldChar w:fldCharType="begin"/>
      </w:r>
      <w:r w:rsidR="00EE22EB">
        <w:instrText xml:space="preserve"> ADDIN EN.CITE &lt;EndNote&gt;&lt;Cite&gt;&lt;Author&gt;Coxeter&lt;/Author&gt;&lt;Year&gt;2017&lt;/Year&gt;&lt;RecNum&gt;207&lt;/RecNum&gt;&lt;DisplayText&gt;(Coxeter et al., 2017)&lt;/DisplayText&gt;&lt;record&gt;&lt;rec-number&gt;207&lt;/rec-number&gt;&lt;foreign-keys&gt;&lt;key app="EN" db-id="pr9rwt2w8padxcerwx6prd0a9wtda2w5fw2t" timestamp="1629731697"&gt;207&lt;/key&gt;&lt;/foreign-keys&gt;&lt;ref-type name="Journal Article"&gt;17&lt;/ref-type&gt;&lt;contributors&gt;&lt;authors&gt;&lt;author&gt;Coxeter, Peter D.&lt;/author&gt;&lt;author&gt;Mar, Chris Del&lt;/author&gt;&lt;author&gt;Hoffmann, Tammy C.&lt;/author&gt;&lt;/authors&gt;&lt;/contributors&gt;&lt;titles&gt;&lt;title&gt;Parents’ Expectations and Experiences of Antibiotics for Acute Respiratory Infections in Primary Care&lt;/title&gt;&lt;secondary-title&gt;The Annals of Family Medicine&lt;/secondary-title&gt;&lt;/titles&gt;&lt;periodical&gt;&lt;full-title&gt;The Annals of Family Medicine&lt;/full-title&gt;&lt;/periodical&gt;&lt;pages&gt;149-154&lt;/pages&gt;&lt;volume&gt;15&lt;/volume&gt;&lt;number&gt;2&lt;/number&gt;&lt;dates&gt;&lt;year&gt;2017&lt;/year&gt;&lt;pub-dates&gt;&lt;date&gt;March 1, 2017&lt;/date&gt;&lt;/pub-dates&gt;&lt;/dates&gt;&lt;urls&gt;&lt;related-urls&gt;&lt;url&gt;http://www.annfammed.org/content/15/2/149.abstract&lt;/url&gt;&lt;/related-urls&gt;&lt;/urls&gt;&lt;electronic-resource-num&gt;10.1370/afm.2040&lt;/electronic-resource-num&gt;&lt;/record&gt;&lt;/Cite&gt;&lt;/EndNote&gt;</w:instrText>
      </w:r>
      <w:r w:rsidR="00ED0001">
        <w:fldChar w:fldCharType="separate"/>
      </w:r>
      <w:r w:rsidR="00EE22EB">
        <w:rPr>
          <w:noProof/>
        </w:rPr>
        <w:t>(Coxeter et al., 2017)</w:t>
      </w:r>
      <w:r w:rsidR="00ED0001">
        <w:fldChar w:fldCharType="end"/>
      </w:r>
      <w:r w:rsidRPr="00241369">
        <w:t>. Only 44% reported having some discussion during the medical consultation about why antibiotics were being used and 93% preferred to be involved in future decisions about antibiotics</w:t>
      </w:r>
      <w:r w:rsidR="00840261">
        <w:t xml:space="preserve"> </w:t>
      </w:r>
      <w:r w:rsidR="00ED0001">
        <w:fldChar w:fldCharType="begin"/>
      </w:r>
      <w:r w:rsidR="00EE22EB">
        <w:instrText xml:space="preserve"> ADDIN EN.CITE &lt;EndNote&gt;&lt;Cite&gt;&lt;Author&gt;Coxeter&lt;/Author&gt;&lt;Year&gt;2017&lt;/Year&gt;&lt;RecNum&gt;207&lt;/RecNum&gt;&lt;DisplayText&gt;(Coxeter et al., 2017)&lt;/DisplayText&gt;&lt;record&gt;&lt;rec-number&gt;207&lt;/rec-number&gt;&lt;foreign-keys&gt;&lt;key app="EN" db-id="pr9rwt2w8padxcerwx6prd0a9wtda2w5fw2t" timestamp="1629731697"&gt;207&lt;/key&gt;&lt;/foreign-keys&gt;&lt;ref-type name="Journal Article"&gt;17&lt;/ref-type&gt;&lt;contributors&gt;&lt;authors&gt;&lt;author&gt;Coxeter, Peter D.&lt;/author&gt;&lt;author&gt;Mar, Chris Del&lt;/author&gt;&lt;author&gt;Hoffmann, Tammy C.&lt;/author&gt;&lt;/authors&gt;&lt;/contributors&gt;&lt;titles&gt;&lt;title&gt;Parents’ Expectations and Experiences of Antibiotics for Acute Respiratory Infections in Primary Care&lt;/title&gt;&lt;secondary-title&gt;The Annals of Family Medicine&lt;/secondary-title&gt;&lt;/titles&gt;&lt;periodical&gt;&lt;full-title&gt;The Annals of Family Medicine&lt;/full-title&gt;&lt;/periodical&gt;&lt;pages&gt;149-154&lt;/pages&gt;&lt;volume&gt;15&lt;/volume&gt;&lt;number&gt;2&lt;/number&gt;&lt;dates&gt;&lt;year&gt;2017&lt;/year&gt;&lt;pub-dates&gt;&lt;date&gt;March 1, 2017&lt;/date&gt;&lt;/pub-dates&gt;&lt;/dates&gt;&lt;urls&gt;&lt;related-urls&gt;&lt;url&gt;http://www.annfammed.org/content/15/2/149.abstract&lt;/url&gt;&lt;/related-urls&gt;&lt;/urls&gt;&lt;electronic-resource-num&gt;10.1370/afm.2040&lt;/electronic-resource-num&gt;&lt;/record&gt;&lt;/Cite&gt;&lt;/EndNote&gt;</w:instrText>
      </w:r>
      <w:r w:rsidR="00ED0001">
        <w:fldChar w:fldCharType="separate"/>
      </w:r>
      <w:r w:rsidR="00EE22EB">
        <w:rPr>
          <w:noProof/>
        </w:rPr>
        <w:t>(Coxeter et al., 2017)</w:t>
      </w:r>
      <w:r w:rsidR="00ED0001">
        <w:fldChar w:fldCharType="end"/>
      </w:r>
      <w:r w:rsidRPr="00241369">
        <w:t xml:space="preserve">. </w:t>
      </w:r>
    </w:p>
    <w:p w14:paraId="7CC16E6E" w14:textId="11A1501A" w:rsidR="002B54ED" w:rsidRDefault="002B54ED" w:rsidP="002C53ED">
      <w:pPr>
        <w:spacing w:line="360" w:lineRule="auto"/>
      </w:pPr>
      <w:r w:rsidRPr="00241369">
        <w:lastRenderedPageBreak/>
        <w:t xml:space="preserve">Knowledge of antibiotic resistance is increasing and parents are increasingly aware of the need for judicious antibiotic prescribing </w:t>
      </w:r>
      <w:r w:rsidR="001D44FA">
        <w:fldChar w:fldCharType="begin">
          <w:fldData xml:space="preserve">PEVuZE5vdGU+PENpdGU+PEF1dGhvcj5TenltY3phazwvQXV0aG9yPjxZZWFyPjIwMTg8L1llYXI+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</w:fldData>
        </w:fldChar>
      </w:r>
      <w:r w:rsidR="00EE22EB">
        <w:instrText xml:space="preserve"> ADDIN EN.CITE </w:instrText>
      </w:r>
      <w:r w:rsidR="00EE22EB">
        <w:fldChar w:fldCharType="begin">
          <w:fldData xml:space="preserve">PEVuZE5vdGU+PENpdGU+PEF1dGhvcj5TenltY3phazwvQXV0aG9yPjxZZWFyPjIwMTg8L1llYXI+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</w:fldData>
        </w:fldChar>
      </w:r>
      <w:r w:rsidR="00EE22EB">
        <w:instrText xml:space="preserve"> ADDIN EN.CITE.DATA </w:instrText>
      </w:r>
      <w:r w:rsidR="00EE22EB">
        <w:fldChar w:fldCharType="end"/>
      </w:r>
      <w:r w:rsidR="001D44FA">
        <w:fldChar w:fldCharType="separate"/>
      </w:r>
      <w:r w:rsidR="00EE22EB">
        <w:rPr>
          <w:noProof/>
        </w:rPr>
        <w:t>(Szymczak et al., 2018)</w:t>
      </w:r>
      <w:r w:rsidR="001D44FA">
        <w:fldChar w:fldCharType="end"/>
      </w:r>
      <w:r w:rsidR="00840261">
        <w:t xml:space="preserve">. </w:t>
      </w:r>
      <w:r w:rsidRPr="00241369">
        <w:t xml:space="preserve">However, when questioned about acute courses of antibiotics, many parents perceive their children to be at low risk from antibiotic resistance due to their low use of antibiotics </w:t>
      </w:r>
      <w:r w:rsidR="00587CD0">
        <w:fldChar w:fldCharType="begin"/>
      </w:r>
      <w:r w:rsidR="00EE22EB">
        <w:instrText xml:space="preserve"> ADDIN EN.CITE &lt;EndNote&gt;&lt;Cite&gt;&lt;Author&gt;Van Hecke&lt;/Author&gt;&lt;Year&gt;2019&lt;/Year&gt;&lt;RecNum&gt;203&lt;/RecNum&gt;&lt;DisplayText&gt;(Van Hecke et al., 2019)&lt;/DisplayText&gt;&lt;record&gt;&lt;rec-number&gt;203&lt;/rec-number&gt;&lt;foreign-keys&gt;&lt;key app="EN" db-id="pr9rwt2w8padxcerwx6prd0a9wtda2w5fw2t" timestamp="1629731697"&gt;203&lt;/key&gt;&lt;/foreign-keys&gt;&lt;ref-type name="Journal Article"&gt;17&lt;/ref-type&gt;&lt;contributors&gt;&lt;authors&gt;&lt;author&gt;Van Hecke, O.&lt;/author&gt;&lt;author&gt;Butler, C. C.&lt;/author&gt;&lt;author&gt;Wang, K.&lt;/author&gt;&lt;author&gt;Tonkin-Crine, S.&lt;/author&gt;&lt;/authors&gt;&lt;/contributors&gt;&lt;auth-address&gt;Nuffield Department of Primary Health Care Sciences, University of Oxford, Oxford, UK.&lt;/auth-address&gt;&lt;titles&gt;&lt;title&gt;Parents&amp;apos; perceptions of antibiotic use and antibiotic resistance (PAUSE): a qualitative interview study&lt;/title&gt;&lt;secondary-title&gt;J Antimicrob Chemother&lt;/secondary-title&gt;&lt;/titles&gt;&lt;periodical&gt;&lt;full-title&gt;J Antimicrob Chemother&lt;/full-title&gt;&lt;/periodical&gt;&lt;pages&gt;1741-1747&lt;/pages&gt;&lt;volume&gt;74&lt;/volume&gt;&lt;number&gt;6&lt;/number&gt;&lt;edition&gt;2019/03/18&lt;/edition&gt;&lt;dates&gt;&lt;year&gt;2019&lt;/year&gt;&lt;pub-dates&gt;&lt;date&gt;Jun 1&lt;/date&gt;&lt;/pub-dates&gt;&lt;/dates&gt;&lt;isbn&gt;0305-7453&lt;/isbn&gt;&lt;accession-num&gt;30879040&lt;/accession-num&gt;&lt;urls&gt;&lt;/urls&gt;&lt;custom2&gt;PMC6524473&lt;/custom2&gt;&lt;electronic-resource-num&gt;10.1093/jac/dkz091&lt;/electronic-resource-num&gt;&lt;remote-database-provider&gt;NLM&lt;/remote-database-provider&gt;&lt;language&gt;eng&lt;/language&gt;&lt;/record&gt;&lt;/Cite&gt;&lt;/EndNote&gt;</w:instrText>
      </w:r>
      <w:r w:rsidR="00587CD0">
        <w:fldChar w:fldCharType="separate"/>
      </w:r>
      <w:r w:rsidR="00EE22EB">
        <w:rPr>
          <w:noProof/>
        </w:rPr>
        <w:t>(Van Hecke et al., 2019)</w:t>
      </w:r>
      <w:r w:rsidR="00587CD0">
        <w:fldChar w:fldCharType="end"/>
      </w:r>
      <w:r w:rsidRPr="00241369">
        <w:t>.</w:t>
      </w:r>
    </w:p>
    <w:p w14:paraId="1FBB2CC4" w14:textId="77777777" w:rsidR="00194324" w:rsidRPr="00241369" w:rsidRDefault="00194324" w:rsidP="002C53ED">
      <w:pPr>
        <w:spacing w:line="360" w:lineRule="auto"/>
      </w:pPr>
    </w:p>
    <w:p w14:paraId="224B5548" w14:textId="69F05EE0" w:rsidR="002B54ED" w:rsidRPr="00241369" w:rsidRDefault="002B54ED" w:rsidP="002C53ED">
      <w:pPr>
        <w:pStyle w:val="Heading3"/>
        <w:spacing w:before="0" w:line="360" w:lineRule="auto"/>
      </w:pPr>
      <w:bookmarkStart w:id="64" w:name="_Toc28850826"/>
      <w:bookmarkStart w:id="65" w:name="_Toc117765908"/>
      <w:r w:rsidRPr="00241369">
        <w:t>Literature on parental views with regards to preventative antimicrobials</w:t>
      </w:r>
      <w:bookmarkEnd w:id="64"/>
      <w:bookmarkEnd w:id="65"/>
    </w:p>
    <w:p w14:paraId="3F137616" w14:textId="39250CFB" w:rsidR="002B54ED" w:rsidRPr="00241369" w:rsidRDefault="002B54ED" w:rsidP="00284867">
      <w:pPr>
        <w:spacing w:after="160" w:line="360" w:lineRule="auto"/>
      </w:pPr>
      <w:r w:rsidRPr="00241369">
        <w:t xml:space="preserve">A survey into parental health beliefs and compliance with prophylactic penicillin administration in children with sickle cell disease found that in general, mothers believed that infections were a serious threat and antibiotic prophylaxis was beneficial. Despite this belief, pharmacy records showed that only 12% adhered to a schedule of collecting the </w:t>
      </w:r>
      <w:r w:rsidR="00FA41AF">
        <w:t>fortnightly</w:t>
      </w:r>
      <w:r w:rsidRPr="00241369">
        <w:t xml:space="preserve"> prescriptions. Those reporting they were never late in collecting prescriptions averaged 19.4 days (SD+/- 5.4) between collections whilst those who reported sometimes being late average 41.9 days (+/</w:t>
      </w:r>
      <w:r w:rsidR="008505C2" w:rsidRPr="00241369">
        <w:t>-</w:t>
      </w:r>
      <w:r w:rsidRPr="00241369">
        <w:t>28.5)</w:t>
      </w:r>
      <w:r w:rsidR="00840261">
        <w:t xml:space="preserve"> </w:t>
      </w:r>
      <w:r w:rsidR="00ED0001">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EE22EB">
        <w:instrText xml:space="preserve"> ADDIN EN.CITE </w:instrText>
      </w:r>
      <w:r w:rsidR="00EE22EB">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EE22EB">
        <w:instrText xml:space="preserve"> ADDIN EN.CITE.DATA </w:instrText>
      </w:r>
      <w:r w:rsidR="00EE22EB">
        <w:fldChar w:fldCharType="end"/>
      </w:r>
      <w:r w:rsidR="00ED0001">
        <w:fldChar w:fldCharType="separate"/>
      </w:r>
      <w:r w:rsidR="00EE22EB">
        <w:rPr>
          <w:noProof/>
        </w:rPr>
        <w:t>(Elliott et al., 2001)</w:t>
      </w:r>
      <w:r w:rsidR="00ED0001">
        <w:fldChar w:fldCharType="end"/>
      </w:r>
      <w:r w:rsidR="006B7BD7">
        <w:t>.</w:t>
      </w:r>
      <w:r w:rsidRPr="00241369">
        <w:t xml:space="preserve"> The results of the 50 mothers surveyed found that only 54% reported not missing any doses whilst 26% reported missing 3-5 doses a week. Other demographic factors such as having private transportation, fewer children and more than one adult at home were associated with better compliance. The main perceived burdens were of obtaining prescriptions every 2 weeks and remembering to administer the medication twice a day </w:t>
      </w:r>
      <w:r w:rsidR="00ED0001">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EE22EB">
        <w:instrText xml:space="preserve"> ADDIN EN.CITE </w:instrText>
      </w:r>
      <w:r w:rsidR="00EE22EB">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EE22EB">
        <w:instrText xml:space="preserve"> ADDIN EN.CITE.DATA </w:instrText>
      </w:r>
      <w:r w:rsidR="00EE22EB">
        <w:fldChar w:fldCharType="end"/>
      </w:r>
      <w:r w:rsidR="00ED0001">
        <w:fldChar w:fldCharType="separate"/>
      </w:r>
      <w:r w:rsidR="00EE22EB">
        <w:rPr>
          <w:noProof/>
        </w:rPr>
        <w:t>(Elliott et al., 2001)</w:t>
      </w:r>
      <w:r w:rsidR="00ED0001">
        <w:fldChar w:fldCharType="end"/>
      </w:r>
      <w:r w:rsidR="006B7BD7">
        <w:t xml:space="preserve">. </w:t>
      </w:r>
      <w:r w:rsidRPr="00241369">
        <w:t xml:space="preserve">The survey however only included 7 questions in total relating to the 4 areas of the health belief model; seriousness of condition, susceptibility of child, </w:t>
      </w:r>
      <w:r w:rsidR="009E1898" w:rsidRPr="00241369">
        <w:t>benefits</w:t>
      </w:r>
      <w:r w:rsidRPr="00241369">
        <w:t xml:space="preserve"> and burdens. </w:t>
      </w:r>
    </w:p>
    <w:p w14:paraId="68A5F60B" w14:textId="7094878E" w:rsidR="002B54ED" w:rsidRPr="00241369" w:rsidRDefault="002B54ED" w:rsidP="00284867">
      <w:pPr>
        <w:spacing w:after="160" w:line="360" w:lineRule="auto"/>
      </w:pPr>
      <w:r w:rsidRPr="00241369">
        <w:t>Parental attitudes towards the use of infection prophylaxis in a Canadian paediatric oncology setting revealed that parents were in favour of prophylaxis. The main drivers of decision making were the chance of infection and death</w:t>
      </w:r>
      <w:r w:rsidR="006B7BD7">
        <w:t xml:space="preserve"> </w:t>
      </w:r>
      <w:r w:rsidR="00ED0001">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instrText xml:space="preserve"> ADDIN EN.CITE </w:instrText>
      </w:r>
      <w:r w:rsidR="00EE22EB">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instrText xml:space="preserve"> ADDIN EN.CITE.DATA </w:instrText>
      </w:r>
      <w:r w:rsidR="00EE22EB">
        <w:fldChar w:fldCharType="end"/>
      </w:r>
      <w:r w:rsidR="00ED0001">
        <w:fldChar w:fldCharType="separate"/>
      </w:r>
      <w:r w:rsidR="00EE22EB">
        <w:rPr>
          <w:noProof/>
        </w:rPr>
        <w:t>(Diorio et al., 2012)</w:t>
      </w:r>
      <w:r w:rsidR="00ED0001">
        <w:fldChar w:fldCharType="end"/>
      </w:r>
      <w:r w:rsidRPr="00241369">
        <w:t>. Although 33 parents were involved in the study, only 5 were interviewed initially to identify the main influencing factors. The duration of the interviews was not reported and may not have been in great depth. Th</w:t>
      </w:r>
      <w:r w:rsidR="009E1898">
        <w:t>e second part of the study used</w:t>
      </w:r>
      <w:r w:rsidRPr="00241369">
        <w:t xml:space="preserve"> a</w:t>
      </w:r>
      <w:r w:rsidR="008832E2">
        <w:t xml:space="preserve"> “</w:t>
      </w:r>
      <w:r w:rsidRPr="00241369">
        <w:t>think aloud</w:t>
      </w:r>
      <w:r w:rsidR="009E1898">
        <w:t>”</w:t>
      </w:r>
      <w:r w:rsidRPr="00241369">
        <w:t xml:space="preserve"> hypothetical </w:t>
      </w:r>
      <w:r w:rsidR="001E4B88" w:rsidRPr="00241369">
        <w:t>decision-making</w:t>
      </w:r>
      <w:r w:rsidRPr="00241369">
        <w:t xml:space="preserve"> task involv</w:t>
      </w:r>
      <w:r w:rsidR="00FA41AF">
        <w:t>ing</w:t>
      </w:r>
      <w:r w:rsidRPr="00241369">
        <w:t xml:space="preserve"> 26 parents. The major parental issues identified relat</w:t>
      </w:r>
      <w:r w:rsidR="00453E1C">
        <w:t>ed</w:t>
      </w:r>
      <w:r w:rsidRPr="00241369">
        <w:t xml:space="preserve"> to antimicrobial resistance, financial burden, route of medication administration and adverse effects of medication</w:t>
      </w:r>
      <w:r w:rsidR="006B7BD7">
        <w:t xml:space="preserve"> </w:t>
      </w:r>
      <w:r w:rsidR="00ED0001">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instrText xml:space="preserve"> ADDIN EN.CITE </w:instrText>
      </w:r>
      <w:r w:rsidR="00EE22EB">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instrText xml:space="preserve"> ADDIN EN.CITE.DATA </w:instrText>
      </w:r>
      <w:r w:rsidR="00EE22EB">
        <w:fldChar w:fldCharType="end"/>
      </w:r>
      <w:r w:rsidR="00ED0001">
        <w:fldChar w:fldCharType="separate"/>
      </w:r>
      <w:r w:rsidR="00EE22EB">
        <w:rPr>
          <w:noProof/>
        </w:rPr>
        <w:t>(Diorio et al., 2012)</w:t>
      </w:r>
      <w:r w:rsidR="00ED0001">
        <w:fldChar w:fldCharType="end"/>
      </w:r>
      <w:r w:rsidRPr="00241369">
        <w:t xml:space="preserve">. Interestingly, the concerns relating to antimicrobial resistance were thought to be an issue at a community level rather than an issue for their individual children. The researchers acknowledge that views may change when faced with a real situation as opposed to a theoretical one. </w:t>
      </w:r>
    </w:p>
    <w:p w14:paraId="41DCEBD9" w14:textId="651EBCA0" w:rsidR="00D75CF3" w:rsidRDefault="002B54ED" w:rsidP="002C53ED">
      <w:pPr>
        <w:spacing w:line="360" w:lineRule="auto"/>
      </w:pPr>
      <w:r w:rsidRPr="00241369">
        <w:lastRenderedPageBreak/>
        <w:t xml:space="preserve">These studies show that although most parents perceive prophylaxis to be beneficial in these specific situations, this does not translate into good adherence with medication regimes. A number of barriers and perceptions have begun to be explored. Given the paucity of information relating to parental perceptions and attitudes with regards to </w:t>
      </w:r>
      <w:r w:rsidR="00FD2612">
        <w:t xml:space="preserve">long-term </w:t>
      </w:r>
      <w:r w:rsidRPr="00241369">
        <w:t>antibiotic prophylaxis,</w:t>
      </w:r>
      <w:r w:rsidR="00274C7C">
        <w:t xml:space="preserve"> </w:t>
      </w:r>
      <w:r w:rsidRPr="00241369">
        <w:t xml:space="preserve">in depth interviews </w:t>
      </w:r>
      <w:r w:rsidR="00871964">
        <w:t xml:space="preserve">would </w:t>
      </w:r>
      <w:r w:rsidRPr="00241369">
        <w:t xml:space="preserve">help to understand the parental experience of having a child prescribed prophylactic antibiotics. Once more is known in this field, a </w:t>
      </w:r>
      <w:r w:rsidR="00FA41AF" w:rsidRPr="008F33C8">
        <w:t>behavioural</w:t>
      </w:r>
      <w:r w:rsidRPr="00241369">
        <w:t xml:space="preserve"> model could be </w:t>
      </w:r>
      <w:r w:rsidR="001E4B88" w:rsidRPr="00241369">
        <w:t>developed,</w:t>
      </w:r>
      <w:r w:rsidRPr="00241369">
        <w:t xml:space="preserve"> and relevant issues then surveyed.</w:t>
      </w:r>
    </w:p>
    <w:p w14:paraId="67372A87" w14:textId="77777777" w:rsidR="00194324" w:rsidRPr="00241369" w:rsidRDefault="00194324" w:rsidP="002C53ED">
      <w:pPr>
        <w:spacing w:line="360" w:lineRule="auto"/>
      </w:pPr>
    </w:p>
    <w:p w14:paraId="5350B43B" w14:textId="49BCBFEA" w:rsidR="002B54ED" w:rsidRPr="008E212F" w:rsidRDefault="002B6C9B" w:rsidP="004F3338">
      <w:pPr>
        <w:pStyle w:val="Heading2"/>
      </w:pPr>
      <w:bookmarkStart w:id="66" w:name="_Toc28850828"/>
      <w:bookmarkStart w:id="67" w:name="_Toc117765909"/>
      <w:r>
        <w:t xml:space="preserve">Knowledge </w:t>
      </w:r>
      <w:bookmarkEnd w:id="66"/>
      <w:r w:rsidR="00F144B7">
        <w:t>gap</w:t>
      </w:r>
      <w:bookmarkEnd w:id="67"/>
    </w:p>
    <w:p w14:paraId="74ED56B2" w14:textId="28324944" w:rsidR="008505C2" w:rsidRPr="00241369" w:rsidRDefault="008505C2" w:rsidP="00284867">
      <w:pPr>
        <w:spacing w:after="160" w:line="360" w:lineRule="auto"/>
      </w:pPr>
      <w:r w:rsidRPr="00241369">
        <w:t>Azithromycin prophylaxis is being used to prevent pulmonary exacerbations in children with</w:t>
      </w:r>
      <w:r w:rsidR="005C08E7">
        <w:t xml:space="preserve"> PBB</w:t>
      </w:r>
      <w:r w:rsidRPr="00241369">
        <w:t>. The evidence for this intervention is mostly extrapolated from studies in cystic fibrosis and non-cystic fibrosis bronchiectasis, where higher rates of macrolide resistant organisms have been seen in those exposed to long term macrolide prophylaxis. The current literature describing PBB is very limited with regards to the effects of long-term azithromycin prophylaxis, in terms of efficacy, potential to promot</w:t>
      </w:r>
      <w:r w:rsidR="005A3625">
        <w:t xml:space="preserve">e antimicrobial resistance and </w:t>
      </w:r>
      <w:r w:rsidRPr="00241369">
        <w:t xml:space="preserve">possible changes to the respiratory microbiome. The pathophysiology and natural history of PBB are also still poorly understood, and factors that determine whether children have a single episode of PBB, multiple episodes or develop bronchiectasis are not known. </w:t>
      </w:r>
    </w:p>
    <w:p w14:paraId="09E55BC8" w14:textId="31E56B37" w:rsidR="00ED4E1B" w:rsidRDefault="001E4B88" w:rsidP="002C53ED">
      <w:pPr>
        <w:spacing w:line="360" w:lineRule="auto"/>
      </w:pPr>
      <w:r>
        <w:t>I</w:t>
      </w:r>
      <w:r w:rsidRPr="00241369">
        <w:t xml:space="preserve"> </w:t>
      </w:r>
      <w:r w:rsidR="00634369">
        <w:t>have</w:t>
      </w:r>
      <w:r>
        <w:t xml:space="preserve"> therefore</w:t>
      </w:r>
      <w:r w:rsidR="00634369">
        <w:t xml:space="preserve"> </w:t>
      </w:r>
      <w:r w:rsidR="008505C2" w:rsidRPr="00241369">
        <w:t>investigate</w:t>
      </w:r>
      <w:r w:rsidR="00634369">
        <w:t xml:space="preserve">d </w:t>
      </w:r>
      <w:r w:rsidR="008505C2" w:rsidRPr="00241369">
        <w:t xml:space="preserve">antimicrobial resistance </w:t>
      </w:r>
      <w:r w:rsidR="00634369">
        <w:t xml:space="preserve">patterns and changes to the nasopharyngeal microbiome </w:t>
      </w:r>
      <w:r w:rsidR="008505C2" w:rsidRPr="00241369">
        <w:t>in children wi</w:t>
      </w:r>
      <w:r w:rsidR="00634369">
        <w:t>th PBB exposed to long-term azithromycin</w:t>
      </w:r>
      <w:r w:rsidR="008505C2" w:rsidRPr="00241369">
        <w:t>. Including parents in decisions relating to macrolide prophylaxis in paediatric respiratory conditions is key</w:t>
      </w:r>
      <w:r w:rsidR="00404500" w:rsidRPr="00241369">
        <w:t>, hence</w:t>
      </w:r>
      <w:r w:rsidR="008505C2" w:rsidRPr="00241369">
        <w:t xml:space="preserve"> </w:t>
      </w:r>
      <w:r w:rsidR="00741CDA">
        <w:t xml:space="preserve">we </w:t>
      </w:r>
      <w:r w:rsidR="00C4783E">
        <w:t xml:space="preserve">first </w:t>
      </w:r>
      <w:r w:rsidR="008505C2" w:rsidRPr="00241369">
        <w:t>explore</w:t>
      </w:r>
      <w:r w:rsidR="00741CDA">
        <w:t>d</w:t>
      </w:r>
      <w:r w:rsidR="008505C2" w:rsidRPr="00241369">
        <w:t xml:space="preserve"> parental views with regards to prophylactic antibiotics</w:t>
      </w:r>
      <w:r w:rsidR="00741CDA">
        <w:t xml:space="preserve"> through a</w:t>
      </w:r>
      <w:r w:rsidR="00F452E1">
        <w:t xml:space="preserve"> </w:t>
      </w:r>
      <w:r w:rsidR="008505C2" w:rsidRPr="00241369">
        <w:t>qualitative interview st</w:t>
      </w:r>
      <w:r w:rsidR="00E67949" w:rsidRPr="00241369">
        <w:t>udy.</w:t>
      </w:r>
    </w:p>
    <w:p w14:paraId="494EE643" w14:textId="448A4D0F" w:rsidR="00453E1C" w:rsidRDefault="00453E1C" w:rsidP="002C53ED">
      <w:pPr>
        <w:spacing w:line="360" w:lineRule="auto"/>
      </w:pPr>
    </w:p>
    <w:p w14:paraId="08BAFF1C" w14:textId="08D993AA" w:rsidR="00C574EC" w:rsidRDefault="00C574EC" w:rsidP="002C53ED">
      <w:pPr>
        <w:spacing w:line="360" w:lineRule="auto"/>
      </w:pPr>
    </w:p>
    <w:p w14:paraId="1E02A6F8" w14:textId="68A5C9EE" w:rsidR="00C574EC" w:rsidRDefault="00C574EC" w:rsidP="002C53ED">
      <w:pPr>
        <w:spacing w:line="360" w:lineRule="auto"/>
      </w:pPr>
    </w:p>
    <w:p w14:paraId="3B40972A" w14:textId="1251079E" w:rsidR="00C574EC" w:rsidRDefault="00C574EC" w:rsidP="002C53ED">
      <w:pPr>
        <w:spacing w:line="360" w:lineRule="auto"/>
      </w:pPr>
    </w:p>
    <w:p w14:paraId="499E04D3" w14:textId="5A6E2A7F" w:rsidR="00C574EC" w:rsidRDefault="00C574EC" w:rsidP="002C53ED">
      <w:pPr>
        <w:spacing w:line="360" w:lineRule="auto"/>
      </w:pPr>
    </w:p>
    <w:p w14:paraId="4F612673" w14:textId="77777777" w:rsidR="00C574EC" w:rsidRPr="00241369" w:rsidRDefault="00C574EC" w:rsidP="002C53ED">
      <w:pPr>
        <w:spacing w:line="360" w:lineRule="auto"/>
      </w:pPr>
    </w:p>
    <w:p w14:paraId="4B95E76B" w14:textId="2102274C" w:rsidR="00DF7B9B" w:rsidRDefault="005252D3" w:rsidP="004F3338">
      <w:pPr>
        <w:pStyle w:val="Heading2"/>
      </w:pPr>
      <w:bookmarkStart w:id="68" w:name="_Toc117765910"/>
      <w:r>
        <w:lastRenderedPageBreak/>
        <w:t xml:space="preserve">  </w:t>
      </w:r>
      <w:r w:rsidR="00F31397" w:rsidRPr="008E212F">
        <w:t>Hypothes</w:t>
      </w:r>
      <w:r w:rsidR="008505C2" w:rsidRPr="008E212F">
        <w:t>es</w:t>
      </w:r>
      <w:r w:rsidR="00DF7B9B" w:rsidRPr="008E212F">
        <w:t xml:space="preserve"> and </w:t>
      </w:r>
      <w:r w:rsidR="004451A4">
        <w:t>a</w:t>
      </w:r>
      <w:r w:rsidR="00DF7B9B" w:rsidRPr="008E212F">
        <w:t>ims</w:t>
      </w:r>
      <w:bookmarkEnd w:id="68"/>
    </w:p>
    <w:p w14:paraId="0B46C8BC" w14:textId="691B53FD" w:rsidR="00727624" w:rsidRDefault="00333F1A" w:rsidP="00553C91">
      <w:pPr>
        <w:spacing w:line="360" w:lineRule="auto"/>
      </w:pPr>
      <w:r w:rsidRPr="00553C91">
        <w:t>The studies in this theses aimed to test the following three hypotheses</w:t>
      </w:r>
      <w:r w:rsidR="00727624" w:rsidRPr="00553C91">
        <w:t>:</w:t>
      </w:r>
    </w:p>
    <w:p w14:paraId="0E30CDB6" w14:textId="77777777" w:rsidR="00610275" w:rsidRPr="00553C91" w:rsidRDefault="00610275" w:rsidP="00F42C6F">
      <w:pPr>
        <w:spacing w:line="360" w:lineRule="auto"/>
      </w:pPr>
    </w:p>
    <w:p w14:paraId="28B80022" w14:textId="118BBBBD" w:rsidR="00727624" w:rsidRPr="00553C91" w:rsidRDefault="00553C91" w:rsidP="00F42C6F">
      <w:pPr>
        <w:pStyle w:val="Heading3"/>
        <w:numPr>
          <w:ilvl w:val="0"/>
          <w:numId w:val="0"/>
        </w:numPr>
        <w:ind w:left="720" w:hanging="720"/>
      </w:pPr>
      <w:bookmarkStart w:id="69" w:name="_Toc117765911"/>
      <w:r>
        <w:t xml:space="preserve">1.11.1 </w:t>
      </w:r>
      <w:r w:rsidR="00727624" w:rsidRPr="00553C91">
        <w:t>Hypothesis 1</w:t>
      </w:r>
      <w:bookmarkEnd w:id="69"/>
    </w:p>
    <w:p w14:paraId="5E133B91" w14:textId="48F0582E" w:rsidR="00333F1A" w:rsidRPr="00553C91" w:rsidRDefault="00333F1A" w:rsidP="00F42C6F">
      <w:pPr>
        <w:spacing w:line="360" w:lineRule="auto"/>
      </w:pPr>
    </w:p>
    <w:p w14:paraId="73CD3F1C" w14:textId="6C0DD13A" w:rsidR="00333F1A" w:rsidRPr="00553C91" w:rsidRDefault="00333F1A" w:rsidP="00F42C6F">
      <w:pPr>
        <w:shd w:val="clear" w:color="auto" w:fill="BDD6EE" w:themeFill="accent1" w:themeFillTint="66"/>
        <w:spacing w:line="360" w:lineRule="auto"/>
      </w:pPr>
      <w:r w:rsidRPr="00553C91">
        <w:t xml:space="preserve">Psychosocial factors </w:t>
      </w:r>
      <w:r w:rsidR="00727624" w:rsidRPr="00553C91">
        <w:t xml:space="preserve">will </w:t>
      </w:r>
      <w:r w:rsidRPr="00553C91">
        <w:t>influence parents’ decisions relating to the uptake</w:t>
      </w:r>
      <w:r w:rsidR="00727624" w:rsidRPr="00553C91">
        <w:t>,</w:t>
      </w:r>
      <w:r w:rsidRPr="00553C91">
        <w:t xml:space="preserve"> </w:t>
      </w:r>
      <w:r w:rsidR="00727624" w:rsidRPr="00553C91">
        <w:t xml:space="preserve">and the way in which families experience </w:t>
      </w:r>
      <w:r w:rsidR="000656AF" w:rsidRPr="00553C91">
        <w:t xml:space="preserve">long-term </w:t>
      </w:r>
      <w:r w:rsidRPr="00553C91">
        <w:t xml:space="preserve">prophylactic azithromycin. </w:t>
      </w:r>
    </w:p>
    <w:p w14:paraId="6502F140" w14:textId="77777777" w:rsidR="00553C91" w:rsidRDefault="00553C91" w:rsidP="00553C91">
      <w:pPr>
        <w:spacing w:line="360" w:lineRule="auto"/>
      </w:pPr>
    </w:p>
    <w:p w14:paraId="113E380D" w14:textId="035E509D" w:rsidR="00727624" w:rsidRPr="00F42C6F" w:rsidRDefault="00727624" w:rsidP="00F42C6F">
      <w:pPr>
        <w:spacing w:line="360" w:lineRule="auto"/>
        <w:rPr>
          <w:u w:val="single"/>
        </w:rPr>
      </w:pPr>
      <w:r w:rsidRPr="00F42C6F">
        <w:rPr>
          <w:u w:val="single"/>
        </w:rPr>
        <w:t>Aim:</w:t>
      </w:r>
    </w:p>
    <w:p w14:paraId="14A55A0B" w14:textId="7A167787" w:rsidR="00521A5F" w:rsidRPr="00427F11" w:rsidRDefault="00521A5F" w:rsidP="00F42C6F">
      <w:pPr>
        <w:spacing w:line="360" w:lineRule="auto"/>
      </w:pPr>
      <w:r w:rsidRPr="00427F11">
        <w:t>To improve the way in which antibiotic prophylaxis is discussed with parents during medical consultations</w:t>
      </w:r>
      <w:r w:rsidR="00427F11">
        <w:t>.</w:t>
      </w:r>
    </w:p>
    <w:p w14:paraId="24A59E3A" w14:textId="79859742" w:rsidR="00727624" w:rsidRPr="00553C91" w:rsidRDefault="00727624" w:rsidP="00F42C6F">
      <w:pPr>
        <w:spacing w:line="360" w:lineRule="auto"/>
      </w:pPr>
    </w:p>
    <w:p w14:paraId="4F1A082B" w14:textId="56EE19D3" w:rsidR="00727624" w:rsidRPr="00F42C6F" w:rsidRDefault="006411A3" w:rsidP="00F42C6F">
      <w:pPr>
        <w:spacing w:line="360" w:lineRule="auto"/>
        <w:rPr>
          <w:u w:val="single"/>
        </w:rPr>
      </w:pPr>
      <w:r>
        <w:rPr>
          <w:u w:val="single"/>
        </w:rPr>
        <w:t>O</w:t>
      </w:r>
      <w:r w:rsidR="00727624" w:rsidRPr="00F42C6F">
        <w:rPr>
          <w:u w:val="single"/>
        </w:rPr>
        <w:t>bjectives:</w:t>
      </w:r>
    </w:p>
    <w:p w14:paraId="2BD1A40D" w14:textId="3730A51F" w:rsidR="00F42C6F" w:rsidRPr="00F42C6F" w:rsidRDefault="00F42C6F" w:rsidP="00F42C6F">
      <w:pPr>
        <w:pStyle w:val="ListParagraph"/>
        <w:numPr>
          <w:ilvl w:val="0"/>
          <w:numId w:val="98"/>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21A5F" w:rsidRPr="00F42C6F">
        <w:rPr>
          <w:rFonts w:ascii="Times New Roman" w:hAnsi="Times New Roman" w:cs="Times New Roman"/>
          <w:sz w:val="24"/>
          <w:szCs w:val="24"/>
        </w:rPr>
        <w:t xml:space="preserve">To understand what it means for parents to have a child prescribed long-term </w:t>
      </w:r>
      <w:r>
        <w:rPr>
          <w:rFonts w:ascii="Times New Roman" w:hAnsi="Times New Roman" w:cs="Times New Roman"/>
          <w:sz w:val="24"/>
          <w:szCs w:val="24"/>
        </w:rPr>
        <w:tab/>
      </w:r>
      <w:r w:rsidR="00521A5F" w:rsidRPr="00F42C6F">
        <w:rPr>
          <w:rFonts w:ascii="Times New Roman" w:hAnsi="Times New Roman" w:cs="Times New Roman"/>
          <w:sz w:val="24"/>
          <w:szCs w:val="24"/>
        </w:rPr>
        <w:t xml:space="preserve">prophylactic azithromycin to prevent chest infections. </w:t>
      </w:r>
    </w:p>
    <w:p w14:paraId="7BF1D0F5" w14:textId="0C134CA1" w:rsidR="00727624" w:rsidRPr="00F42C6F" w:rsidRDefault="00F42C6F" w:rsidP="00F42C6F">
      <w:pPr>
        <w:pStyle w:val="ListParagraph"/>
        <w:numPr>
          <w:ilvl w:val="0"/>
          <w:numId w:val="98"/>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27624" w:rsidRPr="00F42C6F">
        <w:rPr>
          <w:rFonts w:ascii="Times New Roman" w:hAnsi="Times New Roman" w:cs="Times New Roman"/>
          <w:sz w:val="24"/>
          <w:szCs w:val="24"/>
        </w:rPr>
        <w:t xml:space="preserve">To develop a behavioural model to explain the parental experience of having a child </w:t>
      </w:r>
      <w:r>
        <w:rPr>
          <w:rFonts w:ascii="Times New Roman" w:hAnsi="Times New Roman" w:cs="Times New Roman"/>
          <w:sz w:val="24"/>
          <w:szCs w:val="24"/>
        </w:rPr>
        <w:tab/>
      </w:r>
      <w:r w:rsidR="00727624" w:rsidRPr="00F42C6F">
        <w:rPr>
          <w:rFonts w:ascii="Times New Roman" w:hAnsi="Times New Roman" w:cs="Times New Roman"/>
          <w:sz w:val="24"/>
          <w:szCs w:val="24"/>
        </w:rPr>
        <w:t>prescribed long-term prophylactic antibiotics.</w:t>
      </w:r>
    </w:p>
    <w:p w14:paraId="3B8F233B" w14:textId="7A57B208" w:rsidR="00727624" w:rsidRPr="00553C91" w:rsidRDefault="00727624" w:rsidP="00F42C6F">
      <w:pPr>
        <w:spacing w:line="360" w:lineRule="auto"/>
      </w:pPr>
    </w:p>
    <w:p w14:paraId="2ADE8E28" w14:textId="5C0B223D" w:rsidR="00727624" w:rsidRPr="00553C91" w:rsidRDefault="00727624" w:rsidP="00F42C6F">
      <w:pPr>
        <w:pStyle w:val="Heading3"/>
      </w:pPr>
      <w:bookmarkStart w:id="70" w:name="_Toc117765912"/>
      <w:r w:rsidRPr="00553C91">
        <w:t>Hypothesis 2</w:t>
      </w:r>
      <w:bookmarkEnd w:id="70"/>
    </w:p>
    <w:p w14:paraId="322D6E7B" w14:textId="351B49F9" w:rsidR="00727624" w:rsidRPr="00553C91" w:rsidRDefault="00727624" w:rsidP="00F42C6F">
      <w:pPr>
        <w:spacing w:line="360" w:lineRule="auto"/>
      </w:pPr>
    </w:p>
    <w:p w14:paraId="10051FC9" w14:textId="77777777" w:rsidR="000656AF" w:rsidRPr="00553C91" w:rsidRDefault="000656AF" w:rsidP="00F42C6F">
      <w:pPr>
        <w:shd w:val="clear" w:color="auto" w:fill="BDD6EE" w:themeFill="accent1" w:themeFillTint="66"/>
        <w:spacing w:line="360" w:lineRule="auto"/>
      </w:pPr>
      <w:bookmarkStart w:id="71" w:name="_Hlk116903087"/>
      <w:r w:rsidRPr="00553C91">
        <w:t xml:space="preserve">Children with protracted bacterial bronchitis exposed to long-term prophylactic azithromycin will develop macrolide-resistant airway flora. </w:t>
      </w:r>
    </w:p>
    <w:bookmarkEnd w:id="71"/>
    <w:p w14:paraId="7F4CCEBD" w14:textId="77777777" w:rsidR="00727624" w:rsidRPr="00553C91" w:rsidRDefault="00727624" w:rsidP="00F42C6F">
      <w:pPr>
        <w:spacing w:line="360" w:lineRule="auto"/>
      </w:pPr>
    </w:p>
    <w:p w14:paraId="02D9BAE6" w14:textId="72085F8C" w:rsidR="000656AF" w:rsidRDefault="000656AF" w:rsidP="00553C91">
      <w:pPr>
        <w:spacing w:line="360" w:lineRule="auto"/>
        <w:rPr>
          <w:u w:val="single"/>
        </w:rPr>
      </w:pPr>
      <w:r w:rsidRPr="00F42C6F">
        <w:rPr>
          <w:u w:val="single"/>
        </w:rPr>
        <w:t>Aim</w:t>
      </w:r>
      <w:r w:rsidR="00701BC0">
        <w:rPr>
          <w:u w:val="single"/>
        </w:rPr>
        <w:t>:</w:t>
      </w:r>
    </w:p>
    <w:p w14:paraId="4646614A" w14:textId="747EAB69" w:rsidR="00701BC0" w:rsidRPr="00F42C6F" w:rsidRDefault="00701BC0" w:rsidP="00553C91">
      <w:pPr>
        <w:spacing w:line="360" w:lineRule="auto"/>
      </w:pPr>
      <w:r w:rsidRPr="00F42C6F">
        <w:t xml:space="preserve">To </w:t>
      </w:r>
      <w:r>
        <w:t>explore</w:t>
      </w:r>
      <w:r w:rsidRPr="00F42C6F">
        <w:t xml:space="preserve"> whether </w:t>
      </w:r>
      <w:r>
        <w:t>the use of long-term azithromycin in children with PBB is associated with increased nasopharyngeal macrolide resistant bacterial colonisation compared to an unexposed group of children with PBB</w:t>
      </w:r>
    </w:p>
    <w:p w14:paraId="16F2D84E" w14:textId="1312962D" w:rsidR="00701BC0" w:rsidRDefault="00701BC0" w:rsidP="00553C91">
      <w:pPr>
        <w:spacing w:line="360" w:lineRule="auto"/>
        <w:rPr>
          <w:u w:val="single"/>
        </w:rPr>
      </w:pPr>
    </w:p>
    <w:p w14:paraId="4B1806FA" w14:textId="73D07B5C" w:rsidR="00C574EC" w:rsidRDefault="00C574EC" w:rsidP="00553C91">
      <w:pPr>
        <w:spacing w:line="360" w:lineRule="auto"/>
        <w:rPr>
          <w:u w:val="single"/>
        </w:rPr>
      </w:pPr>
    </w:p>
    <w:p w14:paraId="201970C2" w14:textId="0B079188" w:rsidR="00C574EC" w:rsidRDefault="00C574EC" w:rsidP="00553C91">
      <w:pPr>
        <w:spacing w:line="360" w:lineRule="auto"/>
        <w:rPr>
          <w:u w:val="single"/>
        </w:rPr>
      </w:pPr>
    </w:p>
    <w:p w14:paraId="3C66B3B9" w14:textId="77777777" w:rsidR="00C574EC" w:rsidRDefault="00C574EC" w:rsidP="00553C91">
      <w:pPr>
        <w:spacing w:line="360" w:lineRule="auto"/>
        <w:rPr>
          <w:u w:val="single"/>
        </w:rPr>
      </w:pPr>
    </w:p>
    <w:p w14:paraId="0AD7E577" w14:textId="365BADB4" w:rsidR="00701BC0" w:rsidRPr="00F42C6F" w:rsidRDefault="00701BC0" w:rsidP="00F42C6F">
      <w:pPr>
        <w:spacing w:line="360" w:lineRule="auto"/>
        <w:rPr>
          <w:u w:val="single"/>
        </w:rPr>
      </w:pPr>
      <w:r>
        <w:rPr>
          <w:u w:val="single"/>
        </w:rPr>
        <w:lastRenderedPageBreak/>
        <w:t>Objectives</w:t>
      </w:r>
    </w:p>
    <w:p w14:paraId="39F4E637" w14:textId="3D0C78DA" w:rsidR="000656AF" w:rsidRPr="00F42C6F" w:rsidRDefault="000656AF" w:rsidP="00553C91">
      <w:pPr>
        <w:pStyle w:val="ListParagraph"/>
        <w:numPr>
          <w:ilvl w:val="0"/>
          <w:numId w:val="4"/>
        </w:numPr>
        <w:spacing w:after="0" w:line="360" w:lineRule="auto"/>
        <w:rPr>
          <w:rFonts w:ascii="Times New Roman" w:hAnsi="Times New Roman" w:cs="Times New Roman"/>
          <w:sz w:val="24"/>
          <w:szCs w:val="24"/>
        </w:rPr>
      </w:pPr>
      <w:r w:rsidRPr="00F42C6F">
        <w:rPr>
          <w:rFonts w:ascii="Times New Roman" w:hAnsi="Times New Roman" w:cs="Times New Roman"/>
          <w:sz w:val="24"/>
          <w:szCs w:val="24"/>
        </w:rPr>
        <w:t xml:space="preserve">To conduct a pilot study comparing macrolide resistance patterns in the nasal flora of children with PBB exposed or not to </w:t>
      </w:r>
      <w:r w:rsidR="00553C91">
        <w:rPr>
          <w:rFonts w:ascii="Times New Roman" w:hAnsi="Times New Roman" w:cs="Times New Roman"/>
          <w:sz w:val="24"/>
          <w:szCs w:val="24"/>
        </w:rPr>
        <w:t xml:space="preserve">long-term </w:t>
      </w:r>
      <w:r w:rsidRPr="00F42C6F">
        <w:rPr>
          <w:rFonts w:ascii="Times New Roman" w:hAnsi="Times New Roman" w:cs="Times New Roman"/>
          <w:sz w:val="24"/>
          <w:szCs w:val="24"/>
        </w:rPr>
        <w:t>prophylactic azithromycin</w:t>
      </w:r>
      <w:r w:rsidR="00610275">
        <w:rPr>
          <w:rFonts w:ascii="Times New Roman" w:hAnsi="Times New Roman" w:cs="Times New Roman"/>
          <w:sz w:val="24"/>
          <w:szCs w:val="24"/>
        </w:rPr>
        <w:t xml:space="preserve"> (PBB study 1)</w:t>
      </w:r>
      <w:r w:rsidRPr="00F42C6F">
        <w:rPr>
          <w:rFonts w:ascii="Times New Roman" w:hAnsi="Times New Roman" w:cs="Times New Roman"/>
          <w:sz w:val="24"/>
          <w:szCs w:val="24"/>
        </w:rPr>
        <w:t xml:space="preserve">. </w:t>
      </w:r>
    </w:p>
    <w:p w14:paraId="1323D2B0" w14:textId="0A654CC1" w:rsidR="000656AF" w:rsidRDefault="000656AF" w:rsidP="00553C91">
      <w:pPr>
        <w:numPr>
          <w:ilvl w:val="0"/>
          <w:numId w:val="4"/>
        </w:numPr>
        <w:spacing w:line="360" w:lineRule="auto"/>
        <w:contextualSpacing/>
      </w:pPr>
      <w:r w:rsidRPr="00553C91">
        <w:t xml:space="preserve">To validate the results of the pilot study </w:t>
      </w:r>
      <w:r w:rsidR="005A0807" w:rsidRPr="00553C91">
        <w:t xml:space="preserve">through an extension of the pilot study with regards to </w:t>
      </w:r>
      <w:r w:rsidRPr="00553C91">
        <w:t xml:space="preserve">patterns of azithromycin resistant nasopharyngeal bacteria and antibiotic exposure between children with PBB </w:t>
      </w:r>
      <w:r w:rsidR="005A0807" w:rsidRPr="00553C91">
        <w:t>exposed or not to long-term prophylactic azithromycin</w:t>
      </w:r>
      <w:r w:rsidR="00610275">
        <w:t xml:space="preserve"> (PBB study 2)</w:t>
      </w:r>
      <w:r w:rsidR="005A0807" w:rsidRPr="00553C91">
        <w:t xml:space="preserve">. </w:t>
      </w:r>
    </w:p>
    <w:p w14:paraId="788EFC27" w14:textId="77777777" w:rsidR="006411A3" w:rsidRPr="006411A3" w:rsidRDefault="00701BC0" w:rsidP="006411A3">
      <w:pPr>
        <w:pStyle w:val="ListParagraph"/>
        <w:numPr>
          <w:ilvl w:val="0"/>
          <w:numId w:val="4"/>
        </w:numPr>
        <w:spacing w:line="360" w:lineRule="auto"/>
        <w:rPr>
          <w:rFonts w:ascii="Times New Roman" w:hAnsi="Times New Roman" w:cs="Times New Roman"/>
          <w:sz w:val="24"/>
          <w:szCs w:val="24"/>
          <w:u w:val="single"/>
        </w:rPr>
      </w:pPr>
      <w:r>
        <w:rPr>
          <w:rFonts w:ascii="Times New Roman" w:hAnsi="Times New Roman" w:cs="Times New Roman"/>
          <w:sz w:val="24"/>
          <w:szCs w:val="24"/>
        </w:rPr>
        <w:t>To determine the frequency of viruses associated with exacerbations of PBB (PBB study 2)</w:t>
      </w:r>
    </w:p>
    <w:p w14:paraId="6344D9C3" w14:textId="688A204A" w:rsidR="006411A3" w:rsidRPr="006411A3" w:rsidRDefault="000656AF" w:rsidP="006411A3">
      <w:pPr>
        <w:pStyle w:val="ListParagraph"/>
        <w:numPr>
          <w:ilvl w:val="0"/>
          <w:numId w:val="4"/>
        </w:numPr>
        <w:spacing w:line="360" w:lineRule="auto"/>
        <w:rPr>
          <w:rFonts w:ascii="Times New Roman" w:hAnsi="Times New Roman" w:cs="Times New Roman"/>
          <w:sz w:val="24"/>
          <w:szCs w:val="24"/>
          <w:u w:val="single"/>
        </w:rPr>
      </w:pPr>
      <w:r w:rsidRPr="006411A3">
        <w:rPr>
          <w:rFonts w:ascii="Times New Roman" w:hAnsi="Times New Roman" w:cs="Times New Roman"/>
          <w:sz w:val="24"/>
          <w:szCs w:val="24"/>
        </w:rPr>
        <w:t xml:space="preserve">To investigate phenotypic and genotypic antibiotic resistance profiles of </w:t>
      </w:r>
      <w:r w:rsidR="0008026A" w:rsidRPr="006411A3">
        <w:rPr>
          <w:rFonts w:ascii="Times New Roman" w:hAnsi="Times New Roman" w:cs="Times New Roman"/>
          <w:sz w:val="24"/>
          <w:szCs w:val="24"/>
        </w:rPr>
        <w:t xml:space="preserve">      </w:t>
      </w:r>
      <w:r w:rsidRPr="006411A3">
        <w:rPr>
          <w:rFonts w:ascii="Times New Roman" w:hAnsi="Times New Roman" w:cs="Times New Roman"/>
          <w:sz w:val="24"/>
          <w:szCs w:val="24"/>
        </w:rPr>
        <w:t xml:space="preserve">nasopharyngeal bacterial flora in children with PBB exposed or not to </w:t>
      </w:r>
      <w:r w:rsidR="00553C91" w:rsidRPr="006411A3">
        <w:rPr>
          <w:rFonts w:ascii="Times New Roman" w:hAnsi="Times New Roman" w:cs="Times New Roman"/>
          <w:sz w:val="24"/>
          <w:szCs w:val="24"/>
        </w:rPr>
        <w:t>long-term</w:t>
      </w:r>
      <w:r w:rsidR="006411A3">
        <w:rPr>
          <w:rFonts w:ascii="Times New Roman" w:hAnsi="Times New Roman" w:cs="Times New Roman"/>
          <w:sz w:val="24"/>
          <w:szCs w:val="24"/>
        </w:rPr>
        <w:t xml:space="preserve"> </w:t>
      </w:r>
      <w:r w:rsidRPr="006411A3">
        <w:rPr>
          <w:rFonts w:ascii="Times New Roman" w:hAnsi="Times New Roman" w:cs="Times New Roman"/>
          <w:sz w:val="24"/>
          <w:szCs w:val="24"/>
        </w:rPr>
        <w:t>prophylactic azithromycin.</w:t>
      </w:r>
    </w:p>
    <w:p w14:paraId="17770DAB" w14:textId="1605AABA" w:rsidR="0023043A" w:rsidRPr="006411A3" w:rsidRDefault="00701BC0" w:rsidP="006411A3">
      <w:pPr>
        <w:pStyle w:val="ListParagraph"/>
        <w:numPr>
          <w:ilvl w:val="0"/>
          <w:numId w:val="4"/>
        </w:numPr>
        <w:spacing w:line="360" w:lineRule="auto"/>
        <w:rPr>
          <w:rFonts w:ascii="Times New Roman" w:hAnsi="Times New Roman" w:cs="Times New Roman"/>
          <w:sz w:val="24"/>
          <w:szCs w:val="24"/>
          <w:u w:val="single"/>
        </w:rPr>
      </w:pPr>
      <w:r w:rsidRPr="006411A3">
        <w:rPr>
          <w:rFonts w:ascii="Times New Roman" w:hAnsi="Times New Roman" w:cs="Times New Roman"/>
          <w:sz w:val="24"/>
          <w:szCs w:val="24"/>
        </w:rPr>
        <w:t xml:space="preserve">To optimise recruitment strategy and sampling methodology for future studies. </w:t>
      </w:r>
    </w:p>
    <w:p w14:paraId="4C844B30" w14:textId="77777777" w:rsidR="006411A3" w:rsidRPr="00553C91" w:rsidRDefault="006411A3" w:rsidP="00F42C6F">
      <w:pPr>
        <w:spacing w:line="360" w:lineRule="auto"/>
      </w:pPr>
    </w:p>
    <w:p w14:paraId="4773ADA2" w14:textId="5453297E" w:rsidR="00333F1A" w:rsidRPr="00553C91" w:rsidRDefault="000656AF" w:rsidP="00F42C6F">
      <w:pPr>
        <w:pStyle w:val="Heading3"/>
      </w:pPr>
      <w:bookmarkStart w:id="72" w:name="_Toc117765913"/>
      <w:r w:rsidRPr="00553C91">
        <w:t>Hypothesis 3</w:t>
      </w:r>
      <w:bookmarkEnd w:id="72"/>
    </w:p>
    <w:p w14:paraId="156BAE67" w14:textId="048B1973" w:rsidR="000656AF" w:rsidRPr="00553C91" w:rsidRDefault="000656AF" w:rsidP="00F42C6F">
      <w:pPr>
        <w:spacing w:line="360" w:lineRule="auto"/>
      </w:pPr>
    </w:p>
    <w:p w14:paraId="0DAB6B2B" w14:textId="77777777" w:rsidR="000656AF" w:rsidRPr="00553C91" w:rsidRDefault="000656AF" w:rsidP="00F42C6F">
      <w:pPr>
        <w:shd w:val="clear" w:color="auto" w:fill="BDD6EE" w:themeFill="accent1" w:themeFillTint="66"/>
        <w:spacing w:line="360" w:lineRule="auto"/>
      </w:pPr>
      <w:r w:rsidRPr="00553C91">
        <w:t xml:space="preserve">Children with protracted bacterial bronchitis exposed to long-term prophylactic azithromycin will display a reduced diversity of bacterial communities in the nasopharynx.  </w:t>
      </w:r>
    </w:p>
    <w:p w14:paraId="675C0B85" w14:textId="0A2A3D88" w:rsidR="000656AF" w:rsidRPr="00553C91" w:rsidRDefault="000656AF" w:rsidP="00F42C6F">
      <w:pPr>
        <w:spacing w:line="360" w:lineRule="auto"/>
      </w:pPr>
    </w:p>
    <w:p w14:paraId="75870640" w14:textId="56B69DC5" w:rsidR="005A0807" w:rsidRPr="00F42C6F" w:rsidRDefault="000656AF" w:rsidP="00F42C6F">
      <w:pPr>
        <w:spacing w:line="360" w:lineRule="auto"/>
        <w:rPr>
          <w:u w:val="single"/>
        </w:rPr>
      </w:pPr>
      <w:r w:rsidRPr="00F42C6F">
        <w:rPr>
          <w:u w:val="single"/>
        </w:rPr>
        <w:t>Aim:</w:t>
      </w:r>
    </w:p>
    <w:p w14:paraId="004DA3DF" w14:textId="1547D4C6" w:rsidR="005A0807" w:rsidRPr="00553C91" w:rsidRDefault="005A0807" w:rsidP="00F42C6F">
      <w:pPr>
        <w:spacing w:line="360" w:lineRule="auto"/>
      </w:pPr>
      <w:r w:rsidRPr="00553C91">
        <w:t xml:space="preserve">To describe the changes that occur within the nasopharyngeal microbiome of children with PBB exposed to </w:t>
      </w:r>
      <w:r w:rsidR="00553C91">
        <w:t xml:space="preserve">long-term </w:t>
      </w:r>
      <w:r w:rsidRPr="00553C91">
        <w:t>prophylactic azithromycin.</w:t>
      </w:r>
    </w:p>
    <w:p w14:paraId="39DE8EAA" w14:textId="77777777" w:rsidR="00F42C6F" w:rsidRPr="00F42C6F" w:rsidRDefault="00F42C6F" w:rsidP="00F42C6F">
      <w:pPr>
        <w:spacing w:line="360" w:lineRule="auto"/>
        <w:rPr>
          <w:u w:val="single"/>
        </w:rPr>
      </w:pPr>
    </w:p>
    <w:p w14:paraId="1310C82D" w14:textId="583C3245" w:rsidR="000656AF" w:rsidRDefault="006411A3" w:rsidP="00553C91">
      <w:pPr>
        <w:spacing w:after="160" w:line="360" w:lineRule="auto"/>
        <w:contextualSpacing/>
        <w:rPr>
          <w:u w:val="single"/>
        </w:rPr>
      </w:pPr>
      <w:r>
        <w:rPr>
          <w:u w:val="single"/>
        </w:rPr>
        <w:t>O</w:t>
      </w:r>
      <w:r w:rsidR="005A0807" w:rsidRPr="00F42C6F">
        <w:rPr>
          <w:u w:val="single"/>
        </w:rPr>
        <w:t>bjectives</w:t>
      </w:r>
    </w:p>
    <w:p w14:paraId="2BCFE436" w14:textId="25092D3F" w:rsidR="00701BC0" w:rsidRPr="00F42C6F" w:rsidRDefault="00701BC0" w:rsidP="00F42C6F">
      <w:pPr>
        <w:pStyle w:val="ListParagraph"/>
        <w:numPr>
          <w:ilvl w:val="0"/>
          <w:numId w:val="69"/>
        </w:numPr>
        <w:spacing w:line="360" w:lineRule="auto"/>
        <w:rPr>
          <w:u w:val="single"/>
        </w:rPr>
      </w:pPr>
      <w:r w:rsidRPr="00220D4D">
        <w:rPr>
          <w:rFonts w:ascii="Times New Roman" w:hAnsi="Times New Roman" w:cs="Times New Roman"/>
          <w:sz w:val="24"/>
          <w:szCs w:val="24"/>
        </w:rPr>
        <w:t>To compare the nasopharyngeal microbiota composition of children with PBB taking long-term prophylactic azithromycin with an unexposed comparison group of children with PBB</w:t>
      </w:r>
      <w:r>
        <w:rPr>
          <w:rFonts w:ascii="Times New Roman" w:hAnsi="Times New Roman" w:cs="Times New Roman"/>
          <w:sz w:val="24"/>
          <w:szCs w:val="24"/>
        </w:rPr>
        <w:t>, through the use of 16s rRNA analysis</w:t>
      </w:r>
      <w:r w:rsidRPr="00220D4D">
        <w:rPr>
          <w:rFonts w:ascii="Times New Roman" w:hAnsi="Times New Roman" w:cs="Times New Roman"/>
          <w:sz w:val="24"/>
          <w:szCs w:val="24"/>
        </w:rPr>
        <w:t>.</w:t>
      </w:r>
    </w:p>
    <w:p w14:paraId="2D5B18A2" w14:textId="1F19A856" w:rsidR="00701BC0" w:rsidRPr="006411A3" w:rsidRDefault="00610275" w:rsidP="006411A3">
      <w:pPr>
        <w:pStyle w:val="ListParagraph"/>
        <w:numPr>
          <w:ilvl w:val="0"/>
          <w:numId w:val="69"/>
        </w:numPr>
        <w:spacing w:line="360" w:lineRule="auto"/>
        <w:rPr>
          <w:rFonts w:ascii="Times New Roman" w:hAnsi="Times New Roman" w:cs="Times New Roman"/>
          <w:sz w:val="24"/>
          <w:szCs w:val="24"/>
          <w:u w:val="single"/>
        </w:rPr>
      </w:pPr>
      <w:r w:rsidRPr="00220D4D">
        <w:rPr>
          <w:rFonts w:ascii="Times New Roman" w:hAnsi="Times New Roman" w:cs="Times New Roman"/>
          <w:sz w:val="24"/>
          <w:szCs w:val="24"/>
        </w:rPr>
        <w:t xml:space="preserve">To </w:t>
      </w:r>
      <w:r w:rsidR="00701BC0">
        <w:rPr>
          <w:rFonts w:ascii="Times New Roman" w:hAnsi="Times New Roman" w:cs="Times New Roman"/>
          <w:sz w:val="24"/>
          <w:szCs w:val="24"/>
        </w:rPr>
        <w:t>investigate differences between the nasopharyngeal composition at the beginning and end of exacerbations of PBB</w:t>
      </w:r>
      <w:r w:rsidR="006411A3">
        <w:rPr>
          <w:rFonts w:ascii="Times New Roman" w:hAnsi="Times New Roman" w:cs="Times New Roman"/>
          <w:sz w:val="24"/>
          <w:szCs w:val="24"/>
        </w:rPr>
        <w:t>.</w:t>
      </w:r>
    </w:p>
    <w:p w14:paraId="31558C99" w14:textId="38A5488E" w:rsidR="00116E12" w:rsidRPr="00E80F33" w:rsidRDefault="00037457" w:rsidP="00E80F33">
      <w:pPr>
        <w:pStyle w:val="Heading1"/>
        <w:rPr>
          <w:b/>
          <w:bCs/>
        </w:rPr>
      </w:pPr>
      <w:bookmarkStart w:id="73" w:name="_Toc117765914"/>
      <w:r w:rsidRPr="00E80F33">
        <w:rPr>
          <w:b/>
          <w:bCs/>
        </w:rPr>
        <w:lastRenderedPageBreak/>
        <w:t>Chapter 2</w:t>
      </w:r>
      <w:r w:rsidR="00CD53D6" w:rsidRPr="00E80F33">
        <w:rPr>
          <w:b/>
          <w:bCs/>
          <w:sz w:val="24"/>
          <w:szCs w:val="24"/>
        </w:rPr>
        <w:t>.</w:t>
      </w:r>
      <w:r w:rsidR="00CD53D6" w:rsidRPr="00E80F33">
        <w:rPr>
          <w:b/>
          <w:bCs/>
          <w:sz w:val="24"/>
          <w:szCs w:val="24"/>
        </w:rPr>
        <w:tab/>
      </w:r>
      <w:r w:rsidR="00623DD6" w:rsidRPr="00E80F33">
        <w:rPr>
          <w:b/>
          <w:bCs/>
          <w:sz w:val="24"/>
          <w:szCs w:val="24"/>
        </w:rPr>
        <w:tab/>
      </w:r>
      <w:r w:rsidR="00E331F1" w:rsidRPr="00E80F33">
        <w:rPr>
          <w:b/>
          <w:bCs/>
        </w:rPr>
        <w:t>Methodology</w:t>
      </w:r>
      <w:bookmarkEnd w:id="73"/>
    </w:p>
    <w:p w14:paraId="14B84FB0" w14:textId="77777777" w:rsidR="00646D70" w:rsidRPr="00646D70" w:rsidRDefault="00646D70">
      <w:pPr>
        <w:pStyle w:val="ListParagraph"/>
        <w:keepNext/>
        <w:keepLines/>
        <w:numPr>
          <w:ilvl w:val="0"/>
          <w:numId w:val="61"/>
        </w:numPr>
        <w:spacing w:before="240" w:after="0"/>
        <w:contextualSpacing w:val="0"/>
        <w:outlineLvl w:val="0"/>
        <w:rPr>
          <w:rFonts w:asciiTheme="majorHAnsi" w:eastAsiaTheme="majorEastAsia" w:hAnsiTheme="majorHAnsi" w:cstheme="majorBidi"/>
          <w:vanish/>
          <w:color w:val="2E74B5" w:themeColor="accent1" w:themeShade="BF"/>
          <w:sz w:val="32"/>
          <w:szCs w:val="32"/>
        </w:rPr>
      </w:pPr>
      <w:bookmarkStart w:id="74" w:name="_Toc117764969"/>
      <w:bookmarkStart w:id="75" w:name="_Toc117765136"/>
      <w:bookmarkStart w:id="76" w:name="_Toc117765303"/>
      <w:bookmarkStart w:id="77" w:name="_Toc117765470"/>
      <w:bookmarkStart w:id="78" w:name="_Toc117765637"/>
      <w:bookmarkStart w:id="79" w:name="_Toc117765915"/>
      <w:bookmarkEnd w:id="74"/>
      <w:bookmarkEnd w:id="75"/>
      <w:bookmarkEnd w:id="76"/>
      <w:bookmarkEnd w:id="77"/>
      <w:bookmarkEnd w:id="78"/>
      <w:bookmarkEnd w:id="79"/>
    </w:p>
    <w:p w14:paraId="055AA342" w14:textId="79E3015D" w:rsidR="00B85401" w:rsidRDefault="00761B3D">
      <w:pPr>
        <w:pStyle w:val="Heading2"/>
        <w:numPr>
          <w:ilvl w:val="1"/>
          <w:numId w:val="61"/>
        </w:numPr>
      </w:pPr>
      <w:bookmarkStart w:id="80" w:name="_Toc117765916"/>
      <w:r w:rsidRPr="00554710">
        <w:t>Methods: The parental experience of having a child prescribed prophylactic antibiotics.</w:t>
      </w:r>
      <w:bookmarkEnd w:id="80"/>
    </w:p>
    <w:p w14:paraId="1856607F" w14:textId="77777777" w:rsidR="00116E12" w:rsidRPr="00116E12" w:rsidRDefault="00116E12" w:rsidP="00116E12"/>
    <w:p w14:paraId="47349F5D" w14:textId="63603C61" w:rsidR="00832C2A" w:rsidRPr="00FE0750" w:rsidRDefault="00832C2A" w:rsidP="00411779">
      <w:pPr>
        <w:pStyle w:val="Heading3"/>
        <w:spacing w:before="0" w:line="360" w:lineRule="auto"/>
      </w:pPr>
      <w:bookmarkStart w:id="81" w:name="_Toc117765917"/>
      <w:r w:rsidRPr="00FE0750">
        <w:t xml:space="preserve">Study </w:t>
      </w:r>
      <w:r w:rsidR="004451A4">
        <w:t>c</w:t>
      </w:r>
      <w:r w:rsidRPr="00FE0750">
        <w:t>onduct</w:t>
      </w:r>
      <w:bookmarkEnd w:id="81"/>
      <w:r w:rsidRPr="00FE0750">
        <w:t xml:space="preserve"> </w:t>
      </w:r>
    </w:p>
    <w:p w14:paraId="2731A870" w14:textId="5D9149EE" w:rsidR="001F2604" w:rsidRDefault="00832C2A" w:rsidP="00411779">
      <w:pPr>
        <w:spacing w:line="360" w:lineRule="auto"/>
      </w:pPr>
      <w:r w:rsidRPr="00241369">
        <w:t xml:space="preserve">This study was conducted following favourable ethical approval from the </w:t>
      </w:r>
      <w:r w:rsidR="00972BEA" w:rsidRPr="00241369">
        <w:t>Northwest</w:t>
      </w:r>
      <w:r w:rsidRPr="00241369">
        <w:t xml:space="preserve"> - Haydock Research Ethics Committee (reference number 18/NW/0579) and approval from the Health Research Authority and Care Research Wales. Written consent was obtained from parents or legal guardians prior to the interviews. </w:t>
      </w:r>
      <w:r w:rsidR="00DC3F2B">
        <w:t>The study</w:t>
      </w:r>
      <w:r w:rsidRPr="00241369">
        <w:t xml:space="preserve"> was carried out in accordance with the International Conference for Harmonis</w:t>
      </w:r>
      <w:r w:rsidR="008D16F0">
        <w:t xml:space="preserve">ation of Good Clinical Practice, </w:t>
      </w:r>
      <w:r w:rsidRPr="00241369">
        <w:t>and the UK Policy Framework for Health and Social Care Research</w:t>
      </w:r>
      <w:r w:rsidR="00952013">
        <w:t xml:space="preserve"> </w:t>
      </w:r>
      <w:r w:rsidR="00ED0001">
        <w:fldChar w:fldCharType="begin"/>
      </w:r>
      <w:r w:rsidR="00E87ACA">
        <w:instrText xml:space="preserve"> ADDIN EN.CITE &lt;EndNote&gt;&lt;Cite&gt;&lt;Author&gt;Department of Health&lt;/Author&gt;&lt;Year&gt;2022&lt;/Year&gt;&lt;RecNum&gt;260&lt;/RecNum&gt;&lt;DisplayText&gt;(Department of Health, 2022)&lt;/DisplayText&gt;&lt;record&gt;&lt;rec-number&gt;260&lt;/rec-number&gt;&lt;foreign-keys&gt;&lt;key app="EN" db-id="pr9rwt2w8padxcerwx6prd0a9wtda2w5fw2t" timestamp="1629731697"&gt;260&lt;/key&gt;&lt;/foreign-keys&gt;&lt;ref-type name="Web Page"&gt;12&lt;/ref-type&gt;&lt;contributors&gt;&lt;authors&gt;&lt;author&gt;Department of Health,&lt;/author&gt;&lt;/authors&gt;&lt;secondary-authors&gt;&lt;author&gt;Health Research Authority&lt;/author&gt;&lt;/secondary-authors&gt;&lt;/contributors&gt;&lt;titles&gt;&lt;title&gt;Policy Framework for Health and Social Care Research &lt;/title&gt;&lt;/titles&gt;&lt;volume&gt;05/07/2022&lt;/volume&gt;&lt;dates&gt;&lt;year&gt;2022&lt;/year&gt;&lt;/dates&gt;&lt;urls&gt;&lt;related-urls&gt;&lt;url&gt;https://www.hra.nhs.uk/planning-and-improving-research/policies-standards-legislation/uk-policy-framework-health-social-care-research/uk-policy-framework-health-and-social-care-research/&lt;/url&gt;&lt;/related-urls&gt;&lt;/urls&gt;&lt;/record&gt;&lt;/Cite&gt;&lt;/EndNote&gt;</w:instrText>
      </w:r>
      <w:r w:rsidR="00ED0001">
        <w:fldChar w:fldCharType="separate"/>
      </w:r>
      <w:r w:rsidR="00E87ACA">
        <w:rPr>
          <w:noProof/>
        </w:rPr>
        <w:t>(Department of Health, 2022)</w:t>
      </w:r>
      <w:r w:rsidR="00ED0001">
        <w:fldChar w:fldCharType="end"/>
      </w:r>
      <w:r w:rsidRPr="00241369">
        <w:t xml:space="preserve">. </w:t>
      </w:r>
      <w:r w:rsidR="00DC3F2B">
        <w:t xml:space="preserve">It was </w:t>
      </w:r>
      <w:r w:rsidRPr="00241369">
        <w:t xml:space="preserve">funded and supported by the Bassetlaw </w:t>
      </w:r>
      <w:r w:rsidR="00BE3AF9">
        <w:t>R</w:t>
      </w:r>
      <w:r w:rsidR="00BE3AF9" w:rsidRPr="00241369">
        <w:t xml:space="preserve">esearch </w:t>
      </w:r>
      <w:r w:rsidR="00BE3AF9">
        <w:t>F</w:t>
      </w:r>
      <w:r w:rsidR="00BE3AF9" w:rsidRPr="00241369">
        <w:t xml:space="preserve">ellowship </w:t>
      </w:r>
      <w:r w:rsidRPr="00241369">
        <w:t>programme</w:t>
      </w:r>
      <w:r w:rsidR="00BE3AF9">
        <w:t xml:space="preserve"> </w:t>
      </w:r>
      <w:r w:rsidRPr="00241369">
        <w:t>and the charity Antibiotic Research UK</w:t>
      </w:r>
      <w:r w:rsidR="005D179E">
        <w:t xml:space="preserve"> (Grant reference ANTSRG 03/2018)</w:t>
      </w:r>
      <w:r w:rsidRPr="00241369">
        <w:t xml:space="preserve">. </w:t>
      </w:r>
    </w:p>
    <w:p w14:paraId="294EC14B" w14:textId="77777777" w:rsidR="007F658B" w:rsidRPr="00241369" w:rsidRDefault="007F658B" w:rsidP="00411779">
      <w:pPr>
        <w:spacing w:line="360" w:lineRule="auto"/>
      </w:pPr>
    </w:p>
    <w:p w14:paraId="4F641391" w14:textId="5EA9403E" w:rsidR="00832C2A" w:rsidRPr="00241369" w:rsidRDefault="00832C2A" w:rsidP="00411779">
      <w:pPr>
        <w:pStyle w:val="Heading3"/>
        <w:spacing w:before="0" w:line="360" w:lineRule="auto"/>
      </w:pPr>
      <w:bookmarkStart w:id="82" w:name="_Toc117765918"/>
      <w:r w:rsidRPr="00241369">
        <w:t xml:space="preserve">Study </w:t>
      </w:r>
      <w:r w:rsidR="004451A4">
        <w:t>d</w:t>
      </w:r>
      <w:r w:rsidRPr="00241369">
        <w:t>esign</w:t>
      </w:r>
      <w:bookmarkEnd w:id="82"/>
    </w:p>
    <w:p w14:paraId="4D4F7273" w14:textId="0AA1DBE3" w:rsidR="00832C2A" w:rsidRDefault="00230989" w:rsidP="00411779">
      <w:pPr>
        <w:spacing w:line="360" w:lineRule="auto"/>
      </w:pPr>
      <w:r>
        <w:t>I</w:t>
      </w:r>
      <w:r w:rsidRPr="00241369">
        <w:t xml:space="preserve"> </w:t>
      </w:r>
      <w:r w:rsidR="00832C2A" w:rsidRPr="00241369">
        <w:t xml:space="preserve">carried out a single centre phenomenological study at Sheffield Children’s NHS Foundation Trust </w:t>
      </w:r>
      <w:r w:rsidR="00EE1F9E">
        <w:t xml:space="preserve">(SCH) </w:t>
      </w:r>
      <w:r w:rsidR="00832C2A" w:rsidRPr="00241369">
        <w:t xml:space="preserve">of parents and guardians (subsequently referred to as parents) whose children had been prescribed prophylactic azithromycin. Oral azithromycin is used first line as prophylaxis in the respiratory clinic at SCH for conditions such as bronchiectasis and </w:t>
      </w:r>
      <w:r w:rsidR="0009763C">
        <w:t xml:space="preserve">PBB </w:t>
      </w:r>
      <w:r w:rsidR="00832C2A" w:rsidRPr="00241369">
        <w:t>(</w:t>
      </w:r>
      <w:r w:rsidR="00E63BCB">
        <w:t>See a</w:t>
      </w:r>
      <w:r w:rsidR="00832C2A" w:rsidRPr="00241369">
        <w:t>ppendix</w:t>
      </w:r>
      <w:r w:rsidR="00F23467">
        <w:t xml:space="preserve"> </w:t>
      </w:r>
      <w:r w:rsidR="007B61CA">
        <w:t>2</w:t>
      </w:r>
      <w:r w:rsidR="00E63BCB">
        <w:t xml:space="preserve"> for guideline</w:t>
      </w:r>
      <w:r w:rsidR="00832C2A" w:rsidRPr="00241369">
        <w:t xml:space="preserve">). </w:t>
      </w:r>
      <w:r w:rsidR="00851C47">
        <w:t>I</w:t>
      </w:r>
      <w:r w:rsidR="00832C2A" w:rsidRPr="00241369">
        <w:t xml:space="preserve"> used face-to-face interviews to allow parents to fully describe their experience of having a child prescribed long-term prophylactic antibiotics.</w:t>
      </w:r>
    </w:p>
    <w:p w14:paraId="2BBC8261" w14:textId="77777777" w:rsidR="007F658B" w:rsidRPr="00241369" w:rsidRDefault="007F658B" w:rsidP="00411779">
      <w:pPr>
        <w:spacing w:line="360" w:lineRule="auto"/>
      </w:pPr>
    </w:p>
    <w:p w14:paraId="7BE67845" w14:textId="6A21855A" w:rsidR="00832C2A" w:rsidRPr="008F33C8" w:rsidRDefault="00832C2A" w:rsidP="00411779">
      <w:pPr>
        <w:pStyle w:val="Heading3"/>
        <w:spacing w:before="0" w:line="360" w:lineRule="auto"/>
      </w:pPr>
      <w:bookmarkStart w:id="83" w:name="_Toc117765919"/>
      <w:r w:rsidRPr="008F33C8">
        <w:t>Participant selection and recruitment</w:t>
      </w:r>
      <w:bookmarkEnd w:id="83"/>
      <w:r w:rsidRPr="008F33C8">
        <w:t xml:space="preserve"> </w:t>
      </w:r>
    </w:p>
    <w:p w14:paraId="53A0EEBE" w14:textId="2262104E" w:rsidR="00832C2A" w:rsidRDefault="00832C2A" w:rsidP="00411779">
      <w:pPr>
        <w:spacing w:line="360" w:lineRule="auto"/>
      </w:pPr>
      <w:r w:rsidRPr="00241369">
        <w:t>Parents whose children had been prescribed prophylact</w:t>
      </w:r>
      <w:r w:rsidR="008D16F0">
        <w:t>ic azithromycin for at least 3</w:t>
      </w:r>
      <w:r w:rsidR="00F144B7">
        <w:t xml:space="preserve"> </w:t>
      </w:r>
      <w:r w:rsidRPr="00241369">
        <w:t>months to prevent respiratory tract infections</w:t>
      </w:r>
      <w:r w:rsidR="00230989" w:rsidRPr="00230989">
        <w:t xml:space="preserve"> </w:t>
      </w:r>
      <w:r w:rsidR="00230989" w:rsidRPr="00241369">
        <w:t>were invited to participate</w:t>
      </w:r>
      <w:r w:rsidRPr="00241369">
        <w:t>. Recruitment took place at SCH over an 8-month period between 1</w:t>
      </w:r>
      <w:r w:rsidRPr="00241369">
        <w:rPr>
          <w:vertAlign w:val="superscript"/>
        </w:rPr>
        <w:t>st</w:t>
      </w:r>
      <w:r w:rsidRPr="00241369">
        <w:t xml:space="preserve"> September 2018 and 31</w:t>
      </w:r>
      <w:r w:rsidRPr="00241369">
        <w:rPr>
          <w:vertAlign w:val="superscript"/>
        </w:rPr>
        <w:t>st</w:t>
      </w:r>
      <w:r w:rsidRPr="00241369">
        <w:t xml:space="preserve"> April 2019. A purposive sampling method was used to try and capture maximum variation in views on the basis of age of the parent and child, parental education, ethnicity and the severity of the child’s condition. Purposive sampling using a maximum variation </w:t>
      </w:r>
      <w:r w:rsidR="008D16F0" w:rsidRPr="00241369">
        <w:t>strategy</w:t>
      </w:r>
      <w:r w:rsidRPr="00241369">
        <w:t xml:space="preserve"> is a recognised sampling method for the purpose of developing a deeper understanding of the phenomenon being researched</w:t>
      </w:r>
      <w:r w:rsidR="00087671">
        <w:t xml:space="preserve"> </w:t>
      </w:r>
      <w:r w:rsidR="001E163F">
        <w:fldChar w:fldCharType="begin"/>
      </w:r>
      <w:r w:rsidR="00EE22EB">
        <w:instrText xml:space="preserve"> ADDIN EN.CITE &lt;EndNote&gt;&lt;Cite&gt;&lt;Author&gt;Palinkas&lt;/Author&gt;&lt;Year&gt;2015&lt;/Year&gt;&lt;RecNum&gt;515&lt;/RecNum&gt;&lt;DisplayText&gt;(Palinkas et al., 2015)&lt;/DisplayText&gt;&lt;record&gt;&lt;rec-number&gt;515&lt;/rec-number&gt;&lt;foreign-keys&gt;&lt;key app="EN" db-id="pr9rwt2w8padxcerwx6prd0a9wtda2w5fw2t" timestamp="1656410812"&gt;515&lt;/key&gt;&lt;/foreign-keys&gt;&lt;ref-type name="Journal Article"&gt;17&lt;/ref-type&gt;&lt;contributors&gt;&lt;authors&gt;&lt;author&gt;Palinkas, L. A.&lt;/author&gt;&lt;author&gt;Horwitz, S. M.&lt;/author&gt;&lt;author&gt;Green, C. A.&lt;/author&gt;&lt;author&gt;Wisdom, J. P.&lt;/author&gt;&lt;author&gt;Duan, N.&lt;/author&gt;&lt;author&gt;Hoagwood, K.&lt;/author&gt;&lt;/authors&gt;&lt;/contributors&gt;&lt;auth-address&gt;School of Social Work, University of Southern California, 669 W. 34th Street, Los Angeles, CA, 90089-0411, USA, palinkas@usc.edu.&lt;/auth-address&gt;&lt;titles&gt;&lt;title&gt;Purposeful Sampling for Qualitative Data Collection and Analysis in Mixed Method Implementation Research&lt;/title&gt;&lt;secondary-title&gt;Adm Policy Ment Health&lt;/secondary-title&gt;&lt;/titles&gt;&lt;periodical&gt;&lt;full-title&gt;Adm Policy Ment Health&lt;/full-title&gt;&lt;/periodical&gt;&lt;pages&gt;533-44&lt;/pages&gt;&lt;volume&gt;42&lt;/volume&gt;&lt;number&gt;5&lt;/number&gt;&lt;edition&gt;2013/11/07&lt;/edition&gt;&lt;keywords&gt;&lt;keyword&gt;Data Collection&lt;/keyword&gt;&lt;keyword&gt;Evidence-Based Practice&lt;/keyword&gt;&lt;keyword&gt;*Health Services Research&lt;/keyword&gt;&lt;keyword&gt;Humans&lt;/keyword&gt;&lt;keyword&gt;Mental Health Services&lt;/keyword&gt;&lt;keyword&gt;*Qualitative Research&lt;/keyword&gt;&lt;keyword&gt;*Research Design&lt;/keyword&gt;&lt;keyword&gt;Sampling Studies&lt;/keyword&gt;&lt;/keywords&gt;&lt;dates&gt;&lt;year&gt;2015&lt;/year&gt;&lt;pub-dates&gt;&lt;date&gt;Sep&lt;/date&gt;&lt;/pub-dates&gt;&lt;/dates&gt;&lt;isbn&gt;0894-587X (Print)&amp;#xD;0894-587x&lt;/isbn&gt;&lt;accession-num&gt;24193818&lt;/accession-num&gt;&lt;urls&gt;&lt;/urls&gt;&lt;custom2&gt;PMC4012002&lt;/custom2&gt;&lt;custom6&gt;NIHMS538401&lt;/custom6&gt;&lt;electronic-resource-num&gt;10.1007/s10488-013-0528-y&lt;/electronic-resource-num&gt;&lt;remote-database-provider&gt;NLM&lt;/remote-database-provider&gt;&lt;language&gt;eng&lt;/language&gt;&lt;/record&gt;&lt;/Cite&gt;&lt;/EndNote&gt;</w:instrText>
      </w:r>
      <w:r w:rsidR="001E163F">
        <w:fldChar w:fldCharType="separate"/>
      </w:r>
      <w:r w:rsidR="00EE22EB">
        <w:rPr>
          <w:noProof/>
        </w:rPr>
        <w:t>(Palinkas et al., 2015)</w:t>
      </w:r>
      <w:r w:rsidR="001E163F">
        <w:fldChar w:fldCharType="end"/>
      </w:r>
      <w:r w:rsidR="00294520">
        <w:t>.</w:t>
      </w:r>
    </w:p>
    <w:p w14:paraId="025280BD" w14:textId="77777777" w:rsidR="007F658B" w:rsidRPr="00241369" w:rsidRDefault="007F658B" w:rsidP="00411779">
      <w:pPr>
        <w:spacing w:line="360" w:lineRule="auto"/>
      </w:pPr>
    </w:p>
    <w:p w14:paraId="5FF3DCA4" w14:textId="0A260A60" w:rsidR="00832C2A" w:rsidRPr="007F658B" w:rsidRDefault="00832C2A" w:rsidP="00411779">
      <w:pPr>
        <w:pStyle w:val="Heading4"/>
        <w:spacing w:before="0" w:line="360" w:lineRule="auto"/>
        <w:rPr>
          <w:i w:val="0"/>
          <w:iCs w:val="0"/>
          <w:sz w:val="24"/>
          <w:szCs w:val="24"/>
        </w:rPr>
      </w:pPr>
      <w:r w:rsidRPr="007F658B">
        <w:rPr>
          <w:i w:val="0"/>
          <w:iCs w:val="0"/>
          <w:sz w:val="24"/>
          <w:szCs w:val="24"/>
        </w:rPr>
        <w:t>Inclusion criteria</w:t>
      </w:r>
    </w:p>
    <w:p w14:paraId="296475D1" w14:textId="77777777" w:rsidR="00832C2A" w:rsidRPr="008F33C8" w:rsidRDefault="00832C2A" w:rsidP="00411779">
      <w:pPr>
        <w:numPr>
          <w:ilvl w:val="0"/>
          <w:numId w:val="1"/>
        </w:numPr>
        <w:spacing w:line="360" w:lineRule="auto"/>
      </w:pPr>
      <w:r w:rsidRPr="008F33C8">
        <w:t>Prophylactic oral azithromycin use for at least 3-months to prevent respiratory tract infections</w:t>
      </w:r>
    </w:p>
    <w:p w14:paraId="0E089E88" w14:textId="77777777" w:rsidR="00832C2A" w:rsidRPr="008F33C8" w:rsidRDefault="00832C2A" w:rsidP="00411779">
      <w:pPr>
        <w:numPr>
          <w:ilvl w:val="0"/>
          <w:numId w:val="1"/>
        </w:numPr>
        <w:spacing w:line="360" w:lineRule="auto"/>
      </w:pPr>
      <w:r w:rsidRPr="008F33C8">
        <w:t xml:space="preserve">Age of child between 2 years and 10 years </w:t>
      </w:r>
    </w:p>
    <w:p w14:paraId="7BB68572" w14:textId="165CC354" w:rsidR="00832C2A" w:rsidRDefault="00832C2A" w:rsidP="00411779">
      <w:pPr>
        <w:numPr>
          <w:ilvl w:val="0"/>
          <w:numId w:val="1"/>
        </w:numPr>
        <w:spacing w:line="360" w:lineRule="auto"/>
      </w:pPr>
      <w:r w:rsidRPr="008F33C8">
        <w:t>Child under the care of the paediatric respiratory or immunology teams and diagnosed with an underlying condition predisposing them to recurrent respiratory tract infections</w:t>
      </w:r>
    </w:p>
    <w:p w14:paraId="7FBE21BD" w14:textId="77777777" w:rsidR="007F658B" w:rsidRPr="008F33C8" w:rsidRDefault="007F658B" w:rsidP="007F658B">
      <w:pPr>
        <w:spacing w:line="360" w:lineRule="auto"/>
        <w:ind w:left="1080"/>
      </w:pPr>
    </w:p>
    <w:p w14:paraId="242A4F8A" w14:textId="7068ABAF" w:rsidR="00832C2A" w:rsidRPr="007F658B" w:rsidRDefault="00832C2A" w:rsidP="00411779">
      <w:pPr>
        <w:pStyle w:val="Heading4"/>
        <w:spacing w:before="0" w:line="360" w:lineRule="auto"/>
        <w:rPr>
          <w:i w:val="0"/>
          <w:iCs w:val="0"/>
          <w:sz w:val="24"/>
          <w:szCs w:val="24"/>
        </w:rPr>
      </w:pPr>
      <w:r w:rsidRPr="007F658B">
        <w:rPr>
          <w:i w:val="0"/>
          <w:iCs w:val="0"/>
          <w:sz w:val="24"/>
          <w:szCs w:val="24"/>
        </w:rPr>
        <w:t>Exclusion criteria</w:t>
      </w:r>
    </w:p>
    <w:p w14:paraId="063A34FB" w14:textId="77777777" w:rsidR="00832C2A" w:rsidRPr="00241369" w:rsidRDefault="00832C2A" w:rsidP="00411779">
      <w:pPr>
        <w:pStyle w:val="ListParagraph"/>
        <w:numPr>
          <w:ilvl w:val="0"/>
          <w:numId w:val="2"/>
        </w:numPr>
        <w:spacing w:after="0" w:line="360" w:lineRule="auto"/>
        <w:rPr>
          <w:sz w:val="24"/>
          <w:szCs w:val="24"/>
        </w:rPr>
      </w:pPr>
      <w:r w:rsidRPr="00241369">
        <w:rPr>
          <w:sz w:val="24"/>
          <w:szCs w:val="24"/>
        </w:rPr>
        <w:t>Medication administration via a percutaneous gastrostomy or nasogastric tube</w:t>
      </w:r>
    </w:p>
    <w:p w14:paraId="1DDC9821" w14:textId="779AE772" w:rsidR="00832C2A" w:rsidRPr="007F658B" w:rsidRDefault="00DA7A95" w:rsidP="00411779">
      <w:pPr>
        <w:pStyle w:val="ListParagraph"/>
        <w:numPr>
          <w:ilvl w:val="0"/>
          <w:numId w:val="2"/>
        </w:numPr>
        <w:spacing w:after="0" w:line="360" w:lineRule="auto"/>
        <w:rPr>
          <w:b/>
          <w:sz w:val="24"/>
          <w:szCs w:val="24"/>
        </w:rPr>
      </w:pPr>
      <w:r w:rsidRPr="00241369">
        <w:rPr>
          <w:sz w:val="24"/>
          <w:szCs w:val="24"/>
        </w:rPr>
        <w:t>Non</w:t>
      </w:r>
      <w:r w:rsidR="00F144B7">
        <w:rPr>
          <w:sz w:val="24"/>
          <w:szCs w:val="24"/>
        </w:rPr>
        <w:t xml:space="preserve"> </w:t>
      </w:r>
      <w:r w:rsidRPr="00241369">
        <w:rPr>
          <w:sz w:val="24"/>
          <w:szCs w:val="24"/>
        </w:rPr>
        <w:t>English</w:t>
      </w:r>
      <w:r w:rsidR="00F144B7">
        <w:rPr>
          <w:sz w:val="24"/>
          <w:szCs w:val="24"/>
        </w:rPr>
        <w:t>-</w:t>
      </w:r>
      <w:r w:rsidRPr="00241369">
        <w:rPr>
          <w:sz w:val="24"/>
          <w:szCs w:val="24"/>
        </w:rPr>
        <w:t>speaking</w:t>
      </w:r>
      <w:r w:rsidR="00832C2A" w:rsidRPr="00241369">
        <w:rPr>
          <w:sz w:val="24"/>
          <w:szCs w:val="24"/>
        </w:rPr>
        <w:t xml:space="preserve"> parents </w:t>
      </w:r>
      <w:r w:rsidR="00F72374">
        <w:rPr>
          <w:sz w:val="24"/>
          <w:szCs w:val="24"/>
        </w:rPr>
        <w:t>(insufficient resources for translation)</w:t>
      </w:r>
    </w:p>
    <w:p w14:paraId="7EF5D150" w14:textId="77777777" w:rsidR="007F658B" w:rsidRPr="00B85401" w:rsidRDefault="007F658B" w:rsidP="007F658B">
      <w:pPr>
        <w:pStyle w:val="ListParagraph"/>
        <w:spacing w:after="0" w:line="360" w:lineRule="auto"/>
        <w:rPr>
          <w:b/>
          <w:sz w:val="24"/>
          <w:szCs w:val="24"/>
        </w:rPr>
      </w:pPr>
    </w:p>
    <w:p w14:paraId="32C4DA3F" w14:textId="03C19E5B" w:rsidR="00832C2A" w:rsidRPr="008F33C8" w:rsidRDefault="00832C2A" w:rsidP="00411779">
      <w:pPr>
        <w:pStyle w:val="Heading3"/>
        <w:spacing w:before="0" w:line="360" w:lineRule="auto"/>
      </w:pPr>
      <w:bookmarkStart w:id="84" w:name="_Toc117765920"/>
      <w:r w:rsidRPr="008F33C8">
        <w:t>Participant recruitment</w:t>
      </w:r>
      <w:bookmarkEnd w:id="84"/>
    </w:p>
    <w:p w14:paraId="44F56C77" w14:textId="4BE32DC3" w:rsidR="00832C2A" w:rsidRDefault="00832C2A" w:rsidP="00411779">
      <w:pPr>
        <w:spacing w:line="360" w:lineRule="auto"/>
      </w:pPr>
      <w:r w:rsidRPr="00241369">
        <w:t>Parents attending routine respiratory or immunology outpatient appointments for their children were approached by the specialist nurses and given written information regarding the study</w:t>
      </w:r>
      <w:r w:rsidR="00837EC6">
        <w:t xml:space="preserve"> if the inclusion criteria were met</w:t>
      </w:r>
      <w:r w:rsidR="00764C4D">
        <w:t xml:space="preserve"> (appendix 3.1)</w:t>
      </w:r>
      <w:r w:rsidRPr="00241369">
        <w:t>. All families were contacted by text message 1 to 7 days later and asked if they would like to participate. An interview time was arranged for those willing to take part and any questions answered.</w:t>
      </w:r>
    </w:p>
    <w:p w14:paraId="53A86C98" w14:textId="77777777" w:rsidR="007F658B" w:rsidRPr="00241369" w:rsidRDefault="007F658B" w:rsidP="00411779">
      <w:pPr>
        <w:spacing w:line="360" w:lineRule="auto"/>
      </w:pPr>
    </w:p>
    <w:p w14:paraId="164EF94F" w14:textId="6BCAEFB7" w:rsidR="00832C2A" w:rsidRPr="008F33C8" w:rsidRDefault="00832C2A" w:rsidP="00411779">
      <w:pPr>
        <w:pStyle w:val="Heading3"/>
        <w:spacing w:before="0" w:line="360" w:lineRule="auto"/>
      </w:pPr>
      <w:bookmarkStart w:id="85" w:name="_Toc117765921"/>
      <w:r w:rsidRPr="008F33C8">
        <w:t>Interviews</w:t>
      </w:r>
      <w:bookmarkEnd w:id="85"/>
    </w:p>
    <w:p w14:paraId="6EBF0AA3" w14:textId="22981933" w:rsidR="00832C2A" w:rsidRPr="00241369" w:rsidRDefault="00327E8D" w:rsidP="00411779">
      <w:pPr>
        <w:spacing w:line="360" w:lineRule="auto"/>
      </w:pPr>
      <w:r>
        <w:t>I conducted f</w:t>
      </w:r>
      <w:r w:rsidR="00832C2A" w:rsidRPr="00241369">
        <w:t>ace-to-face interviews at SCH or the family home. The venue depended on what was most convenient for the parent being interviewed. The interviews were semi-structured using an interview questionnaire</w:t>
      </w:r>
      <w:r w:rsidR="00500D6F" w:rsidRPr="00500D6F">
        <w:t xml:space="preserve"> </w:t>
      </w:r>
      <w:r w:rsidR="00500D6F" w:rsidRPr="00241369">
        <w:t xml:space="preserve">devised by </w:t>
      </w:r>
      <w:r w:rsidR="00500D6F">
        <w:t xml:space="preserve">myself, Dr Andrew Lee </w:t>
      </w:r>
      <w:r w:rsidR="0020462E">
        <w:t xml:space="preserve">(Professor of Public Health, School of Health and Related Research) </w:t>
      </w:r>
      <w:r w:rsidR="00500D6F">
        <w:t xml:space="preserve">and Dr Fiona </w:t>
      </w:r>
      <w:proofErr w:type="spellStart"/>
      <w:r w:rsidR="00500D6F">
        <w:t>Shackley</w:t>
      </w:r>
      <w:proofErr w:type="spellEnd"/>
      <w:r w:rsidR="0020462E" w:rsidRPr="0020462E">
        <w:t xml:space="preserve"> </w:t>
      </w:r>
      <w:r w:rsidR="0020462E">
        <w:t>(Consultant Paediatrician, Sheffield Children’s Hospital)</w:t>
      </w:r>
      <w:r w:rsidR="00832C2A" w:rsidRPr="00241369">
        <w:t xml:space="preserve">. </w:t>
      </w:r>
      <w:r w:rsidR="00500D6F">
        <w:t>It was</w:t>
      </w:r>
      <w:r w:rsidR="00500D6F" w:rsidRPr="00241369">
        <w:t xml:space="preserve"> based on topics of interest to the research question and themes previously identified in the literature relating to adult and parents’ perceptions of acute antibiotics (</w:t>
      </w:r>
      <w:r w:rsidR="00940BDB">
        <w:t>a</w:t>
      </w:r>
      <w:r w:rsidR="00500D6F" w:rsidRPr="00241369">
        <w:t xml:space="preserve">ppendix </w:t>
      </w:r>
      <w:r w:rsidR="008A4C67">
        <w:t>4</w:t>
      </w:r>
      <w:r w:rsidR="00500D6F">
        <w:t>).</w:t>
      </w:r>
      <w:r w:rsidR="00500D6F" w:rsidRPr="00241369">
        <w:t xml:space="preserve"> </w:t>
      </w:r>
      <w:r w:rsidR="00500D6F">
        <w:t xml:space="preserve">I </w:t>
      </w:r>
      <w:r w:rsidR="00832C2A" w:rsidRPr="00241369">
        <w:t xml:space="preserve">aimed to complete the interview within 45-60 minutes. </w:t>
      </w:r>
    </w:p>
    <w:p w14:paraId="3207FF3C" w14:textId="1C7749D8" w:rsidR="00832C2A" w:rsidRDefault="00832C2A" w:rsidP="00284867">
      <w:pPr>
        <w:spacing w:after="160" w:line="360" w:lineRule="auto"/>
      </w:pPr>
      <w:r w:rsidRPr="00241369">
        <w:t xml:space="preserve">The interviews focused on the parents’ lived experience of having a child who had been prescribed prophylactic azithromycin. We intended to further our understanding of how </w:t>
      </w:r>
      <w:r w:rsidR="004E5C0D">
        <w:t>parents</w:t>
      </w:r>
      <w:r w:rsidRPr="00241369">
        <w:t xml:space="preserve"> made decisions, the driving forces behind these decisions as well the practical aspects of </w:t>
      </w:r>
      <w:r w:rsidRPr="00241369">
        <w:lastRenderedPageBreak/>
        <w:t>administration and adherence</w:t>
      </w:r>
      <w:r w:rsidR="004E5C0D">
        <w:t xml:space="preserve"> to medication</w:t>
      </w:r>
      <w:r w:rsidRPr="00241369">
        <w:t xml:space="preserve">. At the beginning of each interview </w:t>
      </w:r>
      <w:r w:rsidR="00327E8D">
        <w:t xml:space="preserve">I informed </w:t>
      </w:r>
      <w:r w:rsidRPr="00241369">
        <w:t xml:space="preserve">parents </w:t>
      </w:r>
      <w:r w:rsidR="00327E8D">
        <w:t xml:space="preserve">that I </w:t>
      </w:r>
      <w:r w:rsidRPr="00241369">
        <w:t>was not directly part of the respiratory team</w:t>
      </w:r>
      <w:r w:rsidR="00500D6F">
        <w:t xml:space="preserve"> caring for their child</w:t>
      </w:r>
      <w:r w:rsidRPr="00241369">
        <w:t>, their views would be kept confidential and that the respiratory team would only see the final study results with anonymised quotations. They were encouraged to give a full description of their thoughts, feelings, attitudes and any views regarding prophylactic antibiotic use. A flexible open-question interview approach was used. The research questions initially put to the participants were:</w:t>
      </w:r>
    </w:p>
    <w:p w14:paraId="12731E90" w14:textId="6568276B" w:rsidR="00701CBE" w:rsidRPr="00791B00" w:rsidRDefault="00832C2A">
      <w:pPr>
        <w:pStyle w:val="ListParagraph"/>
        <w:numPr>
          <w:ilvl w:val="0"/>
          <w:numId w:val="56"/>
        </w:numPr>
        <w:spacing w:after="0" w:line="360" w:lineRule="auto"/>
        <w:rPr>
          <w:rFonts w:ascii="Times New Roman" w:hAnsi="Times New Roman" w:cs="Times New Roman"/>
          <w:sz w:val="24"/>
          <w:szCs w:val="24"/>
        </w:rPr>
      </w:pPr>
      <w:r w:rsidRPr="00791B00">
        <w:rPr>
          <w:rFonts w:ascii="Times New Roman" w:hAnsi="Times New Roman" w:cs="Times New Roman"/>
          <w:sz w:val="24"/>
          <w:szCs w:val="24"/>
        </w:rPr>
        <w:t>What does it mean to you to have a child who has had to take regular preventative</w:t>
      </w:r>
    </w:p>
    <w:p w14:paraId="77D7698D" w14:textId="67D9327F" w:rsidR="00832C2A" w:rsidRPr="00791B00" w:rsidRDefault="00832C2A" w:rsidP="00701CBE">
      <w:pPr>
        <w:pStyle w:val="ListParagraph"/>
        <w:spacing w:after="0" w:line="360" w:lineRule="auto"/>
        <w:ind w:left="1080"/>
        <w:rPr>
          <w:rFonts w:ascii="Times New Roman" w:hAnsi="Times New Roman" w:cs="Times New Roman"/>
          <w:sz w:val="24"/>
          <w:szCs w:val="24"/>
        </w:rPr>
      </w:pPr>
      <w:r w:rsidRPr="00791B00">
        <w:rPr>
          <w:rFonts w:ascii="Times New Roman" w:hAnsi="Times New Roman" w:cs="Times New Roman"/>
          <w:sz w:val="24"/>
          <w:szCs w:val="24"/>
        </w:rPr>
        <w:t>antibiotics?</w:t>
      </w:r>
    </w:p>
    <w:p w14:paraId="37E078D7" w14:textId="3988B3FC" w:rsidR="00701CBE" w:rsidRPr="00791B00" w:rsidRDefault="00832C2A">
      <w:pPr>
        <w:pStyle w:val="ListParagraph"/>
        <w:numPr>
          <w:ilvl w:val="0"/>
          <w:numId w:val="56"/>
        </w:numPr>
        <w:spacing w:after="0" w:line="360" w:lineRule="auto"/>
        <w:rPr>
          <w:rFonts w:ascii="Times New Roman" w:hAnsi="Times New Roman" w:cs="Times New Roman"/>
          <w:sz w:val="24"/>
          <w:szCs w:val="24"/>
        </w:rPr>
      </w:pPr>
      <w:r w:rsidRPr="00791B00">
        <w:rPr>
          <w:rFonts w:ascii="Times New Roman" w:hAnsi="Times New Roman" w:cs="Times New Roman"/>
          <w:sz w:val="24"/>
          <w:szCs w:val="24"/>
        </w:rPr>
        <w:t>What is your experience of having your child prescribed long</w:t>
      </w:r>
      <w:r w:rsidR="00EE1F9E" w:rsidRPr="00791B00">
        <w:rPr>
          <w:rFonts w:ascii="Times New Roman" w:hAnsi="Times New Roman" w:cs="Times New Roman"/>
          <w:sz w:val="24"/>
          <w:szCs w:val="24"/>
        </w:rPr>
        <w:t>-</w:t>
      </w:r>
      <w:r w:rsidRPr="00791B00">
        <w:rPr>
          <w:rFonts w:ascii="Times New Roman" w:hAnsi="Times New Roman" w:cs="Times New Roman"/>
          <w:sz w:val="24"/>
          <w:szCs w:val="24"/>
        </w:rPr>
        <w:t>term preventative</w:t>
      </w:r>
    </w:p>
    <w:p w14:paraId="27575B6C" w14:textId="45570B07" w:rsidR="00701CBE" w:rsidRPr="00791B00" w:rsidRDefault="00832C2A" w:rsidP="00284867">
      <w:pPr>
        <w:pStyle w:val="ListParagraph"/>
        <w:spacing w:line="360" w:lineRule="auto"/>
        <w:ind w:left="1077"/>
        <w:rPr>
          <w:rFonts w:ascii="Times New Roman" w:hAnsi="Times New Roman" w:cs="Times New Roman"/>
        </w:rPr>
      </w:pPr>
      <w:r w:rsidRPr="00791B00">
        <w:rPr>
          <w:rFonts w:ascii="Times New Roman" w:hAnsi="Times New Roman" w:cs="Times New Roman"/>
          <w:sz w:val="24"/>
          <w:szCs w:val="24"/>
        </w:rPr>
        <w:t>antibiotics?</w:t>
      </w:r>
    </w:p>
    <w:p w14:paraId="7B74DEEE" w14:textId="725B98D2" w:rsidR="00832C2A" w:rsidRDefault="00832C2A" w:rsidP="00411779">
      <w:pPr>
        <w:spacing w:line="360" w:lineRule="auto"/>
      </w:pPr>
      <w:r w:rsidRPr="00241369">
        <w:t>Interviews were recorded using an encrypted digital voice recorder and field notes were taken of any interesting observations and summaries of conversations that took place</w:t>
      </w:r>
      <w:r w:rsidR="00837EC6">
        <w:t xml:space="preserve"> pre</w:t>
      </w:r>
      <w:r w:rsidR="00217467">
        <w:t>-</w:t>
      </w:r>
      <w:r w:rsidR="00837EC6">
        <w:t xml:space="preserve"> and post</w:t>
      </w:r>
      <w:r w:rsidR="00217467">
        <w:t>-</w:t>
      </w:r>
      <w:r w:rsidR="00837EC6">
        <w:t>recording</w:t>
      </w:r>
      <w:r w:rsidRPr="00241369">
        <w:t>.</w:t>
      </w:r>
    </w:p>
    <w:p w14:paraId="31BC9FB5" w14:textId="77777777" w:rsidR="007F658B" w:rsidRPr="00241369" w:rsidRDefault="007F658B" w:rsidP="00411779">
      <w:pPr>
        <w:spacing w:line="360" w:lineRule="auto"/>
      </w:pPr>
    </w:p>
    <w:p w14:paraId="4D994A4B" w14:textId="07648F37" w:rsidR="00832C2A" w:rsidRPr="008F33C8" w:rsidRDefault="00832C2A" w:rsidP="00411779">
      <w:pPr>
        <w:pStyle w:val="Heading3"/>
        <w:spacing w:before="0" w:line="360" w:lineRule="auto"/>
      </w:pPr>
      <w:bookmarkStart w:id="86" w:name="_Toc117765922"/>
      <w:r w:rsidRPr="008F33C8">
        <w:t>Data handling</w:t>
      </w:r>
      <w:bookmarkEnd w:id="86"/>
    </w:p>
    <w:p w14:paraId="0CC40693" w14:textId="387205E3" w:rsidR="00832C2A" w:rsidRPr="00241369" w:rsidRDefault="00832C2A" w:rsidP="00411779">
      <w:pPr>
        <w:spacing w:line="360" w:lineRule="auto"/>
      </w:pPr>
      <w:r w:rsidRPr="00241369">
        <w:t xml:space="preserve">Acquired data was stored and collated on Microsoft Excel </w:t>
      </w:r>
      <w:r w:rsidR="00217467" w:rsidRPr="00241369">
        <w:t>password-controlled</w:t>
      </w:r>
      <w:r w:rsidRPr="00241369">
        <w:t xml:space="preserve"> databases. Data containing patient information was stored only on a password protected NHS network computer drive. Anonymous information was stored and analysed on a password protected</w:t>
      </w:r>
      <w:r w:rsidR="00837EC6">
        <w:t>,</w:t>
      </w:r>
      <w:r w:rsidRPr="00241369">
        <w:t xml:space="preserve"> university of Sheffield computer in a locked office at</w:t>
      </w:r>
      <w:r w:rsidR="00952013">
        <w:t xml:space="preserve"> SCH</w:t>
      </w:r>
      <w:r w:rsidRPr="00241369">
        <w:t xml:space="preserve">. </w:t>
      </w:r>
    </w:p>
    <w:p w14:paraId="0EB13A48" w14:textId="1DD398A2" w:rsidR="007F658B" w:rsidRDefault="00832C2A" w:rsidP="00411779">
      <w:pPr>
        <w:spacing w:line="360" w:lineRule="auto"/>
      </w:pPr>
      <w:r w:rsidRPr="00241369">
        <w:t>Data were collected and retained in accordance with the Data Protection Act 1998. All source documents will be kept for a period of 5 years following the end of the study</w:t>
      </w:r>
      <w:r w:rsidR="00500D6F">
        <w:t xml:space="preserve"> and then destroyed</w:t>
      </w:r>
      <w:r w:rsidRPr="00241369">
        <w:t>.</w:t>
      </w:r>
    </w:p>
    <w:p w14:paraId="599330D4" w14:textId="77777777" w:rsidR="00217467" w:rsidRPr="00241369" w:rsidRDefault="00217467" w:rsidP="00411779">
      <w:pPr>
        <w:spacing w:line="360" w:lineRule="auto"/>
      </w:pPr>
    </w:p>
    <w:p w14:paraId="75645BE2" w14:textId="0A256973" w:rsidR="00217467" w:rsidRPr="00217467" w:rsidRDefault="00832C2A" w:rsidP="00217467">
      <w:pPr>
        <w:pStyle w:val="Heading3"/>
        <w:spacing w:before="0" w:line="360" w:lineRule="auto"/>
      </w:pPr>
      <w:bookmarkStart w:id="87" w:name="_Toc117765923"/>
      <w:r w:rsidRPr="008F33C8">
        <w:t>Analysis</w:t>
      </w:r>
      <w:bookmarkEnd w:id="87"/>
    </w:p>
    <w:p w14:paraId="5764AD87" w14:textId="77777777" w:rsidR="00832C2A" w:rsidRPr="007F658B" w:rsidRDefault="00832C2A" w:rsidP="00411779">
      <w:pPr>
        <w:pStyle w:val="Heading4"/>
        <w:spacing w:before="0" w:line="360" w:lineRule="auto"/>
        <w:rPr>
          <w:i w:val="0"/>
          <w:iCs w:val="0"/>
          <w:sz w:val="24"/>
          <w:szCs w:val="24"/>
        </w:rPr>
      </w:pPr>
      <w:r w:rsidRPr="007F658B">
        <w:rPr>
          <w:i w:val="0"/>
          <w:iCs w:val="0"/>
          <w:sz w:val="24"/>
          <w:szCs w:val="24"/>
        </w:rPr>
        <w:t>Sample size</w:t>
      </w:r>
    </w:p>
    <w:p w14:paraId="4C61F214" w14:textId="2C332908" w:rsidR="00832C2A" w:rsidRDefault="00837EC6" w:rsidP="00411779">
      <w:pPr>
        <w:spacing w:line="360" w:lineRule="auto"/>
      </w:pPr>
      <w:r>
        <w:t>A p</w:t>
      </w:r>
      <w:r w:rsidR="00832C2A" w:rsidRPr="00241369">
        <w:t>urposive sample size in qualitative research should be determined once no new patterns or information emerges</w:t>
      </w:r>
      <w:r w:rsidR="002419B9">
        <w:t xml:space="preserve"> - </w:t>
      </w:r>
      <w:r w:rsidR="00832C2A" w:rsidRPr="00241369">
        <w:t>theoretical saturation. Guest et al</w:t>
      </w:r>
      <w:r w:rsidR="00500D6F">
        <w:t>.</w:t>
      </w:r>
      <w:r w:rsidR="00832C2A" w:rsidRPr="00241369">
        <w:t xml:space="preserve"> suggest that data saturation (no new data are being found) often occurs around 12 participants in homogeneous groups</w:t>
      </w:r>
      <w:r w:rsidR="00952013">
        <w:t xml:space="preserve"> </w:t>
      </w:r>
      <w:r w:rsidR="00ED0001">
        <w:fldChar w:fldCharType="begin"/>
      </w:r>
      <w:r w:rsidR="00EE22EB">
        <w:instrText xml:space="preserve"> ADDIN EN.CITE &lt;EndNote&gt;&lt;Cite&gt;&lt;Author&gt;Guest&lt;/Author&gt;&lt;Year&gt;2006&lt;/Year&gt;&lt;RecNum&gt;206&lt;/RecNum&gt;&lt;DisplayText&gt;(Guest et al., 2006)&lt;/DisplayText&gt;&lt;record&gt;&lt;rec-number&gt;206&lt;/rec-number&gt;&lt;foreign-keys&gt;&lt;key app="EN" db-id="pr9rwt2w8padxcerwx6prd0a9wtda2w5fw2t" timestamp="1629731697"&gt;206&lt;/key&gt;&lt;/foreign-keys&gt;&lt;ref-type name="Journal Article"&gt;17&lt;/ref-type&gt;&lt;contributors&gt;&lt;authors&gt;&lt;author&gt;Guest, Greg&lt;/author&gt;&lt;author&gt;Bunce, Arwen&lt;/author&gt;&lt;author&gt;Johnson, Laura&lt;/author&gt;&lt;/authors&gt;&lt;/contributors&gt;&lt;titles&gt;&lt;title&gt;How Many Interviews Are Enough?: An Experiment with Data Saturation and Variability&lt;/title&gt;&lt;secondary-title&gt;Field Methods&lt;/secondary-title&gt;&lt;/titles&gt;&lt;periodical&gt;&lt;full-title&gt;Field Methods&lt;/full-title&gt;&lt;/periodical&gt;&lt;pages&gt;59-82&lt;/pages&gt;&lt;volume&gt;18&lt;/volume&gt;&lt;number&gt;1&lt;/number&gt;&lt;dates&gt;&lt;year&gt;2006&lt;/year&gt;&lt;pub-dates&gt;&lt;date&gt;2006/02/01&lt;/date&gt;&lt;/pub-dates&gt;&lt;/dates&gt;&lt;publisher&gt;SAGE Publications Inc&lt;/publisher&gt;&lt;isbn&gt;1525-822X&lt;/isbn&gt;&lt;urls&gt;&lt;related-urls&gt;&lt;url&gt;https://doi.org/10.1177/1525822X05279903&lt;/url&gt;&lt;/related-urls&gt;&lt;/urls&gt;&lt;electronic-resource-num&gt;10.1177/1525822X05279903&lt;/electronic-resource-num&gt;&lt;access-date&gt;2020/01/02&lt;/access-date&gt;&lt;/record&gt;&lt;/Cite&gt;&lt;/EndNote&gt;</w:instrText>
      </w:r>
      <w:r w:rsidR="00ED0001">
        <w:fldChar w:fldCharType="separate"/>
      </w:r>
      <w:r w:rsidR="00EE22EB">
        <w:rPr>
          <w:noProof/>
        </w:rPr>
        <w:t>(Guest et al., 2006)</w:t>
      </w:r>
      <w:r w:rsidR="00ED0001">
        <w:fldChar w:fldCharType="end"/>
      </w:r>
      <w:r w:rsidR="00832C2A" w:rsidRPr="00241369">
        <w:t xml:space="preserve">. Marconi et al report that “meaning saturation”, the point where no new insights of identified issues arose, required </w:t>
      </w:r>
      <w:r w:rsidR="004728E1">
        <w:t xml:space="preserve">up to </w:t>
      </w:r>
      <w:r w:rsidR="00832C2A" w:rsidRPr="00241369">
        <w:t xml:space="preserve">24 interviews. Hence a sample </w:t>
      </w:r>
      <w:r>
        <w:t xml:space="preserve">size </w:t>
      </w:r>
      <w:r w:rsidR="00832C2A" w:rsidRPr="00241369">
        <w:t xml:space="preserve">of 12- 20 parents was </w:t>
      </w:r>
      <w:r w:rsidR="004728E1">
        <w:lastRenderedPageBreak/>
        <w:t xml:space="preserve">felt to be appropriate </w:t>
      </w:r>
      <w:r w:rsidR="00587CD0">
        <w:fldChar w:fldCharType="begin"/>
      </w:r>
      <w:r w:rsidR="00EE22EB">
        <w:instrText xml:space="preserve"> ADDIN EN.CITE &lt;EndNote&gt;&lt;Cite&gt;&lt;Author&gt;Hennink&lt;/Author&gt;&lt;Year&gt;2017&lt;/Year&gt;&lt;RecNum&gt;126&lt;/RecNum&gt;&lt;DisplayText&gt;(Hennink et al., 2017)&lt;/DisplayText&gt;&lt;record&gt;&lt;rec-number&gt;126&lt;/rec-number&gt;&lt;foreign-keys&gt;&lt;key app="EN" db-id="z50rresss5e5vfe0s2qpewtuxsprsrse5fff" timestamp="1580120017"&gt;126&lt;/key&gt;&lt;/foreign-keys&gt;&lt;ref-type name="Journal Article"&gt;17&lt;/ref-type&gt;&lt;contributors&gt;&lt;authors&gt;&lt;author&gt;Hennink, M. M.&lt;/author&gt;&lt;author&gt;Kaiser, B. N.&lt;/author&gt;&lt;author&gt;Marconi, V. C.&lt;/author&gt;&lt;/authors&gt;&lt;/contributors&gt;&lt;auth-address&gt;1 Emory University, Atlanta, Georgia, USA.&amp;#xD;2 Duke University, Durham, North Carolina, USA.&amp;#xD;3 Atlanta Veterans Affairs Medical Center, Atlanta, Georgia, USA.&lt;/auth-address&gt;&lt;titles&gt;&lt;title&gt;Code Saturation Versus Meaning Saturation: How Many Interviews Are Enough?&lt;/title&gt;&lt;secondary-title&gt;Qual Health Res&lt;/secondary-title&gt;&lt;/titles&gt;&lt;periodical&gt;&lt;full-title&gt;Qual Health Res&lt;/full-title&gt;&lt;/periodical&gt;&lt;pages&gt;591-608&lt;/pages&gt;&lt;volume&gt;27&lt;/volume&gt;&lt;number&gt;4&lt;/number&gt;&lt;edition&gt;2016/09/28&lt;/edition&gt;&lt;keywords&gt;&lt;keyword&gt;Humans&lt;/keyword&gt;&lt;keyword&gt;Interviews as Topic/*standards&lt;/keyword&gt;&lt;keyword&gt;*Qualitative Research&lt;/keyword&gt;&lt;keyword&gt;Research Design/*standards&lt;/keyword&gt;&lt;keyword&gt;*Sample Size&lt;/keyword&gt;&lt;keyword&gt;Hiv/aids&lt;/keyword&gt;&lt;keyword&gt;USA&lt;/keyword&gt;&lt;keyword&gt;behavior&lt;/keyword&gt;&lt;keyword&gt;in-depth interviews&lt;/keyword&gt;&lt;keyword&gt;infection&lt;/keyword&gt;&lt;keyword&gt;methodology&lt;/keyword&gt;&lt;keyword&gt;qualitative&lt;/keyword&gt;&lt;keyword&gt;saturation&lt;/keyword&gt;&lt;/keywords&gt;&lt;dates&gt;&lt;year&gt;2017&lt;/year&gt;&lt;pub-dates&gt;&lt;date&gt;Mar&lt;/date&gt;&lt;/pub-dates&gt;&lt;/dates&gt;&lt;isbn&gt;1049-7323 (Print)&amp;#xD;1049-7323&lt;/isbn&gt;&lt;accession-num&gt;27670770&lt;/accession-num&gt;&lt;urls&gt;&lt;/urls&gt;&lt;electronic-resource-num&gt;10.1177/1049732316665344&lt;/electronic-resource-num&gt;&lt;remote-database-provider&gt;NLM&lt;/remote-database-provider&gt;&lt;language&gt;eng&lt;/language&gt;&lt;/record&gt;&lt;/Cite&gt;&lt;/EndNote&gt;</w:instrText>
      </w:r>
      <w:r w:rsidR="00587CD0">
        <w:fldChar w:fldCharType="separate"/>
      </w:r>
      <w:r w:rsidR="00EE22EB">
        <w:rPr>
          <w:noProof/>
        </w:rPr>
        <w:t>(Hennink et al., 2017)</w:t>
      </w:r>
      <w:r w:rsidR="00587CD0">
        <w:fldChar w:fldCharType="end"/>
      </w:r>
      <w:r w:rsidR="00832C2A" w:rsidRPr="00241369">
        <w:t xml:space="preserve">. </w:t>
      </w:r>
      <w:r w:rsidR="004728E1">
        <w:t xml:space="preserve">The final sample size was 15 interviews involving 18 participants. </w:t>
      </w:r>
    </w:p>
    <w:p w14:paraId="3A62D2E8" w14:textId="77777777" w:rsidR="007F658B" w:rsidRPr="007F658B" w:rsidRDefault="007F658B" w:rsidP="00411779">
      <w:pPr>
        <w:spacing w:line="360" w:lineRule="auto"/>
      </w:pPr>
    </w:p>
    <w:p w14:paraId="6490C187" w14:textId="6B589BA3" w:rsidR="00832C2A" w:rsidRPr="007F658B" w:rsidRDefault="00B50900" w:rsidP="00411779">
      <w:pPr>
        <w:pStyle w:val="Heading4"/>
        <w:spacing w:before="0" w:line="360" w:lineRule="auto"/>
        <w:rPr>
          <w:i w:val="0"/>
          <w:iCs w:val="0"/>
          <w:sz w:val="24"/>
          <w:szCs w:val="24"/>
        </w:rPr>
      </w:pPr>
      <w:r>
        <w:rPr>
          <w:i w:val="0"/>
          <w:iCs w:val="0"/>
          <w:sz w:val="24"/>
          <w:szCs w:val="24"/>
        </w:rPr>
        <w:t>Data a</w:t>
      </w:r>
      <w:r w:rsidR="00832C2A" w:rsidRPr="007F658B">
        <w:rPr>
          <w:i w:val="0"/>
          <w:iCs w:val="0"/>
          <w:sz w:val="24"/>
          <w:szCs w:val="24"/>
        </w:rPr>
        <w:t>nalysis</w:t>
      </w:r>
    </w:p>
    <w:p w14:paraId="205D5733" w14:textId="2E488AEE" w:rsidR="00832C2A" w:rsidRPr="008F33C8" w:rsidRDefault="004B6521" w:rsidP="00284867">
      <w:pPr>
        <w:spacing w:after="160" w:line="360" w:lineRule="auto"/>
      </w:pPr>
      <w:r>
        <w:t xml:space="preserve">Each </w:t>
      </w:r>
      <w:r w:rsidR="00327E8D">
        <w:t xml:space="preserve">interview </w:t>
      </w:r>
      <w:r>
        <w:t xml:space="preserve">was transcribed </w:t>
      </w:r>
      <w:r w:rsidR="00327E8D">
        <w:t xml:space="preserve">verbatim </w:t>
      </w:r>
      <w:r w:rsidR="00832C2A" w:rsidRPr="00241369">
        <w:t>into an excel spreadsheet. Thematic analysis was conducted on all interviews, using the approach suggested by Smith with regards to phenomenological studies</w:t>
      </w:r>
      <w:r w:rsidR="001F2604">
        <w:t xml:space="preserve"> </w:t>
      </w:r>
      <w:r w:rsidR="001F2604">
        <w:fldChar w:fldCharType="begin"/>
      </w:r>
      <w:r w:rsidR="001F2604">
        <w:instrText xml:space="preserve"> ADDIN EN.CITE &lt;EndNote&gt;&lt;Cite&gt;&lt;Author&gt;Smith&lt;/Author&gt;&lt;Year&gt;2009&lt;/Year&gt;&lt;RecNum&gt;258&lt;/RecNum&gt;&lt;DisplayText&gt;(Smith, 2009)&lt;/DisplayText&gt;&lt;record&gt;&lt;rec-number&gt;258&lt;/rec-number&gt;&lt;foreign-keys&gt;&lt;key app="EN" db-id="pr9rwt2w8padxcerwx6prd0a9wtda2w5fw2t" timestamp="1629731697"&gt;258&lt;/key&gt;&lt;/foreign-keys&gt;&lt;ref-type name="Journal Article"&gt;17&lt;/ref-type&gt;&lt;contributors&gt;&lt;authors&gt;&lt;author&gt;Smith, J; Flowers, P; Larkin, M&lt;/author&gt;&lt;/authors&gt;&lt;/contributors&gt;&lt;titles&gt;&lt;title&gt;Interpretative phenomenological analysis: theory, method and research&lt;/title&gt;&lt;/titles&gt;&lt;dates&gt;&lt;year&gt;2009&lt;/year&gt;&lt;/dates&gt;&lt;orig-pub&gt;Sage publications&lt;/orig-pub&gt;&lt;label&gt;ISBN 978-1-4129-0833-7&lt;/label&gt;&lt;work-type&gt;Book&lt;/work-type&gt;&lt;urls&gt;&lt;/urls&gt;&lt;/record&gt;&lt;/Cite&gt;&lt;/EndNote&gt;</w:instrText>
      </w:r>
      <w:r w:rsidR="001F2604">
        <w:fldChar w:fldCharType="separate"/>
      </w:r>
      <w:r w:rsidR="001F2604">
        <w:rPr>
          <w:noProof/>
        </w:rPr>
        <w:t>(Smith, 2009)</w:t>
      </w:r>
      <w:r w:rsidR="001F2604">
        <w:fldChar w:fldCharType="end"/>
      </w:r>
      <w:r w:rsidR="001F2604">
        <w:t>. T</w:t>
      </w:r>
      <w:r w:rsidR="0019143B">
        <w:t>wo researchers</w:t>
      </w:r>
      <w:r w:rsidR="00832C2A" w:rsidRPr="00241369">
        <w:t xml:space="preserve">, </w:t>
      </w:r>
      <w:r w:rsidR="00327E8D">
        <w:t xml:space="preserve">myself and </w:t>
      </w:r>
      <w:r w:rsidR="004728E1">
        <w:t xml:space="preserve">Prof Andrew </w:t>
      </w:r>
      <w:r w:rsidR="00327E8D">
        <w:t xml:space="preserve">Lee </w:t>
      </w:r>
      <w:r w:rsidR="00832C2A" w:rsidRPr="00241369">
        <w:t>independently conducted the analysis beginning with familiarisation of the interview transcripts by repeated reading</w:t>
      </w:r>
      <w:r w:rsidR="00832C2A" w:rsidRPr="008F33C8">
        <w:t xml:space="preserve">. </w:t>
      </w:r>
    </w:p>
    <w:p w14:paraId="37E6FC5F" w14:textId="6C936A12" w:rsidR="00832C2A" w:rsidRPr="008F33C8" w:rsidRDefault="00832C2A" w:rsidP="00284867">
      <w:pPr>
        <w:spacing w:after="160" w:line="360" w:lineRule="auto"/>
      </w:pPr>
      <w:r w:rsidRPr="008F33C8">
        <w:t xml:space="preserve">Analysis began after the first 3 interviews. </w:t>
      </w:r>
      <w:r w:rsidR="004B6521">
        <w:t>A</w:t>
      </w:r>
      <w:r w:rsidRPr="008F33C8">
        <w:t xml:space="preserve">ll comments </w:t>
      </w:r>
      <w:r w:rsidR="004B6521">
        <w:t xml:space="preserve">were coded </w:t>
      </w:r>
      <w:r w:rsidRPr="008F33C8">
        <w:t xml:space="preserve">line by line using standard coding techniques </w:t>
      </w:r>
      <w:r w:rsidR="00587CD0">
        <w:fldChar w:fldCharType="begin"/>
      </w:r>
      <w:r w:rsidR="00930AD0">
        <w:instrText xml:space="preserve"> ADDIN EN.CITE &lt;EndNote&gt;&lt;Cite&gt;&lt;Author&gt;Saldana&lt;/Author&gt;&lt;Year&gt;2015&lt;/Year&gt;&lt;RecNum&gt;259&lt;/RecNum&gt;&lt;DisplayText&gt;(Saldana, 2015)&lt;/DisplayText&gt;&lt;record&gt;&lt;rec-number&gt;259&lt;/rec-number&gt;&lt;foreign-keys&gt;&lt;key app="EN" db-id="pr9rwt2w8padxcerwx6prd0a9wtda2w5fw2t" timestamp="1629731697"&gt;259&lt;/key&gt;&lt;/foreign-keys&gt;&lt;ref-type name="Journal Article"&gt;17&lt;/ref-type&gt;&lt;contributors&gt;&lt;authors&gt;&lt;author&gt;Johnny Saldana&lt;/author&gt;&lt;/authors&gt;&lt;/contributors&gt;&lt;titles&gt;&lt;title&gt;The coding manual for qualitative researchers&lt;/title&gt;&lt;/titles&gt;&lt;dates&gt;&lt;year&gt;2015&lt;/year&gt;&lt;/dates&gt;&lt;orig-pub&gt;Sage publications&lt;/orig-pub&gt;&lt;label&gt;ISBN: 9781473902497&lt;/label&gt;&lt;urls&gt;&lt;/urls&gt;&lt;/record&gt;&lt;/Cite&gt;&lt;/EndNote&gt;</w:instrText>
      </w:r>
      <w:r w:rsidR="00587CD0">
        <w:fldChar w:fldCharType="separate"/>
      </w:r>
      <w:r w:rsidR="00F11334">
        <w:rPr>
          <w:noProof/>
        </w:rPr>
        <w:t>(Saldana, 2015)</w:t>
      </w:r>
      <w:r w:rsidR="00587CD0">
        <w:fldChar w:fldCharType="end"/>
      </w:r>
      <w:r w:rsidR="0019143B">
        <w:t xml:space="preserve">. </w:t>
      </w:r>
      <w:r w:rsidRPr="008F33C8">
        <w:t>The coded transcripts were independently checked by</w:t>
      </w:r>
      <w:r w:rsidR="00D95344">
        <w:t xml:space="preserve"> myself and</w:t>
      </w:r>
      <w:r w:rsidRPr="008F33C8">
        <w:t xml:space="preserve"> </w:t>
      </w:r>
      <w:r w:rsidR="004728E1">
        <w:t xml:space="preserve">Prof </w:t>
      </w:r>
      <w:r w:rsidR="00327E8D">
        <w:t>Lee</w:t>
      </w:r>
      <w:r w:rsidRPr="008F33C8">
        <w:t xml:space="preserve">.  </w:t>
      </w:r>
      <w:r w:rsidR="004B6521">
        <w:t>A</w:t>
      </w:r>
      <w:r w:rsidRPr="008F33C8">
        <w:t xml:space="preserve"> framework of subthemes </w:t>
      </w:r>
      <w:r w:rsidR="004B6521">
        <w:t xml:space="preserve">was developed </w:t>
      </w:r>
      <w:r w:rsidRPr="008F33C8">
        <w:t xml:space="preserve">which was iteratively adapted following each interview. We focussed on finding recurrent and unusual, collective and opposing subthemes trying to understand how parents had experienced the events they described, why they had made the decisions they had and the factors influencing their behaviour. </w:t>
      </w:r>
    </w:p>
    <w:p w14:paraId="67AC1FEB" w14:textId="39764E2F" w:rsidR="007F658B" w:rsidRDefault="00832C2A" w:rsidP="00411779">
      <w:pPr>
        <w:spacing w:line="360" w:lineRule="auto"/>
      </w:pPr>
      <w:r w:rsidRPr="00241369">
        <w:t>A consensus of the final three themes and associated subthemes was agreed upon through a continuous process of refinement and discussion (</w:t>
      </w:r>
      <w:r w:rsidR="004728E1">
        <w:t>Chapter 3</w:t>
      </w:r>
      <w:r w:rsidR="00D33363">
        <w:t>)</w:t>
      </w:r>
      <w:r w:rsidRPr="00241369">
        <w:t>. Background descriptive medical and social information was used to help interpret comments. This information was coded as descriptive background and did not fall into the three main categories. Anonymised quotations were used in the final report and parents specifically consented for this.</w:t>
      </w:r>
      <w:r w:rsidR="004728E1">
        <w:t xml:space="preserve"> The results of this study have been published</w:t>
      </w:r>
      <w:r w:rsidR="00D95344">
        <w:t xml:space="preserve"> in full</w:t>
      </w:r>
      <w:r w:rsidR="004728E1">
        <w:t xml:space="preserve"> (Hardman et al., 2021).</w:t>
      </w:r>
    </w:p>
    <w:p w14:paraId="6D02FF9D" w14:textId="77777777" w:rsidR="00217467" w:rsidRPr="00D33363" w:rsidRDefault="00217467" w:rsidP="00411779">
      <w:pPr>
        <w:spacing w:line="360" w:lineRule="auto"/>
      </w:pPr>
    </w:p>
    <w:p w14:paraId="64CF42A3" w14:textId="6C86CBD5" w:rsidR="00DB2413" w:rsidRPr="00241369" w:rsidRDefault="00DB2413" w:rsidP="004F3338">
      <w:pPr>
        <w:pStyle w:val="Heading2"/>
      </w:pPr>
      <w:bookmarkStart w:id="88" w:name="_Toc117765924"/>
      <w:r w:rsidRPr="00241369">
        <w:t>Methods:</w:t>
      </w:r>
      <w:r w:rsidR="002419B9">
        <w:t xml:space="preserve"> </w:t>
      </w:r>
      <w:r w:rsidR="004C0B4F" w:rsidRPr="00241369">
        <w:t>PBB stud</w:t>
      </w:r>
      <w:r w:rsidRPr="00241369">
        <w:t xml:space="preserve">y </w:t>
      </w:r>
      <w:r w:rsidR="00623DD6" w:rsidRPr="00241369">
        <w:t>1</w:t>
      </w:r>
      <w:r w:rsidRPr="00241369">
        <w:t xml:space="preserve"> </w:t>
      </w:r>
      <w:r w:rsidR="002419B9">
        <w:t>–</w:t>
      </w:r>
      <w:r w:rsidR="00623DD6" w:rsidRPr="00241369">
        <w:t xml:space="preserve"> </w:t>
      </w:r>
      <w:r w:rsidR="002419B9">
        <w:t>Pilot study of a</w:t>
      </w:r>
      <w:r w:rsidR="002419B9" w:rsidRPr="00241369">
        <w:t xml:space="preserve">zithromycin </w:t>
      </w:r>
      <w:r w:rsidRPr="00241369">
        <w:t>and nasopharyngeal flora AMR</w:t>
      </w:r>
      <w:bookmarkEnd w:id="88"/>
      <w:r w:rsidRPr="00241369" w:rsidDel="00DB2413">
        <w:t xml:space="preserve"> </w:t>
      </w:r>
    </w:p>
    <w:p w14:paraId="6A161663" w14:textId="77777777" w:rsidR="00422CE9" w:rsidRPr="00241369" w:rsidRDefault="00422CE9" w:rsidP="00411779">
      <w:pPr>
        <w:spacing w:line="360" w:lineRule="auto"/>
      </w:pPr>
    </w:p>
    <w:p w14:paraId="6B7866A6" w14:textId="4FDB7CC9" w:rsidR="00DE4FA3" w:rsidRPr="00241369" w:rsidRDefault="00DE4FA3" w:rsidP="00411779">
      <w:pPr>
        <w:pStyle w:val="Heading3"/>
        <w:spacing w:before="0" w:line="360" w:lineRule="auto"/>
      </w:pPr>
      <w:bookmarkStart w:id="89" w:name="_Toc117765925"/>
      <w:r w:rsidRPr="00241369">
        <w:t>Study conduct and funding</w:t>
      </w:r>
      <w:bookmarkEnd w:id="89"/>
    </w:p>
    <w:p w14:paraId="0506DB08" w14:textId="01BA7F88" w:rsidR="00DE4FA3" w:rsidRDefault="00DE4FA3" w:rsidP="00411779">
      <w:pPr>
        <w:shd w:val="clear" w:color="auto" w:fill="FFFFFF" w:themeFill="background1"/>
        <w:spacing w:line="360" w:lineRule="auto"/>
      </w:pPr>
      <w:r w:rsidRPr="00241369">
        <w:t>This study was conducted following favourable et</w:t>
      </w:r>
      <w:r w:rsidR="00F7547A" w:rsidRPr="00241369">
        <w:t xml:space="preserve">hical approval by the West of </w:t>
      </w:r>
      <w:r w:rsidR="00326278" w:rsidRPr="00241369">
        <w:t>Scotland</w:t>
      </w:r>
      <w:r w:rsidRPr="00241369">
        <w:t xml:space="preserve"> REC3 Ethics committee</w:t>
      </w:r>
      <w:r w:rsidRPr="008F33C8">
        <w:t xml:space="preserve"> (Reference number </w:t>
      </w:r>
      <w:r w:rsidRPr="00241369">
        <w:t>18/WS/0176</w:t>
      </w:r>
      <w:r w:rsidR="00326278" w:rsidRPr="00241369">
        <w:t>) and</w:t>
      </w:r>
      <w:r w:rsidRPr="00241369">
        <w:t xml:space="preserve"> approval from the Health Research Authority. A substantial amendment to obtain GP prescription records</w:t>
      </w:r>
      <w:r w:rsidR="004B6521">
        <w:t xml:space="preserve"> (to ensure all additional antibiotic courses were captured as parental documentation/recall was not always complete)</w:t>
      </w:r>
      <w:r w:rsidRPr="00241369">
        <w:t xml:space="preserve"> </w:t>
      </w:r>
      <w:r w:rsidR="00607F4C">
        <w:t>was approved (</w:t>
      </w:r>
      <w:r w:rsidR="00422CE9">
        <w:t>Amendment number: REC Ref AM02)</w:t>
      </w:r>
      <w:r w:rsidR="00A54CAB" w:rsidRPr="00241369">
        <w:t xml:space="preserve">. </w:t>
      </w:r>
      <w:r w:rsidRPr="00241369">
        <w:t xml:space="preserve">Written consent was obtained from all parents </w:t>
      </w:r>
      <w:r w:rsidRPr="00241369">
        <w:lastRenderedPageBreak/>
        <w:t xml:space="preserve">or legal guardians at the start of the study. The study was funded by Antibiotic Research UK </w:t>
      </w:r>
      <w:r w:rsidR="005D179E">
        <w:t xml:space="preserve">(Grant reference ANTSRG 03/2018) </w:t>
      </w:r>
      <w:r w:rsidRPr="00241369">
        <w:t xml:space="preserve">and </w:t>
      </w:r>
      <w:r w:rsidR="002D0589" w:rsidRPr="00241369">
        <w:t xml:space="preserve">the Bassetlaw </w:t>
      </w:r>
      <w:r w:rsidR="005D179E">
        <w:t>R</w:t>
      </w:r>
      <w:r w:rsidR="005D179E" w:rsidRPr="00241369">
        <w:t xml:space="preserve">esearch </w:t>
      </w:r>
      <w:r w:rsidR="005D179E">
        <w:t>F</w:t>
      </w:r>
      <w:r w:rsidR="005D179E" w:rsidRPr="00241369">
        <w:t xml:space="preserve">ellowship </w:t>
      </w:r>
      <w:r w:rsidR="002D0589" w:rsidRPr="00241369">
        <w:t xml:space="preserve">programme. It was </w:t>
      </w:r>
      <w:r w:rsidRPr="00241369">
        <w:t>carried out in accordance with the International Conference for Harmonisation of Good Clinical Practice, and the UK Policy Framework for Health and Social Care Research</w:t>
      </w:r>
      <w:r w:rsidR="00426023">
        <w:t xml:space="preserve"> </w:t>
      </w:r>
      <w:r w:rsidR="00587CD0">
        <w:fldChar w:fldCharType="begin"/>
      </w:r>
      <w:r w:rsidR="00E87ACA">
        <w:instrText xml:space="preserve"> ADDIN EN.CITE &lt;EndNote&gt;&lt;Cite&gt;&lt;Author&gt;Department of Health&lt;/Author&gt;&lt;Year&gt;2022&lt;/Year&gt;&lt;RecNum&gt;260&lt;/RecNum&gt;&lt;DisplayText&gt;(Department of Health, 2022)&lt;/DisplayText&gt;&lt;record&gt;&lt;rec-number&gt;260&lt;/rec-number&gt;&lt;foreign-keys&gt;&lt;key app="EN" db-id="pr9rwt2w8padxcerwx6prd0a9wtda2w5fw2t" timestamp="1629731697"&gt;260&lt;/key&gt;&lt;/foreign-keys&gt;&lt;ref-type name="Web Page"&gt;12&lt;/ref-type&gt;&lt;contributors&gt;&lt;authors&gt;&lt;author&gt;Department of Health,&lt;/author&gt;&lt;/authors&gt;&lt;secondary-authors&gt;&lt;author&gt;Health Research Authority&lt;/author&gt;&lt;/secondary-authors&gt;&lt;/contributors&gt;&lt;titles&gt;&lt;title&gt;Policy Framework for Health and Social Care Research &lt;/title&gt;&lt;/titles&gt;&lt;volume&gt;05/07/2022&lt;/volume&gt;&lt;dates&gt;&lt;year&gt;2022&lt;/year&gt;&lt;/dates&gt;&lt;urls&gt;&lt;related-urls&gt;&lt;url&gt;https://www.hra.nhs.uk/planning-and-improving-research/policies-standards-legislation/uk-policy-framework-health-social-care-research/uk-policy-framework-health-and-social-care-research/&lt;/url&gt;&lt;/related-urls&gt;&lt;/urls&gt;&lt;/record&gt;&lt;/Cite&gt;&lt;/EndNote&gt;</w:instrText>
      </w:r>
      <w:r w:rsidR="00587CD0">
        <w:fldChar w:fldCharType="separate"/>
      </w:r>
      <w:r w:rsidR="00E87ACA">
        <w:rPr>
          <w:noProof/>
        </w:rPr>
        <w:t>(Department of Health, 2022)</w:t>
      </w:r>
      <w:r w:rsidR="00587CD0">
        <w:fldChar w:fldCharType="end"/>
      </w:r>
      <w:r w:rsidR="00AC130A">
        <w:t>.</w:t>
      </w:r>
    </w:p>
    <w:p w14:paraId="638B3B71" w14:textId="77777777" w:rsidR="007F658B" w:rsidRPr="007F658B" w:rsidRDefault="007F658B" w:rsidP="00411779">
      <w:pPr>
        <w:shd w:val="clear" w:color="auto" w:fill="FFFFFF" w:themeFill="background1"/>
        <w:spacing w:line="360" w:lineRule="auto"/>
      </w:pPr>
    </w:p>
    <w:p w14:paraId="63D91F3E" w14:textId="324F08D5" w:rsidR="00904C86" w:rsidRPr="007F658B" w:rsidRDefault="00F838D6" w:rsidP="00411779">
      <w:pPr>
        <w:pStyle w:val="Heading3"/>
        <w:spacing w:before="0" w:line="360" w:lineRule="auto"/>
      </w:pPr>
      <w:bookmarkStart w:id="90" w:name="_Toc117765926"/>
      <w:r w:rsidRPr="007F658B">
        <w:t>Study design</w:t>
      </w:r>
      <w:bookmarkEnd w:id="90"/>
    </w:p>
    <w:p w14:paraId="0E2AA8D7" w14:textId="1A9073A1" w:rsidR="00904C86" w:rsidRDefault="00904C86" w:rsidP="00411779">
      <w:pPr>
        <w:shd w:val="clear" w:color="auto" w:fill="FFFFFF" w:themeFill="background1"/>
        <w:spacing w:line="360" w:lineRule="auto"/>
      </w:pPr>
      <w:r w:rsidRPr="00241369">
        <w:t>We carried out a single centre, prospective observational study at</w:t>
      </w:r>
      <w:r w:rsidR="00952013">
        <w:t xml:space="preserve"> SCH</w:t>
      </w:r>
      <w:r w:rsidRPr="00241369">
        <w:t xml:space="preserve">. </w:t>
      </w:r>
      <w:r w:rsidR="00D95344">
        <w:t>The study was a pilot study to explore feasibility of sample collection,</w:t>
      </w:r>
      <w:r w:rsidR="00687975">
        <w:t xml:space="preserve"> to</w:t>
      </w:r>
      <w:r w:rsidR="00D95344">
        <w:t xml:space="preserve"> </w:t>
      </w:r>
      <w:r w:rsidR="00687975">
        <w:t xml:space="preserve">obtain preliminary results, </w:t>
      </w:r>
      <w:r w:rsidR="00D95344">
        <w:t xml:space="preserve">and to establish important parameters in future study design. There is little published guidance on sample size for pilot studies.  Hertzog (2008) found sample sizes ranging from 10-40 per group met a variety of aims (e.g. problems of data collection strategies, answering methodical queries, estimating variability) </w:t>
      </w:r>
      <w:r w:rsidR="00D95344">
        <w:fldChar w:fldCharType="begin"/>
      </w:r>
      <w:r w:rsidR="00BD03ED">
        <w:instrText xml:space="preserve"> ADDIN EN.CITE &lt;EndNote&gt;&lt;Cite&gt;&lt;Author&gt;MA&lt;/Author&gt;&lt;Year&gt;2008&lt;/Year&gt;&lt;RecNum&gt;5&lt;/RecNum&gt;&lt;DisplayText&gt;(MA, 2008)&lt;/DisplayText&gt;&lt;record&gt;&lt;rec-number&gt;5&lt;/rec-number&gt;&lt;foreign-keys&gt;&lt;key app="EN" db-id="r0w0afw0b0x0s5epavcvt5d5xv200etfe9at" timestamp="1580209226"&gt;5&lt;/key&gt;&lt;/foreign-keys&gt;&lt;ref-type name="Journal Article"&gt;17&lt;/ref-type&gt;&lt;contributors&gt;&lt;authors&gt;&lt;author&gt;MA, Hertzog&lt;/author&gt;&lt;/authors&gt;&lt;/contributors&gt;&lt;titles&gt;&lt;title&gt;Considerations in determining sample size for pilot studies&lt;/title&gt;&lt;secondary-title&gt;Research in Nursing and Health&lt;/secondary-title&gt;&lt;/titles&gt;&lt;pages&gt;31:180-191&lt;/pages&gt;&lt;dates&gt;&lt;year&gt;2008&lt;/year&gt;&lt;/dates&gt;&lt;urls&gt;&lt;/urls&gt;&lt;/record&gt;&lt;/Cite&gt;&lt;/EndNote&gt;</w:instrText>
      </w:r>
      <w:r w:rsidR="00D95344">
        <w:fldChar w:fldCharType="separate"/>
      </w:r>
      <w:r w:rsidR="00BD03ED">
        <w:rPr>
          <w:noProof/>
        </w:rPr>
        <w:t>(MA, 2008)</w:t>
      </w:r>
      <w:r w:rsidR="00D95344">
        <w:fldChar w:fldCharType="end"/>
      </w:r>
      <w:r w:rsidR="00D95344">
        <w:t xml:space="preserve">. </w:t>
      </w:r>
      <w:r w:rsidRPr="00241369">
        <w:t>We aimed to recruit a total of 20 children with a diagnosis of PBB</w:t>
      </w:r>
      <w:r w:rsidR="00D95344">
        <w:t xml:space="preserve"> (see below)</w:t>
      </w:r>
      <w:r w:rsidR="00687975">
        <w:t xml:space="preserve">, split between </w:t>
      </w:r>
      <w:r w:rsidRPr="00241369">
        <w:t xml:space="preserve">10 children </w:t>
      </w:r>
      <w:r w:rsidR="00687975">
        <w:t>to be</w:t>
      </w:r>
      <w:r w:rsidR="00E77E8D">
        <w:t xml:space="preserve"> </w:t>
      </w:r>
      <w:r w:rsidRPr="00241369">
        <w:t xml:space="preserve">prescribed </w:t>
      </w:r>
      <w:r w:rsidR="00F838D6">
        <w:t>long term</w:t>
      </w:r>
      <w:r w:rsidR="00F838D6" w:rsidRPr="00241369">
        <w:t xml:space="preserve"> </w:t>
      </w:r>
      <w:r w:rsidRPr="00241369">
        <w:t>azithromycin (10mg/kg three times a week) to prevent pulmonary exacerbations of PBB over the winter months</w:t>
      </w:r>
      <w:r w:rsidR="00687975">
        <w:t xml:space="preserve"> on clinical grounds.  and </w:t>
      </w:r>
      <w:r w:rsidR="00E77E8D">
        <w:t xml:space="preserve">10 children with PBB </w:t>
      </w:r>
      <w:r w:rsidRPr="00241369">
        <w:t xml:space="preserve">who were not anticipated to require </w:t>
      </w:r>
      <w:r w:rsidR="00F838D6">
        <w:t>long term</w:t>
      </w:r>
      <w:r w:rsidR="00F838D6" w:rsidRPr="00241369">
        <w:t xml:space="preserve"> </w:t>
      </w:r>
      <w:r w:rsidRPr="00241369">
        <w:t>azithromycin over the winter</w:t>
      </w:r>
      <w:r w:rsidR="00687975">
        <w:t xml:space="preserve">. </w:t>
      </w:r>
      <w:r w:rsidR="00D95344">
        <w:t>Our choice of sample size was pragmatic</w:t>
      </w:r>
      <w:r w:rsidR="00687975">
        <w:t xml:space="preserve">; since </w:t>
      </w:r>
      <w:r w:rsidR="00D95344">
        <w:t xml:space="preserve">this is a previously unstudied field, a power calculation was not performed. </w:t>
      </w:r>
      <w:r w:rsidR="00687975" w:rsidRPr="00241369">
        <w:t>Th</w:t>
      </w:r>
      <w:r w:rsidR="00687975">
        <w:t>e</w:t>
      </w:r>
      <w:r w:rsidR="00687975" w:rsidRPr="00241369">
        <w:t xml:space="preserve"> </w:t>
      </w:r>
      <w:r w:rsidR="004C0B4F" w:rsidRPr="00241369">
        <w:t xml:space="preserve">group </w:t>
      </w:r>
      <w:r w:rsidR="00687975">
        <w:t xml:space="preserve">of children who were not expected to require prophylaxis </w:t>
      </w:r>
      <w:r w:rsidR="00E77E8D">
        <w:t>was</w:t>
      </w:r>
      <w:r w:rsidR="004C0B4F" w:rsidRPr="00241369">
        <w:t xml:space="preserve"> not a </w:t>
      </w:r>
      <w:r w:rsidR="00687975">
        <w:t>‘</w:t>
      </w:r>
      <w:r w:rsidR="004C0B4F" w:rsidRPr="00241369">
        <w:t>healthy control</w:t>
      </w:r>
      <w:r w:rsidR="00687975">
        <w:t>’</w:t>
      </w:r>
      <w:r w:rsidR="004C0B4F" w:rsidRPr="00241369">
        <w:t xml:space="preserve"> group </w:t>
      </w:r>
      <w:r w:rsidR="00F4090A">
        <w:t>and</w:t>
      </w:r>
      <w:r w:rsidR="004C0B4F" w:rsidRPr="00241369">
        <w:t xml:space="preserve"> will be referred to </w:t>
      </w:r>
      <w:r w:rsidR="00E77E8D">
        <w:t xml:space="preserve">as </w:t>
      </w:r>
      <w:r w:rsidR="00F4090A">
        <w:t>the “comparison group”</w:t>
      </w:r>
      <w:r w:rsidR="008C6B45" w:rsidRPr="00241369">
        <w:t xml:space="preserve">. </w:t>
      </w:r>
      <w:r w:rsidR="00F4090A">
        <w:t xml:space="preserve">Children in the comparison group </w:t>
      </w:r>
      <w:r w:rsidRPr="00241369">
        <w:t>w</w:t>
      </w:r>
      <w:r w:rsidR="002B0014">
        <w:t>ere to be age-matched</w:t>
      </w:r>
      <w:r w:rsidR="00687975">
        <w:t xml:space="preserve"> if possible</w:t>
      </w:r>
      <w:r w:rsidR="002B0014">
        <w:t xml:space="preserve"> within 12-</w:t>
      </w:r>
      <w:r w:rsidRPr="00241369">
        <w:t>months of th</w:t>
      </w:r>
      <w:r w:rsidR="00F4090A">
        <w:t>ose in the</w:t>
      </w:r>
      <w:r w:rsidRPr="00241369">
        <w:t xml:space="preserve"> azithromycin group.</w:t>
      </w:r>
      <w:r w:rsidR="00E77E8D" w:rsidRPr="00E77E8D">
        <w:t xml:space="preserve"> </w:t>
      </w:r>
      <w:r w:rsidR="00854F79">
        <w:t xml:space="preserve">It was not anticipated that participants in the comparison group would be prescribed prophylactic azithromycin. However, if their condition deteriorated and they </w:t>
      </w:r>
      <w:r w:rsidR="002419B9">
        <w:t>were prescribed</w:t>
      </w:r>
      <w:r w:rsidR="00854F79">
        <w:t xml:space="preserve"> prophylactic azithromycin during the study period, intention to treat analysis would be used. This however did not occur in PBB study 1.</w:t>
      </w:r>
    </w:p>
    <w:p w14:paraId="39E2DA2B" w14:textId="77777777" w:rsidR="007F658B" w:rsidRPr="008F33C8" w:rsidRDefault="007F658B" w:rsidP="00411779">
      <w:pPr>
        <w:shd w:val="clear" w:color="auto" w:fill="FFFFFF" w:themeFill="background1"/>
        <w:spacing w:line="360" w:lineRule="auto"/>
      </w:pPr>
    </w:p>
    <w:p w14:paraId="159BF2D6" w14:textId="1D1296BE" w:rsidR="00DE4FA3" w:rsidRPr="008F33C8" w:rsidRDefault="00DE4FA3" w:rsidP="00411779">
      <w:pPr>
        <w:pStyle w:val="Heading3"/>
        <w:shd w:val="clear" w:color="auto" w:fill="FFFFFF" w:themeFill="background1"/>
        <w:spacing w:before="0" w:line="360" w:lineRule="auto"/>
      </w:pPr>
      <w:bookmarkStart w:id="91" w:name="_Toc117765927"/>
      <w:r w:rsidRPr="008F33C8">
        <w:t>Participant selection</w:t>
      </w:r>
      <w:bookmarkEnd w:id="91"/>
      <w:r w:rsidRPr="008F33C8">
        <w:t xml:space="preserve"> </w:t>
      </w:r>
    </w:p>
    <w:p w14:paraId="1ABFAE19" w14:textId="5DEC24C5" w:rsidR="00904C86" w:rsidRDefault="00904C86" w:rsidP="00411779">
      <w:pPr>
        <w:shd w:val="clear" w:color="auto" w:fill="FFFFFF" w:themeFill="background1"/>
        <w:spacing w:line="360" w:lineRule="auto"/>
      </w:pPr>
      <w:r w:rsidRPr="00241369">
        <w:t>Between October 2018 and March 2019, parents whose children had had at least 1 epis</w:t>
      </w:r>
      <w:r w:rsidR="002B0014">
        <w:t>ode of PBB over the previous 12-</w:t>
      </w:r>
      <w:r w:rsidRPr="00241369">
        <w:t xml:space="preserve">months were approached if they fulfilled study entry criteria. </w:t>
      </w:r>
    </w:p>
    <w:p w14:paraId="474B8E61" w14:textId="77777777" w:rsidR="007F658B" w:rsidRPr="00241369" w:rsidRDefault="007F658B" w:rsidP="00411779">
      <w:pPr>
        <w:shd w:val="clear" w:color="auto" w:fill="FFFFFF" w:themeFill="background1"/>
        <w:spacing w:line="360" w:lineRule="auto"/>
      </w:pPr>
    </w:p>
    <w:p w14:paraId="3759437C" w14:textId="5D16CF7B" w:rsidR="00AC130A" w:rsidRPr="007F658B" w:rsidRDefault="00904C86" w:rsidP="00411779">
      <w:pPr>
        <w:pStyle w:val="Heading4"/>
        <w:spacing w:before="0" w:line="360" w:lineRule="auto"/>
        <w:rPr>
          <w:i w:val="0"/>
          <w:iCs w:val="0"/>
          <w:sz w:val="24"/>
          <w:szCs w:val="24"/>
        </w:rPr>
      </w:pPr>
      <w:r w:rsidRPr="007F658B">
        <w:rPr>
          <w:i w:val="0"/>
          <w:iCs w:val="0"/>
          <w:sz w:val="24"/>
          <w:szCs w:val="24"/>
        </w:rPr>
        <w:t>Inclusion criteria for Azithromycin group:</w:t>
      </w:r>
    </w:p>
    <w:p w14:paraId="6E6EE085" w14:textId="77777777" w:rsidR="00833A3C" w:rsidRPr="009F1FB1" w:rsidRDefault="00833A3C">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 xml:space="preserve">Age between 2 years and 10 years </w:t>
      </w:r>
    </w:p>
    <w:p w14:paraId="2EA84142" w14:textId="58F893FE" w:rsidR="00833A3C" w:rsidRPr="009F1FB1" w:rsidRDefault="00833A3C">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lastRenderedPageBreak/>
        <w:t>Diagnosis of PBB as previously defined (Section 1.</w:t>
      </w:r>
      <w:r w:rsidR="00A271E9">
        <w:rPr>
          <w:rFonts w:ascii="Times New Roman" w:hAnsi="Times New Roman" w:cs="Times New Roman"/>
          <w:sz w:val="24"/>
          <w:szCs w:val="24"/>
        </w:rPr>
        <w:t>2</w:t>
      </w:r>
      <w:r w:rsidRPr="009F1FB1">
        <w:rPr>
          <w:rFonts w:ascii="Times New Roman" w:hAnsi="Times New Roman" w:cs="Times New Roman"/>
          <w:sz w:val="24"/>
          <w:szCs w:val="24"/>
        </w:rPr>
        <w:t>)</w:t>
      </w:r>
    </w:p>
    <w:p w14:paraId="07DC4D08" w14:textId="77777777" w:rsidR="00833A3C" w:rsidRPr="009F1FB1" w:rsidRDefault="00833A3C">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Management plan to be prescribed long term azithromycin over the winter months 2018-2019 as part of their standard care</w:t>
      </w:r>
    </w:p>
    <w:p w14:paraId="2983ED65" w14:textId="77777777" w:rsidR="00833A3C" w:rsidRDefault="00833A3C">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Have not received azithromycin prophylaxis for at least 6-months</w:t>
      </w:r>
    </w:p>
    <w:p w14:paraId="2284B52A" w14:textId="77777777" w:rsidR="00AC130A" w:rsidRPr="009F1FB1" w:rsidRDefault="00AC130A" w:rsidP="00411779">
      <w:pPr>
        <w:shd w:val="clear" w:color="auto" w:fill="FFFFFF" w:themeFill="background1"/>
        <w:spacing w:line="360" w:lineRule="auto"/>
        <w:ind w:left="720" w:hanging="720"/>
      </w:pPr>
    </w:p>
    <w:p w14:paraId="5D1C8E0F" w14:textId="5B8C3F97" w:rsidR="00833A3C" w:rsidRPr="00833A3C" w:rsidRDefault="00904C86" w:rsidP="00833A3C">
      <w:pPr>
        <w:pStyle w:val="Heading4"/>
        <w:shd w:val="clear" w:color="auto" w:fill="FFFFFF" w:themeFill="background1"/>
        <w:spacing w:before="0" w:line="360" w:lineRule="auto"/>
        <w:rPr>
          <w:i w:val="0"/>
          <w:iCs w:val="0"/>
          <w:sz w:val="24"/>
          <w:szCs w:val="24"/>
        </w:rPr>
      </w:pPr>
      <w:r w:rsidRPr="007F658B">
        <w:rPr>
          <w:i w:val="0"/>
          <w:iCs w:val="0"/>
          <w:sz w:val="24"/>
          <w:szCs w:val="24"/>
        </w:rPr>
        <w:t xml:space="preserve">Inclusion criteria for the </w:t>
      </w:r>
      <w:r w:rsidR="00D74ED2" w:rsidRPr="007F658B">
        <w:rPr>
          <w:i w:val="0"/>
          <w:iCs w:val="0"/>
          <w:sz w:val="24"/>
          <w:szCs w:val="24"/>
        </w:rPr>
        <w:t xml:space="preserve">Comparison </w:t>
      </w:r>
      <w:r w:rsidRPr="007F658B">
        <w:rPr>
          <w:i w:val="0"/>
          <w:iCs w:val="0"/>
          <w:sz w:val="24"/>
          <w:szCs w:val="24"/>
        </w:rPr>
        <w:t>group</w:t>
      </w:r>
    </w:p>
    <w:p w14:paraId="1565DA11" w14:textId="210D7044"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Age between 2 years and 10 years – age</w:t>
      </w:r>
      <w:r w:rsidR="00D74ED2" w:rsidRPr="009F1FB1">
        <w:rPr>
          <w:rFonts w:ascii="Times New Roman" w:hAnsi="Times New Roman" w:cs="Times New Roman"/>
          <w:sz w:val="24"/>
          <w:szCs w:val="24"/>
        </w:rPr>
        <w:t>-</w:t>
      </w:r>
      <w:r w:rsidRPr="009F1FB1">
        <w:rPr>
          <w:rFonts w:ascii="Times New Roman" w:hAnsi="Times New Roman" w:cs="Times New Roman"/>
          <w:sz w:val="24"/>
          <w:szCs w:val="24"/>
        </w:rPr>
        <w:t>matched to azithromycin subject to within 12 months</w:t>
      </w:r>
      <w:r w:rsidR="00D74ED2" w:rsidRPr="009F1FB1">
        <w:rPr>
          <w:rFonts w:ascii="Times New Roman" w:hAnsi="Times New Roman" w:cs="Times New Roman"/>
          <w:sz w:val="24"/>
          <w:szCs w:val="24"/>
        </w:rPr>
        <w:t xml:space="preserve"> where possible</w:t>
      </w:r>
    </w:p>
    <w:p w14:paraId="7F6B75EB" w14:textId="193DA8DB"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 xml:space="preserve">Diagnosis of PBB as previously defined </w:t>
      </w:r>
      <w:r w:rsidR="00D74ED2" w:rsidRPr="009F1FB1">
        <w:rPr>
          <w:rFonts w:ascii="Times New Roman" w:hAnsi="Times New Roman" w:cs="Times New Roman"/>
          <w:sz w:val="24"/>
          <w:szCs w:val="24"/>
        </w:rPr>
        <w:t>(Section 1.</w:t>
      </w:r>
      <w:r w:rsidR="00A271E9">
        <w:rPr>
          <w:rFonts w:ascii="Times New Roman" w:hAnsi="Times New Roman" w:cs="Times New Roman"/>
          <w:sz w:val="24"/>
          <w:szCs w:val="24"/>
        </w:rPr>
        <w:t>2</w:t>
      </w:r>
      <w:r w:rsidR="00D74ED2" w:rsidRPr="009F1FB1">
        <w:rPr>
          <w:rFonts w:ascii="Times New Roman" w:hAnsi="Times New Roman" w:cs="Times New Roman"/>
          <w:sz w:val="24"/>
          <w:szCs w:val="24"/>
        </w:rPr>
        <w:t>)</w:t>
      </w:r>
    </w:p>
    <w:p w14:paraId="5897BDF8" w14:textId="407BB2C7"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Less than 3 exacerbations of PBB over the preceding 12-months and not anticipated to require</w:t>
      </w:r>
      <w:r w:rsidR="00F838D6" w:rsidRPr="009F1FB1">
        <w:rPr>
          <w:rFonts w:ascii="Times New Roman" w:hAnsi="Times New Roman" w:cs="Times New Roman"/>
          <w:sz w:val="24"/>
          <w:szCs w:val="24"/>
        </w:rPr>
        <w:t xml:space="preserve"> long term</w:t>
      </w:r>
      <w:r w:rsidRPr="009F1FB1">
        <w:rPr>
          <w:rFonts w:ascii="Times New Roman" w:hAnsi="Times New Roman" w:cs="Times New Roman"/>
          <w:sz w:val="24"/>
          <w:szCs w:val="24"/>
        </w:rPr>
        <w:t xml:space="preserve"> azithromycin as part of their standard care over the winter 2018-2019</w:t>
      </w:r>
    </w:p>
    <w:p w14:paraId="6B61251D" w14:textId="288FFBFA" w:rsidR="00833A3C" w:rsidRPr="00833A3C" w:rsidRDefault="00D74ED2">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Not previously prescribed</w:t>
      </w:r>
      <w:r w:rsidR="00904C86" w:rsidRPr="009F1FB1">
        <w:rPr>
          <w:rFonts w:ascii="Times New Roman" w:hAnsi="Times New Roman" w:cs="Times New Roman"/>
          <w:sz w:val="24"/>
          <w:szCs w:val="24"/>
        </w:rPr>
        <w:t xml:space="preserve"> prophylactic antibiotics</w:t>
      </w:r>
    </w:p>
    <w:p w14:paraId="0028C212" w14:textId="77777777" w:rsidR="00D74ED2" w:rsidRPr="007F658B" w:rsidRDefault="00D74ED2" w:rsidP="00411779">
      <w:pPr>
        <w:pStyle w:val="ListParagraph"/>
        <w:shd w:val="clear" w:color="auto" w:fill="FFFFFF" w:themeFill="background1"/>
        <w:spacing w:after="0" w:line="360" w:lineRule="auto"/>
        <w:ind w:left="1080"/>
        <w:rPr>
          <w:sz w:val="24"/>
          <w:szCs w:val="24"/>
        </w:rPr>
      </w:pPr>
    </w:p>
    <w:p w14:paraId="082C9DCD" w14:textId="06A18597" w:rsidR="00D74ED2" w:rsidRPr="007F658B" w:rsidRDefault="00904C86" w:rsidP="00411779">
      <w:pPr>
        <w:pStyle w:val="Heading4"/>
        <w:spacing w:before="0" w:line="360" w:lineRule="auto"/>
        <w:rPr>
          <w:i w:val="0"/>
          <w:iCs w:val="0"/>
          <w:sz w:val="24"/>
          <w:szCs w:val="24"/>
        </w:rPr>
      </w:pPr>
      <w:r w:rsidRPr="007F658B">
        <w:rPr>
          <w:i w:val="0"/>
          <w:iCs w:val="0"/>
          <w:sz w:val="24"/>
          <w:szCs w:val="24"/>
        </w:rPr>
        <w:t>Exclusion criteria</w:t>
      </w:r>
    </w:p>
    <w:p w14:paraId="7A3CA6F5" w14:textId="1FB975EE"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 xml:space="preserve">Children prescribed permanent rather than seasonal prophylactic azithromycin </w:t>
      </w:r>
    </w:p>
    <w:p w14:paraId="03DE067C" w14:textId="4D36BC12"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Diagnosis of cystic fibrosis or ongoing investigation for cystic fibrosis</w:t>
      </w:r>
    </w:p>
    <w:p w14:paraId="77AB7D43" w14:textId="30BBABD9"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Primary aspiration</w:t>
      </w:r>
    </w:p>
    <w:p w14:paraId="08F178B7" w14:textId="3AD140EF"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Primary ciliary dyskinesia</w:t>
      </w:r>
    </w:p>
    <w:p w14:paraId="32B0C43F" w14:textId="6B99FB5F"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Primary immune deficiency requiring immunoglobulin replacement</w:t>
      </w:r>
    </w:p>
    <w:p w14:paraId="42656E77" w14:textId="0EC5FA3A"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 xml:space="preserve">Known diagnosis of bronchiectasis </w:t>
      </w:r>
    </w:p>
    <w:p w14:paraId="484BB34E" w14:textId="00C06A1C"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Children prescribed 3 monthly courses of intravenous antibiotics</w:t>
      </w:r>
    </w:p>
    <w:p w14:paraId="1B2A9CA4" w14:textId="3F72ADBE" w:rsidR="00904C86" w:rsidRPr="009F1FB1" w:rsidRDefault="00904C86">
      <w:pPr>
        <w:pStyle w:val="ListParagraph"/>
        <w:numPr>
          <w:ilvl w:val="0"/>
          <w:numId w:val="60"/>
        </w:numPr>
        <w:shd w:val="clear" w:color="auto" w:fill="FFFFFF" w:themeFill="background1"/>
        <w:spacing w:line="360" w:lineRule="auto"/>
        <w:rPr>
          <w:rFonts w:ascii="Times New Roman" w:hAnsi="Times New Roman" w:cs="Times New Roman"/>
          <w:sz w:val="24"/>
          <w:szCs w:val="24"/>
        </w:rPr>
      </w:pPr>
      <w:r w:rsidRPr="009F1FB1">
        <w:rPr>
          <w:rFonts w:ascii="Times New Roman" w:hAnsi="Times New Roman" w:cs="Times New Roman"/>
          <w:sz w:val="24"/>
          <w:szCs w:val="24"/>
        </w:rPr>
        <w:t>Children on anticoagulants – small risk of bleeding when taking DNPS</w:t>
      </w:r>
    </w:p>
    <w:p w14:paraId="4CC8093B" w14:textId="01B25DD7" w:rsidR="00904C86" w:rsidRPr="009F1FB1" w:rsidRDefault="00904C86">
      <w:pPr>
        <w:pStyle w:val="ListParagraph"/>
        <w:numPr>
          <w:ilvl w:val="0"/>
          <w:numId w:val="60"/>
        </w:numPr>
        <w:shd w:val="clear" w:color="auto" w:fill="FFFFFF" w:themeFill="background1"/>
        <w:spacing w:after="0" w:line="360" w:lineRule="auto"/>
        <w:rPr>
          <w:rFonts w:ascii="Times New Roman" w:hAnsi="Times New Roman" w:cs="Times New Roman"/>
          <w:sz w:val="24"/>
          <w:szCs w:val="24"/>
        </w:rPr>
      </w:pPr>
      <w:r w:rsidRPr="009F1FB1">
        <w:rPr>
          <w:rFonts w:ascii="Times New Roman" w:hAnsi="Times New Roman" w:cs="Times New Roman"/>
          <w:sz w:val="24"/>
          <w:szCs w:val="24"/>
        </w:rPr>
        <w:t>Non English</w:t>
      </w:r>
      <w:r w:rsidR="00E3652F" w:rsidRPr="009F1FB1">
        <w:rPr>
          <w:rFonts w:ascii="Times New Roman" w:hAnsi="Times New Roman" w:cs="Times New Roman"/>
          <w:sz w:val="24"/>
          <w:szCs w:val="24"/>
        </w:rPr>
        <w:t>-</w:t>
      </w:r>
      <w:r w:rsidRPr="009F1FB1">
        <w:rPr>
          <w:rFonts w:ascii="Times New Roman" w:hAnsi="Times New Roman" w:cs="Times New Roman"/>
          <w:sz w:val="24"/>
          <w:szCs w:val="24"/>
        </w:rPr>
        <w:t>speaking families – inadequate funding for translational services</w:t>
      </w:r>
    </w:p>
    <w:p w14:paraId="31170B7B" w14:textId="32C6A79F" w:rsidR="00904C86" w:rsidRPr="009F1FB1" w:rsidRDefault="00904C86">
      <w:pPr>
        <w:pStyle w:val="ListParagraph"/>
        <w:numPr>
          <w:ilvl w:val="0"/>
          <w:numId w:val="60"/>
        </w:numPr>
        <w:shd w:val="clear" w:color="auto" w:fill="FFFFFF" w:themeFill="background1"/>
        <w:spacing w:after="0" w:line="360" w:lineRule="auto"/>
        <w:rPr>
          <w:rFonts w:ascii="Times New Roman" w:hAnsi="Times New Roman" w:cs="Times New Roman"/>
          <w:sz w:val="24"/>
          <w:szCs w:val="24"/>
        </w:rPr>
      </w:pPr>
      <w:r w:rsidRPr="009F1FB1">
        <w:rPr>
          <w:rFonts w:ascii="Times New Roman" w:hAnsi="Times New Roman" w:cs="Times New Roman"/>
          <w:sz w:val="24"/>
          <w:szCs w:val="24"/>
        </w:rPr>
        <w:t xml:space="preserve">Children who have previously been prescribed non-azithromycin prophylaxis </w:t>
      </w:r>
    </w:p>
    <w:p w14:paraId="38C8578E" w14:textId="77777777" w:rsidR="00F114E8" w:rsidRDefault="00904C86">
      <w:pPr>
        <w:pStyle w:val="ListParagraph"/>
        <w:numPr>
          <w:ilvl w:val="0"/>
          <w:numId w:val="60"/>
        </w:numPr>
        <w:shd w:val="clear" w:color="auto" w:fill="FFFFFF" w:themeFill="background1"/>
        <w:spacing w:after="0" w:line="360" w:lineRule="auto"/>
        <w:rPr>
          <w:rFonts w:ascii="Times New Roman" w:hAnsi="Times New Roman" w:cs="Times New Roman"/>
          <w:sz w:val="24"/>
          <w:szCs w:val="24"/>
        </w:rPr>
      </w:pPr>
      <w:r w:rsidRPr="009F1FB1">
        <w:rPr>
          <w:rFonts w:ascii="Times New Roman" w:hAnsi="Times New Roman" w:cs="Times New Roman"/>
          <w:sz w:val="24"/>
          <w:szCs w:val="24"/>
        </w:rPr>
        <w:t>Hypersensitivity</w:t>
      </w:r>
      <w:r w:rsidR="00E3652F" w:rsidRPr="009F1FB1">
        <w:rPr>
          <w:rFonts w:ascii="Times New Roman" w:hAnsi="Times New Roman" w:cs="Times New Roman"/>
          <w:sz w:val="24"/>
          <w:szCs w:val="24"/>
        </w:rPr>
        <w:t xml:space="preserve"> to or known intolerance of</w:t>
      </w:r>
      <w:r w:rsidRPr="009F1FB1">
        <w:rPr>
          <w:rFonts w:ascii="Times New Roman" w:hAnsi="Times New Roman" w:cs="Times New Roman"/>
          <w:sz w:val="24"/>
          <w:szCs w:val="24"/>
        </w:rPr>
        <w:t xml:space="preserve"> azithromycin</w:t>
      </w:r>
    </w:p>
    <w:p w14:paraId="1F72A79A" w14:textId="49F0DFD9" w:rsidR="00B17041" w:rsidRPr="00791B00" w:rsidRDefault="00904C86" w:rsidP="00F114E8">
      <w:pPr>
        <w:pStyle w:val="ListParagraph"/>
        <w:shd w:val="clear" w:color="auto" w:fill="FFFFFF" w:themeFill="background1"/>
        <w:spacing w:after="0" w:line="360" w:lineRule="auto"/>
        <w:ind w:left="1440"/>
        <w:rPr>
          <w:rFonts w:ascii="Times New Roman" w:hAnsi="Times New Roman" w:cs="Times New Roman"/>
          <w:sz w:val="24"/>
          <w:szCs w:val="24"/>
        </w:rPr>
      </w:pPr>
      <w:r w:rsidRPr="009F1FB1">
        <w:rPr>
          <w:rFonts w:ascii="Times New Roman" w:hAnsi="Times New Roman" w:cs="Times New Roman"/>
          <w:sz w:val="24"/>
          <w:szCs w:val="24"/>
        </w:rPr>
        <w:t xml:space="preserve">  </w:t>
      </w:r>
    </w:p>
    <w:p w14:paraId="58BEA6E4" w14:textId="5A15FB56" w:rsidR="00DE4FA3" w:rsidRPr="00241369" w:rsidRDefault="00DE4FA3" w:rsidP="00411779">
      <w:pPr>
        <w:pStyle w:val="Heading3"/>
        <w:shd w:val="clear" w:color="auto" w:fill="FFFFFF" w:themeFill="background1"/>
        <w:spacing w:before="0" w:line="360" w:lineRule="auto"/>
      </w:pPr>
      <w:bookmarkStart w:id="92" w:name="_Toc117765928"/>
      <w:r w:rsidRPr="00241369">
        <w:t>Participant recruitment</w:t>
      </w:r>
      <w:bookmarkEnd w:id="92"/>
    </w:p>
    <w:p w14:paraId="07DEAC91" w14:textId="7AAB85B4" w:rsidR="004B6521" w:rsidRDefault="00904C86" w:rsidP="00411779">
      <w:pPr>
        <w:shd w:val="clear" w:color="auto" w:fill="FFFFFF" w:themeFill="background1"/>
        <w:spacing w:line="360" w:lineRule="auto"/>
      </w:pPr>
      <w:r w:rsidRPr="00241369">
        <w:t xml:space="preserve">Parents were approached by specialist respiratory nurses whilst attending routine respiratory outpatient appointments for their children at SCH. Respiratory nurses </w:t>
      </w:r>
      <w:r w:rsidR="004626A5">
        <w:t>see</w:t>
      </w:r>
      <w:r w:rsidRPr="00241369">
        <w:t xml:space="preserve"> children prior to the </w:t>
      </w:r>
      <w:r w:rsidRPr="00241369">
        <w:lastRenderedPageBreak/>
        <w:t>respiratory consultant</w:t>
      </w:r>
      <w:r w:rsidR="004626A5">
        <w:t xml:space="preserve"> review</w:t>
      </w:r>
      <w:r w:rsidR="004B6521">
        <w:t>,</w:t>
      </w:r>
      <w:r w:rsidR="00E77E8D">
        <w:t xml:space="preserve"> </w:t>
      </w:r>
      <w:r w:rsidRPr="00241369">
        <w:t>to check inhaler technique and discuss any issues of concern. The respiratory nurses gave families the written study information</w:t>
      </w:r>
      <w:r w:rsidR="00E3652F">
        <w:t xml:space="preserve"> sheet</w:t>
      </w:r>
      <w:r w:rsidRPr="00241369">
        <w:t xml:space="preserve">. Following their consultant appointment, families had the opportunity to discuss the study with </w:t>
      </w:r>
      <w:r w:rsidR="00B00CAC">
        <w:t>myself</w:t>
      </w:r>
      <w:r w:rsidRPr="00241369">
        <w:t xml:space="preserve"> if they wished. </w:t>
      </w:r>
      <w:r w:rsidR="00B00CAC">
        <w:t xml:space="preserve">The inclusion criteria were checked at this point. </w:t>
      </w:r>
      <w:r w:rsidRPr="00241369">
        <w:t>Families were then contacted by text message after 48 hours to see if they would like to discuss the study further or whether they would like to take part. No further contact w</w:t>
      </w:r>
      <w:r w:rsidR="00E77E8D">
        <w:t>as</w:t>
      </w:r>
      <w:r w:rsidRPr="00241369">
        <w:t xml:space="preserve"> made with those who did not respond to the text message.</w:t>
      </w:r>
    </w:p>
    <w:p w14:paraId="5F5EF156" w14:textId="77777777" w:rsidR="001F2604" w:rsidRPr="00241369" w:rsidRDefault="001F2604" w:rsidP="00411779">
      <w:pPr>
        <w:shd w:val="clear" w:color="auto" w:fill="FFFFFF" w:themeFill="background1"/>
        <w:spacing w:line="360" w:lineRule="auto"/>
      </w:pPr>
    </w:p>
    <w:p w14:paraId="5F195255" w14:textId="1857FDFE" w:rsidR="00DE4FA3" w:rsidRPr="00241369" w:rsidRDefault="00DE4FA3" w:rsidP="00411779">
      <w:pPr>
        <w:pStyle w:val="Heading3"/>
        <w:spacing w:before="0" w:line="360" w:lineRule="auto"/>
      </w:pPr>
      <w:bookmarkStart w:id="93" w:name="_Toc117765929"/>
      <w:r w:rsidRPr="003B4E4D">
        <w:t>Interventions</w:t>
      </w:r>
      <w:r w:rsidR="00B653E0" w:rsidRPr="003B4E4D">
        <w:t xml:space="preserve"> and sample processing</w:t>
      </w:r>
      <w:bookmarkEnd w:id="93"/>
    </w:p>
    <w:p w14:paraId="4A262463" w14:textId="35958422" w:rsidR="00DE4FA3" w:rsidRDefault="00904C86" w:rsidP="00411779">
      <w:pPr>
        <w:shd w:val="clear" w:color="auto" w:fill="FFFFFF" w:themeFill="background1"/>
        <w:spacing w:line="360" w:lineRule="auto"/>
      </w:pPr>
      <w:r w:rsidRPr="00241369">
        <w:t xml:space="preserve">Demographic data, medical history and previous antibiotic use were recorded for each participant. Deep nasopharyngeal swabs (DNPS – see below) were taken at baseline and every 3 months over a 12-month period (a total of 5 swabs for each participant). </w:t>
      </w:r>
      <w:r w:rsidR="00B355A8">
        <w:t>It</w:t>
      </w:r>
      <w:r w:rsidR="009210BD" w:rsidRPr="00241369">
        <w:t xml:space="preserve"> was </w:t>
      </w:r>
      <w:r w:rsidR="00B355A8">
        <w:t>anticipated</w:t>
      </w:r>
      <w:r w:rsidR="00B355A8" w:rsidRPr="00241369">
        <w:t xml:space="preserve"> </w:t>
      </w:r>
      <w:r w:rsidR="009210BD" w:rsidRPr="00241369">
        <w:t>that 3-monthly sampling would be acceptable with regards to the swab burden for children</w:t>
      </w:r>
      <w:r w:rsidR="00B355A8">
        <w:t xml:space="preserve"> and</w:t>
      </w:r>
      <w:r w:rsidR="00F37694">
        <w:t xml:space="preserve"> that</w:t>
      </w:r>
      <w:r w:rsidR="00B355A8">
        <w:t xml:space="preserve"> this </w:t>
      </w:r>
      <w:r w:rsidR="009210BD" w:rsidRPr="00241369">
        <w:t xml:space="preserve"> would enable sampling during </w:t>
      </w:r>
      <w:r w:rsidR="004626A5">
        <w:t xml:space="preserve">and after </w:t>
      </w:r>
      <w:r w:rsidR="009210BD" w:rsidRPr="00241369">
        <w:t xml:space="preserve">the period of antibiotic prophylaxis </w:t>
      </w:r>
      <w:r w:rsidR="00426023">
        <w:t>in the azithromycin group</w:t>
      </w:r>
      <w:r w:rsidR="009210BD" w:rsidRPr="00241369">
        <w:t xml:space="preserve">. </w:t>
      </w:r>
      <w:r w:rsidRPr="00241369">
        <w:t>The</w:t>
      </w:r>
      <w:r w:rsidR="00730DAC">
        <w:t xml:space="preserve"> </w:t>
      </w:r>
      <w:r w:rsidR="004626A5">
        <w:t>baseline</w:t>
      </w:r>
      <w:r w:rsidRPr="00241369">
        <w:t xml:space="preserve"> swab for those in the azithromycin group was taken prior to the first dose of azithromycin being </w:t>
      </w:r>
      <w:r w:rsidR="004626A5">
        <w:t>administered</w:t>
      </w:r>
      <w:r w:rsidRPr="00241369">
        <w:t>. The clinical condition of the</w:t>
      </w:r>
      <w:r w:rsidR="002B0014">
        <w:t xml:space="preserve"> child was followed over the 12-</w:t>
      </w:r>
      <w:r w:rsidRPr="00241369">
        <w:t>months, including data on exacerbations, other courses of antibiotics, hospital admissions and any changes in medication. Parents were asked to note any courses of antibiotics their child w</w:t>
      </w:r>
      <w:r w:rsidR="00993FAF">
        <w:t>as</w:t>
      </w:r>
      <w:r w:rsidRPr="00241369">
        <w:t xml:space="preserve"> prescribed in a study booklet given to them on their first visit. </w:t>
      </w:r>
    </w:p>
    <w:p w14:paraId="03DC1FE0" w14:textId="77777777" w:rsidR="003B4E4D" w:rsidRPr="00241369" w:rsidRDefault="003B4E4D" w:rsidP="00411779">
      <w:pPr>
        <w:shd w:val="clear" w:color="auto" w:fill="FFFFFF" w:themeFill="background1"/>
        <w:spacing w:line="360" w:lineRule="auto"/>
      </w:pPr>
    </w:p>
    <w:p w14:paraId="4C0B2F65" w14:textId="7732895D" w:rsidR="00DE4FA3" w:rsidRPr="007F658B" w:rsidRDefault="004B4991" w:rsidP="00411779">
      <w:pPr>
        <w:pStyle w:val="Heading4"/>
        <w:spacing w:before="0" w:line="360" w:lineRule="auto"/>
        <w:rPr>
          <w:i w:val="0"/>
          <w:iCs w:val="0"/>
          <w:sz w:val="24"/>
          <w:szCs w:val="24"/>
        </w:rPr>
      </w:pPr>
      <w:r w:rsidRPr="007F658B">
        <w:rPr>
          <w:i w:val="0"/>
          <w:iCs w:val="0"/>
          <w:sz w:val="24"/>
          <w:szCs w:val="24"/>
        </w:rPr>
        <w:t xml:space="preserve"> </w:t>
      </w:r>
      <w:r w:rsidR="00DE4FA3" w:rsidRPr="007F658B">
        <w:rPr>
          <w:i w:val="0"/>
          <w:iCs w:val="0"/>
          <w:sz w:val="24"/>
          <w:szCs w:val="24"/>
        </w:rPr>
        <w:t xml:space="preserve">Deep </w:t>
      </w:r>
      <w:r w:rsidR="00B17041" w:rsidRPr="007F658B">
        <w:rPr>
          <w:i w:val="0"/>
          <w:iCs w:val="0"/>
          <w:sz w:val="24"/>
          <w:szCs w:val="24"/>
        </w:rPr>
        <w:t>N</w:t>
      </w:r>
      <w:r w:rsidR="00DE4FA3" w:rsidRPr="007F658B">
        <w:rPr>
          <w:i w:val="0"/>
          <w:iCs w:val="0"/>
          <w:sz w:val="24"/>
          <w:szCs w:val="24"/>
        </w:rPr>
        <w:t xml:space="preserve">asopharyngeal </w:t>
      </w:r>
      <w:r w:rsidR="00B17041" w:rsidRPr="007F658B">
        <w:rPr>
          <w:i w:val="0"/>
          <w:iCs w:val="0"/>
          <w:sz w:val="24"/>
          <w:szCs w:val="24"/>
        </w:rPr>
        <w:t>S</w:t>
      </w:r>
      <w:r w:rsidR="00DE4FA3" w:rsidRPr="007F658B">
        <w:rPr>
          <w:i w:val="0"/>
          <w:iCs w:val="0"/>
          <w:sz w:val="24"/>
          <w:szCs w:val="24"/>
        </w:rPr>
        <w:t xml:space="preserve">wab </w:t>
      </w:r>
      <w:r w:rsidR="00B17041" w:rsidRPr="007F658B">
        <w:rPr>
          <w:i w:val="0"/>
          <w:iCs w:val="0"/>
          <w:sz w:val="24"/>
          <w:szCs w:val="24"/>
        </w:rPr>
        <w:t>(DNPS) S</w:t>
      </w:r>
      <w:r w:rsidR="00DE4FA3" w:rsidRPr="007F658B">
        <w:rPr>
          <w:i w:val="0"/>
          <w:iCs w:val="0"/>
          <w:sz w:val="24"/>
          <w:szCs w:val="24"/>
        </w:rPr>
        <w:t>ampling</w:t>
      </w:r>
    </w:p>
    <w:p w14:paraId="43ADF743" w14:textId="26327C3E" w:rsidR="00BF042F" w:rsidRDefault="00DE4FA3" w:rsidP="00A14CB0">
      <w:pPr>
        <w:shd w:val="clear" w:color="auto" w:fill="FFFFFF" w:themeFill="background1"/>
        <w:spacing w:line="360" w:lineRule="auto"/>
      </w:pPr>
      <w:r w:rsidRPr="00241369">
        <w:t xml:space="preserve">A cotton tipped wire swab (Sigma </w:t>
      </w:r>
      <w:proofErr w:type="spellStart"/>
      <w:r w:rsidR="002F15A4" w:rsidRPr="00241369">
        <w:t>T</w:t>
      </w:r>
      <w:r w:rsidRPr="00241369">
        <w:t>ranswab</w:t>
      </w:r>
      <w:proofErr w:type="spellEnd"/>
      <w:r w:rsidRPr="00241369">
        <w:t xml:space="preserve"> in liquid amies</w:t>
      </w:r>
      <w:r w:rsidR="002F15A4" w:rsidRPr="00241369">
        <w:t xml:space="preserve"> medium</w:t>
      </w:r>
      <w:r w:rsidRPr="00241369">
        <w:t xml:space="preserve">) was inserted to a depth of half the distance between the nostril and ear lobe as is the standard practice for taking such samples </w:t>
      </w:r>
      <w:r w:rsidR="00587CD0">
        <w:fldChar w:fldCharType="begin"/>
      </w:r>
      <w:r w:rsidR="00EE22EB">
        <w:instrText xml:space="preserve"> ADDIN EN.CITE &lt;EndNote&gt;&lt;Cite&gt;&lt;Author&gt;Wouters&lt;/Author&gt;&lt;Year&gt;2018&lt;/Year&gt;&lt;RecNum&gt;261&lt;/RecNum&gt;&lt;DisplayText&gt;(Wouters et al., 2018)&lt;/DisplayText&gt;&lt;record&gt;&lt;rec-number&gt;261&lt;/rec-number&gt;&lt;foreign-keys&gt;&lt;key app="EN" db-id="pr9rwt2w8padxcerwx6prd0a9wtda2w5fw2t" timestamp="1629731697"&gt;261&lt;/key&gt;&lt;/foreign-keys&gt;&lt;ref-type name="Journal Article"&gt;17&lt;/ref-type&gt;&lt;contributors&gt;&lt;authors&gt;&lt;author&gt;Wouters, Ine&lt;/author&gt;&lt;author&gt;Van Heirstraeten, Liesbet&lt;/author&gt;&lt;author&gt;Desmet, Stefanie&lt;/author&gt;&lt;author&gt;Blaizot, Stéphanie&lt;/author&gt;&lt;author&gt;Verhaegen, Jan&lt;/author&gt;&lt;author&gt;Goossens, Herman&lt;/author&gt;&lt;author&gt;Van Damme, Pierre&lt;/author&gt;&lt;author&gt;Malhotra-Kumar, Surbhi&lt;/author&gt;&lt;author&gt;Theeten, Heidi&lt;/author&gt;&lt;/authors&gt;&lt;/contributors&gt;&lt;titles&gt;&lt;title&gt;Nasopharyngeal s. pneumoniae carriage and density in Belgian infants after 9 years of pneumococcal conjugate vaccine programme&lt;/title&gt;&lt;secondary-title&gt;Vaccine&lt;/secondary-title&gt;&lt;/titles&gt;&lt;periodical&gt;&lt;full-title&gt;Vaccine&lt;/full-title&gt;&lt;/periodical&gt;&lt;pages&gt;15-22&lt;/pages&gt;&lt;volume&gt;36&lt;/volume&gt;&lt;number&gt;1&lt;/number&gt;&lt;keywords&gt;&lt;keyword&gt;Nasopharyngeal carriage&lt;/keyword&gt;&lt;keyword&gt;Day-care&lt;/keyword&gt;&lt;keyword&gt;Otitis media&lt;/keyword&gt;&lt;keyword&gt;Infants&lt;/keyword&gt;&lt;/keywords&gt;&lt;dates&gt;&lt;year&gt;2018&lt;/year&gt;&lt;pub-dates&gt;&lt;date&gt;2018/01/02/&lt;/date&gt;&lt;/pub-dates&gt;&lt;/dates&gt;&lt;isbn&gt;0264-410X&lt;/isbn&gt;&lt;urls&gt;&lt;related-urls&gt;&lt;url&gt;http://www.sciencedirect.com/science/article/pii/S0264410X1731616X&lt;/url&gt;&lt;/related-urls&gt;&lt;/urls&gt;&lt;electronic-resource-num&gt;https://doi.org/10.1016/j.vaccine.2017.11.052&lt;/electronic-resource-num&gt;&lt;/record&gt;&lt;/Cite&gt;&lt;/EndNote&gt;</w:instrText>
      </w:r>
      <w:r w:rsidR="00587CD0">
        <w:fldChar w:fldCharType="separate"/>
      </w:r>
      <w:r w:rsidR="00EE22EB">
        <w:rPr>
          <w:noProof/>
        </w:rPr>
        <w:t>(Wouters et al., 2018)</w:t>
      </w:r>
      <w:r w:rsidR="00587CD0">
        <w:fldChar w:fldCharType="end"/>
      </w:r>
      <w:r w:rsidR="00F47930" w:rsidRPr="00241369">
        <w:t xml:space="preserve"> (</w:t>
      </w:r>
      <w:r w:rsidR="00A813B4" w:rsidRPr="00A813B4">
        <w:fldChar w:fldCharType="begin"/>
      </w:r>
      <w:r w:rsidR="00A813B4" w:rsidRPr="00A813B4">
        <w:instrText xml:space="preserve"> REF _Ref105444613 \h  \* MERGEFORMAT </w:instrText>
      </w:r>
      <w:r w:rsidR="00A813B4" w:rsidRPr="00A813B4">
        <w:fldChar w:fldCharType="separate"/>
      </w:r>
      <w:r w:rsidR="00A813B4" w:rsidRPr="00A813B4">
        <w:rPr>
          <w:color w:val="000000" w:themeColor="text1"/>
        </w:rPr>
        <w:t xml:space="preserve">Figure </w:t>
      </w:r>
      <w:r w:rsidR="00A813B4" w:rsidRPr="00A813B4">
        <w:rPr>
          <w:noProof/>
          <w:color w:val="000000" w:themeColor="text1"/>
        </w:rPr>
        <w:t>2</w:t>
      </w:r>
      <w:r w:rsidR="00A813B4" w:rsidRPr="00A813B4">
        <w:rPr>
          <w:color w:val="000000" w:themeColor="text1"/>
        </w:rPr>
        <w:noBreakHyphen/>
      </w:r>
      <w:r w:rsidR="00A813B4" w:rsidRPr="00A813B4">
        <w:rPr>
          <w:noProof/>
          <w:color w:val="000000" w:themeColor="text1"/>
        </w:rPr>
        <w:t>1</w:t>
      </w:r>
      <w:r w:rsidR="00A813B4" w:rsidRPr="00A813B4">
        <w:fldChar w:fldCharType="end"/>
      </w:r>
      <w:r w:rsidR="00893F59" w:rsidRPr="00241369">
        <w:t>)</w:t>
      </w:r>
      <w:r w:rsidRPr="00241369">
        <w:t xml:space="preserve">. </w:t>
      </w:r>
      <w:r w:rsidR="00B355A8">
        <w:t>To avoid operator differences, a</w:t>
      </w:r>
      <w:r w:rsidR="00B355A8" w:rsidRPr="00241369">
        <w:t xml:space="preserve">ll </w:t>
      </w:r>
      <w:r w:rsidRPr="00241369">
        <w:t xml:space="preserve">swabs were taken by </w:t>
      </w:r>
      <w:r w:rsidR="00B00CAC">
        <w:t>myself</w:t>
      </w:r>
      <w:r w:rsidRPr="00241369">
        <w:t xml:space="preserve"> either at </w:t>
      </w:r>
      <w:r w:rsidR="002B0014">
        <w:t>the family home or</w:t>
      </w:r>
      <w:r w:rsidRPr="00241369">
        <w:t xml:space="preserve"> SCH depending on what was easiest for the family. </w:t>
      </w:r>
      <w:r w:rsidR="00C27030" w:rsidRPr="00241369">
        <w:t xml:space="preserve">See </w:t>
      </w:r>
      <w:r w:rsidR="002C0CA3" w:rsidRPr="002C0CA3">
        <w:fldChar w:fldCharType="begin"/>
      </w:r>
      <w:r w:rsidR="002C0CA3" w:rsidRPr="002C0CA3">
        <w:instrText xml:space="preserve"> REF _Ref105444757 \h  \* MERGEFORMAT </w:instrText>
      </w:r>
      <w:r w:rsidR="002C0CA3" w:rsidRPr="002C0CA3">
        <w:fldChar w:fldCharType="separate"/>
      </w:r>
      <w:r w:rsidR="002C0CA3" w:rsidRPr="002C0CA3">
        <w:rPr>
          <w:color w:val="000000" w:themeColor="text1"/>
        </w:rPr>
        <w:t xml:space="preserve">Figure </w:t>
      </w:r>
      <w:r w:rsidR="002C0CA3" w:rsidRPr="002C0CA3">
        <w:rPr>
          <w:noProof/>
          <w:color w:val="000000" w:themeColor="text1"/>
        </w:rPr>
        <w:t>2</w:t>
      </w:r>
      <w:r w:rsidR="002C0CA3" w:rsidRPr="002C0CA3">
        <w:rPr>
          <w:color w:val="000000" w:themeColor="text1"/>
        </w:rPr>
        <w:noBreakHyphen/>
      </w:r>
      <w:r w:rsidR="002C0CA3" w:rsidRPr="002C0CA3">
        <w:rPr>
          <w:noProof/>
          <w:color w:val="000000" w:themeColor="text1"/>
        </w:rPr>
        <w:t>2</w:t>
      </w:r>
      <w:r w:rsidR="002C0CA3" w:rsidRPr="002C0CA3">
        <w:fldChar w:fldCharType="end"/>
      </w:r>
      <w:r w:rsidR="002C0CA3">
        <w:t xml:space="preserve"> </w:t>
      </w:r>
      <w:r w:rsidR="00C27030" w:rsidRPr="00241369">
        <w:t>for the pathway of sample processing</w:t>
      </w:r>
      <w:r w:rsidR="004A4CDE" w:rsidRPr="00241369">
        <w:t xml:space="preserve"> in </w:t>
      </w:r>
      <w:r w:rsidR="00B00CAC">
        <w:t>PBB studies 1-3</w:t>
      </w:r>
      <w:r w:rsidR="00C27030" w:rsidRPr="00241369">
        <w:t>.</w:t>
      </w:r>
    </w:p>
    <w:p w14:paraId="061AEBED" w14:textId="77777777" w:rsidR="00BF042F" w:rsidRDefault="00BF042F" w:rsidP="00A14CB0">
      <w:pPr>
        <w:shd w:val="clear" w:color="auto" w:fill="FFFFFF" w:themeFill="background1"/>
        <w:spacing w:line="360" w:lineRule="auto"/>
      </w:pPr>
    </w:p>
    <w:p w14:paraId="333184C4" w14:textId="77777777" w:rsidR="00BF042F" w:rsidRDefault="00BF042F" w:rsidP="00A14CB0">
      <w:pPr>
        <w:shd w:val="clear" w:color="auto" w:fill="FFFFFF" w:themeFill="background1"/>
        <w:spacing w:line="360" w:lineRule="auto"/>
      </w:pPr>
    </w:p>
    <w:p w14:paraId="58604F3E" w14:textId="00D8AFB2" w:rsidR="00C94014" w:rsidRPr="00BF042F" w:rsidRDefault="00BF042F" w:rsidP="00BF042F">
      <w:pPr>
        <w:shd w:val="clear" w:color="auto" w:fill="FFFFFF" w:themeFill="background1"/>
        <w:spacing w:line="360" w:lineRule="auto"/>
      </w:pPr>
      <w:r w:rsidRPr="00241369">
        <w:rPr>
          <w:noProof/>
        </w:rPr>
        <w:lastRenderedPageBreak/>
        <w:drawing>
          <wp:inline distT="0" distB="0" distL="0" distR="0" wp14:anchorId="76F9B5A7" wp14:editId="64BABCC7">
            <wp:extent cx="2743200" cy="20237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23745"/>
                    </a:xfrm>
                    <a:prstGeom prst="rect">
                      <a:avLst/>
                    </a:prstGeom>
                    <a:noFill/>
                  </pic:spPr>
                </pic:pic>
              </a:graphicData>
            </a:graphic>
          </wp:inline>
        </w:drawing>
      </w:r>
    </w:p>
    <w:p w14:paraId="2289818D" w14:textId="77777777" w:rsidR="00BF042F" w:rsidRPr="00BF042F" w:rsidRDefault="00BF042F" w:rsidP="00BF042F">
      <w:bookmarkStart w:id="94" w:name="_Ref105444613"/>
    </w:p>
    <w:p w14:paraId="45B8916C" w14:textId="534E2816" w:rsidR="004A4CDE" w:rsidRPr="00E80F33" w:rsidRDefault="00F42C6F" w:rsidP="00F42C6F">
      <w:pPr>
        <w:pStyle w:val="Caption"/>
        <w:rPr>
          <w:rFonts w:ascii="Times New Roman" w:hAnsi="Times New Roman" w:cs="Times New Roman"/>
          <w:i w:val="0"/>
          <w:iCs w:val="0"/>
          <w:color w:val="000000" w:themeColor="text1"/>
          <w:sz w:val="24"/>
          <w:szCs w:val="24"/>
        </w:rPr>
      </w:pPr>
      <w:bookmarkStart w:id="95" w:name="_Toc117780212"/>
      <w:bookmarkEnd w:id="94"/>
      <w:r w:rsidRPr="00E80F33">
        <w:rPr>
          <w:rFonts w:ascii="Times New Roman" w:hAnsi="Times New Roman" w:cs="Times New Roman"/>
          <w:b/>
          <w:bCs/>
          <w:i w:val="0"/>
          <w:iCs w:val="0"/>
          <w:color w:val="000000" w:themeColor="text1"/>
          <w:sz w:val="24"/>
          <w:szCs w:val="24"/>
        </w:rPr>
        <w:t xml:space="preserve">Figure </w:t>
      </w:r>
      <w:r w:rsidRPr="00E80F33">
        <w:rPr>
          <w:rFonts w:ascii="Times New Roman" w:hAnsi="Times New Roman" w:cs="Times New Roman"/>
          <w:b/>
          <w:bCs/>
          <w:i w:val="0"/>
          <w:iCs w:val="0"/>
          <w:color w:val="000000" w:themeColor="text1"/>
          <w:sz w:val="24"/>
          <w:szCs w:val="24"/>
        </w:rPr>
        <w:fldChar w:fldCharType="begin"/>
      </w:r>
      <w:r w:rsidRPr="00E80F33">
        <w:rPr>
          <w:rFonts w:ascii="Times New Roman" w:hAnsi="Times New Roman" w:cs="Times New Roman"/>
          <w:b/>
          <w:bCs/>
          <w:i w:val="0"/>
          <w:iCs w:val="0"/>
          <w:color w:val="000000" w:themeColor="text1"/>
          <w:sz w:val="24"/>
          <w:szCs w:val="24"/>
        </w:rPr>
        <w:instrText xml:space="preserve"> STYLEREF 1 \s </w:instrText>
      </w:r>
      <w:r w:rsidRPr="00E80F33">
        <w:rPr>
          <w:rFonts w:ascii="Times New Roman" w:hAnsi="Times New Roman" w:cs="Times New Roman"/>
          <w:b/>
          <w:bCs/>
          <w:i w:val="0"/>
          <w:iCs w:val="0"/>
          <w:color w:val="000000" w:themeColor="text1"/>
          <w:sz w:val="24"/>
          <w:szCs w:val="24"/>
        </w:rPr>
        <w:fldChar w:fldCharType="separate"/>
      </w:r>
      <w:r w:rsidR="00E80F33" w:rsidRPr="00E80F33">
        <w:rPr>
          <w:rFonts w:ascii="Times New Roman" w:hAnsi="Times New Roman" w:cs="Times New Roman"/>
          <w:b/>
          <w:bCs/>
          <w:i w:val="0"/>
          <w:iCs w:val="0"/>
          <w:noProof/>
          <w:color w:val="000000" w:themeColor="text1"/>
          <w:sz w:val="24"/>
          <w:szCs w:val="24"/>
        </w:rPr>
        <w:t>2</w:t>
      </w:r>
      <w:r w:rsidRPr="00E80F33">
        <w:rPr>
          <w:rFonts w:ascii="Times New Roman" w:hAnsi="Times New Roman" w:cs="Times New Roman"/>
          <w:b/>
          <w:bCs/>
          <w:i w:val="0"/>
          <w:iCs w:val="0"/>
          <w:color w:val="000000" w:themeColor="text1"/>
          <w:sz w:val="24"/>
          <w:szCs w:val="24"/>
        </w:rPr>
        <w:fldChar w:fldCharType="end"/>
      </w:r>
      <w:r w:rsidRPr="00E80F33">
        <w:rPr>
          <w:rFonts w:ascii="Times New Roman" w:hAnsi="Times New Roman" w:cs="Times New Roman"/>
          <w:b/>
          <w:bCs/>
          <w:i w:val="0"/>
          <w:iCs w:val="0"/>
          <w:color w:val="000000" w:themeColor="text1"/>
          <w:sz w:val="24"/>
          <w:szCs w:val="24"/>
        </w:rPr>
        <w:noBreakHyphen/>
      </w:r>
      <w:r w:rsidRPr="00E80F33">
        <w:rPr>
          <w:rFonts w:ascii="Times New Roman" w:hAnsi="Times New Roman" w:cs="Times New Roman"/>
          <w:b/>
          <w:bCs/>
          <w:i w:val="0"/>
          <w:iCs w:val="0"/>
          <w:color w:val="000000" w:themeColor="text1"/>
          <w:sz w:val="24"/>
          <w:szCs w:val="24"/>
        </w:rPr>
        <w:fldChar w:fldCharType="begin"/>
      </w:r>
      <w:r w:rsidRPr="00E80F33">
        <w:rPr>
          <w:rFonts w:ascii="Times New Roman" w:hAnsi="Times New Roman" w:cs="Times New Roman"/>
          <w:b/>
          <w:bCs/>
          <w:i w:val="0"/>
          <w:iCs w:val="0"/>
          <w:color w:val="000000" w:themeColor="text1"/>
          <w:sz w:val="24"/>
          <w:szCs w:val="24"/>
        </w:rPr>
        <w:instrText xml:space="preserve"> SEQ Figure \* ARABIC \s 1 </w:instrText>
      </w:r>
      <w:r w:rsidRPr="00E80F33">
        <w:rPr>
          <w:rFonts w:ascii="Times New Roman" w:hAnsi="Times New Roman" w:cs="Times New Roman"/>
          <w:b/>
          <w:bCs/>
          <w:i w:val="0"/>
          <w:iCs w:val="0"/>
          <w:color w:val="000000" w:themeColor="text1"/>
          <w:sz w:val="24"/>
          <w:szCs w:val="24"/>
        </w:rPr>
        <w:fldChar w:fldCharType="separate"/>
      </w:r>
      <w:r w:rsidR="00E80F33" w:rsidRPr="00E80F33">
        <w:rPr>
          <w:rFonts w:ascii="Times New Roman" w:hAnsi="Times New Roman" w:cs="Times New Roman"/>
          <w:b/>
          <w:bCs/>
          <w:i w:val="0"/>
          <w:iCs w:val="0"/>
          <w:noProof/>
          <w:color w:val="000000" w:themeColor="text1"/>
          <w:sz w:val="24"/>
          <w:szCs w:val="24"/>
        </w:rPr>
        <w:t>1</w:t>
      </w:r>
      <w:r w:rsidRPr="00E80F33">
        <w:rPr>
          <w:rFonts w:ascii="Times New Roman" w:hAnsi="Times New Roman" w:cs="Times New Roman"/>
          <w:b/>
          <w:bCs/>
          <w:i w:val="0"/>
          <w:iCs w:val="0"/>
          <w:color w:val="000000" w:themeColor="text1"/>
          <w:sz w:val="24"/>
          <w:szCs w:val="24"/>
        </w:rPr>
        <w:fldChar w:fldCharType="end"/>
      </w:r>
      <w:r w:rsidR="00C94014" w:rsidRPr="00E80F33">
        <w:rPr>
          <w:rFonts w:ascii="Times New Roman" w:hAnsi="Times New Roman" w:cs="Times New Roman"/>
          <w:i w:val="0"/>
          <w:iCs w:val="0"/>
          <w:color w:val="000000" w:themeColor="text1"/>
          <w:sz w:val="24"/>
          <w:szCs w:val="24"/>
        </w:rPr>
        <w:t>: Pictorial representation of collecting DNPS</w:t>
      </w:r>
      <w:bookmarkEnd w:id="95"/>
    </w:p>
    <w:p w14:paraId="54AFBDF1" w14:textId="6B96ADFA" w:rsidR="00373D66" w:rsidRPr="00A813B4" w:rsidRDefault="00B17041" w:rsidP="00E94061">
      <w:pPr>
        <w:shd w:val="clear" w:color="auto" w:fill="FFFFFF" w:themeFill="background1"/>
        <w:spacing w:line="360" w:lineRule="auto"/>
        <w:rPr>
          <w:i/>
          <w:iCs/>
        </w:rPr>
      </w:pPr>
      <w:r w:rsidRPr="00A813B4">
        <w:rPr>
          <w:i/>
          <w:iCs/>
        </w:rPr>
        <w:t xml:space="preserve">With the </w:t>
      </w:r>
      <w:r w:rsidR="00956D80" w:rsidRPr="00A813B4">
        <w:rPr>
          <w:i/>
          <w:iCs/>
        </w:rPr>
        <w:t>subject’s</w:t>
      </w:r>
      <w:r w:rsidRPr="00A813B4">
        <w:rPr>
          <w:i/>
          <w:iCs/>
        </w:rPr>
        <w:t xml:space="preserve"> head tilted slightly back, a </w:t>
      </w:r>
      <w:r w:rsidR="00893F59" w:rsidRPr="00A813B4">
        <w:rPr>
          <w:i/>
          <w:iCs/>
        </w:rPr>
        <w:t xml:space="preserve">cotton tipped swab </w:t>
      </w:r>
      <w:r w:rsidR="00993FAF" w:rsidRPr="00A813B4">
        <w:rPr>
          <w:i/>
          <w:iCs/>
        </w:rPr>
        <w:t>was</w:t>
      </w:r>
      <w:r w:rsidR="00893F59" w:rsidRPr="00A813B4">
        <w:rPr>
          <w:i/>
          <w:iCs/>
        </w:rPr>
        <w:t xml:space="preserve"> inserted into the nasopharynx and rotated a few times to </w:t>
      </w:r>
      <w:r w:rsidRPr="00A813B4">
        <w:rPr>
          <w:i/>
          <w:iCs/>
        </w:rPr>
        <w:t>sample the bacterial flora</w:t>
      </w:r>
      <w:r w:rsidR="00893F59" w:rsidRPr="00A813B4">
        <w:rPr>
          <w:i/>
          <w:iCs/>
        </w:rPr>
        <w:t xml:space="preserve">. The </w:t>
      </w:r>
      <w:r w:rsidR="008C6B45" w:rsidRPr="00A813B4">
        <w:rPr>
          <w:i/>
          <w:iCs/>
        </w:rPr>
        <w:t xml:space="preserve">insertion </w:t>
      </w:r>
      <w:r w:rsidR="00893F59" w:rsidRPr="00A813B4">
        <w:rPr>
          <w:i/>
          <w:iCs/>
        </w:rPr>
        <w:t xml:space="preserve">distance </w:t>
      </w:r>
      <w:r w:rsidR="008C6B45" w:rsidRPr="00A813B4">
        <w:rPr>
          <w:i/>
          <w:iCs/>
        </w:rPr>
        <w:t xml:space="preserve">of </w:t>
      </w:r>
      <w:r w:rsidR="00893F59" w:rsidRPr="00A813B4">
        <w:rPr>
          <w:i/>
          <w:iCs/>
        </w:rPr>
        <w:t>the swab to sample this ana</w:t>
      </w:r>
      <w:r w:rsidR="008C6B45" w:rsidRPr="00A813B4">
        <w:rPr>
          <w:i/>
          <w:iCs/>
        </w:rPr>
        <w:t xml:space="preserve">tomical area </w:t>
      </w:r>
      <w:r w:rsidR="00993FAF" w:rsidRPr="00A813B4">
        <w:rPr>
          <w:i/>
          <w:iCs/>
        </w:rPr>
        <w:t>was</w:t>
      </w:r>
      <w:r w:rsidR="008C6B45" w:rsidRPr="00A813B4">
        <w:rPr>
          <w:i/>
          <w:iCs/>
        </w:rPr>
        <w:t xml:space="preserve"> first </w:t>
      </w:r>
      <w:r w:rsidRPr="00A813B4">
        <w:rPr>
          <w:i/>
          <w:iCs/>
        </w:rPr>
        <w:t>estimated as</w:t>
      </w:r>
      <w:r w:rsidR="00893F59" w:rsidRPr="00A813B4">
        <w:rPr>
          <w:i/>
          <w:iCs/>
        </w:rPr>
        <w:t xml:space="preserve"> half the d</w:t>
      </w:r>
      <w:r w:rsidR="008C6B45" w:rsidRPr="00A813B4">
        <w:rPr>
          <w:i/>
          <w:iCs/>
        </w:rPr>
        <w:t>istance between the participant’s</w:t>
      </w:r>
      <w:r w:rsidR="00893F59" w:rsidRPr="00A813B4">
        <w:rPr>
          <w:i/>
          <w:iCs/>
        </w:rPr>
        <w:t xml:space="preserve"> nostril and ear lobe. </w:t>
      </w:r>
    </w:p>
    <w:p w14:paraId="7FB196F5" w14:textId="57A5C085" w:rsidR="00426DED" w:rsidRPr="00241369" w:rsidRDefault="00373D66" w:rsidP="00A14CB0">
      <w:pPr>
        <w:shd w:val="clear" w:color="auto" w:fill="FFFFFF" w:themeFill="background1"/>
      </w:pPr>
      <w:r w:rsidRPr="00241369">
        <w:br w:type="page"/>
      </w:r>
    </w:p>
    <w:p w14:paraId="7F44F74F" w14:textId="41986D47" w:rsidR="004A4CDE" w:rsidRPr="00241369" w:rsidRDefault="00EB0610" w:rsidP="00A14CB0">
      <w:pPr>
        <w:shd w:val="clear" w:color="auto" w:fill="FFFFFF" w:themeFill="background1"/>
      </w:pPr>
      <w:r>
        <w:rPr>
          <w:noProof/>
        </w:rPr>
        <w:lastRenderedPageBreak/>
        <mc:AlternateContent>
          <mc:Choice Requires="wps">
            <w:drawing>
              <wp:anchor distT="0" distB="0" distL="114300" distR="114300" simplePos="0" relativeHeight="251632128" behindDoc="0" locked="0" layoutInCell="1" allowOverlap="1" wp14:anchorId="079DF194" wp14:editId="25657DD0">
                <wp:simplePos x="0" y="0"/>
                <wp:positionH relativeFrom="column">
                  <wp:posOffset>1849120</wp:posOffset>
                </wp:positionH>
                <wp:positionV relativeFrom="paragraph">
                  <wp:posOffset>8255</wp:posOffset>
                </wp:positionV>
                <wp:extent cx="1796415" cy="453390"/>
                <wp:effectExtent l="0" t="0" r="0" b="381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53390"/>
                        </a:xfrm>
                        <a:prstGeom prst="rect">
                          <a:avLst/>
                        </a:prstGeom>
                        <a:solidFill>
                          <a:srgbClr val="FFFFFF"/>
                        </a:solidFill>
                        <a:ln w="9525">
                          <a:solidFill>
                            <a:srgbClr val="000000"/>
                          </a:solidFill>
                          <a:miter lim="800000"/>
                          <a:headEnd/>
                          <a:tailEnd/>
                        </a:ln>
                      </wps:spPr>
                      <wps:txbx>
                        <w:txbxContent>
                          <w:p w14:paraId="7112B8D6" w14:textId="77777777" w:rsidR="00600985" w:rsidRPr="00E77487" w:rsidRDefault="00600985" w:rsidP="008C6B45">
                            <w:pPr>
                              <w:jc w:val="center"/>
                              <w:rPr>
                                <w:b/>
                              </w:rPr>
                            </w:pPr>
                            <w:r w:rsidRPr="00E77487">
                              <w:rPr>
                                <w:b/>
                              </w:rPr>
                              <w:t>DNPS +/- viral throat swab taken</w:t>
                            </w:r>
                            <w:r>
                              <w:rPr>
                                <w:b/>
                              </w:rPr>
                              <w:t xml:space="preserve"> from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DF194" id="_x0000_t202" coordsize="21600,21600" o:spt="202" path="m,l,21600r21600,l21600,xe">
                <v:stroke joinstyle="miter"/>
                <v:path gradientshapeok="t" o:connecttype="rect"/>
              </v:shapetype>
              <v:shape id="Text Box 702" o:spid="_x0000_s1026" type="#_x0000_t202" style="position:absolute;margin-left:145.6pt;margin-top:.65pt;width:141.45pt;height:35.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">
                <v:textbox>
                  <w:txbxContent>
                    <w:p w14:paraId="7112B8D6" w14:textId="77777777" w:rsidR="00600985" w:rsidRPr="00E77487" w:rsidRDefault="00600985" w:rsidP="008C6B45">
                      <w:pPr>
                        <w:jc w:val="center"/>
                        <w:rPr>
                          <w:b/>
                        </w:rPr>
                      </w:pPr>
                      <w:r w:rsidRPr="00E77487">
                        <w:rPr>
                          <w:b/>
                        </w:rPr>
                        <w:t>DNPS +/- viral throat swab taken</w:t>
                      </w:r>
                      <w:r>
                        <w:rPr>
                          <w:b/>
                        </w:rPr>
                        <w:t xml:space="preserve"> from child</w:t>
                      </w:r>
                    </w:p>
                  </w:txbxContent>
                </v:textbox>
              </v:shape>
            </w:pict>
          </mc:Fallback>
        </mc:AlternateContent>
      </w:r>
    </w:p>
    <w:p w14:paraId="13D0876A" w14:textId="3AE66AEF" w:rsidR="004A4CDE" w:rsidRPr="00241369" w:rsidRDefault="004A4CDE" w:rsidP="00A14CB0">
      <w:pPr>
        <w:shd w:val="clear" w:color="auto" w:fill="FFFFFF" w:themeFill="background1"/>
      </w:pPr>
    </w:p>
    <w:p w14:paraId="41E7AEC5" w14:textId="56188F2A" w:rsidR="004A4CDE" w:rsidRPr="00241369" w:rsidRDefault="00942EEF" w:rsidP="00A14CB0">
      <w:pPr>
        <w:shd w:val="clear" w:color="auto" w:fill="FFFFFF" w:themeFill="background1"/>
      </w:pPr>
      <w:r>
        <w:rPr>
          <w:noProof/>
        </w:rPr>
        <mc:AlternateContent>
          <mc:Choice Requires="wps">
            <w:drawing>
              <wp:anchor distT="0" distB="0" distL="114300" distR="114300" simplePos="0" relativeHeight="251987456" behindDoc="0" locked="0" layoutInCell="1" allowOverlap="1" wp14:anchorId="1A71DC88" wp14:editId="1BC7DB3B">
                <wp:simplePos x="0" y="0"/>
                <wp:positionH relativeFrom="column">
                  <wp:posOffset>2750185</wp:posOffset>
                </wp:positionH>
                <wp:positionV relativeFrom="paragraph">
                  <wp:posOffset>154940</wp:posOffset>
                </wp:positionV>
                <wp:extent cx="7620" cy="221615"/>
                <wp:effectExtent l="88900" t="12700" r="43180" b="32385"/>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161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3CC0D8D4" id="_x0000_t32" coordsize="21600,21600" o:spt="32" o:oned="t" path="m,l21600,21600e" filled="f">
                <v:path arrowok="t" fillok="f" o:connecttype="none"/>
                <o:lock v:ext="edit" shapetype="t"/>
              </v:shapetype>
              <v:shape id="Straight Arrow Connector 517" o:spid="_x0000_s1026" type="#_x0000_t32" style="position:absolute;margin-left:216.55pt;margin-top:12.2pt;width:.6pt;height:17.4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" strokecolor="windowText" strokeweight="2.25pt">
                <v:stroke endarrow="open" joinstyle="miter"/>
                <o:lock v:ext="edit" shapetype="f"/>
              </v:shape>
            </w:pict>
          </mc:Fallback>
        </mc:AlternateContent>
      </w:r>
      <w:r w:rsidR="00C82B2A">
        <w:rPr>
          <w:noProof/>
        </w:rPr>
        <mc:AlternateContent>
          <mc:Choice Requires="wps">
            <w:drawing>
              <wp:anchor distT="0" distB="0" distL="114300" distR="114300" simplePos="0" relativeHeight="251639296" behindDoc="0" locked="0" layoutInCell="1" allowOverlap="1" wp14:anchorId="22DE479E" wp14:editId="5D5D9CB0">
                <wp:simplePos x="0" y="0"/>
                <wp:positionH relativeFrom="column">
                  <wp:posOffset>4857652</wp:posOffset>
                </wp:positionH>
                <wp:positionV relativeFrom="paragraph">
                  <wp:posOffset>84699</wp:posOffset>
                </wp:positionV>
                <wp:extent cx="1438910" cy="683895"/>
                <wp:effectExtent l="0" t="0" r="8890" b="1905"/>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910" cy="683895"/>
                        </a:xfrm>
                        <a:prstGeom prst="rect">
                          <a:avLst/>
                        </a:prstGeom>
                        <a:solidFill>
                          <a:srgbClr val="70AD47">
                            <a:lumMod val="20000"/>
                            <a:lumOff val="80000"/>
                          </a:srgbClr>
                        </a:solidFill>
                        <a:ln w="6350">
                          <a:solidFill>
                            <a:prstClr val="black"/>
                          </a:solidFill>
                        </a:ln>
                        <a:effectLst/>
                      </wps:spPr>
                      <wps:txbx>
                        <w:txbxContent>
                          <w:p w14:paraId="53888C85" w14:textId="77777777" w:rsidR="00600985" w:rsidRPr="00B82F4F" w:rsidRDefault="00600985" w:rsidP="008C6B45">
                            <w:pPr>
                              <w:jc w:val="center"/>
                              <w:rPr>
                                <w:b/>
                              </w:rPr>
                            </w:pPr>
                            <w:r w:rsidRPr="00B82F4F">
                              <w:rPr>
                                <w:b/>
                              </w:rPr>
                              <w:t>Study 1</w:t>
                            </w:r>
                          </w:p>
                          <w:p w14:paraId="38839C70" w14:textId="77777777" w:rsidR="00600985" w:rsidRDefault="00600985" w:rsidP="008C6B45">
                            <w:pPr>
                              <w:jc w:val="center"/>
                            </w:pPr>
                            <w:r>
                              <w:t>DNPS samples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479E" id="Text Box 700" o:spid="_x0000_s1027" type="#_x0000_t202" style="position:absolute;margin-left:382.5pt;margin-top:6.65pt;width:113.3pt;height:5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" fillcolor="#e2f0d9" strokeweight=".5pt">
                <v:path arrowok="t"/>
                <v:textbox>
                  <w:txbxContent>
                    <w:p w14:paraId="53888C85" w14:textId="77777777" w:rsidR="00600985" w:rsidRPr="00B82F4F" w:rsidRDefault="00600985" w:rsidP="008C6B45">
                      <w:pPr>
                        <w:jc w:val="center"/>
                        <w:rPr>
                          <w:b/>
                        </w:rPr>
                      </w:pPr>
                      <w:r w:rsidRPr="00B82F4F">
                        <w:rPr>
                          <w:b/>
                        </w:rPr>
                        <w:t>Study 1</w:t>
                      </w:r>
                    </w:p>
                    <w:p w14:paraId="38839C70" w14:textId="77777777" w:rsidR="00600985" w:rsidRDefault="00600985" w:rsidP="008C6B45">
                      <w:pPr>
                        <w:jc w:val="center"/>
                      </w:pPr>
                      <w:r>
                        <w:t>DNPS samples destroyed</w:t>
                      </w:r>
                    </w:p>
                  </w:txbxContent>
                </v:textbox>
              </v:shape>
            </w:pict>
          </mc:Fallback>
        </mc:AlternateContent>
      </w:r>
    </w:p>
    <w:p w14:paraId="70289D6C" w14:textId="0D89AC24" w:rsidR="004A4CDE" w:rsidRPr="00241369" w:rsidRDefault="004A4CDE" w:rsidP="00A14CB0">
      <w:pPr>
        <w:shd w:val="clear" w:color="auto" w:fill="FFFFFF" w:themeFill="background1"/>
      </w:pPr>
    </w:p>
    <w:p w14:paraId="612C1A9D" w14:textId="63124BE8"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634176" behindDoc="0" locked="0" layoutInCell="1" allowOverlap="1" wp14:anchorId="567B5138" wp14:editId="0457CD7F">
                <wp:simplePos x="0" y="0"/>
                <wp:positionH relativeFrom="column">
                  <wp:posOffset>1828799</wp:posOffset>
                </wp:positionH>
                <wp:positionV relativeFrom="paragraph">
                  <wp:posOffset>32385</wp:posOffset>
                </wp:positionV>
                <wp:extent cx="2049145" cy="508000"/>
                <wp:effectExtent l="0" t="0" r="27305" b="2540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08000"/>
                        </a:xfrm>
                        <a:prstGeom prst="rect">
                          <a:avLst/>
                        </a:prstGeom>
                        <a:solidFill>
                          <a:srgbClr val="FFFFFF"/>
                        </a:solidFill>
                        <a:ln w="9525">
                          <a:solidFill>
                            <a:srgbClr val="000000"/>
                          </a:solidFill>
                          <a:miter lim="800000"/>
                          <a:headEnd/>
                          <a:tailEnd/>
                        </a:ln>
                      </wps:spPr>
                      <wps:txbx>
                        <w:txbxContent>
                          <w:p w14:paraId="6FED7B8E" w14:textId="77777777" w:rsidR="00600985" w:rsidRDefault="00600985" w:rsidP="008C6B45">
                            <w:pPr>
                              <w:jc w:val="center"/>
                            </w:pPr>
                            <w:r>
                              <w:t>Swabs delivered to the STH laboratory within 24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B5138" id="Text Box 699" o:spid="_x0000_s1028" type="#_x0000_t202" style="position:absolute;margin-left:2in;margin-top:2.55pt;width:161.35pt;height:4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">
                <v:textbox>
                  <w:txbxContent>
                    <w:p w14:paraId="6FED7B8E" w14:textId="77777777" w:rsidR="00600985" w:rsidRDefault="00600985" w:rsidP="008C6B45">
                      <w:pPr>
                        <w:jc w:val="center"/>
                      </w:pPr>
                      <w:r>
                        <w:t>Swabs delivered to the STH laboratory within 24 hours</w:t>
                      </w:r>
                    </w:p>
                  </w:txbxContent>
                </v:textbox>
              </v:shape>
            </w:pict>
          </mc:Fallback>
        </mc:AlternateContent>
      </w:r>
    </w:p>
    <w:p w14:paraId="7405E5E7" w14:textId="4FF6E271"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649536" behindDoc="0" locked="0" layoutInCell="1" allowOverlap="1" wp14:anchorId="20C9D556" wp14:editId="5AE40F20">
                <wp:simplePos x="0" y="0"/>
                <wp:positionH relativeFrom="column">
                  <wp:posOffset>3977640</wp:posOffset>
                </wp:positionH>
                <wp:positionV relativeFrom="paragraph">
                  <wp:posOffset>46355</wp:posOffset>
                </wp:positionV>
                <wp:extent cx="777875" cy="711835"/>
                <wp:effectExtent l="12700" t="25400" r="34925" b="12065"/>
                <wp:wrapNone/>
                <wp:docPr id="698" name="Straight Arrow Connector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7875" cy="71183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87B5925" id="_x0000_t32" coordsize="21600,21600" o:spt="32" o:oned="t" path="m,l21600,21600e" filled="f">
                <v:path arrowok="t" fillok="f" o:connecttype="none"/>
                <o:lock v:ext="edit" shapetype="t"/>
              </v:shapetype>
              <v:shape id="Straight Arrow Connector 698" o:spid="_x0000_s1026" type="#_x0000_t32" style="position:absolute;margin-left:313.2pt;margin-top:3.65pt;width:61.25pt;height:56.0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" strokecolor="windowText" strokeweight="2.25pt">
                <v:stroke endarrow="open" joinstyle="miter"/>
                <o:lock v:ext="edit" shapetype="f"/>
              </v:shape>
            </w:pict>
          </mc:Fallback>
        </mc:AlternateContent>
      </w:r>
      <w:r w:rsidR="00C82B2A">
        <w:rPr>
          <w:noProof/>
        </w:rPr>
        <mc:AlternateContent>
          <mc:Choice Requires="wps">
            <w:drawing>
              <wp:anchor distT="0" distB="0" distL="114300" distR="114300" simplePos="0" relativeHeight="251645440" behindDoc="0" locked="0" layoutInCell="1" allowOverlap="1" wp14:anchorId="19D07E5F" wp14:editId="08BE5AE4">
                <wp:simplePos x="0" y="0"/>
                <wp:positionH relativeFrom="column">
                  <wp:posOffset>804007</wp:posOffset>
                </wp:positionH>
                <wp:positionV relativeFrom="paragraph">
                  <wp:posOffset>42594</wp:posOffset>
                </wp:positionV>
                <wp:extent cx="885825" cy="378997"/>
                <wp:effectExtent l="25400" t="12700" r="15875" b="40640"/>
                <wp:wrapNone/>
                <wp:docPr id="697" name="Straight Arrow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378997"/>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177D8D" id="Straight Arrow Connector 697" o:spid="_x0000_s1026" type="#_x0000_t32" style="position:absolute;margin-left:63.3pt;margin-top:3.35pt;width:69.75pt;height:29.8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" strokecolor="windowText" strokeweight="2.25pt">
                <v:stroke endarrow="open" joinstyle="miter"/>
                <o:lock v:ext="edit" shapetype="f"/>
              </v:shape>
            </w:pict>
          </mc:Fallback>
        </mc:AlternateContent>
      </w:r>
    </w:p>
    <w:p w14:paraId="2151CC33" w14:textId="4811B784" w:rsidR="004A4CDE" w:rsidRPr="00241369" w:rsidRDefault="00EB0610" w:rsidP="00A14CB0">
      <w:pPr>
        <w:shd w:val="clear" w:color="auto" w:fill="FFFFFF" w:themeFill="background1"/>
      </w:pPr>
      <w:r>
        <w:rPr>
          <w:noProof/>
        </w:rPr>
        <mc:AlternateContent>
          <mc:Choice Requires="wps">
            <w:drawing>
              <wp:anchor distT="0" distB="0" distL="114300" distR="114300" simplePos="0" relativeHeight="251635200" behindDoc="0" locked="0" layoutInCell="1" allowOverlap="1" wp14:anchorId="035696D3" wp14:editId="0087EE14">
                <wp:simplePos x="0" y="0"/>
                <wp:positionH relativeFrom="column">
                  <wp:posOffset>-369570</wp:posOffset>
                </wp:positionH>
                <wp:positionV relativeFrom="paragraph">
                  <wp:posOffset>335280</wp:posOffset>
                </wp:positionV>
                <wp:extent cx="1947545" cy="782955"/>
                <wp:effectExtent l="0" t="0" r="0" b="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782955"/>
                        </a:xfrm>
                        <a:prstGeom prst="rect">
                          <a:avLst/>
                        </a:prstGeom>
                        <a:solidFill>
                          <a:srgbClr val="4472C4">
                            <a:lumMod val="40000"/>
                            <a:lumOff val="60000"/>
                          </a:srgbClr>
                        </a:solidFill>
                        <a:ln w="9525">
                          <a:solidFill>
                            <a:sysClr val="windowText" lastClr="000000"/>
                          </a:solidFill>
                          <a:miter lim="800000"/>
                          <a:headEnd/>
                          <a:tailEnd/>
                        </a:ln>
                      </wps:spPr>
                      <wps:txbx>
                        <w:txbxContent>
                          <w:p w14:paraId="049ED577" w14:textId="77777777" w:rsidR="00600985" w:rsidRPr="002614FD" w:rsidRDefault="00600985" w:rsidP="008C6B45">
                            <w:pPr>
                              <w:jc w:val="center"/>
                              <w:rPr>
                                <w:b/>
                                <w:color w:val="B4C6E7" w:themeColor="accent5" w:themeTint="66"/>
                              </w:rPr>
                            </w:pPr>
                            <w:r w:rsidRPr="00C27030">
                              <w:rPr>
                                <w:b/>
                              </w:rPr>
                              <w:t>Viral swabs</w:t>
                            </w:r>
                          </w:p>
                          <w:p w14:paraId="5C6FEAAE" w14:textId="57013177" w:rsidR="00600985" w:rsidRDefault="00600985" w:rsidP="008C6B45">
                            <w:pPr>
                              <w:jc w:val="center"/>
                            </w:pPr>
                            <w:r>
                              <w:t xml:space="preserve">Processed for respiratory PCRs at STH </w:t>
                            </w:r>
                            <w:r>
                              <w:rPr>
                                <w:b/>
                              </w:rPr>
                              <w:t>(S</w:t>
                            </w:r>
                            <w:r w:rsidRPr="002614FD">
                              <w:rPr>
                                <w:b/>
                              </w:rPr>
                              <w:t xml:space="preserve">tudy 2 </w:t>
                            </w:r>
                            <w:r w:rsidRPr="00B00CAC">
                              <w:rPr>
                                <w:b/>
                              </w:rPr>
                              <w:t>only</w:t>
                            </w:r>
                            <w:r>
                              <w:rPr>
                                <w:b/>
                              </w:rPr>
                              <w:t>;</w:t>
                            </w:r>
                            <w:r w:rsidRPr="00B00CAC">
                              <w:rPr>
                                <w:b/>
                              </w:rPr>
                              <w:t xml:space="preserve"> </w:t>
                            </w:r>
                            <w:r w:rsidRPr="00B00CAC">
                              <w:rPr>
                                <w:bCs/>
                              </w:rPr>
                              <w:t>at the beginning of exacerbations</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696D3" id="Text Box 695" o:spid="_x0000_s1029" type="#_x0000_t202" style="position:absolute;margin-left:-29.1pt;margin-top:26.4pt;width:153.35pt;height:61.6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" fillcolor="#b4c7e7" strokecolor="windowText">
                <v:textbox style="mso-fit-shape-to-text:t">
                  <w:txbxContent>
                    <w:p w14:paraId="049ED577" w14:textId="77777777" w:rsidR="00600985" w:rsidRPr="002614FD" w:rsidRDefault="00600985" w:rsidP="008C6B45">
                      <w:pPr>
                        <w:jc w:val="center"/>
                        <w:rPr>
                          <w:b/>
                          <w:color w:val="B4C6E7" w:themeColor="accent5" w:themeTint="66"/>
                        </w:rPr>
                      </w:pPr>
                      <w:r w:rsidRPr="00C27030">
                        <w:rPr>
                          <w:b/>
                        </w:rPr>
                        <w:t>Viral swabs</w:t>
                      </w:r>
                    </w:p>
                    <w:p w14:paraId="5C6FEAAE" w14:textId="57013177" w:rsidR="00600985" w:rsidRDefault="00600985" w:rsidP="008C6B45">
                      <w:pPr>
                        <w:jc w:val="center"/>
                      </w:pPr>
                      <w:r>
                        <w:t xml:space="preserve">Processed for respiratory PCRs at STH </w:t>
                      </w:r>
                      <w:r>
                        <w:rPr>
                          <w:b/>
                        </w:rPr>
                        <w:t>(S</w:t>
                      </w:r>
                      <w:r w:rsidRPr="002614FD">
                        <w:rPr>
                          <w:b/>
                        </w:rPr>
                        <w:t xml:space="preserve">tudy 2 </w:t>
                      </w:r>
                      <w:r w:rsidRPr="00B00CAC">
                        <w:rPr>
                          <w:b/>
                        </w:rPr>
                        <w:t>only</w:t>
                      </w:r>
                      <w:r>
                        <w:rPr>
                          <w:b/>
                        </w:rPr>
                        <w:t>;</w:t>
                      </w:r>
                      <w:r w:rsidRPr="00B00CAC">
                        <w:rPr>
                          <w:b/>
                        </w:rPr>
                        <w:t xml:space="preserve"> </w:t>
                      </w:r>
                      <w:r w:rsidRPr="00B00CAC">
                        <w:rPr>
                          <w:bCs/>
                        </w:rPr>
                        <w:t>at the beginning of exacerbations</w:t>
                      </w:r>
                      <w:r>
                        <w:rPr>
                          <w:b/>
                        </w:rPr>
                        <w:t>)</w:t>
                      </w:r>
                    </w:p>
                  </w:txbxContent>
                </v:textbox>
              </v:shape>
            </w:pict>
          </mc:Fallback>
        </mc:AlternateContent>
      </w:r>
    </w:p>
    <w:p w14:paraId="5A138EFA" w14:textId="2B7D911C"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985408" behindDoc="0" locked="0" layoutInCell="1" allowOverlap="1" wp14:anchorId="4B7FB4AC" wp14:editId="0880DD51">
                <wp:simplePos x="0" y="0"/>
                <wp:positionH relativeFrom="column">
                  <wp:posOffset>2837612</wp:posOffset>
                </wp:positionH>
                <wp:positionV relativeFrom="paragraph">
                  <wp:posOffset>74067</wp:posOffset>
                </wp:positionV>
                <wp:extent cx="7620" cy="221615"/>
                <wp:effectExtent l="88900" t="12700" r="43180" b="32385"/>
                <wp:wrapNone/>
                <wp:docPr id="516" name="Straight Arrow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161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BD913F3" id="Straight Arrow Connector 516" o:spid="_x0000_s1026" type="#_x0000_t32" style="position:absolute;margin-left:223.45pt;margin-top:5.85pt;width:.6pt;height:17.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" strokecolor="windowText" strokeweight="2.25pt">
                <v:stroke endarrow="open" joinstyle="miter"/>
                <o:lock v:ext="edit" shapetype="f"/>
              </v:shape>
            </w:pict>
          </mc:Fallback>
        </mc:AlternateContent>
      </w:r>
      <w:r>
        <w:rPr>
          <w:noProof/>
        </w:rPr>
        <mc:AlternateContent>
          <mc:Choice Requires="wps">
            <w:drawing>
              <wp:anchor distT="0" distB="0" distL="114300" distR="114300" simplePos="0" relativeHeight="251638272" behindDoc="0" locked="0" layoutInCell="1" allowOverlap="1" wp14:anchorId="0CE46717" wp14:editId="778AC9F1">
                <wp:simplePos x="0" y="0"/>
                <wp:positionH relativeFrom="column">
                  <wp:posOffset>4810125</wp:posOffset>
                </wp:positionH>
                <wp:positionV relativeFrom="paragraph">
                  <wp:posOffset>68580</wp:posOffset>
                </wp:positionV>
                <wp:extent cx="1819275" cy="763270"/>
                <wp:effectExtent l="0" t="0" r="28575" b="17780"/>
                <wp:wrapNone/>
                <wp:docPr id="69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763270"/>
                        </a:xfrm>
                        <a:prstGeom prst="rect">
                          <a:avLst/>
                        </a:prstGeom>
                        <a:solidFill>
                          <a:srgbClr val="FFC000">
                            <a:lumMod val="20000"/>
                            <a:lumOff val="80000"/>
                          </a:srgbClr>
                        </a:solidFill>
                        <a:ln w="6350">
                          <a:solidFill>
                            <a:prstClr val="black"/>
                          </a:solidFill>
                        </a:ln>
                        <a:effectLst/>
                      </wps:spPr>
                      <wps:txbx>
                        <w:txbxContent>
                          <w:p w14:paraId="67EF6110" w14:textId="77777777" w:rsidR="00600985" w:rsidRDefault="00600985" w:rsidP="00B00CAC">
                            <w:pPr>
                              <w:jc w:val="center"/>
                            </w:pPr>
                            <w:r w:rsidRPr="00B00CAC">
                              <w:rPr>
                                <w:b/>
                                <w:bCs/>
                              </w:rPr>
                              <w:t>Study 3</w:t>
                            </w:r>
                            <w:r>
                              <w:t xml:space="preserve"> </w:t>
                            </w:r>
                          </w:p>
                          <w:p w14:paraId="0BA6A5D7" w14:textId="32C140F7" w:rsidR="00600985" w:rsidRDefault="00600985" w:rsidP="00B00CAC">
                            <w:pPr>
                              <w:jc w:val="center"/>
                            </w:pPr>
                            <w:r>
                              <w:t>Bacterial isolates frozen at -80</w:t>
                            </w:r>
                            <w:r>
                              <w:rPr>
                                <w:rFonts w:cstheme="minorHAnsi"/>
                              </w:rPr>
                              <w:t>°C and 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46717" id="Text Box 694" o:spid="_x0000_s1030" type="#_x0000_t202" style="position:absolute;margin-left:378.75pt;margin-top:5.4pt;width:143.25pt;height:60.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" fillcolor="#fff2cc" strokeweight=".5pt">
                <v:path arrowok="t"/>
                <v:textbox>
                  <w:txbxContent>
                    <w:p w14:paraId="67EF6110" w14:textId="77777777" w:rsidR="00600985" w:rsidRDefault="00600985" w:rsidP="00B00CAC">
                      <w:pPr>
                        <w:jc w:val="center"/>
                      </w:pPr>
                      <w:r w:rsidRPr="00B00CAC">
                        <w:rPr>
                          <w:b/>
                          <w:bCs/>
                        </w:rPr>
                        <w:t>Study 3</w:t>
                      </w:r>
                      <w:r>
                        <w:t xml:space="preserve"> </w:t>
                      </w:r>
                    </w:p>
                    <w:p w14:paraId="0BA6A5D7" w14:textId="32C140F7" w:rsidR="00600985" w:rsidRDefault="00600985" w:rsidP="00B00CAC">
                      <w:pPr>
                        <w:jc w:val="center"/>
                      </w:pPr>
                      <w:r>
                        <w:t>Bacterial isolates frozen at -80</w:t>
                      </w:r>
                      <w:r>
                        <w:rPr>
                          <w:rFonts w:cstheme="minorHAnsi"/>
                        </w:rPr>
                        <w:t>°C and stored</w:t>
                      </w:r>
                    </w:p>
                  </w:txbxContent>
                </v:textbox>
              </v:shape>
            </w:pict>
          </mc:Fallback>
        </mc:AlternateContent>
      </w:r>
    </w:p>
    <w:p w14:paraId="3B60ED7A" w14:textId="25EDCBA8" w:rsidR="004A4CDE" w:rsidRPr="00241369" w:rsidRDefault="004A4CDE" w:rsidP="00A14CB0">
      <w:pPr>
        <w:shd w:val="clear" w:color="auto" w:fill="FFFFFF" w:themeFill="background1"/>
      </w:pPr>
    </w:p>
    <w:p w14:paraId="1083474D" w14:textId="5DDEC7F3"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637248" behindDoc="0" locked="0" layoutInCell="1" allowOverlap="1" wp14:anchorId="6CF118E0" wp14:editId="7D92B5F1">
                <wp:simplePos x="0" y="0"/>
                <wp:positionH relativeFrom="column">
                  <wp:posOffset>1769745</wp:posOffset>
                </wp:positionH>
                <wp:positionV relativeFrom="paragraph">
                  <wp:posOffset>10795</wp:posOffset>
                </wp:positionV>
                <wp:extent cx="2106295" cy="1002665"/>
                <wp:effectExtent l="0" t="0" r="27305" b="26035"/>
                <wp:wrapNone/>
                <wp:docPr id="692"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6295" cy="1002665"/>
                        </a:xfrm>
                        <a:prstGeom prst="rect">
                          <a:avLst/>
                        </a:prstGeom>
                        <a:solidFill>
                          <a:sysClr val="window" lastClr="FFFFFF"/>
                        </a:solidFill>
                        <a:ln w="6350">
                          <a:solidFill>
                            <a:prstClr val="black"/>
                          </a:solidFill>
                        </a:ln>
                        <a:effectLst/>
                      </wps:spPr>
                      <wps:txbx>
                        <w:txbxContent>
                          <w:p w14:paraId="09DC0D92" w14:textId="77777777" w:rsidR="00600985" w:rsidRPr="00C27030" w:rsidRDefault="00600985" w:rsidP="008C6B45">
                            <w:pPr>
                              <w:jc w:val="center"/>
                              <w:rPr>
                                <w:b/>
                              </w:rPr>
                            </w:pPr>
                            <w:r w:rsidRPr="00C27030">
                              <w:rPr>
                                <w:b/>
                              </w:rPr>
                              <w:t>DNPS</w:t>
                            </w:r>
                          </w:p>
                          <w:p w14:paraId="5A0146C5" w14:textId="77777777" w:rsidR="00600985" w:rsidRDefault="00600985" w:rsidP="008C6B45">
                            <w:pPr>
                              <w:jc w:val="center"/>
                            </w:pPr>
                            <w:r>
                              <w:t>Bacterial culture</w:t>
                            </w:r>
                          </w:p>
                          <w:p w14:paraId="7E04DE43" w14:textId="77777777" w:rsidR="00600985" w:rsidRDefault="00600985" w:rsidP="008C6B45">
                            <w:pPr>
                              <w:jc w:val="center"/>
                            </w:pPr>
                            <w:r>
                              <w:t>MIC testing</w:t>
                            </w:r>
                          </w:p>
                          <w:p w14:paraId="1BCFA35B" w14:textId="5E78C170" w:rsidR="00600985" w:rsidRDefault="00600985" w:rsidP="008C6B45">
                            <w:pPr>
                              <w:jc w:val="center"/>
                            </w:pPr>
                            <w:r>
                              <w:t xml:space="preserve">Carried out at STH (Studies 1 </w:t>
                            </w:r>
                            <w:r w:rsidR="002B6C9B">
                              <w:t>and</w:t>
                            </w:r>
                            <w:r>
                              <w:t xml:space="preserve"> 2)</w:t>
                            </w:r>
                          </w:p>
                          <w:p w14:paraId="07BAAD02" w14:textId="77777777" w:rsidR="00600985" w:rsidRDefault="00600985" w:rsidP="004A4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18E0" id="Text Box 692" o:spid="_x0000_s1031" type="#_x0000_t202" style="position:absolute;margin-left:139.35pt;margin-top:.85pt;width:165.85pt;height:78.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" fillcolor="window" strokeweight=".5pt">
                <v:path arrowok="t"/>
                <v:textbox>
                  <w:txbxContent>
                    <w:p w14:paraId="09DC0D92" w14:textId="77777777" w:rsidR="00600985" w:rsidRPr="00C27030" w:rsidRDefault="00600985" w:rsidP="008C6B45">
                      <w:pPr>
                        <w:jc w:val="center"/>
                        <w:rPr>
                          <w:b/>
                        </w:rPr>
                      </w:pPr>
                      <w:r w:rsidRPr="00C27030">
                        <w:rPr>
                          <w:b/>
                        </w:rPr>
                        <w:t>DNPS</w:t>
                      </w:r>
                    </w:p>
                    <w:p w14:paraId="5A0146C5" w14:textId="77777777" w:rsidR="00600985" w:rsidRDefault="00600985" w:rsidP="008C6B45">
                      <w:pPr>
                        <w:jc w:val="center"/>
                      </w:pPr>
                      <w:r>
                        <w:t>Bacterial culture</w:t>
                      </w:r>
                    </w:p>
                    <w:p w14:paraId="7E04DE43" w14:textId="77777777" w:rsidR="00600985" w:rsidRDefault="00600985" w:rsidP="008C6B45">
                      <w:pPr>
                        <w:jc w:val="center"/>
                      </w:pPr>
                      <w:r>
                        <w:t>MIC testing</w:t>
                      </w:r>
                    </w:p>
                    <w:p w14:paraId="1BCFA35B" w14:textId="5E78C170" w:rsidR="00600985" w:rsidRDefault="00600985" w:rsidP="008C6B45">
                      <w:pPr>
                        <w:jc w:val="center"/>
                      </w:pPr>
                      <w:r>
                        <w:t xml:space="preserve">Carried out at STH (Studies 1 </w:t>
                      </w:r>
                      <w:r w:rsidR="002B6C9B">
                        <w:t>and</w:t>
                      </w:r>
                      <w:r>
                        <w:t xml:space="preserve"> 2)</w:t>
                      </w:r>
                    </w:p>
                    <w:p w14:paraId="07BAAD02" w14:textId="77777777" w:rsidR="00600985" w:rsidRDefault="00600985" w:rsidP="004A4CDE"/>
                  </w:txbxContent>
                </v:textbox>
              </v:shape>
            </w:pict>
          </mc:Fallback>
        </mc:AlternateContent>
      </w:r>
    </w:p>
    <w:p w14:paraId="1753109E" w14:textId="46A9A05A"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647488" behindDoc="0" locked="0" layoutInCell="1" allowOverlap="1" wp14:anchorId="3FDC5B2A" wp14:editId="11B49224">
                <wp:simplePos x="0" y="0"/>
                <wp:positionH relativeFrom="column">
                  <wp:posOffset>3980484</wp:posOffset>
                </wp:positionH>
                <wp:positionV relativeFrom="paragraph">
                  <wp:posOffset>29541</wp:posOffset>
                </wp:positionV>
                <wp:extent cx="709197" cy="0"/>
                <wp:effectExtent l="0" t="88900" r="0" b="88900"/>
                <wp:wrapNone/>
                <wp:docPr id="693" name="Straight Arrow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197"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EE3AB9" id="Straight Arrow Connector 693" o:spid="_x0000_s1026" type="#_x0000_t32" style="position:absolute;margin-left:313.4pt;margin-top:2.35pt;width:55.85pt;height:0;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" strokecolor="windowText" strokeweight="2.25pt">
                <v:stroke endarrow="open" joinstyle="miter"/>
                <o:lock v:ext="edit" shapetype="f"/>
              </v:shape>
            </w:pict>
          </mc:Fallback>
        </mc:AlternateContent>
      </w:r>
    </w:p>
    <w:p w14:paraId="68B1475A" w14:textId="43510FF3" w:rsidR="004A4CDE" w:rsidRPr="00241369" w:rsidRDefault="00C82B2A" w:rsidP="00A14CB0">
      <w:pPr>
        <w:shd w:val="clear" w:color="auto" w:fill="FFFFFF" w:themeFill="background1"/>
      </w:pPr>
      <w:r>
        <w:rPr>
          <w:noProof/>
        </w:rPr>
        <mc:AlternateContent>
          <mc:Choice Requires="wps">
            <w:drawing>
              <wp:anchor distT="0" distB="0" distL="114297" distR="114297" simplePos="0" relativeHeight="251812352" behindDoc="0" locked="0" layoutInCell="1" allowOverlap="1" wp14:anchorId="7C3BC97B" wp14:editId="24B7D993">
                <wp:simplePos x="0" y="0"/>
                <wp:positionH relativeFrom="column">
                  <wp:posOffset>5542915</wp:posOffset>
                </wp:positionH>
                <wp:positionV relativeFrom="paragraph">
                  <wp:posOffset>177995</wp:posOffset>
                </wp:positionV>
                <wp:extent cx="0" cy="359410"/>
                <wp:effectExtent l="76200" t="0" r="50800" b="3429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237915" id="Straight Arrow Connector 691" o:spid="_x0000_s1026" type="#_x0000_t32" style="position:absolute;margin-left:436.45pt;margin-top:14pt;width:0;height:28.3pt;z-index:251812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" strokecolor="black [3213]" strokeweight="3pt">
                <v:stroke endarrow="block" joinstyle="miter"/>
                <o:lock v:ext="edit" shapetype="f"/>
              </v:shape>
            </w:pict>
          </mc:Fallback>
        </mc:AlternateContent>
      </w:r>
    </w:p>
    <w:p w14:paraId="740B2C3F" w14:textId="01099BE5" w:rsidR="004A4CDE" w:rsidRPr="00241369" w:rsidRDefault="004A4CDE" w:rsidP="00A14CB0">
      <w:pPr>
        <w:shd w:val="clear" w:color="auto" w:fill="FFFFFF" w:themeFill="background1"/>
      </w:pPr>
    </w:p>
    <w:p w14:paraId="6BAD63F2" w14:textId="2413AF8E" w:rsidR="004A4CDE" w:rsidRPr="00241369" w:rsidRDefault="004A4CDE" w:rsidP="00A14CB0">
      <w:pPr>
        <w:shd w:val="clear" w:color="auto" w:fill="FFFFFF" w:themeFill="background1"/>
      </w:pPr>
    </w:p>
    <w:p w14:paraId="75E02CE1" w14:textId="6BD72ADC" w:rsidR="004A4CDE" w:rsidRPr="00241369" w:rsidRDefault="00C82B2A" w:rsidP="00A14CB0">
      <w:pPr>
        <w:shd w:val="clear" w:color="auto" w:fill="FFFFFF" w:themeFill="background1"/>
      </w:pPr>
      <w:r>
        <w:rPr>
          <w:noProof/>
        </w:rPr>
        <mc:AlternateContent>
          <mc:Choice Requires="wps">
            <w:drawing>
              <wp:anchor distT="45720" distB="45720" distL="114300" distR="114300" simplePos="0" relativeHeight="251814400" behindDoc="0" locked="0" layoutInCell="1" allowOverlap="1" wp14:anchorId="041DADBF" wp14:editId="1900C441">
                <wp:simplePos x="0" y="0"/>
                <wp:positionH relativeFrom="column">
                  <wp:posOffset>4667250</wp:posOffset>
                </wp:positionH>
                <wp:positionV relativeFrom="paragraph">
                  <wp:posOffset>28380</wp:posOffset>
                </wp:positionV>
                <wp:extent cx="1962150" cy="828675"/>
                <wp:effectExtent l="0" t="0" r="19050" b="9525"/>
                <wp:wrapSquare wrapText="bothSides"/>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28675"/>
                        </a:xfrm>
                        <a:prstGeom prst="rect">
                          <a:avLst/>
                        </a:prstGeom>
                        <a:solidFill>
                          <a:schemeClr val="accent4">
                            <a:lumMod val="20000"/>
                            <a:lumOff val="80000"/>
                          </a:schemeClr>
                        </a:solidFill>
                        <a:ln w="9525">
                          <a:solidFill>
                            <a:srgbClr val="000000"/>
                          </a:solidFill>
                          <a:miter lim="800000"/>
                          <a:headEnd/>
                          <a:tailEnd/>
                        </a:ln>
                      </wps:spPr>
                      <wps:txbx>
                        <w:txbxContent>
                          <w:p w14:paraId="6251F8D0" w14:textId="4C8F1C38" w:rsidR="00600985" w:rsidRDefault="00600985" w:rsidP="00B00CAC">
                            <w:pPr>
                              <w:jc w:val="center"/>
                            </w:pPr>
                            <w:r>
                              <w:t xml:space="preserve">Isolates </w:t>
                            </w:r>
                            <w:r w:rsidR="00C82B2A">
                              <w:t>sub-cultured</w:t>
                            </w:r>
                            <w:r>
                              <w:t xml:space="preserve"> at STH laboratory. Additional antibiotic susceptibility testing performed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DADBF" id="Text Box 688" o:spid="_x0000_s1032" type="#_x0000_t202" style="position:absolute;margin-left:367.5pt;margin-top:2.25pt;width:154.5pt;height:65.25pt;z-index:2518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" fillcolor="#fff2cc [663]">
                <v:textbox>
                  <w:txbxContent>
                    <w:p w14:paraId="6251F8D0" w14:textId="4C8F1C38" w:rsidR="00600985" w:rsidRDefault="00600985" w:rsidP="00B00CAC">
                      <w:pPr>
                        <w:jc w:val="center"/>
                      </w:pPr>
                      <w:r>
                        <w:t xml:space="preserve">Isolates </w:t>
                      </w:r>
                      <w:r w:rsidR="00C82B2A">
                        <w:t>sub-cultured</w:t>
                      </w:r>
                      <w:r>
                        <w:t xml:space="preserve"> at STH laboratory. Additional antibiotic susceptibility testing performed</w:t>
                      </w:r>
                    </w:p>
                  </w:txbxContent>
                </v:textbox>
                <w10:wrap type="square"/>
              </v:shape>
            </w:pict>
          </mc:Fallback>
        </mc:AlternateContent>
      </w:r>
    </w:p>
    <w:p w14:paraId="34269838" w14:textId="38942CA3" w:rsidR="004A4CDE" w:rsidRPr="00241369" w:rsidRDefault="002B6C9B" w:rsidP="00A14CB0">
      <w:pPr>
        <w:shd w:val="clear" w:color="auto" w:fill="FFFFFF" w:themeFill="background1"/>
      </w:pPr>
      <w:r>
        <w:rPr>
          <w:noProof/>
        </w:rPr>
        <mc:AlternateContent>
          <mc:Choice Requires="wps">
            <w:drawing>
              <wp:anchor distT="0" distB="0" distL="114297" distR="114297" simplePos="0" relativeHeight="251989504" behindDoc="0" locked="0" layoutInCell="1" allowOverlap="1" wp14:anchorId="4F29F0E0" wp14:editId="7C38BD4F">
                <wp:simplePos x="0" y="0"/>
                <wp:positionH relativeFrom="column">
                  <wp:posOffset>2839415</wp:posOffset>
                </wp:positionH>
                <wp:positionV relativeFrom="paragraph">
                  <wp:posOffset>87453</wp:posOffset>
                </wp:positionV>
                <wp:extent cx="0" cy="198755"/>
                <wp:effectExtent l="88900" t="0" r="38100" b="298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7A97AA" id="Straight Arrow Connector 10" o:spid="_x0000_s1026" type="#_x0000_t32" style="position:absolute;margin-left:223.6pt;margin-top:6.9pt;width:0;height:15.65pt;z-index:25198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" strokecolor="windowText" strokeweight="2.25pt">
                <v:stroke endarrow="open" joinstyle="miter"/>
                <o:lock v:ext="edit" shapetype="f"/>
              </v:shape>
            </w:pict>
          </mc:Fallback>
        </mc:AlternateContent>
      </w:r>
    </w:p>
    <w:p w14:paraId="47AA6626" w14:textId="667B84B5" w:rsidR="004A4CDE" w:rsidRPr="00241369" w:rsidRDefault="002B6C9B" w:rsidP="00A14CB0">
      <w:pPr>
        <w:shd w:val="clear" w:color="auto" w:fill="FFFFFF" w:themeFill="background1"/>
      </w:pPr>
      <w:r>
        <w:rPr>
          <w:noProof/>
        </w:rPr>
        <mc:AlternateContent>
          <mc:Choice Requires="wps">
            <w:drawing>
              <wp:anchor distT="0" distB="0" distL="114300" distR="114300" simplePos="0" relativeHeight="251640320" behindDoc="0" locked="0" layoutInCell="1" allowOverlap="1" wp14:anchorId="475C7E42" wp14:editId="565CB6B4">
                <wp:simplePos x="0" y="0"/>
                <wp:positionH relativeFrom="column">
                  <wp:posOffset>1956435</wp:posOffset>
                </wp:positionH>
                <wp:positionV relativeFrom="paragraph">
                  <wp:posOffset>148590</wp:posOffset>
                </wp:positionV>
                <wp:extent cx="1709420" cy="819150"/>
                <wp:effectExtent l="0" t="0" r="24130" b="1905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819150"/>
                        </a:xfrm>
                        <a:prstGeom prst="rect">
                          <a:avLst/>
                        </a:prstGeom>
                        <a:solidFill>
                          <a:srgbClr val="5B9BD5">
                            <a:lumMod val="40000"/>
                            <a:lumOff val="60000"/>
                          </a:srgbClr>
                        </a:solidFill>
                        <a:ln w="6350">
                          <a:solidFill>
                            <a:prstClr val="black"/>
                          </a:solidFill>
                        </a:ln>
                        <a:effectLst/>
                      </wps:spPr>
                      <wps:txbx>
                        <w:txbxContent>
                          <w:p w14:paraId="48E55D8B" w14:textId="77777777" w:rsidR="00600985" w:rsidRPr="00B82F4F" w:rsidRDefault="00600985" w:rsidP="008C6B45">
                            <w:pPr>
                              <w:jc w:val="center"/>
                              <w:rPr>
                                <w:b/>
                              </w:rPr>
                            </w:pPr>
                            <w:r w:rsidRPr="00B82F4F">
                              <w:rPr>
                                <w:b/>
                              </w:rPr>
                              <w:t>Study 2</w:t>
                            </w:r>
                          </w:p>
                          <w:p w14:paraId="22426B80" w14:textId="77777777" w:rsidR="00600985" w:rsidRDefault="00600985" w:rsidP="008C6B45">
                            <w:pPr>
                              <w:jc w:val="center"/>
                            </w:pPr>
                            <w:r>
                              <w:t>Remaining sample frozen at -80</w:t>
                            </w:r>
                            <w:r>
                              <w:rPr>
                                <w:rFonts w:cstheme="minorHAnsi"/>
                              </w:rPr>
                              <w:t>°C and stored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C7E42" id="Text Box 689" o:spid="_x0000_s1033" type="#_x0000_t202" style="position:absolute;margin-left:154.05pt;margin-top:11.7pt;width:134.6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" fillcolor="#bdd7ee" strokeweight=".5pt">
                <v:path arrowok="t"/>
                <v:textbox>
                  <w:txbxContent>
                    <w:p w14:paraId="48E55D8B" w14:textId="77777777" w:rsidR="00600985" w:rsidRPr="00B82F4F" w:rsidRDefault="00600985" w:rsidP="008C6B45">
                      <w:pPr>
                        <w:jc w:val="center"/>
                        <w:rPr>
                          <w:b/>
                        </w:rPr>
                      </w:pPr>
                      <w:r w:rsidRPr="00B82F4F">
                        <w:rPr>
                          <w:b/>
                        </w:rPr>
                        <w:t>Study 2</w:t>
                      </w:r>
                    </w:p>
                    <w:p w14:paraId="22426B80" w14:textId="77777777" w:rsidR="00600985" w:rsidRDefault="00600985" w:rsidP="008C6B45">
                      <w:pPr>
                        <w:jc w:val="center"/>
                      </w:pPr>
                      <w:r>
                        <w:t>Remaining sample frozen at -80</w:t>
                      </w:r>
                      <w:r>
                        <w:rPr>
                          <w:rFonts w:cstheme="minorHAnsi"/>
                        </w:rPr>
                        <w:t>°C and stored</w:t>
                      </w:r>
                    </w:p>
                  </w:txbxContent>
                </v:textbox>
              </v:shape>
            </w:pict>
          </mc:Fallback>
        </mc:AlternateContent>
      </w:r>
    </w:p>
    <w:p w14:paraId="6F1D966B" w14:textId="3111C35D" w:rsidR="004A4CDE" w:rsidRPr="00241369" w:rsidRDefault="004A4CDE" w:rsidP="00A14CB0">
      <w:pPr>
        <w:shd w:val="clear" w:color="auto" w:fill="FFFFFF" w:themeFill="background1"/>
      </w:pPr>
    </w:p>
    <w:p w14:paraId="5D20862C" w14:textId="52CCE4C3" w:rsidR="004A4CDE" w:rsidRPr="00241369" w:rsidRDefault="004A4CDE" w:rsidP="00A14CB0">
      <w:pPr>
        <w:shd w:val="clear" w:color="auto" w:fill="FFFFFF" w:themeFill="background1"/>
      </w:pPr>
    </w:p>
    <w:p w14:paraId="43C83733" w14:textId="3A331181" w:rsidR="004A4CDE" w:rsidRPr="00241369" w:rsidRDefault="00C82B2A" w:rsidP="00A14CB0">
      <w:pPr>
        <w:shd w:val="clear" w:color="auto" w:fill="FFFFFF" w:themeFill="background1"/>
      </w:pPr>
      <w:r>
        <w:rPr>
          <w:noProof/>
        </w:rPr>
        <mc:AlternateContent>
          <mc:Choice Requires="wps">
            <w:drawing>
              <wp:anchor distT="0" distB="0" distL="114297" distR="114297" simplePos="0" relativeHeight="251815424" behindDoc="0" locked="0" layoutInCell="1" allowOverlap="1" wp14:anchorId="02E6F6D2" wp14:editId="1DD1E101">
                <wp:simplePos x="0" y="0"/>
                <wp:positionH relativeFrom="column">
                  <wp:posOffset>5523865</wp:posOffset>
                </wp:positionH>
                <wp:positionV relativeFrom="paragraph">
                  <wp:posOffset>14165</wp:posOffset>
                </wp:positionV>
                <wp:extent cx="0" cy="359410"/>
                <wp:effectExtent l="76200" t="0" r="50800" b="34290"/>
                <wp:wrapNone/>
                <wp:docPr id="686"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7CA87A" id="Straight Arrow Connector 686" o:spid="_x0000_s1026" type="#_x0000_t32" style="position:absolute;margin-left:434.95pt;margin-top:1.1pt;width:0;height:28.3pt;z-index:251815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" strokecolor="black [3213]" strokeweight="3pt">
                <v:stroke endarrow="block" joinstyle="miter"/>
                <o:lock v:ext="edit" shapetype="f"/>
              </v:shape>
            </w:pict>
          </mc:Fallback>
        </mc:AlternateContent>
      </w:r>
    </w:p>
    <w:p w14:paraId="72FA8AF9" w14:textId="42D6A3EB" w:rsidR="004A4CDE" w:rsidRPr="00241369" w:rsidRDefault="004A4CDE" w:rsidP="00A14CB0">
      <w:pPr>
        <w:shd w:val="clear" w:color="auto" w:fill="FFFFFF" w:themeFill="background1"/>
      </w:pPr>
    </w:p>
    <w:p w14:paraId="10B25E6F" w14:textId="54336272" w:rsidR="004A4CDE" w:rsidRPr="00241369" w:rsidRDefault="002B6C9B" w:rsidP="00A14CB0">
      <w:pPr>
        <w:shd w:val="clear" w:color="auto" w:fill="FFFFFF" w:themeFill="background1"/>
      </w:pPr>
      <w:r>
        <w:rPr>
          <w:noProof/>
        </w:rPr>
        <mc:AlternateContent>
          <mc:Choice Requires="wps">
            <w:drawing>
              <wp:anchor distT="0" distB="0" distL="114297" distR="114297" simplePos="0" relativeHeight="251650560" behindDoc="0" locked="0" layoutInCell="1" allowOverlap="1" wp14:anchorId="4605DF40" wp14:editId="60E047FC">
                <wp:simplePos x="0" y="0"/>
                <wp:positionH relativeFrom="column">
                  <wp:posOffset>2827376</wp:posOffset>
                </wp:positionH>
                <wp:positionV relativeFrom="paragraph">
                  <wp:posOffset>148285</wp:posOffset>
                </wp:positionV>
                <wp:extent cx="0" cy="198755"/>
                <wp:effectExtent l="88900" t="0" r="38100" b="29845"/>
                <wp:wrapNone/>
                <wp:docPr id="687"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E04FC5B" id="Straight Arrow Connector 687" o:spid="_x0000_s1026" type="#_x0000_t32" style="position:absolute;margin-left:222.65pt;margin-top:11.7pt;width:0;height:15.65pt;z-index:2516505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" strokecolor="windowText" strokeweight="2.25pt">
                <v:stroke endarrow="open" joinstyle="miter"/>
                <o:lock v:ext="edit" shapetype="f"/>
              </v:shape>
            </w:pict>
          </mc:Fallback>
        </mc:AlternateContent>
      </w:r>
      <w:r w:rsidR="00C82B2A">
        <w:rPr>
          <w:noProof/>
        </w:rPr>
        <mc:AlternateContent>
          <mc:Choice Requires="wps">
            <w:drawing>
              <wp:anchor distT="45720" distB="45720" distL="114300" distR="114300" simplePos="0" relativeHeight="251817472" behindDoc="0" locked="0" layoutInCell="1" allowOverlap="1" wp14:anchorId="771E12A3" wp14:editId="18F369E1">
                <wp:simplePos x="0" y="0"/>
                <wp:positionH relativeFrom="column">
                  <wp:posOffset>4568190</wp:posOffset>
                </wp:positionH>
                <wp:positionV relativeFrom="paragraph">
                  <wp:posOffset>30675</wp:posOffset>
                </wp:positionV>
                <wp:extent cx="2171700" cy="441960"/>
                <wp:effectExtent l="0" t="0" r="12700" b="8890"/>
                <wp:wrapSquare wrapText="bothSides"/>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41960"/>
                        </a:xfrm>
                        <a:prstGeom prst="rect">
                          <a:avLst/>
                        </a:prstGeom>
                        <a:solidFill>
                          <a:schemeClr val="accent4">
                            <a:lumMod val="20000"/>
                            <a:lumOff val="80000"/>
                          </a:schemeClr>
                        </a:solidFill>
                        <a:ln w="9525">
                          <a:solidFill>
                            <a:srgbClr val="000000"/>
                          </a:solidFill>
                          <a:miter lim="800000"/>
                          <a:headEnd/>
                          <a:tailEnd/>
                        </a:ln>
                      </wps:spPr>
                      <wps:txbx>
                        <w:txbxContent>
                          <w:p w14:paraId="3597AC57" w14:textId="00160EF1" w:rsidR="00600985" w:rsidRDefault="00600985" w:rsidP="00B00CAC">
                            <w:pPr>
                              <w:jc w:val="center"/>
                            </w:pPr>
                            <w:r>
                              <w:t>DNA extracted from isolates</w:t>
                            </w:r>
                          </w:p>
                          <w:p w14:paraId="5E2C3D70" w14:textId="604441A8" w:rsidR="00600985" w:rsidRDefault="00600985" w:rsidP="00B00CAC">
                            <w:pPr>
                              <w:jc w:val="center"/>
                            </w:pPr>
                            <w:r>
                              <w:t xml:space="preserve">(Professor </w:t>
                            </w:r>
                            <w:proofErr w:type="spellStart"/>
                            <w:r>
                              <w:t>Condliffe’s</w:t>
                            </w:r>
                            <w:proofErr w:type="spellEnd"/>
                            <w:r>
                              <w:t xml:space="preserve"> laboratory)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E12A3" id="Text Box 684" o:spid="_x0000_s1034" type="#_x0000_t202" style="position:absolute;margin-left:359.7pt;margin-top:2.4pt;width:171pt;height:34.8pt;z-index:25181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" fillcolor="#fff2cc [663]">
                <v:textbox style="mso-fit-shape-to-text:t">
                  <w:txbxContent>
                    <w:p w14:paraId="3597AC57" w14:textId="00160EF1" w:rsidR="00600985" w:rsidRDefault="00600985" w:rsidP="00B00CAC">
                      <w:pPr>
                        <w:jc w:val="center"/>
                      </w:pPr>
                      <w:r>
                        <w:t>DNA extracted from isolates</w:t>
                      </w:r>
                    </w:p>
                    <w:p w14:paraId="5E2C3D70" w14:textId="604441A8" w:rsidR="00600985" w:rsidRDefault="00600985" w:rsidP="00B00CAC">
                      <w:pPr>
                        <w:jc w:val="center"/>
                      </w:pPr>
                      <w:r>
                        <w:t xml:space="preserve">(Professor </w:t>
                      </w:r>
                      <w:proofErr w:type="spellStart"/>
                      <w:r>
                        <w:t>Condliffe’s</w:t>
                      </w:r>
                      <w:proofErr w:type="spellEnd"/>
                      <w:r>
                        <w:t xml:space="preserve"> laboratory)</w:t>
                      </w:r>
                    </w:p>
                  </w:txbxContent>
                </v:textbox>
                <w10:wrap type="square"/>
              </v:shape>
            </w:pict>
          </mc:Fallback>
        </mc:AlternateContent>
      </w:r>
    </w:p>
    <w:p w14:paraId="7E2CC41F" w14:textId="3E3AAD16" w:rsidR="00F37694" w:rsidRDefault="00F37694" w:rsidP="00A14CB0">
      <w:pPr>
        <w:shd w:val="clear" w:color="auto" w:fill="FFFFFF" w:themeFill="background1"/>
      </w:pPr>
    </w:p>
    <w:p w14:paraId="295D1AB5" w14:textId="6C0EEF78" w:rsidR="00F37694" w:rsidRDefault="00E80F33" w:rsidP="00A14CB0">
      <w:pPr>
        <w:shd w:val="clear" w:color="auto" w:fill="FFFFFF" w:themeFill="background1"/>
      </w:pPr>
      <w:r>
        <w:rPr>
          <w:noProof/>
        </w:rPr>
        <mc:AlternateContent>
          <mc:Choice Requires="wps">
            <w:drawing>
              <wp:anchor distT="0" distB="0" distL="114300" distR="114300" simplePos="0" relativeHeight="251641344" behindDoc="0" locked="0" layoutInCell="1" allowOverlap="1" wp14:anchorId="5583F8E8" wp14:editId="0F620D0A">
                <wp:simplePos x="0" y="0"/>
                <wp:positionH relativeFrom="column">
                  <wp:posOffset>1579451</wp:posOffset>
                </wp:positionH>
                <wp:positionV relativeFrom="paragraph">
                  <wp:posOffset>128166</wp:posOffset>
                </wp:positionV>
                <wp:extent cx="2464435" cy="612775"/>
                <wp:effectExtent l="0" t="0" r="12065" b="2159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612775"/>
                        </a:xfrm>
                        <a:prstGeom prst="rect">
                          <a:avLst/>
                        </a:prstGeom>
                        <a:solidFill>
                          <a:schemeClr val="accent1">
                            <a:lumMod val="40000"/>
                            <a:lumOff val="60000"/>
                          </a:schemeClr>
                        </a:solidFill>
                        <a:ln w="9525">
                          <a:solidFill>
                            <a:srgbClr val="000000"/>
                          </a:solidFill>
                          <a:miter lim="800000"/>
                          <a:headEnd/>
                          <a:tailEnd/>
                        </a:ln>
                      </wps:spPr>
                      <wps:txbx>
                        <w:txbxContent>
                          <w:p w14:paraId="3A001D29" w14:textId="77777777" w:rsidR="00600985" w:rsidRDefault="00600985" w:rsidP="008C6B45">
                            <w:pPr>
                              <w:jc w:val="center"/>
                            </w:pPr>
                            <w:r>
                              <w:t xml:space="preserve">Samples transported on </w:t>
                            </w:r>
                            <w:r w:rsidRPr="00B00CAC">
                              <w:t xml:space="preserve">dry ice to the University of Edinburgh </w:t>
                            </w:r>
                          </w:p>
                          <w:p w14:paraId="75D362AB" w14:textId="02E76F98" w:rsidR="00600985" w:rsidRDefault="00600985" w:rsidP="008C6B45">
                            <w:pPr>
                              <w:jc w:val="center"/>
                            </w:pPr>
                            <w:r w:rsidRPr="00B00CAC">
                              <w:t xml:space="preserve"> (Professor Bogaert’s laboratory)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83F8E8" id="Text Box 685" o:spid="_x0000_s1035" type="#_x0000_t202" style="position:absolute;margin-left:124.35pt;margin-top:10.1pt;width:194.05pt;height:48.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" fillcolor="#bdd6ee [1300]">
                <v:textbox style="mso-fit-shape-to-text:t">
                  <w:txbxContent>
                    <w:p w14:paraId="3A001D29" w14:textId="77777777" w:rsidR="00600985" w:rsidRDefault="00600985" w:rsidP="008C6B45">
                      <w:pPr>
                        <w:jc w:val="center"/>
                      </w:pPr>
                      <w:r>
                        <w:t xml:space="preserve">Samples transported on </w:t>
                      </w:r>
                      <w:r w:rsidRPr="00B00CAC">
                        <w:t xml:space="preserve">dry ice to the University of Edinburgh </w:t>
                      </w:r>
                    </w:p>
                    <w:p w14:paraId="75D362AB" w14:textId="02E76F98" w:rsidR="00600985" w:rsidRDefault="00600985" w:rsidP="008C6B45">
                      <w:pPr>
                        <w:jc w:val="center"/>
                      </w:pPr>
                      <w:r w:rsidRPr="00B00CAC">
                        <w:t xml:space="preserve"> (Professor Bogaert’s laboratory)</w:t>
                      </w:r>
                    </w:p>
                  </w:txbxContent>
                </v:textbox>
              </v:shape>
            </w:pict>
          </mc:Fallback>
        </mc:AlternateContent>
      </w:r>
    </w:p>
    <w:p w14:paraId="710286BD" w14:textId="13B3C758" w:rsidR="00F37694" w:rsidRDefault="00C82B2A" w:rsidP="00A14CB0">
      <w:pPr>
        <w:shd w:val="clear" w:color="auto" w:fill="FFFFFF" w:themeFill="background1"/>
      </w:pPr>
      <w:r>
        <w:rPr>
          <w:noProof/>
        </w:rPr>
        <mc:AlternateContent>
          <mc:Choice Requires="wps">
            <w:drawing>
              <wp:anchor distT="0" distB="0" distL="114297" distR="114297" simplePos="0" relativeHeight="251818496" behindDoc="0" locked="0" layoutInCell="1" allowOverlap="1" wp14:anchorId="4A33B8D2" wp14:editId="1F819311">
                <wp:simplePos x="0" y="0"/>
                <wp:positionH relativeFrom="column">
                  <wp:posOffset>5514340</wp:posOffset>
                </wp:positionH>
                <wp:positionV relativeFrom="paragraph">
                  <wp:posOffset>168470</wp:posOffset>
                </wp:positionV>
                <wp:extent cx="0" cy="360000"/>
                <wp:effectExtent l="76200" t="0" r="50800" b="34290"/>
                <wp:wrapNone/>
                <wp:docPr id="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35E293" id="Straight Arrow Connector 682" o:spid="_x0000_s1026" type="#_x0000_t32" style="position:absolute;margin-left:434.2pt;margin-top:13.25pt;width:0;height:28.35pt;z-index:251818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" strokecolor="black [3213]" strokeweight="3pt">
                <v:stroke endarrow="block" joinstyle="miter"/>
                <o:lock v:ext="edit" shapetype="f"/>
              </v:shape>
            </w:pict>
          </mc:Fallback>
        </mc:AlternateContent>
      </w:r>
    </w:p>
    <w:p w14:paraId="295D9D0A" w14:textId="761B6F5A" w:rsidR="00F37694" w:rsidRDefault="00F37694" w:rsidP="00A14CB0">
      <w:pPr>
        <w:shd w:val="clear" w:color="auto" w:fill="FFFFFF" w:themeFill="background1"/>
      </w:pPr>
    </w:p>
    <w:p w14:paraId="25DD7210" w14:textId="12BF4C3A" w:rsidR="004A4CDE" w:rsidRPr="00241369" w:rsidRDefault="00C82B2A" w:rsidP="00A14CB0">
      <w:pPr>
        <w:shd w:val="clear" w:color="auto" w:fill="FFFFFF" w:themeFill="background1"/>
      </w:pPr>
      <w:r>
        <w:rPr>
          <w:noProof/>
        </w:rPr>
        <mc:AlternateContent>
          <mc:Choice Requires="wps">
            <w:drawing>
              <wp:anchor distT="45720" distB="45720" distL="114300" distR="114300" simplePos="0" relativeHeight="251820544" behindDoc="0" locked="0" layoutInCell="1" allowOverlap="1" wp14:anchorId="010D7EF3" wp14:editId="49F29379">
                <wp:simplePos x="0" y="0"/>
                <wp:positionH relativeFrom="column">
                  <wp:posOffset>4667250</wp:posOffset>
                </wp:positionH>
                <wp:positionV relativeFrom="paragraph">
                  <wp:posOffset>179705</wp:posOffset>
                </wp:positionV>
                <wp:extent cx="2002155" cy="828675"/>
                <wp:effectExtent l="0" t="0" r="17145" b="9525"/>
                <wp:wrapSquare wrapText="bothSides"/>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828675"/>
                        </a:xfrm>
                        <a:prstGeom prst="rect">
                          <a:avLst/>
                        </a:prstGeom>
                        <a:solidFill>
                          <a:schemeClr val="accent4">
                            <a:lumMod val="20000"/>
                            <a:lumOff val="80000"/>
                          </a:schemeClr>
                        </a:solidFill>
                        <a:ln w="9525">
                          <a:solidFill>
                            <a:srgbClr val="000000"/>
                          </a:solidFill>
                          <a:miter lim="800000"/>
                          <a:headEnd/>
                          <a:tailEnd/>
                        </a:ln>
                      </wps:spPr>
                      <wps:txbx>
                        <w:txbxContent>
                          <w:p w14:paraId="4E617D0C" w14:textId="45CA53EA" w:rsidR="00600985" w:rsidRDefault="00600985" w:rsidP="00437513">
                            <w:pPr>
                              <w:jc w:val="center"/>
                            </w:pPr>
                            <w:r>
                              <w:t>Subset of S. pneumoniae isolates sequenced (</w:t>
                            </w:r>
                            <w:proofErr w:type="spellStart"/>
                            <w:r>
                              <w:t>MicrobesNG</w:t>
                            </w:r>
                            <w:proofErr w:type="spellEnd"/>
                            <w:r>
                              <w:t>)</w:t>
                            </w:r>
                          </w:p>
                          <w:p w14:paraId="7A5A8F7C" w14:textId="00FDE4E6" w:rsidR="00600985" w:rsidRDefault="00600985" w:rsidP="00437513">
                            <w:pPr>
                              <w:jc w:val="center"/>
                            </w:pPr>
                            <w:r>
                              <w:t>All samples then destroyed</w:t>
                            </w:r>
                          </w:p>
                          <w:p w14:paraId="290E9F7B" w14:textId="77777777" w:rsidR="00600985" w:rsidRDefault="00600985" w:rsidP="00B00CA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D7EF3" id="Text Box 680" o:spid="_x0000_s1036" type="#_x0000_t202" style="position:absolute;margin-left:367.5pt;margin-top:14.15pt;width:157.65pt;height:65.25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" fillcolor="#fff2cc [663]">
                <v:textbox>
                  <w:txbxContent>
                    <w:p w14:paraId="4E617D0C" w14:textId="45CA53EA" w:rsidR="00600985" w:rsidRDefault="00600985" w:rsidP="00437513">
                      <w:pPr>
                        <w:jc w:val="center"/>
                      </w:pPr>
                      <w:r>
                        <w:t>Subset of S. pneumoniae isolates sequenced (</w:t>
                      </w:r>
                      <w:proofErr w:type="spellStart"/>
                      <w:r>
                        <w:t>MicrobesNG</w:t>
                      </w:r>
                      <w:proofErr w:type="spellEnd"/>
                      <w:r>
                        <w:t>)</w:t>
                      </w:r>
                    </w:p>
                    <w:p w14:paraId="7A5A8F7C" w14:textId="00FDE4E6" w:rsidR="00600985" w:rsidRDefault="00600985" w:rsidP="00437513">
                      <w:pPr>
                        <w:jc w:val="center"/>
                      </w:pPr>
                      <w:r>
                        <w:t>All samples then destroyed</w:t>
                      </w:r>
                    </w:p>
                    <w:p w14:paraId="290E9F7B" w14:textId="77777777" w:rsidR="00600985" w:rsidRDefault="00600985" w:rsidP="00B00CAC">
                      <w:pPr>
                        <w:jc w:val="center"/>
                      </w:pPr>
                    </w:p>
                  </w:txbxContent>
                </v:textbox>
                <w10:wrap type="square"/>
              </v:shape>
            </w:pict>
          </mc:Fallback>
        </mc:AlternateContent>
      </w:r>
    </w:p>
    <w:p w14:paraId="3B6D89F5" w14:textId="4FDC0D95" w:rsidR="004A4CDE" w:rsidRPr="00241369" w:rsidRDefault="00E80F33" w:rsidP="00A14CB0">
      <w:pPr>
        <w:shd w:val="clear" w:color="auto" w:fill="FFFFFF" w:themeFill="background1"/>
      </w:pPr>
      <w:r>
        <w:rPr>
          <w:noProof/>
        </w:rPr>
        <mc:AlternateContent>
          <mc:Choice Requires="wps">
            <w:drawing>
              <wp:anchor distT="0" distB="0" distL="114297" distR="114297" simplePos="0" relativeHeight="251651584" behindDoc="0" locked="0" layoutInCell="1" allowOverlap="1" wp14:anchorId="0D7C8DA6" wp14:editId="61ED31CF">
                <wp:simplePos x="0" y="0"/>
                <wp:positionH relativeFrom="column">
                  <wp:posOffset>2821940</wp:posOffset>
                </wp:positionH>
                <wp:positionV relativeFrom="paragraph">
                  <wp:posOffset>72390</wp:posOffset>
                </wp:positionV>
                <wp:extent cx="0" cy="222885"/>
                <wp:effectExtent l="88900" t="0" r="38100" b="31115"/>
                <wp:wrapNone/>
                <wp:docPr id="683"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BC85894" id="_x0000_t32" coordsize="21600,21600" o:spt="32" o:oned="t" path="m,l21600,21600e" filled="f">
                <v:path arrowok="t" fillok="f" o:connecttype="none"/>
                <o:lock v:ext="edit" shapetype="t"/>
              </v:shapetype>
              <v:shape id="Straight Arrow Connector 683" o:spid="_x0000_s1026" type="#_x0000_t32" style="position:absolute;margin-left:222.2pt;margin-top:5.7pt;width:0;height:17.55pt;z-index:251651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" strokecolor="windowText" strokeweight="2.25pt">
                <v:stroke endarrow="open" joinstyle="miter"/>
                <o:lock v:ext="edit" shapetype="f"/>
              </v:shape>
            </w:pict>
          </mc:Fallback>
        </mc:AlternateContent>
      </w:r>
    </w:p>
    <w:p w14:paraId="7452540B" w14:textId="6440EC14" w:rsidR="004A4CDE" w:rsidRDefault="00E80F33" w:rsidP="00A14CB0">
      <w:pPr>
        <w:shd w:val="clear" w:color="auto" w:fill="FFFFFF" w:themeFill="background1"/>
      </w:pPr>
      <w:r>
        <w:rPr>
          <w:noProof/>
        </w:rPr>
        <mc:AlternateContent>
          <mc:Choice Requires="wps">
            <w:drawing>
              <wp:anchor distT="0" distB="0" distL="114300" distR="114300" simplePos="0" relativeHeight="251642368" behindDoc="0" locked="0" layoutInCell="1" allowOverlap="1" wp14:anchorId="7DD5CDA1" wp14:editId="56D9CB46">
                <wp:simplePos x="0" y="0"/>
                <wp:positionH relativeFrom="column">
                  <wp:posOffset>1634490</wp:posOffset>
                </wp:positionH>
                <wp:positionV relativeFrom="paragraph">
                  <wp:posOffset>155944</wp:posOffset>
                </wp:positionV>
                <wp:extent cx="2433955" cy="492760"/>
                <wp:effectExtent l="0" t="0" r="17145" b="1524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492760"/>
                        </a:xfrm>
                        <a:prstGeom prst="rect">
                          <a:avLst/>
                        </a:prstGeom>
                        <a:solidFill>
                          <a:schemeClr val="accent1">
                            <a:lumMod val="40000"/>
                            <a:lumOff val="60000"/>
                          </a:schemeClr>
                        </a:solidFill>
                        <a:ln w="6350">
                          <a:solidFill>
                            <a:prstClr val="black"/>
                          </a:solidFill>
                        </a:ln>
                        <a:effectLst/>
                      </wps:spPr>
                      <wps:txbx>
                        <w:txbxContent>
                          <w:p w14:paraId="651669C1" w14:textId="5265079B" w:rsidR="00600985" w:rsidRDefault="00600985" w:rsidP="008C6B45">
                            <w:pPr>
                              <w:jc w:val="center"/>
                            </w:pPr>
                            <w:r>
                              <w:t>DNA extracted and 16s analysis 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CDA1" id="Text Box 681" o:spid="_x0000_s1037" type="#_x0000_t202" style="position:absolute;margin-left:128.7pt;margin-top:12.3pt;width:191.65pt;height:3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" fillcolor="#bdd6ee [1300]" strokeweight=".5pt">
                <v:path arrowok="t"/>
                <v:textbox>
                  <w:txbxContent>
                    <w:p w14:paraId="651669C1" w14:textId="5265079B" w:rsidR="00600985" w:rsidRDefault="00600985" w:rsidP="008C6B45">
                      <w:pPr>
                        <w:jc w:val="center"/>
                      </w:pPr>
                      <w:r>
                        <w:t>DNA extracted and 16s analysis performed</w:t>
                      </w:r>
                    </w:p>
                  </w:txbxContent>
                </v:textbox>
              </v:shape>
            </w:pict>
          </mc:Fallback>
        </mc:AlternateContent>
      </w:r>
    </w:p>
    <w:p w14:paraId="4AAA7F28" w14:textId="68419074" w:rsidR="00F37694" w:rsidRDefault="00F37694" w:rsidP="00A14CB0">
      <w:pPr>
        <w:shd w:val="clear" w:color="auto" w:fill="FFFFFF" w:themeFill="background1"/>
      </w:pPr>
    </w:p>
    <w:p w14:paraId="7EA6F18A" w14:textId="0C98A496" w:rsidR="00F37694" w:rsidRDefault="00F37694" w:rsidP="00A14CB0">
      <w:pPr>
        <w:shd w:val="clear" w:color="auto" w:fill="FFFFFF" w:themeFill="background1"/>
      </w:pPr>
    </w:p>
    <w:p w14:paraId="6CC5C71A" w14:textId="46C38463" w:rsidR="00F37694" w:rsidRDefault="00E80F33" w:rsidP="00A14CB0">
      <w:pPr>
        <w:shd w:val="clear" w:color="auto" w:fill="FFFFFF" w:themeFill="background1"/>
      </w:pPr>
      <w:r>
        <w:rPr>
          <w:noProof/>
        </w:rPr>
        <mc:AlternateContent>
          <mc:Choice Requires="wps">
            <w:drawing>
              <wp:anchor distT="0" distB="0" distL="114297" distR="114297" simplePos="0" relativeHeight="251652608" behindDoc="0" locked="0" layoutInCell="1" allowOverlap="1" wp14:anchorId="06FF33FF" wp14:editId="471B2B25">
                <wp:simplePos x="0" y="0"/>
                <wp:positionH relativeFrom="column">
                  <wp:posOffset>2840031</wp:posOffset>
                </wp:positionH>
                <wp:positionV relativeFrom="paragraph">
                  <wp:posOffset>124770</wp:posOffset>
                </wp:positionV>
                <wp:extent cx="0" cy="286385"/>
                <wp:effectExtent l="88900" t="0" r="76200" b="31115"/>
                <wp:wrapNone/>
                <wp:docPr id="679"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385"/>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E747B4B" id="Straight Arrow Connector 679" o:spid="_x0000_s1026" type="#_x0000_t32" style="position:absolute;margin-left:223.6pt;margin-top:9.8pt;width:0;height:22.55pt;z-index:251652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" strokecolor="windowText" strokeweight="2.25pt">
                <v:stroke endarrow="open" joinstyle="miter"/>
                <o:lock v:ext="edit" shapetype="f"/>
              </v:shape>
            </w:pict>
          </mc:Fallback>
        </mc:AlternateContent>
      </w:r>
    </w:p>
    <w:p w14:paraId="67B479B5" w14:textId="5757E092" w:rsidR="00F37694" w:rsidRDefault="00F37694" w:rsidP="00A14CB0">
      <w:pPr>
        <w:shd w:val="clear" w:color="auto" w:fill="FFFFFF" w:themeFill="background1"/>
      </w:pPr>
    </w:p>
    <w:p w14:paraId="418D03D8" w14:textId="22999087" w:rsidR="00F37694" w:rsidRDefault="00E80F33" w:rsidP="00A14CB0">
      <w:pPr>
        <w:shd w:val="clear" w:color="auto" w:fill="FFFFFF" w:themeFill="background1"/>
      </w:pPr>
      <w:r>
        <w:rPr>
          <w:noProof/>
        </w:rPr>
        <mc:AlternateContent>
          <mc:Choice Requires="wps">
            <w:drawing>
              <wp:anchor distT="0" distB="0" distL="114300" distR="114300" simplePos="0" relativeHeight="251643392" behindDoc="0" locked="0" layoutInCell="1" allowOverlap="1" wp14:anchorId="4443832B" wp14:editId="69659606">
                <wp:simplePos x="0" y="0"/>
                <wp:positionH relativeFrom="column">
                  <wp:posOffset>1951990</wp:posOffset>
                </wp:positionH>
                <wp:positionV relativeFrom="paragraph">
                  <wp:posOffset>162295</wp:posOffset>
                </wp:positionV>
                <wp:extent cx="1764665" cy="323850"/>
                <wp:effectExtent l="0" t="0" r="13335" b="1905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23850"/>
                        </a:xfrm>
                        <a:prstGeom prst="rect">
                          <a:avLst/>
                        </a:prstGeom>
                        <a:solidFill>
                          <a:schemeClr val="accent1">
                            <a:lumMod val="40000"/>
                            <a:lumOff val="60000"/>
                          </a:schemeClr>
                        </a:solidFill>
                        <a:ln w="9525">
                          <a:solidFill>
                            <a:srgbClr val="000000"/>
                          </a:solidFill>
                          <a:miter lim="800000"/>
                          <a:headEnd/>
                          <a:tailEnd/>
                        </a:ln>
                      </wps:spPr>
                      <wps:txbx>
                        <w:txbxContent>
                          <w:p w14:paraId="72B2CB05" w14:textId="7928B4B3" w:rsidR="00600985" w:rsidRDefault="00600985" w:rsidP="008C6B45">
                            <w:pPr>
                              <w:jc w:val="center"/>
                            </w:pPr>
                            <w:r>
                              <w:t>All samples destroyed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832B" id="Text Box 678" o:spid="_x0000_s1038" type="#_x0000_t202" style="position:absolute;margin-left:153.7pt;margin-top:12.8pt;width:138.9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" fillcolor="#bdd6ee [1300]">
                <v:textbox>
                  <w:txbxContent>
                    <w:p w14:paraId="72B2CB05" w14:textId="7928B4B3" w:rsidR="00600985" w:rsidRDefault="00600985" w:rsidP="008C6B45">
                      <w:pPr>
                        <w:jc w:val="center"/>
                      </w:pPr>
                      <w:r>
                        <w:t>All samples destroyed</w:t>
                      </w:r>
                    </w:p>
                  </w:txbxContent>
                </v:textbox>
              </v:shape>
            </w:pict>
          </mc:Fallback>
        </mc:AlternateContent>
      </w:r>
    </w:p>
    <w:p w14:paraId="5EB13992" w14:textId="14CB5FCE" w:rsidR="00F37694" w:rsidRDefault="00F37694" w:rsidP="00A14CB0">
      <w:pPr>
        <w:shd w:val="clear" w:color="auto" w:fill="FFFFFF" w:themeFill="background1"/>
      </w:pPr>
    </w:p>
    <w:p w14:paraId="686D6D7C" w14:textId="34F21B03" w:rsidR="00942EEF" w:rsidRDefault="00942EEF" w:rsidP="00A14CB0">
      <w:pPr>
        <w:shd w:val="clear" w:color="auto" w:fill="FFFFFF" w:themeFill="background1"/>
      </w:pPr>
    </w:p>
    <w:p w14:paraId="2F0E32A3" w14:textId="6063E227" w:rsidR="00F37694" w:rsidRDefault="00F37694" w:rsidP="00A14CB0">
      <w:pPr>
        <w:shd w:val="clear" w:color="auto" w:fill="FFFFFF" w:themeFill="background1"/>
      </w:pPr>
    </w:p>
    <w:p w14:paraId="7C3AEE13" w14:textId="04113136" w:rsidR="00E80F33" w:rsidRDefault="00E80F33" w:rsidP="00A14CB0">
      <w:pPr>
        <w:shd w:val="clear" w:color="auto" w:fill="FFFFFF" w:themeFill="background1"/>
      </w:pPr>
    </w:p>
    <w:p w14:paraId="6854C589" w14:textId="14841BB6" w:rsidR="00E80F33" w:rsidRDefault="00E80F33" w:rsidP="00A14CB0">
      <w:pPr>
        <w:shd w:val="clear" w:color="auto" w:fill="FFFFFF" w:themeFill="background1"/>
      </w:pPr>
    </w:p>
    <w:p w14:paraId="2B27E0CC" w14:textId="77777777" w:rsidR="00E80F33" w:rsidRPr="00241369" w:rsidRDefault="00E80F33" w:rsidP="00A14CB0">
      <w:pPr>
        <w:shd w:val="clear" w:color="auto" w:fill="FFFFFF" w:themeFill="background1"/>
      </w:pPr>
    </w:p>
    <w:p w14:paraId="07779523" w14:textId="5760F836" w:rsidR="00A813B4" w:rsidRPr="00A813B4" w:rsidRDefault="00A813B4" w:rsidP="00A813B4">
      <w:pPr>
        <w:pStyle w:val="Caption"/>
        <w:rPr>
          <w:i w:val="0"/>
          <w:iCs w:val="0"/>
          <w:noProof/>
          <w:color w:val="000000" w:themeColor="text1"/>
          <w:sz w:val="24"/>
          <w:szCs w:val="24"/>
        </w:rPr>
      </w:pPr>
      <w:bookmarkStart w:id="96" w:name="_Ref105444757"/>
      <w:bookmarkStart w:id="97" w:name="_Ref105529825"/>
      <w:bookmarkStart w:id="98" w:name="_Toc117780213"/>
      <w:r w:rsidRPr="00A813B4">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E80F33">
        <w:rPr>
          <w:b/>
          <w:bCs/>
          <w:i w:val="0"/>
          <w:iCs w:val="0"/>
          <w:noProof/>
          <w:color w:val="000000" w:themeColor="text1"/>
          <w:sz w:val="24"/>
          <w:szCs w:val="24"/>
        </w:rPr>
        <w:t>2</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E80F33">
        <w:rPr>
          <w:b/>
          <w:bCs/>
          <w:i w:val="0"/>
          <w:iCs w:val="0"/>
          <w:noProof/>
          <w:color w:val="000000" w:themeColor="text1"/>
          <w:sz w:val="24"/>
          <w:szCs w:val="24"/>
        </w:rPr>
        <w:t>2</w:t>
      </w:r>
      <w:r w:rsidR="00F42C6F">
        <w:rPr>
          <w:b/>
          <w:bCs/>
          <w:i w:val="0"/>
          <w:iCs w:val="0"/>
          <w:color w:val="000000" w:themeColor="text1"/>
          <w:sz w:val="24"/>
          <w:szCs w:val="24"/>
        </w:rPr>
        <w:fldChar w:fldCharType="end"/>
      </w:r>
      <w:bookmarkEnd w:id="96"/>
      <w:r w:rsidRPr="00A813B4">
        <w:rPr>
          <w:b/>
          <w:bCs/>
          <w:i w:val="0"/>
          <w:iCs w:val="0"/>
          <w:color w:val="000000" w:themeColor="text1"/>
          <w:sz w:val="24"/>
          <w:szCs w:val="24"/>
        </w:rPr>
        <w:t>:</w:t>
      </w:r>
      <w:r w:rsidRPr="00A813B4">
        <w:rPr>
          <w:i w:val="0"/>
          <w:iCs w:val="0"/>
          <w:color w:val="000000" w:themeColor="text1"/>
          <w:sz w:val="24"/>
          <w:szCs w:val="24"/>
        </w:rPr>
        <w:t xml:space="preserve"> Flow diagram of sample processing for PBB studies 1 and 2</w:t>
      </w:r>
      <w:bookmarkEnd w:id="97"/>
      <w:bookmarkEnd w:id="98"/>
    </w:p>
    <w:p w14:paraId="7496D5F2" w14:textId="0D718ECF" w:rsidR="002C0CA3" w:rsidRDefault="002C0CA3" w:rsidP="002C0CA3"/>
    <w:p w14:paraId="588058F0" w14:textId="4EE0E2CD" w:rsidR="00F37694" w:rsidRDefault="00F37694" w:rsidP="002C0CA3"/>
    <w:p w14:paraId="19E93DBD" w14:textId="77777777" w:rsidR="00F37694" w:rsidRPr="002C0CA3" w:rsidRDefault="00F37694" w:rsidP="002C0CA3"/>
    <w:p w14:paraId="00BFE3B3" w14:textId="4D7AACCD" w:rsidR="00DE4FA3" w:rsidRPr="007F658B" w:rsidRDefault="00DE4FA3" w:rsidP="00791B00">
      <w:pPr>
        <w:pStyle w:val="Heading4"/>
        <w:spacing w:line="360" w:lineRule="auto"/>
        <w:rPr>
          <w:i w:val="0"/>
          <w:iCs w:val="0"/>
          <w:sz w:val="24"/>
          <w:szCs w:val="24"/>
        </w:rPr>
      </w:pPr>
      <w:r w:rsidRPr="007F658B">
        <w:rPr>
          <w:i w:val="0"/>
          <w:iCs w:val="0"/>
          <w:sz w:val="24"/>
          <w:szCs w:val="24"/>
        </w:rPr>
        <w:lastRenderedPageBreak/>
        <w:t>Microbiology</w:t>
      </w:r>
    </w:p>
    <w:p w14:paraId="5C8EEEF7" w14:textId="7BCFEDA1" w:rsidR="00DE4FA3" w:rsidRPr="00241369" w:rsidRDefault="00EC2A40" w:rsidP="00791B00">
      <w:pPr>
        <w:shd w:val="clear" w:color="auto" w:fill="FFFFFF" w:themeFill="background1"/>
        <w:spacing w:line="360" w:lineRule="auto"/>
      </w:pPr>
      <w:r>
        <w:t xml:space="preserve">Microbiology laboratory technicians </w:t>
      </w:r>
      <w:r w:rsidR="00DE4FA3" w:rsidRPr="00241369">
        <w:t>at the Sheffield Teaching Hospitals NHS Foundation Trust laboratory</w:t>
      </w:r>
      <w:r w:rsidRPr="00EC2A40">
        <w:t xml:space="preserve"> </w:t>
      </w:r>
      <w:r w:rsidRPr="00241369">
        <w:t>cultured</w:t>
      </w:r>
      <w:r>
        <w:t xml:space="preserve"> the swab</w:t>
      </w:r>
      <w:r w:rsidR="00BA1423">
        <w:t>s</w:t>
      </w:r>
      <w:r w:rsidR="004B4991">
        <w:t xml:space="preserve"> according to standard protocols</w:t>
      </w:r>
      <w:r w:rsidR="00DE4FA3" w:rsidRPr="00241369">
        <w:t>. Aliquots of 10-μl were plated onto chocolate agar and blood agar. Plates were incubated at 35</w:t>
      </w:r>
      <w:r w:rsidR="008E0BE4">
        <w:t>-</w:t>
      </w:r>
      <w:r w:rsidR="00DE4FA3" w:rsidRPr="00241369">
        <w:t>37°C in 5-10% CO</w:t>
      </w:r>
      <w:r w:rsidR="00DE4FA3" w:rsidRPr="00284867">
        <w:rPr>
          <w:vertAlign w:val="subscript"/>
        </w:rPr>
        <w:t>2</w:t>
      </w:r>
      <w:r w:rsidR="00DE4FA3" w:rsidRPr="00241369">
        <w:t xml:space="preserve"> for 48 h before colony enumeration and identification. Any growth of </w:t>
      </w:r>
      <w:r w:rsidR="00DE4FA3" w:rsidRPr="00241369">
        <w:rPr>
          <w:i/>
        </w:rPr>
        <w:t>S. pneumoniae</w:t>
      </w:r>
      <w:r w:rsidR="00DE4FA3" w:rsidRPr="00241369">
        <w:t xml:space="preserve">, </w:t>
      </w:r>
      <w:r w:rsidR="00DE4FA3" w:rsidRPr="00241369">
        <w:rPr>
          <w:i/>
        </w:rPr>
        <w:t>H. influenzae</w:t>
      </w:r>
      <w:r w:rsidR="00DE4FA3" w:rsidRPr="00241369">
        <w:t xml:space="preserve">, </w:t>
      </w:r>
      <w:r w:rsidR="00DE4FA3" w:rsidRPr="00241369">
        <w:rPr>
          <w:i/>
        </w:rPr>
        <w:t>S</w:t>
      </w:r>
      <w:r w:rsidR="00326278" w:rsidRPr="00241369">
        <w:rPr>
          <w:i/>
        </w:rPr>
        <w:t>.</w:t>
      </w:r>
      <w:r w:rsidR="00DE4FA3" w:rsidRPr="00241369">
        <w:rPr>
          <w:i/>
        </w:rPr>
        <w:t xml:space="preserve"> aureus</w:t>
      </w:r>
      <w:r w:rsidR="00DE4FA3" w:rsidRPr="00241369">
        <w:t xml:space="preserve"> and </w:t>
      </w:r>
      <w:r w:rsidR="00DE4FA3" w:rsidRPr="00241369">
        <w:rPr>
          <w:i/>
        </w:rPr>
        <w:t>M. catarrhalis</w:t>
      </w:r>
      <w:r w:rsidR="00DE4FA3" w:rsidRPr="00241369">
        <w:t xml:space="preserve"> was recorded and confirmed by standard techniques. M</w:t>
      </w:r>
      <w:r w:rsidR="00AA6A88" w:rsidRPr="00241369">
        <w:t xml:space="preserve">inimum </w:t>
      </w:r>
      <w:r w:rsidR="00DE4FA3" w:rsidRPr="00241369">
        <w:t>I</w:t>
      </w:r>
      <w:r w:rsidR="00AA6A88" w:rsidRPr="00241369">
        <w:t xml:space="preserve">nhibitory </w:t>
      </w:r>
      <w:r w:rsidR="00DE4FA3" w:rsidRPr="00241369">
        <w:t>C</w:t>
      </w:r>
      <w:r w:rsidR="00AA6A88" w:rsidRPr="00241369">
        <w:t>oncentration</w:t>
      </w:r>
      <w:r w:rsidR="00DE4FA3" w:rsidRPr="00241369">
        <w:t>s</w:t>
      </w:r>
      <w:r w:rsidR="00AA6A88" w:rsidRPr="00241369">
        <w:t xml:space="preserve"> (MICs)</w:t>
      </w:r>
      <w:r w:rsidR="00DE4FA3" w:rsidRPr="00241369">
        <w:t xml:space="preserve"> were determined for azithromycin susceptibility in identified isolates using </w:t>
      </w:r>
      <w:proofErr w:type="spellStart"/>
      <w:r w:rsidR="00DE4FA3" w:rsidRPr="00241369">
        <w:t>Etest</w:t>
      </w:r>
      <w:proofErr w:type="spellEnd"/>
      <w:r w:rsidR="00DE4FA3" w:rsidRPr="00241369">
        <w:t xml:space="preserve"> strips (AB </w:t>
      </w:r>
      <w:proofErr w:type="spellStart"/>
      <w:r w:rsidR="004F225C">
        <w:t>B</w:t>
      </w:r>
      <w:r w:rsidR="00DE4FA3" w:rsidRPr="00241369">
        <w:t>ioMérieux</w:t>
      </w:r>
      <w:proofErr w:type="spellEnd"/>
      <w:r w:rsidR="00DE4FA3" w:rsidRPr="00241369">
        <w:t xml:space="preserve">, France) and resistance determined according to the European Committee on Antimicrobial Susceptibility Testing </w:t>
      </w:r>
      <w:r w:rsidR="009822E2">
        <w:fldChar w:fldCharType="begin"/>
      </w:r>
      <w:r w:rsidR="004A398A">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9822E2">
        <w:fldChar w:fldCharType="separate"/>
      </w:r>
      <w:r w:rsidR="009822E2">
        <w:rPr>
          <w:noProof/>
        </w:rPr>
        <w:t>(EUCAST, 2022)</w:t>
      </w:r>
      <w:r w:rsidR="009822E2">
        <w:fldChar w:fldCharType="end"/>
      </w:r>
      <w:r w:rsidR="00DE4FA3" w:rsidRPr="00241369">
        <w:t xml:space="preserve">. </w:t>
      </w:r>
      <w:r w:rsidR="00437513">
        <w:t>In</w:t>
      </w:r>
      <w:r w:rsidR="002F15A4" w:rsidRPr="00241369">
        <w:t xml:space="preserve"> study 1, o</w:t>
      </w:r>
      <w:r w:rsidR="00DE4FA3" w:rsidRPr="00241369">
        <w:t>nce the DNPSs had been cultured, they were destroyed</w:t>
      </w:r>
      <w:r w:rsidR="00437513">
        <w:t>. Any bacterial isolates obtained were frozen at -80</w:t>
      </w:r>
      <w:r w:rsidR="00437513">
        <w:rPr>
          <w:rFonts w:cstheme="minorHAnsi"/>
        </w:rPr>
        <w:t>°C for later analysis</w:t>
      </w:r>
      <w:r w:rsidR="00147FA5">
        <w:rPr>
          <w:rFonts w:cstheme="minorHAnsi"/>
        </w:rPr>
        <w:t xml:space="preserve"> (see sections 2.4.3 and 2.4.4)</w:t>
      </w:r>
      <w:r w:rsidR="00DE4FA3" w:rsidRPr="00241369">
        <w:t>.</w:t>
      </w:r>
      <w:r w:rsidR="002009F8">
        <w:t xml:space="preserve"> </w:t>
      </w:r>
      <w:r w:rsidR="00DE4FA3" w:rsidRPr="00241369">
        <w:t xml:space="preserve">Specific consent was taken for this. </w:t>
      </w:r>
      <w:r w:rsidR="004B4991" w:rsidRPr="00241369">
        <w:t>This study did not involve any interventions with regard to the clinical care of these children</w:t>
      </w:r>
      <w:r w:rsidR="008E0BE4">
        <w:t>, however</w:t>
      </w:r>
      <w:r w:rsidR="008E0BE4" w:rsidRPr="00241369">
        <w:t xml:space="preserve"> </w:t>
      </w:r>
      <w:r w:rsidR="008E0BE4">
        <w:t>r</w:t>
      </w:r>
      <w:r w:rsidR="008E0BE4" w:rsidRPr="00241369">
        <w:t xml:space="preserve">esults </w:t>
      </w:r>
      <w:r w:rsidR="00DE4FA3" w:rsidRPr="00241369">
        <w:t xml:space="preserve">were uploaded onto the integrated computer system so that the clinical team </w:t>
      </w:r>
      <w:r w:rsidR="004B4991">
        <w:t xml:space="preserve">including GPs </w:t>
      </w:r>
      <w:r w:rsidR="00DE4FA3" w:rsidRPr="00241369">
        <w:t>could view any isolated organisms</w:t>
      </w:r>
      <w:r w:rsidR="004B4991">
        <w:t xml:space="preserve"> and their resistance profiles</w:t>
      </w:r>
      <w:r w:rsidR="00DE4FA3" w:rsidRPr="00241369">
        <w:t xml:space="preserve">. </w:t>
      </w:r>
    </w:p>
    <w:p w14:paraId="7272689F" w14:textId="77777777" w:rsidR="00DE4FA3" w:rsidRPr="00241369" w:rsidRDefault="00DE4FA3" w:rsidP="00A14CB0">
      <w:pPr>
        <w:shd w:val="clear" w:color="auto" w:fill="FFFFFF" w:themeFill="background1"/>
        <w:spacing w:line="360" w:lineRule="auto"/>
      </w:pPr>
    </w:p>
    <w:p w14:paraId="5A3AFBFF" w14:textId="2FFC15F4" w:rsidR="00DE4FA3" w:rsidRPr="007F658B" w:rsidRDefault="007F658B" w:rsidP="00791B00">
      <w:pPr>
        <w:pStyle w:val="Heading4"/>
        <w:spacing w:line="360" w:lineRule="auto"/>
        <w:rPr>
          <w:i w:val="0"/>
          <w:iCs w:val="0"/>
          <w:sz w:val="24"/>
          <w:szCs w:val="24"/>
        </w:rPr>
      </w:pPr>
      <w:r w:rsidRPr="007F658B">
        <w:rPr>
          <w:i w:val="0"/>
          <w:iCs w:val="0"/>
          <w:sz w:val="24"/>
          <w:szCs w:val="24"/>
        </w:rPr>
        <w:t>Adherence to medication</w:t>
      </w:r>
    </w:p>
    <w:p w14:paraId="5EA2B997" w14:textId="2EED9F0A" w:rsidR="00DE4FA3" w:rsidRDefault="00DE4FA3" w:rsidP="00791B00">
      <w:pPr>
        <w:shd w:val="clear" w:color="auto" w:fill="FFFFFF" w:themeFill="background1"/>
        <w:spacing w:line="360" w:lineRule="auto"/>
      </w:pPr>
      <w:r w:rsidRPr="00241369">
        <w:t>Participants prescribed prophylactic azithromycin over the winter months were asked to complete a self-reported prescription diary as a measure of compliance. This was based on honesty</w:t>
      </w:r>
      <w:r w:rsidR="004A42C8">
        <w:t>. F</w:t>
      </w:r>
      <w:r w:rsidRPr="00241369">
        <w:t xml:space="preserve">amilies were informed that it was not a test and they would not be reprimanded if they forget to take </w:t>
      </w:r>
      <w:r w:rsidR="002F15A4" w:rsidRPr="00241369">
        <w:t xml:space="preserve">or record </w:t>
      </w:r>
      <w:r w:rsidRPr="00241369">
        <w:t>doses. Diaries were reviewed at 3 and 6 months when nasal swabs were taken.</w:t>
      </w:r>
    </w:p>
    <w:p w14:paraId="6CFB0AF0" w14:textId="77777777" w:rsidR="00245F75" w:rsidRPr="007F658B" w:rsidRDefault="00245F75" w:rsidP="00A14CB0">
      <w:pPr>
        <w:shd w:val="clear" w:color="auto" w:fill="FFFFFF" w:themeFill="background1"/>
        <w:spacing w:line="360" w:lineRule="auto"/>
      </w:pPr>
    </w:p>
    <w:p w14:paraId="23B6BD69" w14:textId="1AD3FE91" w:rsidR="00A54CAB" w:rsidRPr="007F658B" w:rsidRDefault="003D23EE" w:rsidP="00791B00">
      <w:pPr>
        <w:pStyle w:val="Heading4"/>
        <w:spacing w:line="360" w:lineRule="auto"/>
        <w:rPr>
          <w:i w:val="0"/>
          <w:iCs w:val="0"/>
          <w:sz w:val="24"/>
          <w:szCs w:val="24"/>
          <w:lang w:eastAsia="en-GB"/>
        </w:rPr>
      </w:pPr>
      <w:r w:rsidRPr="007F658B">
        <w:rPr>
          <w:i w:val="0"/>
          <w:iCs w:val="0"/>
          <w:sz w:val="24"/>
          <w:szCs w:val="24"/>
          <w:lang w:eastAsia="en-GB"/>
        </w:rPr>
        <w:t>Antibiotic exposure</w:t>
      </w:r>
    </w:p>
    <w:p w14:paraId="4F4FFBF8" w14:textId="0D186E3D" w:rsidR="004B4991" w:rsidRDefault="00B22FBD" w:rsidP="00791B00">
      <w:pPr>
        <w:shd w:val="clear" w:color="auto" w:fill="FFFFFF" w:themeFill="background1"/>
        <w:tabs>
          <w:tab w:val="left" w:pos="3828"/>
        </w:tabs>
        <w:spacing w:line="360" w:lineRule="auto"/>
        <w:rPr>
          <w:rFonts w:cs="Arial"/>
          <w:bCs/>
        </w:rPr>
      </w:pPr>
      <w:r>
        <w:rPr>
          <w:rFonts w:cs="Arial"/>
          <w:bCs/>
        </w:rPr>
        <w:t xml:space="preserve">To assess antibiotic exposure, parents were asked at recruitment about previous courses of antibiotics prescribed for their child. They were given a study booklet at recruitment to record any courses of antibiotics prescribed over the study period. At each visit to collect a DNPS, parents were asked if their child had had any courses of antibiotics since the last visit. The electronic data management system at SCH was used to look at clinic letters and discharge summaries with regards to antibiotics prescriptions. </w:t>
      </w:r>
      <w:r w:rsidR="002229EC">
        <w:rPr>
          <w:rFonts w:cs="Arial"/>
          <w:bCs/>
        </w:rPr>
        <w:t xml:space="preserve">Since parental </w:t>
      </w:r>
      <w:r>
        <w:rPr>
          <w:rFonts w:cs="Arial"/>
          <w:bCs/>
        </w:rPr>
        <w:t xml:space="preserve">recall of </w:t>
      </w:r>
      <w:r w:rsidR="00437513">
        <w:rPr>
          <w:rFonts w:cs="Arial"/>
          <w:bCs/>
        </w:rPr>
        <w:t xml:space="preserve">previous </w:t>
      </w:r>
      <w:r>
        <w:rPr>
          <w:rFonts w:cs="Arial"/>
          <w:bCs/>
        </w:rPr>
        <w:t>antibiotic courses and the names of these was poor</w:t>
      </w:r>
      <w:r w:rsidR="002229EC">
        <w:rPr>
          <w:rFonts w:cs="Arial"/>
          <w:bCs/>
        </w:rPr>
        <w:t>,</w:t>
      </w:r>
      <w:r>
        <w:rPr>
          <w:rFonts w:cs="Arial"/>
          <w:bCs/>
        </w:rPr>
        <w:t xml:space="preserve"> </w:t>
      </w:r>
      <w:r w:rsidR="002229EC">
        <w:rPr>
          <w:rFonts w:cs="Arial"/>
          <w:bCs/>
        </w:rPr>
        <w:t xml:space="preserve">an </w:t>
      </w:r>
      <w:r>
        <w:rPr>
          <w:rFonts w:cs="Arial"/>
          <w:bCs/>
        </w:rPr>
        <w:t>amendment to the study protocol was made</w:t>
      </w:r>
      <w:r w:rsidR="00F44A76">
        <w:rPr>
          <w:rFonts w:cs="Arial"/>
          <w:bCs/>
        </w:rPr>
        <w:t xml:space="preserve"> </w:t>
      </w:r>
      <w:r>
        <w:rPr>
          <w:rFonts w:cs="Arial"/>
          <w:bCs/>
        </w:rPr>
        <w:t xml:space="preserve">and </w:t>
      </w:r>
      <w:r>
        <w:rPr>
          <w:rFonts w:cs="Arial"/>
          <w:bCs/>
        </w:rPr>
        <w:lastRenderedPageBreak/>
        <w:t>given ethical approval to obtain GP prescription records</w:t>
      </w:r>
      <w:r w:rsidR="00EC2A40">
        <w:rPr>
          <w:rFonts w:cs="Arial"/>
          <w:bCs/>
        </w:rPr>
        <w:t xml:space="preserve"> </w:t>
      </w:r>
      <w:r w:rsidR="009E1697">
        <w:rPr>
          <w:rFonts w:cs="Arial"/>
          <w:bCs/>
        </w:rPr>
        <w:t>(</w:t>
      </w:r>
      <w:r w:rsidR="009E1697">
        <w:t>Amendment number: REC Ref AM02</w:t>
      </w:r>
      <w:r w:rsidR="008E0BE4">
        <w:rPr>
          <w:rFonts w:cs="Arial"/>
          <w:bCs/>
        </w:rPr>
        <w:t xml:space="preserve">) so that a </w:t>
      </w:r>
      <w:r>
        <w:rPr>
          <w:rFonts w:cs="Arial"/>
          <w:bCs/>
        </w:rPr>
        <w:t xml:space="preserve">more comprehensive </w:t>
      </w:r>
      <w:r w:rsidR="0044591A">
        <w:rPr>
          <w:rFonts w:cs="Arial"/>
          <w:bCs/>
        </w:rPr>
        <w:t>analysis of antibiotic exposure could</w:t>
      </w:r>
      <w:r w:rsidR="008E0BE4">
        <w:rPr>
          <w:rFonts w:cs="Arial"/>
          <w:bCs/>
        </w:rPr>
        <w:t xml:space="preserve"> </w:t>
      </w:r>
      <w:r w:rsidR="0044591A">
        <w:rPr>
          <w:rFonts w:cs="Arial"/>
          <w:bCs/>
        </w:rPr>
        <w:t>be made.</w:t>
      </w:r>
    </w:p>
    <w:p w14:paraId="7D49C1CB" w14:textId="77777777" w:rsidR="00791B00" w:rsidRPr="00B22FBD" w:rsidRDefault="00791B00" w:rsidP="00791B00">
      <w:pPr>
        <w:shd w:val="clear" w:color="auto" w:fill="FFFFFF" w:themeFill="background1"/>
        <w:tabs>
          <w:tab w:val="left" w:pos="3828"/>
        </w:tabs>
        <w:spacing w:line="360" w:lineRule="auto"/>
        <w:rPr>
          <w:rFonts w:cs="Arial"/>
          <w:bCs/>
        </w:rPr>
      </w:pPr>
    </w:p>
    <w:p w14:paraId="348D19AC" w14:textId="02B7B465" w:rsidR="00A54CAB" w:rsidRPr="008F33C8" w:rsidRDefault="00A54CAB" w:rsidP="00791B00">
      <w:pPr>
        <w:pStyle w:val="Heading3"/>
        <w:shd w:val="clear" w:color="auto" w:fill="FFFFFF" w:themeFill="background1"/>
        <w:spacing w:line="360" w:lineRule="auto"/>
      </w:pPr>
      <w:bookmarkStart w:id="99" w:name="_Toc117765930"/>
      <w:r w:rsidRPr="008F33C8">
        <w:t>Data handling</w:t>
      </w:r>
      <w:bookmarkEnd w:id="99"/>
    </w:p>
    <w:p w14:paraId="45450F2F" w14:textId="2BD80BB0" w:rsidR="002F15A4" w:rsidRPr="008F33C8" w:rsidRDefault="002F15A4" w:rsidP="00791B00">
      <w:pPr>
        <w:shd w:val="clear" w:color="auto" w:fill="FFFFFF" w:themeFill="background1"/>
        <w:tabs>
          <w:tab w:val="left" w:pos="3828"/>
        </w:tabs>
        <w:spacing w:line="360" w:lineRule="auto"/>
        <w:rPr>
          <w:rFonts w:cs="Arial"/>
        </w:rPr>
      </w:pPr>
      <w:r w:rsidRPr="008F33C8">
        <w:rPr>
          <w:rFonts w:cs="Arial"/>
        </w:rPr>
        <w:t>Data were anonymized</w:t>
      </w:r>
      <w:r w:rsidR="00437513">
        <w:rPr>
          <w:rFonts w:cs="Arial"/>
        </w:rPr>
        <w:t>,</w:t>
      </w:r>
      <w:r w:rsidRPr="008F33C8">
        <w:rPr>
          <w:rFonts w:cs="Arial"/>
        </w:rPr>
        <w:t xml:space="preserve"> stored and collated on a password-controlled Excel database on a password-protected computer hard-drive, kept locked in the </w:t>
      </w:r>
      <w:r w:rsidR="008E0BE4">
        <w:rPr>
          <w:rFonts w:cs="Arial"/>
        </w:rPr>
        <w:t>R</w:t>
      </w:r>
      <w:r w:rsidR="008E0BE4" w:rsidRPr="008F33C8">
        <w:rPr>
          <w:rFonts w:cs="Arial"/>
        </w:rPr>
        <w:t xml:space="preserve">esearch </w:t>
      </w:r>
      <w:r w:rsidR="008E0BE4">
        <w:rPr>
          <w:rFonts w:cs="Arial"/>
        </w:rPr>
        <w:t>F</w:t>
      </w:r>
      <w:r w:rsidR="008E0BE4" w:rsidRPr="008F33C8">
        <w:rPr>
          <w:rFonts w:cs="Arial"/>
        </w:rPr>
        <w:t xml:space="preserve">ellow </w:t>
      </w:r>
      <w:r w:rsidRPr="008F33C8">
        <w:rPr>
          <w:rFonts w:cs="Arial"/>
        </w:rPr>
        <w:t xml:space="preserve">office at Sheffield Children’s Hospital. All data were backed-up to a personal, University of Sheffield password protected network drive. Patient details correlating to individual study numbers were </w:t>
      </w:r>
      <w:r w:rsidR="00437513">
        <w:rPr>
          <w:rFonts w:cs="Arial"/>
        </w:rPr>
        <w:t xml:space="preserve">only </w:t>
      </w:r>
      <w:r w:rsidRPr="008F33C8">
        <w:rPr>
          <w:rFonts w:cs="Arial"/>
        </w:rPr>
        <w:t xml:space="preserve">stored on a password </w:t>
      </w:r>
      <w:r w:rsidR="002B0014" w:rsidRPr="008F33C8">
        <w:rPr>
          <w:rFonts w:cs="Arial"/>
        </w:rPr>
        <w:t>protected</w:t>
      </w:r>
      <w:r w:rsidR="002B0014">
        <w:rPr>
          <w:rFonts w:cs="Arial"/>
        </w:rPr>
        <w:t>,</w:t>
      </w:r>
      <w:r w:rsidRPr="008F33C8">
        <w:rPr>
          <w:rFonts w:cs="Arial"/>
        </w:rPr>
        <w:t xml:space="preserve"> personal network drive on an NHS computer at SCH. </w:t>
      </w:r>
    </w:p>
    <w:p w14:paraId="749928AB" w14:textId="33E4A17B" w:rsidR="002F15A4" w:rsidRPr="008F33C8" w:rsidRDefault="002F15A4" w:rsidP="00284867">
      <w:pPr>
        <w:shd w:val="clear" w:color="auto" w:fill="FFFFFF" w:themeFill="background1"/>
        <w:tabs>
          <w:tab w:val="left" w:pos="3828"/>
        </w:tabs>
        <w:spacing w:after="160" w:line="360" w:lineRule="auto"/>
        <w:rPr>
          <w:rFonts w:cs="Arial"/>
        </w:rPr>
      </w:pPr>
      <w:r w:rsidRPr="008F33C8">
        <w:rPr>
          <w:rFonts w:cs="Arial"/>
        </w:rPr>
        <w:t>DNPS were taken and labelled with a study sticker, including the child’s unique SCH identification number, the study name and supervising clinician’s name (Dr Kelechi Ugonna</w:t>
      </w:r>
      <w:r w:rsidR="008E0BE4">
        <w:rPr>
          <w:rFonts w:cs="Arial"/>
        </w:rPr>
        <w:t>,</w:t>
      </w:r>
      <w:r w:rsidRPr="008F33C8">
        <w:rPr>
          <w:rFonts w:cs="Arial"/>
        </w:rPr>
        <w:t xml:space="preserve"> SCH </w:t>
      </w:r>
      <w:r w:rsidR="008E0BE4">
        <w:rPr>
          <w:rFonts w:cs="Arial"/>
        </w:rPr>
        <w:t>R</w:t>
      </w:r>
      <w:r w:rsidRPr="008F33C8">
        <w:rPr>
          <w:rFonts w:cs="Arial"/>
        </w:rPr>
        <w:t xml:space="preserve">espiratory </w:t>
      </w:r>
      <w:r w:rsidR="008E0BE4">
        <w:rPr>
          <w:rFonts w:cs="Arial"/>
        </w:rPr>
        <w:t>C</w:t>
      </w:r>
      <w:r w:rsidR="008E0BE4" w:rsidRPr="008F33C8">
        <w:rPr>
          <w:rFonts w:cs="Arial"/>
        </w:rPr>
        <w:t>onsultant</w:t>
      </w:r>
      <w:r w:rsidRPr="008F33C8">
        <w:rPr>
          <w:rFonts w:cs="Arial"/>
        </w:rPr>
        <w:t xml:space="preserve">). This enabled standard laboratory administration procedures for the handling of samples to be used. Results of the samples were uploaded to the SCH results viewing system – ICE. </w:t>
      </w:r>
      <w:r w:rsidR="002229EC" w:rsidRPr="008F33C8">
        <w:rPr>
          <w:rFonts w:cs="Arial"/>
        </w:rPr>
        <w:t xml:space="preserve">Participants were allocated a unique study number. </w:t>
      </w:r>
      <w:r w:rsidRPr="008F33C8">
        <w:rPr>
          <w:rFonts w:cs="Arial"/>
        </w:rPr>
        <w:t>Research members recorded the results on an anonymised database</w:t>
      </w:r>
      <w:r w:rsidR="008E0BE4">
        <w:rPr>
          <w:rFonts w:cs="Arial"/>
        </w:rPr>
        <w:t xml:space="preserve"> using this </w:t>
      </w:r>
      <w:r w:rsidR="00FC1B9F">
        <w:rPr>
          <w:rFonts w:cs="Arial"/>
        </w:rPr>
        <w:t>study number (not the hospital number)</w:t>
      </w:r>
      <w:r w:rsidRPr="008F33C8">
        <w:rPr>
          <w:rFonts w:cs="Arial"/>
        </w:rPr>
        <w:t xml:space="preserve">. Microbiology data </w:t>
      </w:r>
      <w:r w:rsidR="00DB2413" w:rsidRPr="008F33C8">
        <w:rPr>
          <w:rFonts w:cs="Arial"/>
        </w:rPr>
        <w:t>were</w:t>
      </w:r>
      <w:r w:rsidRPr="008F33C8">
        <w:rPr>
          <w:rFonts w:cs="Arial"/>
        </w:rPr>
        <w:t xml:space="preserve"> recorded on a password protected Excel spreadshee</w:t>
      </w:r>
      <w:r w:rsidR="00E65C5E">
        <w:rPr>
          <w:rFonts w:cs="Arial"/>
        </w:rPr>
        <w:t>t. These were</w:t>
      </w:r>
      <w:r w:rsidRPr="008F33C8">
        <w:rPr>
          <w:rFonts w:cs="Arial"/>
        </w:rPr>
        <w:t xml:space="preserve"> collated with </w:t>
      </w:r>
      <w:r w:rsidR="00E65C5E">
        <w:rPr>
          <w:rFonts w:cs="Arial"/>
        </w:rPr>
        <w:t xml:space="preserve">baseline data and </w:t>
      </w:r>
      <w:r w:rsidRPr="008F33C8">
        <w:rPr>
          <w:rFonts w:cs="Arial"/>
        </w:rPr>
        <w:t>clinical information regarding exacerbations.</w:t>
      </w:r>
    </w:p>
    <w:p w14:paraId="2B5921F0" w14:textId="5799923F" w:rsidR="00AC130A" w:rsidRDefault="00A54CAB" w:rsidP="00284867">
      <w:pPr>
        <w:shd w:val="clear" w:color="auto" w:fill="FFFFFF" w:themeFill="background1"/>
        <w:tabs>
          <w:tab w:val="left" w:pos="3828"/>
        </w:tabs>
        <w:spacing w:line="360" w:lineRule="auto"/>
        <w:rPr>
          <w:rFonts w:cs="Arial"/>
        </w:rPr>
      </w:pPr>
      <w:r w:rsidRPr="008F33C8">
        <w:rPr>
          <w:rFonts w:cs="Arial"/>
        </w:rPr>
        <w:t xml:space="preserve">No patient identifiable data </w:t>
      </w:r>
      <w:r w:rsidR="001057DD">
        <w:rPr>
          <w:rFonts w:cs="Arial"/>
        </w:rPr>
        <w:t xml:space="preserve">is or </w:t>
      </w:r>
      <w:r w:rsidRPr="008F33C8">
        <w:rPr>
          <w:rFonts w:cs="Arial"/>
        </w:rPr>
        <w:t>will be</w:t>
      </w:r>
      <w:r w:rsidR="001057DD">
        <w:rPr>
          <w:rFonts w:cs="Arial"/>
        </w:rPr>
        <w:t xml:space="preserve"> reported</w:t>
      </w:r>
      <w:r w:rsidRPr="008F33C8">
        <w:rPr>
          <w:rFonts w:cs="Arial"/>
        </w:rPr>
        <w:t xml:space="preserve"> </w:t>
      </w:r>
      <w:r w:rsidR="001057DD">
        <w:rPr>
          <w:rFonts w:cs="Arial"/>
        </w:rPr>
        <w:t xml:space="preserve">or </w:t>
      </w:r>
      <w:r w:rsidRPr="008F33C8">
        <w:rPr>
          <w:rFonts w:cs="Arial"/>
        </w:rPr>
        <w:t>published and the study adhere</w:t>
      </w:r>
      <w:r w:rsidR="00E65C5E">
        <w:rPr>
          <w:rFonts w:cs="Arial"/>
        </w:rPr>
        <w:t>d</w:t>
      </w:r>
      <w:r w:rsidRPr="008F33C8">
        <w:rPr>
          <w:rFonts w:cs="Arial"/>
        </w:rPr>
        <w:t xml:space="preserve"> to the requirements of the Data Protection Act 1998.</w:t>
      </w:r>
      <w:r w:rsidR="00437513">
        <w:rPr>
          <w:rFonts w:cs="Arial"/>
        </w:rPr>
        <w:t xml:space="preserve"> </w:t>
      </w:r>
      <w:r w:rsidRPr="008F33C8">
        <w:rPr>
          <w:rFonts w:cs="Arial"/>
        </w:rPr>
        <w:t>Trial documents (paper and electronic) will be retained in a secure location during and after the trial has finished. All source documents will be retained for a period of 5 years following the end of the trial</w:t>
      </w:r>
      <w:r w:rsidR="001057DD">
        <w:rPr>
          <w:rFonts w:cs="Arial"/>
        </w:rPr>
        <w:t xml:space="preserve"> prior to destruction</w:t>
      </w:r>
      <w:r w:rsidRPr="008F33C8">
        <w:rPr>
          <w:rFonts w:cs="Arial"/>
        </w:rPr>
        <w:t xml:space="preserve">.  </w:t>
      </w:r>
    </w:p>
    <w:p w14:paraId="11A63A97" w14:textId="77777777" w:rsidR="001057DD" w:rsidRPr="008F33C8" w:rsidRDefault="001057DD" w:rsidP="00284867">
      <w:pPr>
        <w:shd w:val="clear" w:color="auto" w:fill="FFFFFF" w:themeFill="background1"/>
        <w:tabs>
          <w:tab w:val="left" w:pos="3828"/>
        </w:tabs>
        <w:spacing w:line="360" w:lineRule="auto"/>
        <w:rPr>
          <w:rFonts w:cs="Arial"/>
        </w:rPr>
      </w:pPr>
    </w:p>
    <w:p w14:paraId="1577B860" w14:textId="5C90463B" w:rsidR="00DE4FA3" w:rsidRPr="008F33C8" w:rsidRDefault="006E66C1" w:rsidP="00791B00">
      <w:pPr>
        <w:pStyle w:val="Heading3"/>
        <w:shd w:val="clear" w:color="auto" w:fill="FFFFFF" w:themeFill="background1"/>
        <w:spacing w:line="360" w:lineRule="auto"/>
      </w:pPr>
      <w:bookmarkStart w:id="100" w:name="_Toc117765931"/>
      <w:bookmarkStart w:id="101" w:name="_Hlk103092812"/>
      <w:r w:rsidRPr="008F33C8">
        <w:t xml:space="preserve">Statistical </w:t>
      </w:r>
      <w:r w:rsidR="00DE4FA3" w:rsidRPr="008F33C8">
        <w:t>Analysis</w:t>
      </w:r>
      <w:bookmarkEnd w:id="100"/>
    </w:p>
    <w:p w14:paraId="3CA5F2C5" w14:textId="2428791A" w:rsidR="00DE4FA3" w:rsidRPr="00241369" w:rsidRDefault="006E1F80" w:rsidP="0025036E">
      <w:pPr>
        <w:shd w:val="clear" w:color="auto" w:fill="FFFFFF"/>
        <w:spacing w:line="360" w:lineRule="auto"/>
      </w:pPr>
      <w:r w:rsidRPr="0037300E">
        <w:t>The study was analysed and written up according to STROBE guidelines (</w:t>
      </w:r>
      <w:hyperlink r:id="rId21" w:history="1">
        <w:r w:rsidRPr="0037300E">
          <w:rPr>
            <w:color w:val="0000FF"/>
          </w:rPr>
          <w:t>www.strobe-statement.org</w:t>
        </w:r>
      </w:hyperlink>
      <w:r w:rsidRPr="0037300E">
        <w:t>). Continuous data were summarized by the median (25</w:t>
      </w:r>
      <w:r w:rsidRPr="0037300E">
        <w:rPr>
          <w:vertAlign w:val="superscript"/>
        </w:rPr>
        <w:t>th</w:t>
      </w:r>
      <w:r w:rsidRPr="0037300E">
        <w:t>/75</w:t>
      </w:r>
      <w:r w:rsidRPr="0037300E">
        <w:rPr>
          <w:vertAlign w:val="superscript"/>
        </w:rPr>
        <w:t>th</w:t>
      </w:r>
      <w:r w:rsidRPr="0037300E">
        <w:t xml:space="preserve"> centiles) and categorical data by n (%). Missing values were summarised. Statistical testing was kept to a minimum in line with recommendations for pilot studies </w:t>
      </w:r>
      <w:r w:rsidRPr="0037300E">
        <w:fldChar w:fldCharType="begin"/>
      </w:r>
      <w:r w:rsidRPr="0037300E">
        <w:instrText xml:space="preserve"> ADDIN EN.CITE &lt;EndNote&gt;&lt;Cite&gt;&lt;Author&gt;Lancaster GA&lt;/Author&gt;&lt;Year&gt;2004&lt;/Year&gt;&lt;RecNum&gt;4&lt;/RecNum&gt;&lt;DisplayText&gt;(Lancaster GA, 2004)&lt;/DisplayText&gt;&lt;record&gt;&lt;rec-number&gt;4&lt;/rec-number&gt;&lt;foreign-keys&gt;&lt;key app="EN" db-id="r0w0afw0b0x0s5epavcvt5d5xv200etfe9at" timestamp="1580209226"&gt;4&lt;/key&gt;&lt;/foreign-keys&gt;&lt;ref-type name="Journal Article"&gt;17&lt;/ref-type&gt;&lt;contributors&gt;&lt;authors&gt;&lt;author&gt;Lancaster GA, Dodd S, Williamson PR et al,&lt;/author&gt;&lt;/authors&gt;&lt;/contributors&gt;&lt;titles&gt;&lt;title&gt;Design and analysis of pilot studies: recommendations for good practice&lt;/title&gt;&lt;secondary-title&gt;Journal of Evaluation in Clinical practice &lt;/secondary-title&gt;&lt;/titles&gt;&lt;pages&gt;10:307-310&lt;/pages&gt;&lt;dates&gt;&lt;year&gt;2004&lt;/year&gt;&lt;/dates&gt;&lt;urls&gt;&lt;/urls&gt;&lt;/record&gt;&lt;/Cite&gt;&lt;/EndNote&gt;</w:instrText>
      </w:r>
      <w:r w:rsidRPr="0037300E">
        <w:fldChar w:fldCharType="separate"/>
      </w:r>
      <w:r w:rsidRPr="0037300E">
        <w:rPr>
          <w:noProof/>
        </w:rPr>
        <w:t>(Lancaster GA, 2004)</w:t>
      </w:r>
      <w:r w:rsidRPr="0037300E">
        <w:fldChar w:fldCharType="end"/>
      </w:r>
      <w:r w:rsidR="00854F79" w:rsidRPr="0037300E">
        <w:t>.</w:t>
      </w:r>
      <w:r w:rsidRPr="0037300E">
        <w:t xml:space="preserve"> </w:t>
      </w:r>
      <w:r w:rsidR="00854F79" w:rsidRPr="0037300E">
        <w:t>I</w:t>
      </w:r>
      <w:r w:rsidRPr="0037300E">
        <w:t>n accordance with formal statistical input from Prof</w:t>
      </w:r>
      <w:r w:rsidR="00FC1B9F" w:rsidRPr="0037300E">
        <w:t>essor</w:t>
      </w:r>
      <w:r w:rsidRPr="0037300E">
        <w:t xml:space="preserve"> Alan Rigby (Professor of Statistics, Hull York Medical School)</w:t>
      </w:r>
      <w:r w:rsidR="00AB2612" w:rsidRPr="0037300E">
        <w:t xml:space="preserve">, some results from this study were combined with those from PBB study 2 (see </w:t>
      </w:r>
      <w:r w:rsidR="00D1338F" w:rsidRPr="0037300E">
        <w:t>2.3.14</w:t>
      </w:r>
      <w:r w:rsidR="00AB2612" w:rsidRPr="0037300E">
        <w:t>) to enable statistical analysis.</w:t>
      </w:r>
      <w:bookmarkEnd w:id="101"/>
    </w:p>
    <w:p w14:paraId="7142A6F6" w14:textId="15078E90" w:rsidR="00767CA1" w:rsidRDefault="006D0B07" w:rsidP="004F3338">
      <w:pPr>
        <w:pStyle w:val="Heading2"/>
      </w:pPr>
      <w:bookmarkStart w:id="102" w:name="_Toc117765932"/>
      <w:r w:rsidRPr="00DD46F9">
        <w:lastRenderedPageBreak/>
        <w:t>Methods</w:t>
      </w:r>
      <w:r w:rsidR="00D07859" w:rsidRPr="00DD46F9">
        <w:t>:</w:t>
      </w:r>
      <w:r w:rsidR="005C3D96" w:rsidRPr="00DD46F9">
        <w:t xml:space="preserve"> </w:t>
      </w:r>
      <w:r w:rsidR="00F1548D" w:rsidRPr="00DD46F9">
        <w:t xml:space="preserve">PBB </w:t>
      </w:r>
      <w:r w:rsidR="005C3D96" w:rsidRPr="00DD46F9">
        <w:t>Study 2 - Azithromycin and the nasopharyngeal microbiome</w:t>
      </w:r>
      <w:bookmarkEnd w:id="102"/>
    </w:p>
    <w:p w14:paraId="250C2BF2" w14:textId="0679C08F" w:rsidR="00767CA1" w:rsidRDefault="00F820ED" w:rsidP="007C54D9">
      <w:pPr>
        <w:shd w:val="clear" w:color="auto" w:fill="FFFFFF" w:themeFill="background1"/>
        <w:spacing w:line="360" w:lineRule="auto"/>
      </w:pPr>
      <w:r>
        <w:t>This</w:t>
      </w:r>
      <w:r w:rsidR="00FA76E2" w:rsidRPr="009A14E0">
        <w:t xml:space="preserve"> study</w:t>
      </w:r>
      <w:r>
        <w:t xml:space="preserve"> aimed</w:t>
      </w:r>
      <w:r w:rsidR="00FA76E2" w:rsidRPr="009A14E0">
        <w:t xml:space="preserve"> to describe any changes that may occur within the nasopharyngeal microbiome of children with PBB exposed to </w:t>
      </w:r>
      <w:r w:rsidR="00156078">
        <w:t>long term</w:t>
      </w:r>
      <w:r w:rsidR="00FA76E2" w:rsidRPr="009A14E0">
        <w:t xml:space="preserve"> azithromycin.</w:t>
      </w:r>
      <w:r w:rsidR="00FA76E2">
        <w:t xml:space="preserve"> </w:t>
      </w:r>
      <w:r w:rsidR="008C6B45" w:rsidRPr="00241369">
        <w:t xml:space="preserve">The </w:t>
      </w:r>
      <w:r w:rsidR="00FA76E2">
        <w:t xml:space="preserve">methodology of the </w:t>
      </w:r>
      <w:r w:rsidR="008C6B45" w:rsidRPr="00241369">
        <w:t xml:space="preserve">first part of </w:t>
      </w:r>
      <w:r w:rsidR="00FA76E2">
        <w:t>PBB</w:t>
      </w:r>
      <w:r w:rsidR="008C6B45" w:rsidRPr="00241369">
        <w:t xml:space="preserve"> study </w:t>
      </w:r>
      <w:r w:rsidR="00FA76E2">
        <w:t xml:space="preserve">2 </w:t>
      </w:r>
      <w:r w:rsidR="008C6B45" w:rsidRPr="00241369">
        <w:t xml:space="preserve">is similar to </w:t>
      </w:r>
      <w:r w:rsidR="00FA76E2">
        <w:t>that of PBB study 1</w:t>
      </w:r>
      <w:r w:rsidR="00747283">
        <w:t>.</w:t>
      </w:r>
      <w:r w:rsidR="008C6B45" w:rsidRPr="00241369">
        <w:t xml:space="preserve"> </w:t>
      </w:r>
      <w:r w:rsidR="00747283">
        <w:t>R</w:t>
      </w:r>
      <w:r w:rsidR="008C6B45" w:rsidRPr="00241369">
        <w:t>efinements</w:t>
      </w:r>
      <w:r w:rsidR="00BB38CC">
        <w:t xml:space="preserve"> (see Sections 2.3.4 and 2.3.5) </w:t>
      </w:r>
      <w:r w:rsidR="00D31922">
        <w:t>were</w:t>
      </w:r>
      <w:r w:rsidR="008C6B45" w:rsidRPr="00241369">
        <w:t xml:space="preserve"> made </w:t>
      </w:r>
      <w:r w:rsidR="00FC1B9F">
        <w:t>guided by</w:t>
      </w:r>
      <w:r w:rsidR="008C6B45" w:rsidRPr="00241369">
        <w:t xml:space="preserve"> issues of </w:t>
      </w:r>
      <w:r>
        <w:t>recruitment</w:t>
      </w:r>
      <w:r w:rsidR="00FC1B9F">
        <w:t>,</w:t>
      </w:r>
      <w:r>
        <w:t xml:space="preserve"> and </w:t>
      </w:r>
      <w:r w:rsidR="00FC1B9F">
        <w:t xml:space="preserve">the </w:t>
      </w:r>
      <w:r w:rsidR="008C6B45" w:rsidRPr="00241369">
        <w:t xml:space="preserve">feasibility and acceptability of taking DNPS that arose in </w:t>
      </w:r>
      <w:r w:rsidR="00747283">
        <w:t>the first pilot study</w:t>
      </w:r>
      <w:r w:rsidR="008C6B45" w:rsidRPr="00241369">
        <w:t xml:space="preserve">. </w:t>
      </w:r>
      <w:r w:rsidR="00A64EDA" w:rsidRPr="00241369">
        <w:t>Study 2 involve</w:t>
      </w:r>
      <w:r w:rsidR="00D31922">
        <w:t>d</w:t>
      </w:r>
      <w:r w:rsidR="00A64EDA" w:rsidRPr="00241369">
        <w:t xml:space="preserve"> sampling children longitudinally and analysing deep nasopharyngeal swabs for viral and bacterial isolates, antimicrobial resistance profiles and 16S rRNA gene sequencing to analyse the impact of antibiotics on microbial communities. </w:t>
      </w:r>
    </w:p>
    <w:p w14:paraId="7B2D3FEB" w14:textId="77777777" w:rsidR="00FA76E2" w:rsidRPr="008F33C8" w:rsidRDefault="00FA76E2" w:rsidP="00241369">
      <w:pPr>
        <w:shd w:val="clear" w:color="auto" w:fill="FFFFFF" w:themeFill="background1"/>
        <w:spacing w:line="360" w:lineRule="auto"/>
      </w:pPr>
    </w:p>
    <w:p w14:paraId="5EFEB110" w14:textId="509B2AA3" w:rsidR="006D0B07" w:rsidRPr="008F33C8" w:rsidRDefault="006D0B07" w:rsidP="007C54D9">
      <w:pPr>
        <w:pStyle w:val="Heading3"/>
        <w:shd w:val="clear" w:color="auto" w:fill="FFFFFF" w:themeFill="background1"/>
        <w:spacing w:before="0" w:line="360" w:lineRule="auto"/>
      </w:pPr>
      <w:bookmarkStart w:id="103" w:name="_Toc117765933"/>
      <w:r w:rsidRPr="008F33C8">
        <w:t xml:space="preserve">Study </w:t>
      </w:r>
      <w:r w:rsidR="004451A4">
        <w:t>c</w:t>
      </w:r>
      <w:r w:rsidRPr="008F33C8">
        <w:t>onduct</w:t>
      </w:r>
      <w:r w:rsidR="00331794" w:rsidRPr="008F33C8">
        <w:t xml:space="preserve"> and </w:t>
      </w:r>
      <w:r w:rsidR="004451A4">
        <w:t>e</w:t>
      </w:r>
      <w:r w:rsidR="00AB2612">
        <w:t xml:space="preserve">thical </w:t>
      </w:r>
      <w:r w:rsidR="004451A4">
        <w:t>a</w:t>
      </w:r>
      <w:r w:rsidR="00AB2612">
        <w:t>pprovals</w:t>
      </w:r>
      <w:bookmarkEnd w:id="103"/>
    </w:p>
    <w:p w14:paraId="4D1174AB" w14:textId="05E3AE0D" w:rsidR="001045A5" w:rsidRDefault="00EF05B4" w:rsidP="00284867">
      <w:pPr>
        <w:shd w:val="clear" w:color="auto" w:fill="FFFFFF" w:themeFill="background1"/>
        <w:spacing w:after="160" w:line="360" w:lineRule="auto"/>
      </w:pPr>
      <w:r w:rsidRPr="00241369">
        <w:t xml:space="preserve">This study </w:t>
      </w:r>
      <w:r w:rsidR="00912CCD">
        <w:t>was</w:t>
      </w:r>
      <w:r w:rsidR="006D0B07" w:rsidRPr="00241369">
        <w:t xml:space="preserve"> conducted </w:t>
      </w:r>
      <w:r w:rsidR="006D0B07" w:rsidRPr="008F33C8">
        <w:t>following</w:t>
      </w:r>
      <w:r w:rsidR="006D0B07" w:rsidRPr="00241369">
        <w:t xml:space="preserve"> favourable ethical approval by the </w:t>
      </w:r>
      <w:r w:rsidRPr="00241369">
        <w:t xml:space="preserve">Yorkshire and the Humber – Leeds East Research Ethics Committee </w:t>
      </w:r>
      <w:r w:rsidR="006D0B07" w:rsidRPr="008F33C8">
        <w:t>(Reference number</w:t>
      </w:r>
      <w:r w:rsidRPr="00241369">
        <w:t xml:space="preserve"> 19/YH/0207</w:t>
      </w:r>
      <w:r w:rsidR="006D0B07" w:rsidRPr="00241369">
        <w:t xml:space="preserve">) and approval from the Health Research Authority. </w:t>
      </w:r>
      <w:r w:rsidR="00607F4C">
        <w:t>S</w:t>
      </w:r>
      <w:r w:rsidR="006D0B07" w:rsidRPr="00241369">
        <w:t>ubstantial amendment</w:t>
      </w:r>
      <w:r w:rsidR="00912CCD">
        <w:t>s</w:t>
      </w:r>
      <w:r w:rsidR="006D0B07" w:rsidRPr="00241369">
        <w:t xml:space="preserve"> </w:t>
      </w:r>
      <w:r w:rsidR="00341CC6">
        <w:t xml:space="preserve">were approved </w:t>
      </w:r>
      <w:r w:rsidR="006D0B07" w:rsidRPr="00241369">
        <w:t>to ob</w:t>
      </w:r>
      <w:r w:rsidRPr="00241369">
        <w:t>tain GP prescription records</w:t>
      </w:r>
      <w:r w:rsidR="004B6521">
        <w:t xml:space="preserve"> as above</w:t>
      </w:r>
      <w:r w:rsidR="00341CC6">
        <w:t xml:space="preserve">, </w:t>
      </w:r>
      <w:r w:rsidR="004B6521">
        <w:t xml:space="preserve">to </w:t>
      </w:r>
      <w:r w:rsidR="00912CCD">
        <w:t>increase the duration of participant involvement</w:t>
      </w:r>
      <w:r w:rsidR="00341CC6">
        <w:t xml:space="preserve"> from 12 to 20 months </w:t>
      </w:r>
      <w:r w:rsidR="00156078">
        <w:t>due to the C</w:t>
      </w:r>
      <w:r w:rsidR="00C70436">
        <w:t>O</w:t>
      </w:r>
      <w:r w:rsidR="00156078">
        <w:t>VID</w:t>
      </w:r>
      <w:r w:rsidR="00C70436">
        <w:t>-19</w:t>
      </w:r>
      <w:r w:rsidR="00156078">
        <w:t xml:space="preserve"> pandemic</w:t>
      </w:r>
      <w:r w:rsidR="004B6521">
        <w:t>,</w:t>
      </w:r>
      <w:r w:rsidR="00156078">
        <w:t xml:space="preserve"> </w:t>
      </w:r>
      <w:r w:rsidR="00341CC6">
        <w:t xml:space="preserve">and </w:t>
      </w:r>
      <w:r w:rsidR="004B6521">
        <w:t xml:space="preserve">finally </w:t>
      </w:r>
      <w:r w:rsidR="00341CC6">
        <w:t xml:space="preserve">to allow </w:t>
      </w:r>
      <w:r w:rsidR="00C70436">
        <w:t>P</w:t>
      </w:r>
      <w:r w:rsidR="00341CC6">
        <w:t>rofessor Bog</w:t>
      </w:r>
      <w:r w:rsidR="005D179E">
        <w:t>a</w:t>
      </w:r>
      <w:r w:rsidR="00341CC6">
        <w:t xml:space="preserve">ert’s team at the University of Edinburgh to process the samples for the microbiome analysis </w:t>
      </w:r>
      <w:r w:rsidR="00607F4C">
        <w:t>(</w:t>
      </w:r>
      <w:r w:rsidR="00720CD8">
        <w:t xml:space="preserve">REC reference 19/YH/0207, </w:t>
      </w:r>
      <w:r w:rsidR="00E16269" w:rsidRPr="00F820ED">
        <w:t xml:space="preserve">Amendment numbers: </w:t>
      </w:r>
      <w:r w:rsidR="0087590C" w:rsidRPr="0078240F">
        <w:t>Substantial Amendment 1, 09/09/19</w:t>
      </w:r>
      <w:r w:rsidR="00C70436" w:rsidRPr="00F820ED">
        <w:t xml:space="preserve"> </w:t>
      </w:r>
      <w:r w:rsidR="00912CCD" w:rsidRPr="00F820ED">
        <w:t xml:space="preserve">and </w:t>
      </w:r>
      <w:r w:rsidR="00720CD8" w:rsidRPr="00F820ED">
        <w:t>substantial</w:t>
      </w:r>
      <w:r w:rsidR="00720CD8">
        <w:t xml:space="preserve"> Amendment 2 9/6/21</w:t>
      </w:r>
      <w:r w:rsidR="00607F4C">
        <w:t>)</w:t>
      </w:r>
      <w:r w:rsidRPr="00241369">
        <w:t>.</w:t>
      </w:r>
      <w:r w:rsidR="00C70436">
        <w:t xml:space="preserve"> I had initially planned to extract DNA from the samples in Sheffield and outsource the 16S analysis to </w:t>
      </w:r>
      <w:proofErr w:type="spellStart"/>
      <w:r w:rsidR="00C70436">
        <w:t>Gene</w:t>
      </w:r>
      <w:r w:rsidR="002009F8">
        <w:t>w</w:t>
      </w:r>
      <w:r w:rsidR="00C70436">
        <w:t>iz</w:t>
      </w:r>
      <w:proofErr w:type="spellEnd"/>
      <w:r w:rsidR="00C70436">
        <w:t xml:space="preserve">, but due to the pandemic, the relevant resources for sample processing (specifically </w:t>
      </w:r>
      <w:r w:rsidR="003107B5">
        <w:t xml:space="preserve">a </w:t>
      </w:r>
      <w:r w:rsidR="00F820ED">
        <w:t xml:space="preserve">dedicated sterile hood housing the </w:t>
      </w:r>
      <w:r w:rsidR="00C70436">
        <w:t>Bead Beater for extracting DNA from low-abundance samples) had been moved into the Category 3 laboratory and were being extremely heavily used</w:t>
      </w:r>
      <w:r w:rsidR="001045A5">
        <w:t>, leading to a high risk of potential sample contamination</w:t>
      </w:r>
      <w:r w:rsidR="00844B89">
        <w:t xml:space="preserve"> which would invalidate the study</w:t>
      </w:r>
      <w:r w:rsidR="00C70436">
        <w:t xml:space="preserve">. </w:t>
      </w:r>
      <w:r w:rsidR="00844B89">
        <w:t>We therefore</w:t>
      </w:r>
      <w:r w:rsidR="001045A5">
        <w:t xml:space="preserve"> collaborated with Professor Debby Bogaert (University of Edinburgh)</w:t>
      </w:r>
      <w:r w:rsidR="004B6521">
        <w:t>,</w:t>
      </w:r>
      <w:r w:rsidR="001045A5">
        <w:t xml:space="preserve"> who has extensive expertise in paediatric microbiome studies with facilities to extract DNA from low-abundance samples in a dedicated laboratory environment not used for other purposes.</w:t>
      </w:r>
    </w:p>
    <w:p w14:paraId="2524A7F7" w14:textId="39D8ED78" w:rsidR="00791B00" w:rsidRPr="00241369" w:rsidRDefault="006D0B07" w:rsidP="00A14CB0">
      <w:pPr>
        <w:shd w:val="clear" w:color="auto" w:fill="FFFFFF" w:themeFill="background1"/>
        <w:spacing w:line="360" w:lineRule="auto"/>
      </w:pPr>
      <w:r w:rsidRPr="00241369">
        <w:t xml:space="preserve">Written </w:t>
      </w:r>
      <w:r w:rsidR="001045A5">
        <w:t xml:space="preserve">informed </w:t>
      </w:r>
      <w:r w:rsidRPr="00241369">
        <w:t xml:space="preserve">consent </w:t>
      </w:r>
      <w:r w:rsidR="00EF05B4" w:rsidRPr="00241369">
        <w:t>w</w:t>
      </w:r>
      <w:r w:rsidR="00607F4C">
        <w:t>as</w:t>
      </w:r>
      <w:r w:rsidR="00EF05B4" w:rsidRPr="00241369">
        <w:t xml:space="preserve"> </w:t>
      </w:r>
      <w:r w:rsidRPr="00241369">
        <w:t>obtained from all parents or legal guardians at the start of the study</w:t>
      </w:r>
      <w:r w:rsidR="00CD131A">
        <w:t xml:space="preserve"> and after each substantial amendment where required</w:t>
      </w:r>
      <w:r w:rsidRPr="00241369">
        <w:t xml:space="preserve">. </w:t>
      </w:r>
      <w:r w:rsidR="00EF05B4" w:rsidRPr="00241369">
        <w:t xml:space="preserve">The study </w:t>
      </w:r>
      <w:r w:rsidR="00607F4C">
        <w:t>was</w:t>
      </w:r>
      <w:r w:rsidRPr="00241369">
        <w:t xml:space="preserve"> funded by the Sir Halley Stewart Trust</w:t>
      </w:r>
      <w:r w:rsidR="00AF3967">
        <w:t xml:space="preserve"> (</w:t>
      </w:r>
      <w:r w:rsidR="00EA772B">
        <w:t xml:space="preserve">Grant </w:t>
      </w:r>
      <w:r w:rsidR="00AF3967">
        <w:t xml:space="preserve">reference </w:t>
      </w:r>
      <w:r w:rsidR="00AF3967" w:rsidRPr="00AF3967">
        <w:t>R/160595</w:t>
      </w:r>
      <w:r w:rsidR="00EA772B">
        <w:t>, myself as principal applicant</w:t>
      </w:r>
      <w:r w:rsidR="00AF3967">
        <w:t>)</w:t>
      </w:r>
      <w:r w:rsidR="00AF3967" w:rsidRPr="00AF3967">
        <w:t xml:space="preserve"> </w:t>
      </w:r>
      <w:r w:rsidRPr="00241369">
        <w:t xml:space="preserve"> and carried out in accordance with the International Conference for Harmonis</w:t>
      </w:r>
      <w:r w:rsidR="00426023">
        <w:t xml:space="preserve">ation of Good Clinical Practice </w:t>
      </w:r>
      <w:r w:rsidRPr="00241369">
        <w:t xml:space="preserve">and the UK Policy Framework for Health and Social Care Research </w:t>
      </w:r>
      <w:r w:rsidR="00587CD0">
        <w:fldChar w:fldCharType="begin"/>
      </w:r>
      <w:r w:rsidR="00E87ACA">
        <w:instrText xml:space="preserve"> ADDIN EN.CITE &lt;EndNote&gt;&lt;Cite&gt;&lt;Author&gt;Department of Health&lt;/Author&gt;&lt;Year&gt;2022&lt;/Year&gt;&lt;RecNum&gt;260&lt;/RecNum&gt;&lt;DisplayText&gt;(Department of Health, 2022)&lt;/DisplayText&gt;&lt;record&gt;&lt;rec-number&gt;260&lt;/rec-number&gt;&lt;foreign-keys&gt;&lt;key app="EN" db-id="pr9rwt2w8padxcerwx6prd0a9wtda2w5fw2t" timestamp="1629731697"&gt;260&lt;/key&gt;&lt;/foreign-keys&gt;&lt;ref-type name="Web Page"&gt;12&lt;/ref-type&gt;&lt;contributors&gt;&lt;authors&gt;&lt;author&gt;Department of Health,&lt;/author&gt;&lt;/authors&gt;&lt;secondary-authors&gt;&lt;author&gt;Health Research Authority&lt;/author&gt;&lt;/secondary-authors&gt;&lt;/contributors&gt;&lt;titles&gt;&lt;title&gt;Policy Framework for Health and Social Care Research &lt;/title&gt;&lt;/titles&gt;&lt;volume&gt;05/07/2022&lt;/volume&gt;&lt;dates&gt;&lt;year&gt;2022&lt;/year&gt;&lt;/dates&gt;&lt;urls&gt;&lt;related-urls&gt;&lt;url&gt;https://www.hra.nhs.uk/planning-and-improving-research/policies-standards-legislation/uk-policy-framework-health-social-care-research/uk-policy-framework-health-and-social-care-research/&lt;/url&gt;&lt;/related-urls&gt;&lt;/urls&gt;&lt;/record&gt;&lt;/Cite&gt;&lt;/EndNote&gt;</w:instrText>
      </w:r>
      <w:r w:rsidR="00587CD0">
        <w:fldChar w:fldCharType="separate"/>
      </w:r>
      <w:r w:rsidR="00E87ACA">
        <w:rPr>
          <w:noProof/>
        </w:rPr>
        <w:t>(Department of Health, 2022)</w:t>
      </w:r>
      <w:r w:rsidR="00587CD0">
        <w:fldChar w:fldCharType="end"/>
      </w:r>
      <w:r w:rsidR="00426023">
        <w:t>.</w:t>
      </w:r>
    </w:p>
    <w:p w14:paraId="6347B677" w14:textId="2CB1FE81" w:rsidR="00DE4FA3" w:rsidRPr="008F33C8" w:rsidRDefault="00AD1754" w:rsidP="00811D14">
      <w:pPr>
        <w:pStyle w:val="Heading3"/>
        <w:shd w:val="clear" w:color="auto" w:fill="FFFFFF" w:themeFill="background1"/>
        <w:spacing w:before="0" w:line="360" w:lineRule="auto"/>
      </w:pPr>
      <w:bookmarkStart w:id="104" w:name="_Toc117765934"/>
      <w:r w:rsidRPr="008F33C8">
        <w:lastRenderedPageBreak/>
        <w:t xml:space="preserve">Study </w:t>
      </w:r>
      <w:r w:rsidR="004451A4">
        <w:t>d</w:t>
      </w:r>
      <w:r w:rsidRPr="008F33C8">
        <w:t>esign</w:t>
      </w:r>
      <w:bookmarkEnd w:id="104"/>
    </w:p>
    <w:p w14:paraId="512FD3D0" w14:textId="6ADE7E88" w:rsidR="00E6614B" w:rsidRDefault="00BB38CC" w:rsidP="00811D14">
      <w:pPr>
        <w:shd w:val="clear" w:color="auto" w:fill="FFFFFF" w:themeFill="background1"/>
        <w:spacing w:line="360" w:lineRule="auto"/>
      </w:pPr>
      <w:r w:rsidRPr="00241369">
        <w:t xml:space="preserve">After discussion with statistician Professor Rigby, we </w:t>
      </w:r>
      <w:r w:rsidR="00844B89">
        <w:t xml:space="preserve">utilised </w:t>
      </w:r>
      <w:r w:rsidRPr="00241369">
        <w:t xml:space="preserve">a pragmatic sample size based on </w:t>
      </w:r>
      <w:r w:rsidR="00DF2670">
        <w:t>recruitment results from PBB study 1</w:t>
      </w:r>
      <w:r w:rsidR="00EA772B">
        <w:t>, anticipated patient numbers available,</w:t>
      </w:r>
      <w:r w:rsidRPr="00241369">
        <w:t xml:space="preserve"> and the time constraints of the MD</w:t>
      </w:r>
      <w:r>
        <w:t xml:space="preserve"> degree</w:t>
      </w:r>
      <w:r w:rsidRPr="00241369">
        <w:t xml:space="preserve">. </w:t>
      </w:r>
      <w:r w:rsidR="00B53508" w:rsidRPr="00B53508">
        <w:t xml:space="preserve"> However, the sample size is comparable to that of other studies exploring the microbiota in the setting of protracted bacterial bronchitis.</w:t>
      </w:r>
      <w:r w:rsidR="00B53508">
        <w:t xml:space="preserve"> </w:t>
      </w:r>
      <w:r w:rsidR="00E6614B" w:rsidRPr="00241369">
        <w:t>We aimed to recruit a total of 30 children with a diagnosis of PBB to this single centre, prospective observational study at SCH</w:t>
      </w:r>
      <w:r>
        <w:t xml:space="preserve">. </w:t>
      </w:r>
      <w:r w:rsidR="00E6614B" w:rsidRPr="00241369">
        <w:t xml:space="preserve">The same </w:t>
      </w:r>
      <w:r>
        <w:t xml:space="preserve">treatment and </w:t>
      </w:r>
      <w:r w:rsidR="00E6614B" w:rsidRPr="00241369">
        <w:t xml:space="preserve">comparison cohorts were used </w:t>
      </w:r>
      <w:r w:rsidR="002D38E8" w:rsidRPr="00241369">
        <w:t>as described in</w:t>
      </w:r>
      <w:r w:rsidR="00E6614B" w:rsidRPr="00241369">
        <w:t xml:space="preserve"> study 1 but 15 children</w:t>
      </w:r>
      <w:r w:rsidR="00E10A50" w:rsidRPr="00241369">
        <w:t xml:space="preserve"> </w:t>
      </w:r>
      <w:r w:rsidR="004B0B3D" w:rsidRPr="00241369">
        <w:t xml:space="preserve">were </w:t>
      </w:r>
      <w:r w:rsidR="00E6614B" w:rsidRPr="00241369">
        <w:t>recruited to each group</w:t>
      </w:r>
      <w:r w:rsidR="00EA772B">
        <w:t xml:space="preserve"> with the aim of pooling data where possible.</w:t>
      </w:r>
    </w:p>
    <w:p w14:paraId="4BBC5872" w14:textId="77777777" w:rsidR="009C59F1" w:rsidRPr="00241369" w:rsidRDefault="009C59F1" w:rsidP="009C59F1">
      <w:pPr>
        <w:shd w:val="clear" w:color="auto" w:fill="FFFFFF" w:themeFill="background1"/>
        <w:spacing w:line="360" w:lineRule="auto"/>
      </w:pPr>
    </w:p>
    <w:p w14:paraId="32DDB193" w14:textId="05F387A6" w:rsidR="00AD1754" w:rsidRPr="008F33C8" w:rsidRDefault="00AD1754" w:rsidP="009C59F1">
      <w:pPr>
        <w:pStyle w:val="Heading3"/>
        <w:shd w:val="clear" w:color="auto" w:fill="FFFFFF" w:themeFill="background1"/>
        <w:spacing w:before="0" w:line="360" w:lineRule="auto"/>
      </w:pPr>
      <w:bookmarkStart w:id="105" w:name="_Toc117765935"/>
      <w:r w:rsidRPr="008F33C8">
        <w:t>Participant selection and recruitment</w:t>
      </w:r>
      <w:bookmarkEnd w:id="105"/>
    </w:p>
    <w:p w14:paraId="26817064" w14:textId="62143C70" w:rsidR="008F6455" w:rsidRDefault="002D38E8" w:rsidP="009C59F1">
      <w:pPr>
        <w:shd w:val="clear" w:color="auto" w:fill="FFFFFF" w:themeFill="background1"/>
        <w:spacing w:line="360" w:lineRule="auto"/>
      </w:pPr>
      <w:r w:rsidRPr="00241369">
        <w:t>The</w:t>
      </w:r>
      <w:r w:rsidR="00393497" w:rsidRPr="00241369">
        <w:t xml:space="preserve"> same inclusion and exclusion criteria were used as described in study 1</w:t>
      </w:r>
      <w:r w:rsidR="00811D14">
        <w:t xml:space="preserve"> </w:t>
      </w:r>
      <w:r w:rsidR="00393497" w:rsidRPr="00241369">
        <w:t>apart from the following 2 amendments</w:t>
      </w:r>
      <w:r w:rsidR="008F6455">
        <w:t>:</w:t>
      </w:r>
    </w:p>
    <w:p w14:paraId="31F32530" w14:textId="040636CC" w:rsidR="008F6455" w:rsidRDefault="00393497" w:rsidP="009C59F1">
      <w:pPr>
        <w:shd w:val="clear" w:color="auto" w:fill="FFFFFF" w:themeFill="background1"/>
        <w:spacing w:line="360" w:lineRule="auto"/>
      </w:pPr>
      <w:r w:rsidRPr="00241369">
        <w:t xml:space="preserve">Firstly, the age range was changed from 2-10 years to 18 months-6 years. This was due to the fact that </w:t>
      </w:r>
      <w:r w:rsidR="00C757CB">
        <w:t xml:space="preserve">in PBB study 1, </w:t>
      </w:r>
      <w:r w:rsidRPr="00241369">
        <w:t xml:space="preserve">older children </w:t>
      </w:r>
      <w:r w:rsidR="00C757CB">
        <w:t xml:space="preserve">were </w:t>
      </w:r>
      <w:r w:rsidR="00AB2612">
        <w:t xml:space="preserve">more </w:t>
      </w:r>
      <w:r w:rsidR="00C757CB">
        <w:t>difficult to age match. In PBB study 1, a</w:t>
      </w:r>
      <w:r w:rsidRPr="00241369">
        <w:t xml:space="preserve"> number of younger children starting azithromycin were </w:t>
      </w:r>
      <w:r w:rsidR="00BB38CC">
        <w:t>not eligible,</w:t>
      </w:r>
      <w:r w:rsidR="00BB38CC" w:rsidRPr="00241369">
        <w:t xml:space="preserve"> </w:t>
      </w:r>
      <w:r w:rsidR="00C757CB">
        <w:t>so the minimum age range was lowered for PBB study 2.</w:t>
      </w:r>
    </w:p>
    <w:p w14:paraId="7DF2142A" w14:textId="60ED5DE4" w:rsidR="002D38E8" w:rsidRDefault="00393497" w:rsidP="00A14CB0">
      <w:pPr>
        <w:shd w:val="clear" w:color="auto" w:fill="FFFFFF" w:themeFill="background1"/>
        <w:spacing w:line="360" w:lineRule="auto"/>
      </w:pPr>
      <w:r w:rsidRPr="00241369">
        <w:t xml:space="preserve">Secondly, to facilitate the recruitment of children to the comparison group, the time frame over which a child must have </w:t>
      </w:r>
      <w:r w:rsidR="008F6455">
        <w:t xml:space="preserve">previously </w:t>
      </w:r>
      <w:r w:rsidRPr="00241369">
        <w:t>had an episode of PBB was extended from 12</w:t>
      </w:r>
      <w:r w:rsidR="00EA772B">
        <w:t xml:space="preserve"> </w:t>
      </w:r>
      <w:r w:rsidRPr="00241369">
        <w:t>to 18</w:t>
      </w:r>
      <w:r w:rsidR="00EA772B">
        <w:t xml:space="preserve"> </w:t>
      </w:r>
      <w:r w:rsidRPr="00241369">
        <w:t>months</w:t>
      </w:r>
      <w:r w:rsidR="007F2BC1" w:rsidRPr="00241369">
        <w:t>.</w:t>
      </w:r>
    </w:p>
    <w:p w14:paraId="7C1370DB" w14:textId="77777777" w:rsidR="00EA772B" w:rsidRPr="00241369" w:rsidRDefault="00EA772B" w:rsidP="00A14CB0">
      <w:pPr>
        <w:shd w:val="clear" w:color="auto" w:fill="FFFFFF" w:themeFill="background1"/>
        <w:spacing w:line="360" w:lineRule="auto"/>
      </w:pPr>
    </w:p>
    <w:p w14:paraId="4AFC7F33" w14:textId="6AA7A4FF" w:rsidR="0073652B" w:rsidRPr="00241369" w:rsidRDefault="0073652B" w:rsidP="00752DD8">
      <w:pPr>
        <w:pStyle w:val="Heading3"/>
        <w:shd w:val="clear" w:color="auto" w:fill="FFFFFF" w:themeFill="background1"/>
        <w:spacing w:before="0" w:line="360" w:lineRule="auto"/>
      </w:pPr>
      <w:bookmarkStart w:id="106" w:name="_Toc117765936"/>
      <w:r w:rsidRPr="00241369">
        <w:t>Participant recruitment</w:t>
      </w:r>
      <w:bookmarkEnd w:id="106"/>
    </w:p>
    <w:p w14:paraId="096B4BFE" w14:textId="6D7198C1" w:rsidR="0073652B" w:rsidRDefault="00393497" w:rsidP="00752DD8">
      <w:pPr>
        <w:shd w:val="clear" w:color="auto" w:fill="FFFFFF" w:themeFill="background1"/>
        <w:spacing w:line="360" w:lineRule="auto"/>
      </w:pPr>
      <w:r w:rsidRPr="00241369">
        <w:t xml:space="preserve">The recruitment process was improved following </w:t>
      </w:r>
      <w:r w:rsidR="00D235BC">
        <w:t xml:space="preserve">PBB </w:t>
      </w:r>
      <w:r w:rsidRPr="00241369">
        <w:t>Study 1</w:t>
      </w:r>
      <w:r w:rsidR="00737408">
        <w:t>.</w:t>
      </w:r>
      <w:r w:rsidR="00BB38CC">
        <w:t xml:space="preserve"> </w:t>
      </w:r>
      <w:r w:rsidR="00737408">
        <w:t>T</w:t>
      </w:r>
      <w:r w:rsidR="00BB38CC">
        <w:t xml:space="preserve">o streamline recruitment and improve </w:t>
      </w:r>
      <w:r w:rsidR="00A77E4B">
        <w:t>efficiency</w:t>
      </w:r>
      <w:r w:rsidR="00BB38CC">
        <w:t>, additional e</w:t>
      </w:r>
      <w:r w:rsidRPr="00241369">
        <w:t xml:space="preserve">thical approval was requested and granted to </w:t>
      </w:r>
      <w:r w:rsidR="0013272C" w:rsidRPr="008F33C8">
        <w:t>pre-screen</w:t>
      </w:r>
      <w:r w:rsidRPr="00241369">
        <w:t xml:space="preserve"> potential recruits</w:t>
      </w:r>
      <w:r w:rsidR="00A77E4B">
        <w:t xml:space="preserve"> (</w:t>
      </w:r>
      <w:r w:rsidR="0055342A" w:rsidRPr="008F33C8">
        <w:t>Reference number</w:t>
      </w:r>
      <w:r w:rsidR="0055342A" w:rsidRPr="00241369">
        <w:t xml:space="preserve"> 19/YH/0207</w:t>
      </w:r>
      <w:r w:rsidR="0055342A">
        <w:t xml:space="preserve">). </w:t>
      </w:r>
      <w:r w:rsidR="00B00CAC">
        <w:t>I</w:t>
      </w:r>
      <w:r w:rsidR="00E3161C">
        <w:t xml:space="preserve"> </w:t>
      </w:r>
      <w:r w:rsidRPr="00241369">
        <w:t xml:space="preserve">reviewed all relevant outpatient clinic lists on a weekly basis. The notes for each child who fulfilled the age inclusion criteria were reviewed (See section </w:t>
      </w:r>
      <w:r w:rsidR="00F47930" w:rsidRPr="00241369">
        <w:t>2.</w:t>
      </w:r>
      <w:r w:rsidR="00A64EDA" w:rsidRPr="00241369">
        <w:t>2</w:t>
      </w:r>
      <w:r w:rsidR="00F47930" w:rsidRPr="00241369">
        <w:t>.3</w:t>
      </w:r>
      <w:r w:rsidR="00D100C2">
        <w:t>.1/2</w:t>
      </w:r>
      <w:r w:rsidRPr="00241369">
        <w:t xml:space="preserve"> for inclusion and exclusion criteria). A list of potential recruits was emailed to the </w:t>
      </w:r>
      <w:r w:rsidR="00B81BE2">
        <w:t>R</w:t>
      </w:r>
      <w:r w:rsidRPr="00241369">
        <w:t xml:space="preserve">espiratory specialist nurses. The nurses once more approached families during the child’s outpatient clinic appointment and gave them the study information. Families were then contacted after at least 24 hours rather than 48 hours by text message to see if they would like to take part. This was because during study 1, we found some families had already started azithromycin by the time they received the text message. </w:t>
      </w:r>
    </w:p>
    <w:p w14:paraId="744F10AF" w14:textId="77777777" w:rsidR="00F23467" w:rsidRPr="00241369" w:rsidRDefault="00F23467" w:rsidP="00A14CB0">
      <w:pPr>
        <w:shd w:val="clear" w:color="auto" w:fill="FFFFFF" w:themeFill="background1"/>
        <w:spacing w:line="360" w:lineRule="auto"/>
      </w:pPr>
    </w:p>
    <w:p w14:paraId="694E6549" w14:textId="3C71C598" w:rsidR="0073652B" w:rsidRPr="009D1FA4" w:rsidRDefault="0073652B" w:rsidP="00752DD8">
      <w:pPr>
        <w:pStyle w:val="Heading3"/>
        <w:spacing w:before="0" w:line="360" w:lineRule="auto"/>
      </w:pPr>
      <w:bookmarkStart w:id="107" w:name="_Toc117765937"/>
      <w:r w:rsidRPr="009D1FA4">
        <w:lastRenderedPageBreak/>
        <w:t>Interventions</w:t>
      </w:r>
      <w:r w:rsidR="00B653E0" w:rsidRPr="009D1FA4">
        <w:t xml:space="preserve"> and sample processing</w:t>
      </w:r>
      <w:bookmarkEnd w:id="107"/>
    </w:p>
    <w:p w14:paraId="7F908F10" w14:textId="70775A8D" w:rsidR="008E12F1" w:rsidRPr="00241369" w:rsidRDefault="0073652B" w:rsidP="00284867">
      <w:pPr>
        <w:shd w:val="clear" w:color="auto" w:fill="FFFFFF" w:themeFill="background1"/>
        <w:spacing w:after="160" w:line="360" w:lineRule="auto"/>
      </w:pPr>
      <w:r w:rsidRPr="00241369">
        <w:t>Demographic data, medical history and previous antibiotic use were recorded for each participant. De</w:t>
      </w:r>
      <w:r w:rsidR="00C93BE0" w:rsidRPr="00241369">
        <w:t>ep nasopharyngeal swa</w:t>
      </w:r>
      <w:r w:rsidR="00E10A50" w:rsidRPr="00241369">
        <w:t xml:space="preserve">bs (DNPS) </w:t>
      </w:r>
      <w:r w:rsidR="00730DAC">
        <w:t>were</w:t>
      </w:r>
      <w:r w:rsidR="004E1C73" w:rsidRPr="00241369">
        <w:t xml:space="preserve"> </w:t>
      </w:r>
      <w:r w:rsidR="00E10A50" w:rsidRPr="00241369">
        <w:t>taken at baseline</w:t>
      </w:r>
      <w:r w:rsidR="00A77E4B">
        <w:t>. We then aimed to take swabs every 4 months over a 12-month study period</w:t>
      </w:r>
      <w:r w:rsidR="00E10A50" w:rsidRPr="00241369">
        <w:t>. The frequency of sampling was extended from 3 monthly (</w:t>
      </w:r>
      <w:r w:rsidR="00C247B2">
        <w:t xml:space="preserve">PBB </w:t>
      </w:r>
      <w:r w:rsidR="00E10A50" w:rsidRPr="00241369">
        <w:t>study 1) to 4 monthly</w:t>
      </w:r>
      <w:r w:rsidR="00C93BE0" w:rsidRPr="00241369">
        <w:t xml:space="preserve"> </w:t>
      </w:r>
      <w:r w:rsidR="00E10A50" w:rsidRPr="00241369">
        <w:t>as further swabs were to be taken around exacerbations</w:t>
      </w:r>
      <w:r w:rsidR="00BF0234">
        <w:t xml:space="preserve">. </w:t>
      </w:r>
      <w:r w:rsidR="00B81BE2" w:rsidRPr="00241369">
        <w:t xml:space="preserve">In addition to a DNPS, a viral throat swab </w:t>
      </w:r>
      <w:r w:rsidR="00B81BE2">
        <w:t xml:space="preserve">was planned to be </w:t>
      </w:r>
      <w:r w:rsidR="00B81BE2" w:rsidRPr="00241369">
        <w:t xml:space="preserve"> taken at the beginning of any pulmonary exacerbations. </w:t>
      </w:r>
      <w:r w:rsidR="00BF0234">
        <w:t>Due to restrictions during the</w:t>
      </w:r>
      <w:r w:rsidR="00BA14F6">
        <w:t xml:space="preserve"> COVID-19</w:t>
      </w:r>
      <w:r w:rsidR="00BF0234">
        <w:t xml:space="preserve"> pandemic</w:t>
      </w:r>
      <w:r w:rsidR="00B81BE2">
        <w:t xml:space="preserve"> however</w:t>
      </w:r>
      <w:r w:rsidR="00BA14F6">
        <w:t>,</w:t>
      </w:r>
      <w:r w:rsidR="00BF0234">
        <w:t xml:space="preserve"> </w:t>
      </w:r>
      <w:r w:rsidR="00B81BE2">
        <w:t xml:space="preserve">there were major </w:t>
      </w:r>
      <w:r w:rsidR="00BF0234">
        <w:t xml:space="preserve">changes </w:t>
      </w:r>
      <w:r w:rsidR="00B81BE2">
        <w:t xml:space="preserve">in </w:t>
      </w:r>
      <w:r w:rsidR="00BF0234">
        <w:t>the timing of the swabs (see section 2.3.6)</w:t>
      </w:r>
      <w:r w:rsidR="00C90431">
        <w:t xml:space="preserve">. </w:t>
      </w:r>
    </w:p>
    <w:p w14:paraId="149CC999" w14:textId="6E4454C3" w:rsidR="009C50A4" w:rsidRPr="008F33C8" w:rsidRDefault="008E12F1" w:rsidP="00B751E5">
      <w:pPr>
        <w:shd w:val="clear" w:color="auto" w:fill="FFFFFF" w:themeFill="background1"/>
        <w:spacing w:after="160" w:line="360" w:lineRule="auto"/>
        <w:rPr>
          <w:rFonts w:eastAsia="Calibri" w:cs="Calibri"/>
        </w:rPr>
      </w:pPr>
      <w:r w:rsidRPr="008F33C8">
        <w:rPr>
          <w:rFonts w:eastAsia="Calibri" w:cs="Calibri"/>
        </w:rPr>
        <w:t xml:space="preserve">Feedback from parents in </w:t>
      </w:r>
      <w:r w:rsidR="00C247B2">
        <w:rPr>
          <w:rFonts w:eastAsia="Calibri" w:cs="Calibri"/>
        </w:rPr>
        <w:t xml:space="preserve">PBB </w:t>
      </w:r>
      <w:r w:rsidRPr="008F33C8">
        <w:rPr>
          <w:rFonts w:eastAsia="Calibri" w:cs="Calibri"/>
        </w:rPr>
        <w:t xml:space="preserve">study 1 </w:t>
      </w:r>
      <w:r w:rsidR="004E1C73" w:rsidRPr="008F33C8">
        <w:rPr>
          <w:rFonts w:eastAsia="Calibri" w:cs="Calibri"/>
        </w:rPr>
        <w:t>suggested</w:t>
      </w:r>
      <w:r w:rsidRPr="008F33C8">
        <w:rPr>
          <w:rFonts w:eastAsia="Calibri" w:cs="Calibri"/>
        </w:rPr>
        <w:t xml:space="preserve"> that collecting swabs on 5</w:t>
      </w:r>
      <w:r w:rsidR="002B0014">
        <w:rPr>
          <w:rFonts w:eastAsia="Calibri" w:cs="Calibri"/>
        </w:rPr>
        <w:t>-6 occasions over 12-</w:t>
      </w:r>
      <w:r w:rsidRPr="008F33C8">
        <w:rPr>
          <w:rFonts w:eastAsia="Calibri" w:cs="Calibri"/>
        </w:rPr>
        <w:t xml:space="preserve">months would be acceptable. Some families found collecting repeated nasal swabs distressing and hence the end of exacerbation swab </w:t>
      </w:r>
      <w:r w:rsidR="00730DAC">
        <w:rPr>
          <w:rFonts w:eastAsia="Calibri" w:cs="Calibri"/>
        </w:rPr>
        <w:t>was</w:t>
      </w:r>
      <w:r w:rsidR="00B81BE2">
        <w:rPr>
          <w:rFonts w:eastAsia="Calibri" w:cs="Calibri"/>
        </w:rPr>
        <w:t xml:space="preserve"> made</w:t>
      </w:r>
      <w:r w:rsidRPr="008F33C8">
        <w:rPr>
          <w:rFonts w:eastAsia="Calibri" w:cs="Calibri"/>
        </w:rPr>
        <w:t xml:space="preserve"> optional. </w:t>
      </w:r>
      <w:r w:rsidR="009C50A4" w:rsidRPr="008F33C8">
        <w:rPr>
          <w:rFonts w:eastAsia="Calibri" w:cs="Calibri"/>
        </w:rPr>
        <w:t xml:space="preserve">An exacerbation of PBB </w:t>
      </w:r>
      <w:r w:rsidR="00730DAC">
        <w:rPr>
          <w:rFonts w:eastAsia="Calibri" w:cs="Calibri"/>
        </w:rPr>
        <w:t>was</w:t>
      </w:r>
      <w:r w:rsidR="009C50A4" w:rsidRPr="008F33C8">
        <w:rPr>
          <w:rFonts w:eastAsia="Calibri" w:cs="Calibri"/>
        </w:rPr>
        <w:t xml:space="preserve"> defined as 2-6 weeks of antibiotic treatment commenced by hospital staff or the child’s general practitioner as advised by the respiratory team, for any of the following new symptoms that </w:t>
      </w:r>
      <w:r w:rsidR="00730DAC">
        <w:rPr>
          <w:rFonts w:eastAsia="Calibri" w:cs="Calibri"/>
        </w:rPr>
        <w:t>were</w:t>
      </w:r>
      <w:r w:rsidR="009C50A4" w:rsidRPr="008F33C8">
        <w:rPr>
          <w:rFonts w:eastAsia="Calibri" w:cs="Calibri"/>
        </w:rPr>
        <w:t xml:space="preserve"> present for more than </w:t>
      </w:r>
      <w:r w:rsidR="007E3788">
        <w:rPr>
          <w:rFonts w:eastAsia="Calibri" w:cs="Calibri"/>
        </w:rPr>
        <w:t>14</w:t>
      </w:r>
      <w:r w:rsidR="009C50A4" w:rsidRPr="008F33C8">
        <w:rPr>
          <w:rFonts w:eastAsia="Calibri" w:cs="Calibri"/>
        </w:rPr>
        <w:t xml:space="preserve"> days:</w:t>
      </w:r>
    </w:p>
    <w:p w14:paraId="5DEEB4BE" w14:textId="38FCE823" w:rsidR="009C50A4" w:rsidRDefault="009C50A4">
      <w:pPr>
        <w:numPr>
          <w:ilvl w:val="0"/>
          <w:numId w:val="9"/>
        </w:numPr>
        <w:shd w:val="clear" w:color="auto" w:fill="FFFFFF" w:themeFill="background1"/>
        <w:spacing w:line="360" w:lineRule="auto"/>
        <w:rPr>
          <w:rFonts w:eastAsia="Calibri" w:cs="Calibri"/>
        </w:rPr>
      </w:pPr>
      <w:r w:rsidRPr="008F33C8">
        <w:rPr>
          <w:rFonts w:eastAsia="Calibri" w:cs="Calibri"/>
        </w:rPr>
        <w:t>Increased cough</w:t>
      </w:r>
      <w:r w:rsidR="00B81BE2">
        <w:rPr>
          <w:rFonts w:eastAsia="Calibri" w:cs="Calibri"/>
        </w:rPr>
        <w:t>.</w:t>
      </w:r>
    </w:p>
    <w:p w14:paraId="1F76C161" w14:textId="71DDF941" w:rsidR="007E3788" w:rsidRDefault="007E3788">
      <w:pPr>
        <w:numPr>
          <w:ilvl w:val="0"/>
          <w:numId w:val="9"/>
        </w:numPr>
        <w:shd w:val="clear" w:color="auto" w:fill="FFFFFF" w:themeFill="background1"/>
        <w:spacing w:line="360" w:lineRule="auto"/>
        <w:rPr>
          <w:rFonts w:eastAsia="Calibri" w:cs="Calibri"/>
        </w:rPr>
      </w:pPr>
      <w:r>
        <w:rPr>
          <w:rFonts w:eastAsia="Calibri" w:cs="Calibri"/>
        </w:rPr>
        <w:t>No new pointers to suggest other lung disease</w:t>
      </w:r>
      <w:r w:rsidR="00B81BE2">
        <w:rPr>
          <w:rFonts w:eastAsia="Calibri" w:cs="Calibri"/>
        </w:rPr>
        <w:t>.</w:t>
      </w:r>
    </w:p>
    <w:p w14:paraId="1BB962FE" w14:textId="162305E4" w:rsidR="007E3788" w:rsidRPr="00B81BE2" w:rsidRDefault="007E3788">
      <w:pPr>
        <w:numPr>
          <w:ilvl w:val="0"/>
          <w:numId w:val="9"/>
        </w:numPr>
        <w:shd w:val="clear" w:color="auto" w:fill="FFFFFF" w:themeFill="background1"/>
        <w:spacing w:after="160" w:line="360" w:lineRule="auto"/>
        <w:ind w:left="714" w:hanging="357"/>
        <w:rPr>
          <w:rFonts w:eastAsia="Calibri" w:cs="Calibri"/>
        </w:rPr>
      </w:pPr>
      <w:r>
        <w:rPr>
          <w:rFonts w:eastAsia="Calibri" w:cs="Calibri"/>
        </w:rPr>
        <w:t>Chest radiograph – minor changes such as bronchial wall thickening</w:t>
      </w:r>
      <w:r w:rsidR="00B81BE2">
        <w:rPr>
          <w:rFonts w:eastAsia="Calibri" w:cs="Calibri"/>
        </w:rPr>
        <w:t>.</w:t>
      </w:r>
    </w:p>
    <w:p w14:paraId="045E38C9" w14:textId="216D0631" w:rsidR="00DA7A95" w:rsidRPr="00241369" w:rsidRDefault="009C50A4" w:rsidP="009C50A4">
      <w:pPr>
        <w:shd w:val="clear" w:color="auto" w:fill="FFFFFF" w:themeFill="background1"/>
        <w:spacing w:line="360" w:lineRule="auto"/>
      </w:pPr>
      <w:r w:rsidRPr="008F33C8">
        <w:rPr>
          <w:rFonts w:eastAsia="Calibri" w:cs="Calibri"/>
        </w:rPr>
        <w:t xml:space="preserve">Details of the clinical course of the exacerbation </w:t>
      </w:r>
      <w:r w:rsidR="00730DAC">
        <w:rPr>
          <w:rFonts w:eastAsia="Calibri" w:cs="Calibri"/>
        </w:rPr>
        <w:t>were</w:t>
      </w:r>
      <w:r w:rsidRPr="008F33C8">
        <w:rPr>
          <w:rFonts w:eastAsia="Calibri" w:cs="Calibri"/>
        </w:rPr>
        <w:t xml:space="preserve"> recorded. It </w:t>
      </w:r>
      <w:r w:rsidR="00730DAC">
        <w:rPr>
          <w:rFonts w:eastAsia="Calibri" w:cs="Calibri"/>
        </w:rPr>
        <w:t>was</w:t>
      </w:r>
      <w:r w:rsidRPr="008F33C8">
        <w:rPr>
          <w:rFonts w:eastAsia="Calibri" w:cs="Calibri"/>
        </w:rPr>
        <w:t xml:space="preserve"> anticipated that children w</w:t>
      </w:r>
      <w:r w:rsidR="00730DAC">
        <w:rPr>
          <w:rFonts w:eastAsia="Calibri" w:cs="Calibri"/>
        </w:rPr>
        <w:t>ould</w:t>
      </w:r>
      <w:r w:rsidRPr="008F33C8">
        <w:rPr>
          <w:rFonts w:eastAsia="Calibri" w:cs="Calibri"/>
        </w:rPr>
        <w:t xml:space="preserve"> have between 0-2 exacerbations a year. Families </w:t>
      </w:r>
      <w:r w:rsidR="00730DAC">
        <w:rPr>
          <w:rFonts w:eastAsia="Calibri" w:cs="Calibri"/>
        </w:rPr>
        <w:t>were</w:t>
      </w:r>
      <w:r w:rsidRPr="008F33C8">
        <w:rPr>
          <w:rFonts w:eastAsia="Calibri" w:cs="Calibri"/>
        </w:rPr>
        <w:t xml:space="preserve"> asked to contact </w:t>
      </w:r>
      <w:r w:rsidR="00C247B2">
        <w:rPr>
          <w:rFonts w:eastAsia="Calibri" w:cs="Calibri"/>
        </w:rPr>
        <w:t>myself</w:t>
      </w:r>
      <w:r w:rsidRPr="008F33C8">
        <w:rPr>
          <w:rFonts w:eastAsia="Calibri" w:cs="Calibri"/>
        </w:rPr>
        <w:t xml:space="preserve"> if their child </w:t>
      </w:r>
      <w:r w:rsidR="00730DAC">
        <w:rPr>
          <w:rFonts w:eastAsia="Calibri" w:cs="Calibri"/>
        </w:rPr>
        <w:t>was</w:t>
      </w:r>
      <w:r w:rsidRPr="008F33C8">
        <w:rPr>
          <w:rFonts w:eastAsia="Calibri" w:cs="Calibri"/>
        </w:rPr>
        <w:t xml:space="preserve"> to be started on such courses of antibiotics and </w:t>
      </w:r>
      <w:r w:rsidR="00C247B2">
        <w:rPr>
          <w:rFonts w:eastAsia="Calibri" w:cs="Calibri"/>
        </w:rPr>
        <w:t>I</w:t>
      </w:r>
      <w:r w:rsidRPr="008F33C8">
        <w:rPr>
          <w:rFonts w:eastAsia="Calibri" w:cs="Calibri"/>
        </w:rPr>
        <w:t xml:space="preserve"> </w:t>
      </w:r>
      <w:r w:rsidR="00730DAC">
        <w:rPr>
          <w:rFonts w:eastAsia="Calibri" w:cs="Calibri"/>
        </w:rPr>
        <w:t>would</w:t>
      </w:r>
      <w:r w:rsidRPr="008F33C8">
        <w:rPr>
          <w:rFonts w:eastAsia="Calibri" w:cs="Calibri"/>
        </w:rPr>
        <w:t xml:space="preserve"> collect the beginning of exacerbation swab</w:t>
      </w:r>
      <w:r w:rsidR="00730DAC">
        <w:rPr>
          <w:rFonts w:eastAsia="Calibri" w:cs="Calibri"/>
        </w:rPr>
        <w:t>s</w:t>
      </w:r>
      <w:r w:rsidRPr="008F33C8">
        <w:rPr>
          <w:rFonts w:eastAsia="Calibri" w:cs="Calibri"/>
        </w:rPr>
        <w:t>.</w:t>
      </w:r>
      <w:r w:rsidR="00BB38CC">
        <w:t xml:space="preserve"> </w:t>
      </w:r>
      <w:r w:rsidRPr="00241369">
        <w:t>The clinical condition of the chi</w:t>
      </w:r>
      <w:r w:rsidR="002B0014">
        <w:t xml:space="preserve">ld </w:t>
      </w:r>
      <w:r w:rsidR="00730DAC">
        <w:t>was</w:t>
      </w:r>
      <w:r w:rsidR="002B0014">
        <w:t xml:space="preserve"> </w:t>
      </w:r>
      <w:r w:rsidR="00B81BE2">
        <w:t xml:space="preserve">to be </w:t>
      </w:r>
      <w:r w:rsidR="002B0014">
        <w:t xml:space="preserve">followed over the </w:t>
      </w:r>
      <w:r w:rsidR="00730DAC">
        <w:t xml:space="preserve">next </w:t>
      </w:r>
      <w:r w:rsidR="002B0014">
        <w:t>12</w:t>
      </w:r>
      <w:r w:rsidR="00B81BE2">
        <w:t xml:space="preserve"> </w:t>
      </w:r>
      <w:r w:rsidRPr="00241369">
        <w:t xml:space="preserve">months as described in </w:t>
      </w:r>
      <w:r w:rsidR="00C247B2">
        <w:t xml:space="preserve">PBB </w:t>
      </w:r>
      <w:r w:rsidRPr="00241369">
        <w:t>study 1</w:t>
      </w:r>
      <w:r w:rsidR="00C247B2">
        <w:t>.</w:t>
      </w:r>
    </w:p>
    <w:p w14:paraId="0C80ABF9" w14:textId="6427AFEB" w:rsidR="00DF2670" w:rsidRDefault="00DF2670" w:rsidP="009C50A4">
      <w:pPr>
        <w:shd w:val="clear" w:color="auto" w:fill="FFFFFF" w:themeFill="background1"/>
        <w:spacing w:line="360" w:lineRule="auto"/>
      </w:pPr>
    </w:p>
    <w:p w14:paraId="6194C840" w14:textId="73B634D4" w:rsidR="00DF2670" w:rsidRDefault="00DF2670" w:rsidP="00752DD8">
      <w:pPr>
        <w:pStyle w:val="Heading3"/>
        <w:spacing w:before="0" w:line="360" w:lineRule="auto"/>
      </w:pPr>
      <w:bookmarkStart w:id="108" w:name="_Toc117765938"/>
      <w:r>
        <w:t>Changes in methodology due to the COVID-19 pandemic</w:t>
      </w:r>
      <w:bookmarkEnd w:id="108"/>
    </w:p>
    <w:p w14:paraId="29A06B81" w14:textId="4AB59DFF" w:rsidR="00DF2670" w:rsidRPr="00241369" w:rsidRDefault="009D1FA4" w:rsidP="00752DD8">
      <w:pPr>
        <w:shd w:val="clear" w:color="auto" w:fill="FFFFFF" w:themeFill="background1"/>
        <w:spacing w:line="360" w:lineRule="auto"/>
      </w:pPr>
      <w:r>
        <w:t xml:space="preserve">The COVID-19 pandemic began 5-months into the study. </w:t>
      </w:r>
      <w:r w:rsidR="00DF2670">
        <w:t>Due t</w:t>
      </w:r>
      <w:r w:rsidR="00BF0234">
        <w:t xml:space="preserve">o two national lockdowns and government advice on self-isolation when unwell, the </w:t>
      </w:r>
      <w:r>
        <w:t xml:space="preserve">study </w:t>
      </w:r>
      <w:r w:rsidR="00BF0234">
        <w:t xml:space="preserve">methodology </w:t>
      </w:r>
      <w:r>
        <w:t xml:space="preserve">had to be </w:t>
      </w:r>
      <w:r w:rsidR="00E91C72">
        <w:t xml:space="preserve">significantly </w:t>
      </w:r>
      <w:r>
        <w:t xml:space="preserve">changed. </w:t>
      </w:r>
      <w:r w:rsidR="00BF5BFB">
        <w:t>During lockdowns, it</w:t>
      </w:r>
      <w:r>
        <w:t xml:space="preserve"> was not possible </w:t>
      </w:r>
      <w:r w:rsidR="00AF3967">
        <w:t>to enter</w:t>
      </w:r>
      <w:r>
        <w:t xml:space="preserve"> family homes to take swabs</w:t>
      </w:r>
      <w:r w:rsidR="00BF5BFB">
        <w:t xml:space="preserve">. The majority of participants </w:t>
      </w:r>
      <w:r w:rsidR="00AF3967">
        <w:t xml:space="preserve">thus </w:t>
      </w:r>
      <w:r w:rsidR="00BF5BFB">
        <w:t>missed having swabs taken at 4</w:t>
      </w:r>
      <w:r w:rsidR="00B81BE2">
        <w:t xml:space="preserve"> </w:t>
      </w:r>
      <w:r w:rsidR="00BF5BFB">
        <w:t>months with some miss</w:t>
      </w:r>
      <w:r w:rsidR="00AF1E04">
        <w:t>ing</w:t>
      </w:r>
      <w:r w:rsidR="00BF5BFB">
        <w:t xml:space="preserve"> </w:t>
      </w:r>
      <w:r w:rsidR="00AF1E04">
        <w:t>collection at</w:t>
      </w:r>
      <w:r w:rsidR="00BF5BFB">
        <w:t xml:space="preserve"> 8</w:t>
      </w:r>
      <w:r w:rsidR="00B81BE2">
        <w:t xml:space="preserve"> </w:t>
      </w:r>
      <w:r w:rsidR="00BF5BFB">
        <w:t xml:space="preserve">months. </w:t>
      </w:r>
      <w:r w:rsidR="00AF1E04">
        <w:t>In order to collect the final swabs on participants, the time participants remained in the study had to be increased from 12</w:t>
      </w:r>
      <w:r w:rsidR="00B81BE2">
        <w:t xml:space="preserve">  </w:t>
      </w:r>
      <w:r w:rsidR="00AF1E04">
        <w:t xml:space="preserve">to </w:t>
      </w:r>
      <w:r w:rsidR="00BC6553">
        <w:t>20</w:t>
      </w:r>
      <w:r w:rsidR="00B81BE2">
        <w:t xml:space="preserve"> </w:t>
      </w:r>
      <w:r w:rsidR="00AF1E04">
        <w:t>months</w:t>
      </w:r>
      <w:r w:rsidR="00CF4657">
        <w:t xml:space="preserve">, hence the time after </w:t>
      </w:r>
      <w:r w:rsidR="00CF4657">
        <w:lastRenderedPageBreak/>
        <w:t>azithromycin cessation was higher than anticipated for some patients</w:t>
      </w:r>
      <w:r w:rsidR="00DC6C41">
        <w:t xml:space="preserve">. </w:t>
      </w:r>
      <w:r w:rsidR="00AF1E04">
        <w:t xml:space="preserve">Collection of swabs around exacerbations was limited during the study due to self-isolation restrictions. </w:t>
      </w:r>
      <w:r w:rsidR="00AF3967">
        <w:t xml:space="preserve">Collectively, this limited the number of samples available for analysis and led to the timings of samples being </w:t>
      </w:r>
      <w:r w:rsidR="00CF6AC8">
        <w:t>suboptimal (for example, not always precisely timed with commencement or cessation of azithromycin).</w:t>
      </w:r>
    </w:p>
    <w:p w14:paraId="372AE123" w14:textId="1EC8C3CF" w:rsidR="00117C7D" w:rsidRPr="006C703D" w:rsidRDefault="00117C7D" w:rsidP="006C703D">
      <w:pPr>
        <w:shd w:val="clear" w:color="auto" w:fill="FFFFFF" w:themeFill="background1"/>
        <w:spacing w:line="360" w:lineRule="auto"/>
        <w:rPr>
          <w:rFonts w:eastAsia="Calibri" w:cs="Calibri"/>
        </w:rPr>
      </w:pPr>
    </w:p>
    <w:p w14:paraId="79992868" w14:textId="30159656" w:rsidR="00F7547A" w:rsidRPr="00241369" w:rsidRDefault="00F7547A" w:rsidP="00BC6553">
      <w:pPr>
        <w:pStyle w:val="Heading3"/>
        <w:spacing w:before="0" w:line="360" w:lineRule="auto"/>
      </w:pPr>
      <w:bookmarkStart w:id="109" w:name="_Toc117765939"/>
      <w:r w:rsidRPr="00241369">
        <w:t>Compliance</w:t>
      </w:r>
      <w:bookmarkEnd w:id="109"/>
    </w:p>
    <w:p w14:paraId="03B02449" w14:textId="3E7A2733" w:rsidR="00F7547A" w:rsidRPr="00241369" w:rsidRDefault="008E12F1" w:rsidP="00BC6553">
      <w:pPr>
        <w:shd w:val="clear" w:color="auto" w:fill="FFFFFF" w:themeFill="background1"/>
        <w:spacing w:line="360" w:lineRule="auto"/>
      </w:pPr>
      <w:r w:rsidRPr="00241369">
        <w:t xml:space="preserve">The same self-reported prescription diary </w:t>
      </w:r>
      <w:r w:rsidR="00730DAC">
        <w:t>was</w:t>
      </w:r>
      <w:r w:rsidRPr="00241369">
        <w:t xml:space="preserve"> used as in </w:t>
      </w:r>
      <w:r w:rsidR="00C247B2">
        <w:t xml:space="preserve">PBB </w:t>
      </w:r>
      <w:r w:rsidRPr="00241369">
        <w:t>study 1</w:t>
      </w:r>
      <w:r w:rsidR="006F4475" w:rsidRPr="00241369">
        <w:t xml:space="preserve"> for those taking prophylactic </w:t>
      </w:r>
      <w:r w:rsidR="00A64EDA" w:rsidRPr="00241369">
        <w:t>azithromycin</w:t>
      </w:r>
      <w:r w:rsidRPr="00241369">
        <w:t xml:space="preserve">. </w:t>
      </w:r>
      <w:r w:rsidR="00CF6AC8">
        <w:t>T</w:t>
      </w:r>
      <w:r w:rsidRPr="00241369">
        <w:t>h</w:t>
      </w:r>
      <w:r w:rsidR="006F4475" w:rsidRPr="00241369">
        <w:t>e importance of completing the diary</w:t>
      </w:r>
      <w:r w:rsidR="00CF6AC8">
        <w:t xml:space="preserve"> was given greater emphasis in discussion with parents</w:t>
      </w:r>
      <w:r w:rsidR="006F4475" w:rsidRPr="00241369">
        <w:t xml:space="preserve">. </w:t>
      </w:r>
      <w:r w:rsidR="00F172D1" w:rsidRPr="00241369">
        <w:t xml:space="preserve">They </w:t>
      </w:r>
      <w:r w:rsidR="00730DAC">
        <w:t>were</w:t>
      </w:r>
      <w:r w:rsidR="00F172D1" w:rsidRPr="00241369">
        <w:t xml:space="preserve"> </w:t>
      </w:r>
      <w:r w:rsidR="00CF6AC8">
        <w:t xml:space="preserve">offered suggestions such </w:t>
      </w:r>
      <w:r w:rsidR="00CF4657">
        <w:t xml:space="preserve">as </w:t>
      </w:r>
      <w:r w:rsidR="00CF4657" w:rsidRPr="00241369">
        <w:t>attaching</w:t>
      </w:r>
      <w:r w:rsidR="00CF6AC8">
        <w:t xml:space="preserve"> or placing</w:t>
      </w:r>
      <w:r w:rsidR="00F172D1" w:rsidRPr="00241369">
        <w:t xml:space="preserve"> the diary somewhere obvious as a medication reminder and to prevent them losing it. </w:t>
      </w:r>
      <w:r w:rsidR="00CF6AC8">
        <w:t>P</w:t>
      </w:r>
      <w:r w:rsidR="006F4475" w:rsidRPr="00241369">
        <w:t xml:space="preserve">arents </w:t>
      </w:r>
      <w:r w:rsidR="00CF6AC8">
        <w:t xml:space="preserve">were further reminded </w:t>
      </w:r>
      <w:r w:rsidR="006F4475" w:rsidRPr="00241369">
        <w:t xml:space="preserve">about the diary </w:t>
      </w:r>
      <w:r w:rsidR="00730DAC">
        <w:t>during</w:t>
      </w:r>
      <w:r w:rsidR="006F4475" w:rsidRPr="00241369">
        <w:t xml:space="preserve"> any correspondence regarding exacerbations. </w:t>
      </w:r>
    </w:p>
    <w:p w14:paraId="176CAA5C" w14:textId="77777777" w:rsidR="0073652B" w:rsidRPr="00241369" w:rsidRDefault="0073652B" w:rsidP="00A14CB0">
      <w:pPr>
        <w:shd w:val="clear" w:color="auto" w:fill="FFFFFF" w:themeFill="background1"/>
        <w:spacing w:line="360" w:lineRule="auto"/>
      </w:pPr>
    </w:p>
    <w:p w14:paraId="5A39FEFD" w14:textId="47353BAE" w:rsidR="0073652B" w:rsidRPr="00241369" w:rsidRDefault="0073652B" w:rsidP="00BC6553">
      <w:pPr>
        <w:pStyle w:val="Heading3"/>
        <w:spacing w:before="0" w:line="360" w:lineRule="auto"/>
      </w:pPr>
      <w:bookmarkStart w:id="110" w:name="_Toc117765940"/>
      <w:r w:rsidRPr="00241369">
        <w:t>Deep nasopharyngeal swab sampling</w:t>
      </w:r>
      <w:bookmarkEnd w:id="110"/>
    </w:p>
    <w:p w14:paraId="2F2501BA" w14:textId="03BAC6BA" w:rsidR="002614FD" w:rsidRDefault="00CF6AC8" w:rsidP="00BC6553">
      <w:pPr>
        <w:shd w:val="clear" w:color="auto" w:fill="FFFFFF" w:themeFill="background1"/>
        <w:spacing w:line="360" w:lineRule="auto"/>
      </w:pPr>
      <w:r>
        <w:t xml:space="preserve">All </w:t>
      </w:r>
      <w:r w:rsidR="006F4475" w:rsidRPr="00241369">
        <w:t xml:space="preserve">DNPS </w:t>
      </w:r>
      <w:r>
        <w:t xml:space="preserve">were taken by myself exactly </w:t>
      </w:r>
      <w:r w:rsidR="006F4475" w:rsidRPr="00241369">
        <w:t xml:space="preserve">as described in </w:t>
      </w:r>
      <w:r w:rsidR="00C247B2">
        <w:t xml:space="preserve">PBB </w:t>
      </w:r>
      <w:r w:rsidR="006F4475" w:rsidRPr="00241369">
        <w:t>study 1.</w:t>
      </w:r>
      <w:r w:rsidR="00045815" w:rsidRPr="00241369">
        <w:t xml:space="preserve"> The pathway for sample processing is documented in </w:t>
      </w:r>
      <w:r w:rsidR="00CF4657">
        <w:t>Figure 2-2.</w:t>
      </w:r>
    </w:p>
    <w:p w14:paraId="0B7F4494" w14:textId="77777777" w:rsidR="00CF4657" w:rsidRPr="00241369" w:rsidRDefault="00CF4657" w:rsidP="00BC6553">
      <w:pPr>
        <w:shd w:val="clear" w:color="auto" w:fill="FFFFFF" w:themeFill="background1"/>
        <w:spacing w:line="360" w:lineRule="auto"/>
      </w:pPr>
    </w:p>
    <w:p w14:paraId="39BFFF2F" w14:textId="603F6544" w:rsidR="00B77A11" w:rsidRPr="00241369" w:rsidRDefault="00B77A11" w:rsidP="00BC6553">
      <w:pPr>
        <w:pStyle w:val="Heading3"/>
        <w:spacing w:before="0" w:line="360" w:lineRule="auto"/>
        <w:rPr>
          <w:lang w:eastAsia="en-GB"/>
        </w:rPr>
      </w:pPr>
      <w:bookmarkStart w:id="111" w:name="_Toc117765941"/>
      <w:r w:rsidRPr="00241369">
        <w:rPr>
          <w:lang w:eastAsia="en-GB"/>
        </w:rPr>
        <w:t>Bacterial culture</w:t>
      </w:r>
      <w:bookmarkEnd w:id="111"/>
    </w:p>
    <w:p w14:paraId="15AD73E9" w14:textId="4104FA83" w:rsidR="00B77A11" w:rsidRPr="00241369" w:rsidRDefault="006F4475" w:rsidP="00BC6553">
      <w:pPr>
        <w:shd w:val="clear" w:color="auto" w:fill="FFFFFF" w:themeFill="background1"/>
        <w:spacing w:line="360" w:lineRule="auto"/>
      </w:pPr>
      <w:r w:rsidRPr="00241369">
        <w:t xml:space="preserve">All DNPS </w:t>
      </w:r>
      <w:r w:rsidR="00730DAC">
        <w:t>were</w:t>
      </w:r>
      <w:r w:rsidRPr="00241369">
        <w:t xml:space="preserve"> processed at the </w:t>
      </w:r>
      <w:r w:rsidR="00952013">
        <w:t xml:space="preserve">STH </w:t>
      </w:r>
      <w:r w:rsidRPr="00241369">
        <w:t>laboratory using the same protocol as described in study 1</w:t>
      </w:r>
      <w:r w:rsidR="00CF6AC8">
        <w:t xml:space="preserve"> (Section 2.2.5.2)</w:t>
      </w:r>
      <w:r w:rsidRPr="00241369">
        <w:t xml:space="preserve">. </w:t>
      </w:r>
      <w:r w:rsidR="00A30232">
        <w:t>The DNPS transport medium and any bacterial isolates were frozen at -80</w:t>
      </w:r>
      <w:r w:rsidR="00A30232">
        <w:rPr>
          <w:rFonts w:cstheme="minorHAnsi"/>
        </w:rPr>
        <w:t>⁰</w:t>
      </w:r>
      <w:r w:rsidR="00A30232">
        <w:t>C</w:t>
      </w:r>
      <w:r w:rsidR="002009F8">
        <w:t xml:space="preserve"> pending further analysis.</w:t>
      </w:r>
    </w:p>
    <w:p w14:paraId="3A447036" w14:textId="3C0DBA3B" w:rsidR="006F4475" w:rsidRDefault="006F4475" w:rsidP="00A14CB0">
      <w:pPr>
        <w:shd w:val="clear" w:color="auto" w:fill="FFFFFF" w:themeFill="background1"/>
        <w:spacing w:line="360" w:lineRule="auto"/>
      </w:pPr>
    </w:p>
    <w:p w14:paraId="6E9194CA" w14:textId="37C50B78" w:rsidR="00B77A11" w:rsidRPr="009F22B7" w:rsidRDefault="00B43B93" w:rsidP="0025036E">
      <w:pPr>
        <w:pStyle w:val="Heading3"/>
      </w:pPr>
      <w:bookmarkStart w:id="112" w:name="_Toc117765942"/>
      <w:r w:rsidRPr="009F22B7">
        <w:t>Virology sampling and studies</w:t>
      </w:r>
      <w:bookmarkEnd w:id="112"/>
    </w:p>
    <w:p w14:paraId="62060D08" w14:textId="109897E4" w:rsidR="00FF4610" w:rsidRDefault="00B77A11" w:rsidP="00B43B93">
      <w:pPr>
        <w:shd w:val="clear" w:color="auto" w:fill="FFFFFF" w:themeFill="background1"/>
        <w:spacing w:line="360" w:lineRule="auto"/>
        <w:jc w:val="both"/>
        <w:rPr>
          <w:rFonts w:cs="Calibri"/>
        </w:rPr>
      </w:pPr>
      <w:r w:rsidRPr="00241369">
        <w:t xml:space="preserve">A viral swab (Sigma </w:t>
      </w:r>
      <w:proofErr w:type="spellStart"/>
      <w:r w:rsidRPr="00241369">
        <w:t>Virocult</w:t>
      </w:r>
      <w:proofErr w:type="spellEnd"/>
      <w:r w:rsidRPr="00241369">
        <w:t xml:space="preserve"> swab and transport medium, medical wire) </w:t>
      </w:r>
      <w:r w:rsidR="00730DAC">
        <w:t>was</w:t>
      </w:r>
      <w:r w:rsidRPr="00241369">
        <w:t xml:space="preserve"> inserted </w:t>
      </w:r>
      <w:r w:rsidR="00FF4610" w:rsidRPr="00241369">
        <w:t xml:space="preserve">into the child’s mouth and rubbed on the back of the throat. </w:t>
      </w:r>
      <w:r w:rsidR="00FF4610" w:rsidRPr="008F33C8">
        <w:rPr>
          <w:rFonts w:cs="Calibri"/>
        </w:rPr>
        <w:t xml:space="preserve">These swabs </w:t>
      </w:r>
      <w:r w:rsidR="00730DAC">
        <w:rPr>
          <w:rFonts w:cs="Calibri"/>
        </w:rPr>
        <w:t>were</w:t>
      </w:r>
      <w:r w:rsidR="00FF4610" w:rsidRPr="008F33C8">
        <w:rPr>
          <w:rFonts w:cs="Calibri"/>
        </w:rPr>
        <w:t xml:space="preserve"> processed at the STH virology laboratory</w:t>
      </w:r>
      <w:r w:rsidR="00B53508">
        <w:rPr>
          <w:rFonts w:cs="Calibri"/>
        </w:rPr>
        <w:t xml:space="preserve"> by the laboratory staff according to standard protocols</w:t>
      </w:r>
      <w:r w:rsidR="00FF4610" w:rsidRPr="008F33C8">
        <w:rPr>
          <w:rFonts w:cs="Calibri"/>
        </w:rPr>
        <w:t xml:space="preserve">. Nucleic acids </w:t>
      </w:r>
      <w:r w:rsidR="00730DAC">
        <w:rPr>
          <w:rFonts w:cs="Calibri"/>
        </w:rPr>
        <w:t>were</w:t>
      </w:r>
      <w:r w:rsidR="00FF4610" w:rsidRPr="008F33C8">
        <w:rPr>
          <w:rFonts w:cs="Calibri"/>
        </w:rPr>
        <w:t xml:space="preserve"> extracted from the media in accordance with standard procedures. Real-time PCR assays </w:t>
      </w:r>
      <w:r w:rsidR="00730DAC">
        <w:rPr>
          <w:rFonts w:cs="Calibri"/>
        </w:rPr>
        <w:t>were</w:t>
      </w:r>
      <w:r w:rsidR="00FF4610" w:rsidRPr="008F33C8">
        <w:rPr>
          <w:rFonts w:cs="Calibri"/>
        </w:rPr>
        <w:t xml:space="preserve"> used to detect respiratory syncytial virus, adenovirus, influenza viruses (A and B), parainfluenza 1-4, human metapneumovirus, human coronavirus and rhinoviruses. </w:t>
      </w:r>
    </w:p>
    <w:p w14:paraId="4907C19F" w14:textId="77777777" w:rsidR="00D32D12" w:rsidRPr="008F33C8" w:rsidRDefault="00D32D12" w:rsidP="00D32D12">
      <w:pPr>
        <w:shd w:val="clear" w:color="auto" w:fill="FFFFFF" w:themeFill="background1"/>
        <w:spacing w:line="360" w:lineRule="auto"/>
        <w:jc w:val="both"/>
        <w:rPr>
          <w:rFonts w:cs="Calibri"/>
        </w:rPr>
      </w:pPr>
    </w:p>
    <w:p w14:paraId="2739B87E" w14:textId="1D55BFD4" w:rsidR="00B77A11" w:rsidRPr="00241369" w:rsidRDefault="00C12E8F" w:rsidP="0025036E">
      <w:pPr>
        <w:pStyle w:val="Heading3"/>
        <w:rPr>
          <w:lang w:eastAsia="en-GB"/>
        </w:rPr>
      </w:pPr>
      <w:bookmarkStart w:id="113" w:name="_Toc117765943"/>
      <w:r>
        <w:rPr>
          <w:lang w:eastAsia="en-GB"/>
        </w:rPr>
        <w:lastRenderedPageBreak/>
        <w:t xml:space="preserve">DNA extraction and </w:t>
      </w:r>
      <w:r w:rsidR="00B77A11" w:rsidRPr="00241369">
        <w:rPr>
          <w:lang w:eastAsia="en-GB"/>
        </w:rPr>
        <w:t>16</w:t>
      </w:r>
      <w:r w:rsidR="00AC130A" w:rsidRPr="00241369">
        <w:rPr>
          <w:lang w:eastAsia="en-GB"/>
        </w:rPr>
        <w:t>s rRNA</w:t>
      </w:r>
      <w:r w:rsidR="00B77A11" w:rsidRPr="00241369">
        <w:rPr>
          <w:lang w:eastAsia="en-GB"/>
        </w:rPr>
        <w:t xml:space="preserve"> </w:t>
      </w:r>
      <w:r w:rsidR="00AC130A" w:rsidRPr="00241369">
        <w:rPr>
          <w:lang w:eastAsia="en-GB"/>
        </w:rPr>
        <w:t>gene sequencing</w:t>
      </w:r>
      <w:bookmarkEnd w:id="113"/>
      <w:r w:rsidR="00AC130A" w:rsidRPr="00241369">
        <w:rPr>
          <w:lang w:eastAsia="en-GB"/>
        </w:rPr>
        <w:t xml:space="preserve"> </w:t>
      </w:r>
    </w:p>
    <w:p w14:paraId="5A3D18E8" w14:textId="2534159D" w:rsidR="00DA7A95" w:rsidRPr="00B3129B" w:rsidRDefault="00B77A11" w:rsidP="00941943">
      <w:pPr>
        <w:shd w:val="clear" w:color="auto" w:fill="FFFFFF" w:themeFill="background1"/>
        <w:spacing w:line="360" w:lineRule="auto"/>
        <w:rPr>
          <w:rFonts w:cstheme="minorHAnsi"/>
          <w:highlight w:val="yellow"/>
        </w:rPr>
      </w:pPr>
      <w:r w:rsidRPr="00241369">
        <w:t>For each nasal swab taken for bacterial culture, we perform</w:t>
      </w:r>
      <w:r w:rsidR="00730DAC">
        <w:t>ed</w:t>
      </w:r>
      <w:r w:rsidRPr="00241369">
        <w:t xml:space="preserve"> 16s rRNA gene sequencing to </w:t>
      </w:r>
      <w:r w:rsidRPr="007E23E0">
        <w:t xml:space="preserve">characterise the bacterial community composition. </w:t>
      </w:r>
      <w:r w:rsidR="007E23E0" w:rsidRPr="007E23E0">
        <w:t xml:space="preserve">All the frozen transport medium samples were couriered on dry ice to </w:t>
      </w:r>
      <w:r w:rsidR="00527939">
        <w:t>P</w:t>
      </w:r>
      <w:r w:rsidR="00527939" w:rsidRPr="007E23E0">
        <w:t xml:space="preserve">rofessor </w:t>
      </w:r>
      <w:r w:rsidR="00527939">
        <w:t xml:space="preserve">Deborah </w:t>
      </w:r>
      <w:r w:rsidR="007E23E0" w:rsidRPr="007E23E0">
        <w:t>Bogaert’s laboratory in Edinburgh</w:t>
      </w:r>
      <w:r w:rsidR="007E23E0">
        <w:t xml:space="preserve">. </w:t>
      </w:r>
      <w:r w:rsidR="002E6FDE">
        <w:t>Laboratory technicians</w:t>
      </w:r>
      <w:r w:rsidR="00527939">
        <w:t xml:space="preserve"> with expertise</w:t>
      </w:r>
      <w:r w:rsidR="002E6FDE">
        <w:t xml:space="preserve"> in the processing of low </w:t>
      </w:r>
      <w:r w:rsidR="0068209D">
        <w:t xml:space="preserve">bacterial </w:t>
      </w:r>
      <w:r w:rsidR="002E6FDE">
        <w:t>biomass samples extracted DNA</w:t>
      </w:r>
      <w:r w:rsidR="005E7F54">
        <w:t xml:space="preserve"> using </w:t>
      </w:r>
      <w:r w:rsidR="00135CBF">
        <w:t xml:space="preserve">both mechanical and chemical </w:t>
      </w:r>
      <w:r w:rsidR="00565309">
        <w:t>lysis</w:t>
      </w:r>
      <w:r w:rsidR="005E7F54">
        <w:t xml:space="preserve">. Following </w:t>
      </w:r>
      <w:r w:rsidR="00B92CFD">
        <w:t xml:space="preserve">this a PCR amplicon library </w:t>
      </w:r>
      <w:r w:rsidR="00957D9E">
        <w:t xml:space="preserve">was </w:t>
      </w:r>
      <w:r w:rsidR="00B92CFD">
        <w:t xml:space="preserve">generated by amplification of the V4 hypervariable region of the 16s rRNA gene. The pooled amplicon library was then sequenced </w:t>
      </w:r>
      <w:r w:rsidR="00ED1E42">
        <w:t>at the Edinburgh genomics facility</w:t>
      </w:r>
      <w:r w:rsidR="00B92CFD">
        <w:t xml:space="preserve">. </w:t>
      </w:r>
      <w:r w:rsidR="002640EE">
        <w:t xml:space="preserve">I explored the possibility of visiting the laboratory to participate in sample </w:t>
      </w:r>
      <w:r w:rsidR="00527939">
        <w:t>processing,</w:t>
      </w:r>
      <w:r w:rsidR="002640EE">
        <w:t xml:space="preserve"> but</w:t>
      </w:r>
      <w:r w:rsidR="00527939">
        <w:t xml:space="preserve"> ongoing</w:t>
      </w:r>
      <w:r w:rsidR="002640EE">
        <w:t xml:space="preserve"> COVID restrictions precluded this. </w:t>
      </w:r>
      <w:r w:rsidR="00E91C72">
        <w:t xml:space="preserve">Instead, the laboratory </w:t>
      </w:r>
      <w:r w:rsidR="00996E10">
        <w:t xml:space="preserve">staff </w:t>
      </w:r>
      <w:r w:rsidR="00E91C72">
        <w:t xml:space="preserve">provided me with videos of all the steps and </w:t>
      </w:r>
      <w:r w:rsidR="00996E10">
        <w:t xml:space="preserve">details of the protocol and techniques used. </w:t>
      </w:r>
      <w:r w:rsidR="002640EE">
        <w:t>The following protocol has been optimised in Prof</w:t>
      </w:r>
      <w:r w:rsidR="004028CB">
        <w:t>essor</w:t>
      </w:r>
      <w:r w:rsidR="002640EE">
        <w:t xml:space="preserve"> </w:t>
      </w:r>
      <w:proofErr w:type="spellStart"/>
      <w:r w:rsidR="002640EE">
        <w:t>Boagaert’s</w:t>
      </w:r>
      <w:proofErr w:type="spellEnd"/>
      <w:r w:rsidR="002640EE">
        <w:t xml:space="preserve"> laboratory and is </w:t>
      </w:r>
      <w:r w:rsidR="007A6094">
        <w:t>identical</w:t>
      </w:r>
      <w:r w:rsidR="002640EE">
        <w:t xml:space="preserve"> to the </w:t>
      </w:r>
      <w:r w:rsidR="007A6094">
        <w:t>protocol</w:t>
      </w:r>
      <w:r w:rsidR="002640EE">
        <w:t xml:space="preserve"> I had planned to use had I carried out the extractions in Sheffield. </w:t>
      </w:r>
      <w:r w:rsidR="007A6094">
        <w:t xml:space="preserve">The extractions were carried out </w:t>
      </w:r>
      <w:r w:rsidR="007A6094" w:rsidRPr="00CB1720">
        <w:rPr>
          <w:rFonts w:cstheme="minorHAnsi"/>
        </w:rPr>
        <w:t>by</w:t>
      </w:r>
      <w:r w:rsidR="00CB1720" w:rsidRPr="00CB1720">
        <w:rPr>
          <w:rFonts w:cstheme="minorHAnsi"/>
        </w:rPr>
        <w:t xml:space="preserve"> </w:t>
      </w:r>
      <w:r w:rsidR="00CB1720" w:rsidRPr="001D04B2">
        <w:rPr>
          <w:rFonts w:cstheme="minorHAnsi"/>
          <w:shd w:val="clear" w:color="auto" w:fill="FFFFFF"/>
        </w:rPr>
        <w:t xml:space="preserve">Paula </w:t>
      </w:r>
      <w:proofErr w:type="spellStart"/>
      <w:r w:rsidR="00CB1720" w:rsidRPr="001D04B2">
        <w:rPr>
          <w:rFonts w:cstheme="minorHAnsi"/>
          <w:shd w:val="clear" w:color="auto" w:fill="FFFFFF"/>
        </w:rPr>
        <w:t>Lusarreta</w:t>
      </w:r>
      <w:proofErr w:type="spellEnd"/>
      <w:r w:rsidR="00CB1720" w:rsidRPr="001D04B2">
        <w:rPr>
          <w:rFonts w:cstheme="minorHAnsi"/>
          <w:shd w:val="clear" w:color="auto" w:fill="FFFFFF"/>
        </w:rPr>
        <w:t xml:space="preserve"> Parga, </w:t>
      </w:r>
      <w:r w:rsidR="00527939">
        <w:rPr>
          <w:rFonts w:cstheme="minorHAnsi"/>
          <w:shd w:val="clear" w:color="auto" w:fill="FFFFFF"/>
        </w:rPr>
        <w:t>R</w:t>
      </w:r>
      <w:r w:rsidR="00527939" w:rsidRPr="001D04B2">
        <w:rPr>
          <w:rFonts w:cstheme="minorHAnsi"/>
          <w:shd w:val="clear" w:color="auto" w:fill="FFFFFF"/>
        </w:rPr>
        <w:t xml:space="preserve">esearch </w:t>
      </w:r>
      <w:r w:rsidR="00527939">
        <w:rPr>
          <w:rFonts w:cstheme="minorHAnsi"/>
          <w:shd w:val="clear" w:color="auto" w:fill="FFFFFF"/>
        </w:rPr>
        <w:t>A</w:t>
      </w:r>
      <w:r w:rsidR="00527939" w:rsidRPr="001D04B2">
        <w:rPr>
          <w:rFonts w:cstheme="minorHAnsi"/>
          <w:shd w:val="clear" w:color="auto" w:fill="FFFFFF"/>
        </w:rPr>
        <w:t xml:space="preserve">ssistant </w:t>
      </w:r>
      <w:r w:rsidR="00CB1720" w:rsidRPr="001D04B2">
        <w:rPr>
          <w:rFonts w:cstheme="minorHAnsi"/>
          <w:shd w:val="clear" w:color="auto" w:fill="FFFFFF"/>
        </w:rPr>
        <w:t>to Professor Bogaert,</w:t>
      </w:r>
      <w:r w:rsidR="007A6094" w:rsidRPr="0055342A">
        <w:rPr>
          <w:rFonts w:cstheme="minorHAnsi"/>
        </w:rPr>
        <w:t xml:space="preserve"> exactly as describe</w:t>
      </w:r>
      <w:r w:rsidR="007A6094" w:rsidRPr="00B3129B">
        <w:rPr>
          <w:rFonts w:cstheme="minorHAnsi"/>
        </w:rPr>
        <w:t>d below.</w:t>
      </w:r>
    </w:p>
    <w:p w14:paraId="16681F02" w14:textId="162AE8DC" w:rsidR="00B5576E" w:rsidRPr="001D04B2" w:rsidRDefault="000A17AA" w:rsidP="00284867">
      <w:pPr>
        <w:shd w:val="clear" w:color="auto" w:fill="FFFFFF" w:themeFill="background1"/>
        <w:spacing w:after="160" w:line="360" w:lineRule="auto"/>
      </w:pPr>
      <w:r w:rsidRPr="001D04B2">
        <w:t>DNA was extracted using a phe</w:t>
      </w:r>
      <w:r w:rsidR="00C12E8F" w:rsidRPr="001D04B2">
        <w:t>n</w:t>
      </w:r>
      <w:r w:rsidRPr="001D04B2">
        <w:t xml:space="preserve">ol/ bead beating protocol in combination with </w:t>
      </w:r>
      <w:r w:rsidR="00CC0242" w:rsidRPr="001D04B2">
        <w:t>a</w:t>
      </w:r>
      <w:r w:rsidR="008710EB" w:rsidRPr="001D04B2">
        <w:t>n</w:t>
      </w:r>
      <w:r w:rsidR="00CC0242" w:rsidRPr="001D04B2">
        <w:t xml:space="preserve"> </w:t>
      </w:r>
      <w:proofErr w:type="spellStart"/>
      <w:r w:rsidRPr="001D04B2">
        <w:t>Agowa</w:t>
      </w:r>
      <w:proofErr w:type="spellEnd"/>
      <w:r w:rsidRPr="001D04B2">
        <w:t xml:space="preserve"> Mag DNA extraction kit</w:t>
      </w:r>
      <w:r w:rsidR="004B55AC" w:rsidRPr="001D04B2">
        <w:t xml:space="preserve"> (LGC genomics, Berlin, Germany)</w:t>
      </w:r>
      <w:r w:rsidR="00CC0242" w:rsidRPr="001D04B2">
        <w:t xml:space="preserve">. </w:t>
      </w:r>
      <w:r w:rsidR="0061679E" w:rsidRPr="001D04B2">
        <w:t xml:space="preserve">The nasopharyngeal swab transport medium was thawed. </w:t>
      </w:r>
      <w:r w:rsidR="000670EC" w:rsidRPr="001D04B2">
        <w:t xml:space="preserve">200 </w:t>
      </w:r>
      <w:r w:rsidR="000670EC" w:rsidRPr="001D04B2">
        <w:rPr>
          <w:rFonts w:cstheme="minorHAnsi"/>
        </w:rPr>
        <w:t>µ</w:t>
      </w:r>
      <w:r w:rsidR="000670EC" w:rsidRPr="001D04B2">
        <w:t xml:space="preserve">l of this medium was aliquoted into sterile </w:t>
      </w:r>
      <w:r w:rsidR="004B55AC" w:rsidRPr="001D04B2">
        <w:t xml:space="preserve">screw-cap </w:t>
      </w:r>
      <w:r w:rsidR="000670EC" w:rsidRPr="001D04B2">
        <w:t xml:space="preserve">Eppendorf tubes </w:t>
      </w:r>
      <w:r w:rsidR="00800581" w:rsidRPr="001D04B2">
        <w:t>containing 6</w:t>
      </w:r>
      <w:r w:rsidR="004B55AC" w:rsidRPr="001D04B2">
        <w:t>0</w:t>
      </w:r>
      <w:r w:rsidR="00800581" w:rsidRPr="001D04B2">
        <w:t>0</w:t>
      </w:r>
      <w:r w:rsidR="000670EC" w:rsidRPr="001D04B2">
        <w:rPr>
          <w:rFonts w:cstheme="minorHAnsi"/>
        </w:rPr>
        <w:t>µ</w:t>
      </w:r>
      <w:r w:rsidR="000670EC" w:rsidRPr="001D04B2">
        <w:t xml:space="preserve">l of lysis buffer </w:t>
      </w:r>
      <w:r w:rsidR="0061679E" w:rsidRPr="001D04B2">
        <w:t>(</w:t>
      </w:r>
      <w:proofErr w:type="spellStart"/>
      <w:r w:rsidR="0061679E" w:rsidRPr="001D04B2">
        <w:t>Agowa</w:t>
      </w:r>
      <w:proofErr w:type="spellEnd"/>
      <w:r w:rsidR="0061679E" w:rsidRPr="001D04B2">
        <w:t xml:space="preserve"> Mag DNA extraction kit) </w:t>
      </w:r>
      <w:r w:rsidR="000670EC" w:rsidRPr="001D04B2">
        <w:t>with zirconium beads</w:t>
      </w:r>
      <w:r w:rsidR="0061679E" w:rsidRPr="001D04B2">
        <w:t xml:space="preserve"> (</w:t>
      </w:r>
      <w:r w:rsidR="004B55AC" w:rsidRPr="001D04B2">
        <w:t xml:space="preserve">diameter 0.1mm, </w:t>
      </w:r>
      <w:proofErr w:type="spellStart"/>
      <w:r w:rsidR="004B55AC" w:rsidRPr="001D04B2">
        <w:t>Biospec</w:t>
      </w:r>
      <w:proofErr w:type="spellEnd"/>
      <w:r w:rsidR="004B55AC" w:rsidRPr="001D04B2">
        <w:t xml:space="preserve"> Products, Bartlesville, OK, USA)</w:t>
      </w:r>
      <w:r w:rsidR="000670EC" w:rsidRPr="001D04B2">
        <w:t xml:space="preserve"> and 550</w:t>
      </w:r>
      <w:r w:rsidR="00150421" w:rsidRPr="001D04B2">
        <w:rPr>
          <w:rFonts w:cstheme="minorHAnsi"/>
        </w:rPr>
        <w:t>µ</w:t>
      </w:r>
      <w:r w:rsidR="00150421" w:rsidRPr="001D04B2">
        <w:t>l of phenol</w:t>
      </w:r>
      <w:r w:rsidR="00060918" w:rsidRPr="001D04B2">
        <w:t xml:space="preserve">. </w:t>
      </w:r>
      <w:r w:rsidR="0061679E" w:rsidRPr="001D04B2">
        <w:t>Sample</w:t>
      </w:r>
      <w:r w:rsidR="006A034C" w:rsidRPr="001D04B2">
        <w:t>s</w:t>
      </w:r>
      <w:r w:rsidR="0061679E" w:rsidRPr="001D04B2">
        <w:t xml:space="preserve"> were mechanically disrupted using a bead beater </w:t>
      </w:r>
      <w:r w:rsidR="006A034C" w:rsidRPr="001D04B2">
        <w:t xml:space="preserve">(mini-Beadbeater-24, </w:t>
      </w:r>
      <w:proofErr w:type="spellStart"/>
      <w:r w:rsidR="006A034C" w:rsidRPr="001D04B2">
        <w:t>Biospec</w:t>
      </w:r>
      <w:proofErr w:type="spellEnd"/>
      <w:r w:rsidR="006A034C" w:rsidRPr="001D04B2">
        <w:t xml:space="preserve"> products) through 2 cycles of two minutes of beating</w:t>
      </w:r>
      <w:r w:rsidR="00066AA0" w:rsidRPr="001D04B2">
        <w:t xml:space="preserve"> at 3500 oscillations/min</w:t>
      </w:r>
      <w:r w:rsidR="00060918" w:rsidRPr="001D04B2">
        <w:t>ut</w:t>
      </w:r>
      <w:r w:rsidR="00066AA0" w:rsidRPr="001D04B2">
        <w:t>e</w:t>
      </w:r>
      <w:r w:rsidRPr="001D04B2">
        <w:t>. After each beating cycle, the homogenate was placed on ice for 2 minutes</w:t>
      </w:r>
      <w:r w:rsidR="006A034C" w:rsidRPr="001D04B2">
        <w:t xml:space="preserve">. After centrifugation at 12,000g for 2 minutes, the </w:t>
      </w:r>
      <w:r w:rsidR="00B8306A" w:rsidRPr="001D04B2">
        <w:t xml:space="preserve">clear supernatant with aqueous DNA </w:t>
      </w:r>
      <w:r w:rsidR="006A034C" w:rsidRPr="001D04B2">
        <w:t xml:space="preserve">was transferred to new </w:t>
      </w:r>
      <w:r w:rsidR="00135CBF" w:rsidRPr="001D04B2">
        <w:t>Eppendorf tube</w:t>
      </w:r>
      <w:r w:rsidR="006A034C" w:rsidRPr="001D04B2">
        <w:t xml:space="preserve">s containing 10 </w:t>
      </w:r>
      <w:r w:rsidR="006A034C" w:rsidRPr="001D04B2">
        <w:rPr>
          <w:rFonts w:cstheme="minorHAnsi"/>
        </w:rPr>
        <w:t>µ</w:t>
      </w:r>
      <w:r w:rsidR="006A034C" w:rsidRPr="001D04B2">
        <w:t xml:space="preserve">l of magnetic beads in 1.3ml of binding buffer. </w:t>
      </w:r>
      <w:r w:rsidR="00CC0242" w:rsidRPr="001D04B2">
        <w:t xml:space="preserve">To maximise recovery of DNA, samples were incubated for 30 minutes instead of 10 minutes as recommended by the kit’s manufacturer. </w:t>
      </w:r>
      <w:r w:rsidR="00066AA0" w:rsidRPr="001D04B2">
        <w:t xml:space="preserve">The tubes were put in a magnetic separation rack and the supernatant discarded. The magnetic beads were washed with wash buffers 1 and 2 and then air-dried for 15 minutes </w:t>
      </w:r>
      <w:r w:rsidR="00893B50" w:rsidRPr="001D04B2">
        <w:t xml:space="preserve">at </w:t>
      </w:r>
      <w:r w:rsidR="00867C81" w:rsidRPr="001D04B2">
        <w:t>55</w:t>
      </w:r>
      <w:r w:rsidR="00867C81" w:rsidRPr="001D04B2">
        <w:rPr>
          <w:rFonts w:cstheme="minorHAnsi"/>
        </w:rPr>
        <w:t>⁰</w:t>
      </w:r>
      <w:r w:rsidR="00867C81" w:rsidRPr="001D04B2">
        <w:t>C.</w:t>
      </w:r>
      <w:r w:rsidR="00CC0242" w:rsidRPr="001D04B2">
        <w:t xml:space="preserve"> </w:t>
      </w:r>
      <w:r w:rsidR="00867C81" w:rsidRPr="001D04B2">
        <w:t>Finally</w:t>
      </w:r>
      <w:r w:rsidR="00060918" w:rsidRPr="001D04B2">
        <w:t xml:space="preserve">, </w:t>
      </w:r>
      <w:r w:rsidR="00867C81" w:rsidRPr="001D04B2">
        <w:t xml:space="preserve">elution buffer </w:t>
      </w:r>
      <w:r w:rsidR="009346F7" w:rsidRPr="001D04B2">
        <w:t>was</w:t>
      </w:r>
      <w:r w:rsidR="00867C81" w:rsidRPr="001D04B2">
        <w:t xml:space="preserve"> added to the dried magnetic beads</w:t>
      </w:r>
      <w:r w:rsidR="00FB179D" w:rsidRPr="001D04B2">
        <w:t xml:space="preserve"> and the eluted DNA </w:t>
      </w:r>
      <w:r w:rsidR="00066AA0" w:rsidRPr="001D04B2">
        <w:t xml:space="preserve">transferred </w:t>
      </w:r>
      <w:r w:rsidR="00FB179D" w:rsidRPr="001D04B2">
        <w:t xml:space="preserve">into a new storage tube. </w:t>
      </w:r>
    </w:p>
    <w:p w14:paraId="74203268" w14:textId="72F2F824" w:rsidR="00B879F2" w:rsidRPr="001D04B2" w:rsidRDefault="0008499E" w:rsidP="00284867">
      <w:pPr>
        <w:shd w:val="clear" w:color="auto" w:fill="FFFFFF" w:themeFill="background1"/>
        <w:spacing w:after="160" w:line="360" w:lineRule="auto"/>
      </w:pPr>
      <w:r w:rsidRPr="001D04B2">
        <w:t xml:space="preserve">Following DNA extraction, </w:t>
      </w:r>
      <w:r w:rsidR="00BE0034" w:rsidRPr="001D04B2">
        <w:t>t</w:t>
      </w:r>
      <w:r w:rsidR="0025166D" w:rsidRPr="001D04B2">
        <w:t>he</w:t>
      </w:r>
      <w:r w:rsidRPr="001D04B2">
        <w:t xml:space="preserve"> 16s rDNA gene was </w:t>
      </w:r>
      <w:r w:rsidR="00B879F2" w:rsidRPr="001D04B2">
        <w:t xml:space="preserve">quantified </w:t>
      </w:r>
      <w:r w:rsidR="002C1E5F" w:rsidRPr="001D04B2">
        <w:t>using q</w:t>
      </w:r>
      <w:r w:rsidR="00060918" w:rsidRPr="001D04B2">
        <w:t xml:space="preserve">uantitative </w:t>
      </w:r>
      <w:r w:rsidR="002C1E5F" w:rsidRPr="001D04B2">
        <w:t xml:space="preserve">PCR. </w:t>
      </w:r>
      <w:r w:rsidR="00BE0034" w:rsidRPr="001D04B2">
        <w:t xml:space="preserve">The samples </w:t>
      </w:r>
      <w:r w:rsidR="008E5106" w:rsidRPr="001D04B2">
        <w:t>were</w:t>
      </w:r>
      <w:r w:rsidR="00BE0034" w:rsidRPr="001D04B2">
        <w:t xml:space="preserve"> validated to check that sufficient 16S rDNA </w:t>
      </w:r>
      <w:r w:rsidR="008E5106" w:rsidRPr="001D04B2">
        <w:t>was</w:t>
      </w:r>
      <w:r w:rsidR="00BE0034" w:rsidRPr="001D04B2">
        <w:t xml:space="preserve"> present. </w:t>
      </w:r>
      <w:r w:rsidR="002C1E5F" w:rsidRPr="001D04B2">
        <w:t xml:space="preserve">Quality control standards </w:t>
      </w:r>
      <w:r w:rsidR="002C1E5F" w:rsidRPr="001D04B2">
        <w:lastRenderedPageBreak/>
        <w:t>for reliable analysis were set a</w:t>
      </w:r>
      <w:r w:rsidR="00B879F2" w:rsidRPr="001D04B2">
        <w:t>s samples</w:t>
      </w:r>
      <w:r w:rsidR="002C1E5F" w:rsidRPr="001D04B2">
        <w:t xml:space="preserve"> having DNA levels of </w:t>
      </w:r>
      <w:r w:rsidR="002C1E5F" w:rsidRPr="001D04B2">
        <w:rPr>
          <w:rFonts w:cstheme="minorHAnsi"/>
        </w:rPr>
        <w:t>≥</w:t>
      </w:r>
      <w:r w:rsidR="002C1E5F" w:rsidRPr="001D04B2">
        <w:t xml:space="preserve">0.2 </w:t>
      </w:r>
      <w:proofErr w:type="spellStart"/>
      <w:r w:rsidR="002C1E5F" w:rsidRPr="001D04B2">
        <w:t>pg</w:t>
      </w:r>
      <w:proofErr w:type="spellEnd"/>
      <w:r w:rsidR="002C1E5F" w:rsidRPr="001D04B2">
        <w:t>/</w:t>
      </w:r>
      <w:r w:rsidR="002C1E5F" w:rsidRPr="001D04B2">
        <w:rPr>
          <w:rFonts w:cstheme="minorHAnsi"/>
        </w:rPr>
        <w:t>µ</w:t>
      </w:r>
      <w:r w:rsidR="002C1E5F" w:rsidRPr="001D04B2">
        <w:t>l</w:t>
      </w:r>
      <w:r w:rsidR="00B879F2" w:rsidRPr="001D04B2">
        <w:t xml:space="preserve"> over negative controls</w:t>
      </w:r>
      <w:r w:rsidR="002C1E5F" w:rsidRPr="001D04B2">
        <w:t>.</w:t>
      </w:r>
      <w:r w:rsidR="00BE0034" w:rsidRPr="001D04B2">
        <w:t xml:space="preserve"> The concentration of DNA was normalised using high performance liquid chromatography grade water to a maximum of 20 </w:t>
      </w:r>
      <w:proofErr w:type="spellStart"/>
      <w:r w:rsidR="00BE0034" w:rsidRPr="001D04B2">
        <w:t>pg</w:t>
      </w:r>
      <w:proofErr w:type="spellEnd"/>
      <w:r w:rsidR="00BE0034" w:rsidRPr="001D04B2">
        <w:t>/</w:t>
      </w:r>
      <w:r w:rsidR="00BE0034" w:rsidRPr="001D04B2">
        <w:rPr>
          <w:rFonts w:cstheme="minorHAnsi"/>
        </w:rPr>
        <w:t>µ</w:t>
      </w:r>
      <w:r w:rsidR="00BE0034" w:rsidRPr="001D04B2">
        <w:t>l.</w:t>
      </w:r>
    </w:p>
    <w:p w14:paraId="6CD2D250" w14:textId="7A61B283" w:rsidR="0008499E" w:rsidRDefault="00B5576E" w:rsidP="00D32D12">
      <w:pPr>
        <w:shd w:val="clear" w:color="auto" w:fill="FFFFFF" w:themeFill="background1"/>
        <w:spacing w:line="360" w:lineRule="auto"/>
      </w:pPr>
      <w:r w:rsidRPr="001D04B2">
        <w:t>Generation of the PCR amplicon library was performed by a</w:t>
      </w:r>
      <w:r w:rsidR="002C1E5F" w:rsidRPr="001D04B2">
        <w:t xml:space="preserve">mplification of the V4 hypervariable region of the 16S rRNA gene </w:t>
      </w:r>
      <w:r w:rsidR="002C1E5F" w:rsidRPr="00996E10">
        <w:t xml:space="preserve">using </w:t>
      </w:r>
      <w:r w:rsidR="0025166D" w:rsidRPr="00996E10">
        <w:t xml:space="preserve">barcoded universal primer pairs </w:t>
      </w:r>
      <w:r w:rsidR="002C1E5F" w:rsidRPr="00996E10">
        <w:t>5</w:t>
      </w:r>
      <w:r w:rsidR="00F20C42" w:rsidRPr="00996E10">
        <w:t>15</w:t>
      </w:r>
      <w:r w:rsidR="002C1E5F" w:rsidRPr="00996E10">
        <w:t>F</w:t>
      </w:r>
      <w:r w:rsidR="00060918" w:rsidRPr="00996E10">
        <w:t xml:space="preserve"> (5’-GT</w:t>
      </w:r>
      <w:r w:rsidR="00162A0D" w:rsidRPr="00996E10">
        <w:t xml:space="preserve">G CCA GCM GCC GCG GTA A-3’) and </w:t>
      </w:r>
      <w:r w:rsidR="002C1E5F" w:rsidRPr="00996E10">
        <w:t>806R</w:t>
      </w:r>
      <w:r w:rsidR="00ED1E42" w:rsidRPr="00996E10">
        <w:t xml:space="preserve"> </w:t>
      </w:r>
      <w:r w:rsidR="00162A0D" w:rsidRPr="00996E10">
        <w:t>(5’-GGA CTA CHV GG</w:t>
      </w:r>
      <w:r w:rsidR="00162A0D">
        <w:t xml:space="preserve">G TWT CTA AT-3’). The PCR reactions were conducted using the following steps; 98 </w:t>
      </w:r>
      <w:r w:rsidR="00162A0D">
        <w:rPr>
          <w:rFonts w:cstheme="minorHAnsi"/>
        </w:rPr>
        <w:t>⁰</w:t>
      </w:r>
      <w:r w:rsidR="00162A0D">
        <w:t>C for 30 seconds; 30 cycles at 98</w:t>
      </w:r>
      <w:r w:rsidR="00162A0D">
        <w:rPr>
          <w:rFonts w:cstheme="minorHAnsi"/>
        </w:rPr>
        <w:t>⁰</w:t>
      </w:r>
      <w:r w:rsidR="00162A0D">
        <w:t>C for 10 seconds, 55</w:t>
      </w:r>
      <w:r w:rsidR="00162A0D">
        <w:rPr>
          <w:rFonts w:cstheme="minorHAnsi"/>
        </w:rPr>
        <w:t>⁰</w:t>
      </w:r>
      <w:r w:rsidR="00162A0D">
        <w:t>C for 30 seconds and 72</w:t>
      </w:r>
      <w:r w:rsidR="00162A0D">
        <w:rPr>
          <w:rFonts w:cstheme="minorHAnsi"/>
        </w:rPr>
        <w:t>⁰</w:t>
      </w:r>
      <w:r w:rsidR="00162A0D">
        <w:t>C for 30 seconds with a final hold of 5 minutes at 72</w:t>
      </w:r>
      <w:r w:rsidR="00162A0D">
        <w:rPr>
          <w:rFonts w:cstheme="minorHAnsi"/>
        </w:rPr>
        <w:t>⁰</w:t>
      </w:r>
      <w:r w:rsidR="00162A0D">
        <w:t xml:space="preserve">C. </w:t>
      </w:r>
      <w:r w:rsidR="002C1E5F">
        <w:t>A</w:t>
      </w:r>
      <w:r w:rsidR="00A4528E">
        <w:t>m</w:t>
      </w:r>
      <w:r w:rsidR="002C1E5F">
        <w:t>plicons were quanti</w:t>
      </w:r>
      <w:r w:rsidR="00A4528E">
        <w:t>fi</w:t>
      </w:r>
      <w:r w:rsidR="002C1E5F">
        <w:t xml:space="preserve">ed </w:t>
      </w:r>
      <w:r w:rsidR="00A4528E">
        <w:t>with</w:t>
      </w:r>
      <w:r w:rsidR="002C1E5F">
        <w:t xml:space="preserve"> </w:t>
      </w:r>
      <w:proofErr w:type="spellStart"/>
      <w:r w:rsidR="00A4528E">
        <w:t>PicoGreen</w:t>
      </w:r>
      <w:proofErr w:type="spellEnd"/>
      <w:r w:rsidR="002C1E5F">
        <w:t xml:space="preserve"> (</w:t>
      </w:r>
      <w:proofErr w:type="spellStart"/>
      <w:r w:rsidR="002C1E5F">
        <w:t>Thermofisher</w:t>
      </w:r>
      <w:proofErr w:type="spellEnd"/>
      <w:r w:rsidR="002C1E5F">
        <w:t>)</w:t>
      </w:r>
      <w:r w:rsidR="007679C9">
        <w:t xml:space="preserve">. Samples as well as </w:t>
      </w:r>
      <w:r w:rsidR="00ED1E42">
        <w:t>positive and negative controls were pooled</w:t>
      </w:r>
      <w:r w:rsidR="00C635B8">
        <w:t xml:space="preserve"> (150 ng/sample</w:t>
      </w:r>
      <w:r w:rsidR="00235552">
        <w:t>)</w:t>
      </w:r>
      <w:r w:rsidR="0017148D">
        <w:t xml:space="preserve">. Pool purification was carried out twice with </w:t>
      </w:r>
      <w:proofErr w:type="spellStart"/>
      <w:r w:rsidR="0017148D">
        <w:t>AMPure</w:t>
      </w:r>
      <w:proofErr w:type="spellEnd"/>
      <w:r w:rsidR="0017148D">
        <w:t xml:space="preserve"> beads </w:t>
      </w:r>
      <w:r w:rsidR="00EA5D1A">
        <w:t>added to the pooled sample (ratio 0.9x)</w:t>
      </w:r>
      <w:r w:rsidR="0017148D">
        <w:t>to remove primer dimers and unwanted biproducts</w:t>
      </w:r>
      <w:r w:rsidR="009346F7">
        <w:t xml:space="preserve">. </w:t>
      </w:r>
      <w:r w:rsidR="00C635B8">
        <w:t xml:space="preserve">. </w:t>
      </w:r>
      <w:r w:rsidR="00235552">
        <w:t xml:space="preserve">After leaving for 10 minutes </w:t>
      </w:r>
      <w:r w:rsidR="00EA5D1A">
        <w:t>at room temperature</w:t>
      </w:r>
      <w:r w:rsidR="00235552">
        <w:t>, the sample was placed in a magnetic rack for 5 minutes to separate the beads from the liquid. The supernatant was removed and the beads washed twice with 70% ethanol. A resuspension buffer was added and the eluate pipetted into a new tube for storage. The pooled amplicon library, containing s</w:t>
      </w:r>
      <w:r w:rsidR="009346F7">
        <w:t>amples and controls</w:t>
      </w:r>
      <w:r w:rsidR="00235552">
        <w:t>,</w:t>
      </w:r>
      <w:r w:rsidR="009346F7">
        <w:t xml:space="preserve"> w</w:t>
      </w:r>
      <w:r w:rsidR="00235552">
        <w:t>as finally</w:t>
      </w:r>
      <w:r w:rsidR="009346F7">
        <w:t xml:space="preserve"> sequenced </w:t>
      </w:r>
      <w:r w:rsidR="00F20C42">
        <w:t>using paired</w:t>
      </w:r>
      <w:r w:rsidR="00F20C42" w:rsidRPr="00996E10">
        <w:t>-</w:t>
      </w:r>
      <w:r w:rsidR="00F20C42" w:rsidRPr="001D04B2">
        <w:t>end, 250</w:t>
      </w:r>
      <w:r w:rsidR="00CE37E7" w:rsidRPr="001D04B2">
        <w:t xml:space="preserve"> </w:t>
      </w:r>
      <w:r w:rsidR="00F20C42" w:rsidRPr="001D04B2">
        <w:t xml:space="preserve">base pair reads generated </w:t>
      </w:r>
      <w:r w:rsidR="009346F7" w:rsidRPr="001D04B2">
        <w:t xml:space="preserve">on an Illumina </w:t>
      </w:r>
      <w:proofErr w:type="spellStart"/>
      <w:r w:rsidR="009346F7" w:rsidRPr="001D04B2">
        <w:t>MiSeq</w:t>
      </w:r>
      <w:proofErr w:type="spellEnd"/>
      <w:r w:rsidR="00F20C42" w:rsidRPr="001D04B2">
        <w:t>.</w:t>
      </w:r>
    </w:p>
    <w:p w14:paraId="63AA7A15" w14:textId="77777777" w:rsidR="00D32D12" w:rsidRDefault="00D32D12" w:rsidP="00F114E8">
      <w:pPr>
        <w:shd w:val="clear" w:color="auto" w:fill="FFFFFF" w:themeFill="background1"/>
        <w:spacing w:line="360" w:lineRule="auto"/>
      </w:pPr>
    </w:p>
    <w:p w14:paraId="54F7163A" w14:textId="703B8B17" w:rsidR="007679C9" w:rsidRDefault="004809BB" w:rsidP="00F114E8">
      <w:pPr>
        <w:pStyle w:val="Heading3"/>
        <w:spacing w:line="360" w:lineRule="auto"/>
      </w:pPr>
      <w:bookmarkStart w:id="114" w:name="_Toc117765944"/>
      <w:r>
        <w:t>Steps taken to reduce contamination</w:t>
      </w:r>
      <w:bookmarkEnd w:id="114"/>
    </w:p>
    <w:p w14:paraId="436A56CA" w14:textId="3BE5073C" w:rsidR="003610C2" w:rsidRDefault="004809BB" w:rsidP="00F114E8">
      <w:pPr>
        <w:shd w:val="clear" w:color="auto" w:fill="FFFFFF" w:themeFill="background1"/>
        <w:spacing w:line="360" w:lineRule="auto"/>
      </w:pPr>
      <w:r>
        <w:t xml:space="preserve">Due to the low bacterial density of nasopharyngeal samples, it </w:t>
      </w:r>
      <w:r w:rsidR="00245F75">
        <w:t xml:space="preserve">was </w:t>
      </w:r>
      <w:r>
        <w:t xml:space="preserve">imperative to </w:t>
      </w:r>
      <w:r w:rsidR="00EA5D1A">
        <w:t xml:space="preserve">eliminate </w:t>
      </w:r>
      <w:r>
        <w:t xml:space="preserve">contamination </w:t>
      </w:r>
      <w:r w:rsidR="00EA5D1A">
        <w:t>insofar as possible</w:t>
      </w:r>
      <w:r>
        <w:t>. The following steps were taken</w:t>
      </w:r>
      <w:r w:rsidR="003610C2">
        <w:t>:</w:t>
      </w:r>
    </w:p>
    <w:p w14:paraId="6A1E8F35" w14:textId="1D173172" w:rsidR="0040241A" w:rsidRPr="009F03BB" w:rsidRDefault="003610C2">
      <w:pPr>
        <w:pStyle w:val="ListParagraph"/>
        <w:numPr>
          <w:ilvl w:val="0"/>
          <w:numId w:val="41"/>
        </w:numPr>
        <w:shd w:val="clear" w:color="auto" w:fill="FFFFFF" w:themeFill="background1"/>
        <w:spacing w:after="0" w:line="360" w:lineRule="auto"/>
        <w:rPr>
          <w:rFonts w:ascii="Times New Roman" w:hAnsi="Times New Roman" w:cs="Times New Roman"/>
          <w:sz w:val="24"/>
          <w:szCs w:val="24"/>
        </w:rPr>
      </w:pPr>
      <w:r w:rsidRPr="009F03BB">
        <w:rPr>
          <w:rFonts w:ascii="Times New Roman" w:hAnsi="Times New Roman" w:cs="Times New Roman"/>
          <w:sz w:val="24"/>
          <w:szCs w:val="24"/>
        </w:rPr>
        <w:t>Dedicated</w:t>
      </w:r>
      <w:r w:rsidR="000619CF" w:rsidRPr="009F03BB">
        <w:rPr>
          <w:rFonts w:ascii="Times New Roman" w:hAnsi="Times New Roman" w:cs="Times New Roman"/>
          <w:sz w:val="24"/>
          <w:szCs w:val="24"/>
        </w:rPr>
        <w:t xml:space="preserve"> linear</w:t>
      </w:r>
      <w:r w:rsidRPr="009F03BB">
        <w:rPr>
          <w:rFonts w:ascii="Times New Roman" w:hAnsi="Times New Roman" w:cs="Times New Roman"/>
          <w:sz w:val="24"/>
          <w:szCs w:val="24"/>
        </w:rPr>
        <w:t xml:space="preserve"> </w:t>
      </w:r>
      <w:r w:rsidR="00245F75" w:rsidRPr="009F03BB">
        <w:rPr>
          <w:rFonts w:ascii="Times New Roman" w:hAnsi="Times New Roman" w:cs="Times New Roman"/>
          <w:sz w:val="24"/>
          <w:szCs w:val="24"/>
        </w:rPr>
        <w:t>workflow</w:t>
      </w:r>
      <w:r w:rsidR="0040241A" w:rsidRPr="009F03BB">
        <w:rPr>
          <w:rFonts w:ascii="Times New Roman" w:hAnsi="Times New Roman" w:cs="Times New Roman"/>
          <w:sz w:val="24"/>
          <w:szCs w:val="24"/>
        </w:rPr>
        <w:t xml:space="preserve"> starting in a PCR cabinet in a designated </w:t>
      </w:r>
      <w:r w:rsidR="00EA5D1A" w:rsidRPr="009F03BB">
        <w:rPr>
          <w:rFonts w:ascii="Times New Roman" w:hAnsi="Times New Roman" w:cs="Times New Roman"/>
          <w:sz w:val="24"/>
          <w:szCs w:val="24"/>
        </w:rPr>
        <w:t xml:space="preserve">and dedicated </w:t>
      </w:r>
      <w:r w:rsidR="0040241A" w:rsidRPr="009F03BB">
        <w:rPr>
          <w:rFonts w:ascii="Times New Roman" w:hAnsi="Times New Roman" w:cs="Times New Roman"/>
          <w:sz w:val="24"/>
          <w:szCs w:val="24"/>
        </w:rPr>
        <w:t xml:space="preserve">“clean room”. Here Eppendorf tubes </w:t>
      </w:r>
      <w:r w:rsidR="00245F75" w:rsidRPr="009F03BB">
        <w:rPr>
          <w:rFonts w:ascii="Times New Roman" w:hAnsi="Times New Roman" w:cs="Times New Roman"/>
          <w:sz w:val="24"/>
          <w:szCs w:val="24"/>
        </w:rPr>
        <w:t xml:space="preserve">were </w:t>
      </w:r>
      <w:r w:rsidR="0040241A" w:rsidRPr="009F03BB">
        <w:rPr>
          <w:rFonts w:ascii="Times New Roman" w:hAnsi="Times New Roman" w:cs="Times New Roman"/>
          <w:sz w:val="24"/>
          <w:szCs w:val="24"/>
        </w:rPr>
        <w:t xml:space="preserve">prepared with reagents and beads and PCR plate preparation conducted. No DNA extractions, amplicon generation or microbial work </w:t>
      </w:r>
      <w:r w:rsidR="00245F75" w:rsidRPr="009F03BB">
        <w:rPr>
          <w:rFonts w:ascii="Times New Roman" w:hAnsi="Times New Roman" w:cs="Times New Roman"/>
          <w:sz w:val="24"/>
          <w:szCs w:val="24"/>
        </w:rPr>
        <w:t xml:space="preserve">occur </w:t>
      </w:r>
      <w:r w:rsidR="0040241A" w:rsidRPr="009F03BB">
        <w:rPr>
          <w:rFonts w:ascii="Times New Roman" w:hAnsi="Times New Roman" w:cs="Times New Roman"/>
          <w:sz w:val="24"/>
          <w:szCs w:val="24"/>
        </w:rPr>
        <w:t>in this area</w:t>
      </w:r>
      <w:r w:rsidR="00245F75" w:rsidRPr="009F03BB">
        <w:rPr>
          <w:rFonts w:ascii="Times New Roman" w:hAnsi="Times New Roman" w:cs="Times New Roman"/>
          <w:sz w:val="24"/>
          <w:szCs w:val="24"/>
        </w:rPr>
        <w:t>. T</w:t>
      </w:r>
      <w:r w:rsidR="0040241A" w:rsidRPr="009F03BB">
        <w:rPr>
          <w:rFonts w:ascii="Times New Roman" w:hAnsi="Times New Roman" w:cs="Times New Roman"/>
          <w:sz w:val="24"/>
          <w:szCs w:val="24"/>
        </w:rPr>
        <w:t xml:space="preserve">hawing of samples and DNA extraction </w:t>
      </w:r>
      <w:r w:rsidR="00245F75" w:rsidRPr="009F03BB">
        <w:rPr>
          <w:rFonts w:ascii="Times New Roman" w:hAnsi="Times New Roman" w:cs="Times New Roman"/>
          <w:sz w:val="24"/>
          <w:szCs w:val="24"/>
        </w:rPr>
        <w:t>was undertaken in the main laboratory and amplicon generation was restricted to a separate room</w:t>
      </w:r>
      <w:r w:rsidR="0040241A" w:rsidRPr="009F03BB">
        <w:rPr>
          <w:rFonts w:ascii="Times New Roman" w:hAnsi="Times New Roman" w:cs="Times New Roman"/>
          <w:sz w:val="24"/>
          <w:szCs w:val="24"/>
        </w:rPr>
        <w:t xml:space="preserve">. </w:t>
      </w:r>
    </w:p>
    <w:p w14:paraId="2C287E14" w14:textId="4EE62B5A" w:rsidR="00A1743D" w:rsidRPr="009F03BB" w:rsidRDefault="00A1743D">
      <w:pPr>
        <w:pStyle w:val="ListParagraph"/>
        <w:numPr>
          <w:ilvl w:val="0"/>
          <w:numId w:val="41"/>
        </w:numPr>
        <w:shd w:val="clear" w:color="auto" w:fill="FFFFFF" w:themeFill="background1"/>
        <w:spacing w:after="0" w:line="360" w:lineRule="auto"/>
        <w:rPr>
          <w:rFonts w:ascii="Times New Roman" w:hAnsi="Times New Roman" w:cs="Times New Roman"/>
          <w:sz w:val="24"/>
          <w:szCs w:val="24"/>
        </w:rPr>
      </w:pPr>
      <w:r w:rsidRPr="009F03BB">
        <w:rPr>
          <w:rFonts w:ascii="Times New Roman" w:hAnsi="Times New Roman" w:cs="Times New Roman"/>
          <w:sz w:val="24"/>
          <w:szCs w:val="24"/>
        </w:rPr>
        <w:t xml:space="preserve">Single hand control of opening and closing </w:t>
      </w:r>
      <w:proofErr w:type="spellStart"/>
      <w:r w:rsidRPr="009F03BB">
        <w:rPr>
          <w:rFonts w:ascii="Times New Roman" w:hAnsi="Times New Roman" w:cs="Times New Roman"/>
          <w:sz w:val="24"/>
          <w:szCs w:val="24"/>
        </w:rPr>
        <w:t>Eppendorfs</w:t>
      </w:r>
      <w:proofErr w:type="spellEnd"/>
      <w:r w:rsidR="00245F75" w:rsidRPr="009F03BB">
        <w:rPr>
          <w:rFonts w:ascii="Times New Roman" w:hAnsi="Times New Roman" w:cs="Times New Roman"/>
          <w:sz w:val="24"/>
          <w:szCs w:val="24"/>
        </w:rPr>
        <w:t xml:space="preserve"> was used,</w:t>
      </w:r>
      <w:r w:rsidRPr="009F03BB">
        <w:rPr>
          <w:rFonts w:ascii="Times New Roman" w:hAnsi="Times New Roman" w:cs="Times New Roman"/>
          <w:sz w:val="24"/>
          <w:szCs w:val="24"/>
        </w:rPr>
        <w:t xml:space="preserve"> with time open to the air minimalised. </w:t>
      </w:r>
      <w:r w:rsidR="000619CF" w:rsidRPr="009F03BB">
        <w:rPr>
          <w:rFonts w:ascii="Times New Roman" w:hAnsi="Times New Roman" w:cs="Times New Roman"/>
          <w:sz w:val="24"/>
          <w:szCs w:val="24"/>
        </w:rPr>
        <w:t>Disinfection of workspace</w:t>
      </w:r>
      <w:r w:rsidR="000356D5" w:rsidRPr="009F03BB">
        <w:rPr>
          <w:rFonts w:ascii="Times New Roman" w:hAnsi="Times New Roman" w:cs="Times New Roman"/>
          <w:sz w:val="24"/>
          <w:szCs w:val="24"/>
        </w:rPr>
        <w:t xml:space="preserve">, </w:t>
      </w:r>
      <w:r w:rsidR="000619CF" w:rsidRPr="009F03BB">
        <w:rPr>
          <w:rFonts w:ascii="Times New Roman" w:hAnsi="Times New Roman" w:cs="Times New Roman"/>
          <w:sz w:val="24"/>
          <w:szCs w:val="24"/>
        </w:rPr>
        <w:t>equipment</w:t>
      </w:r>
      <w:r w:rsidR="000356D5" w:rsidRPr="009F03BB">
        <w:rPr>
          <w:rFonts w:ascii="Times New Roman" w:hAnsi="Times New Roman" w:cs="Times New Roman"/>
          <w:sz w:val="24"/>
          <w:szCs w:val="24"/>
        </w:rPr>
        <w:t>, in between tubes and protocol steps</w:t>
      </w:r>
      <w:r w:rsidR="00245F75" w:rsidRPr="009F03BB">
        <w:rPr>
          <w:rFonts w:ascii="Times New Roman" w:hAnsi="Times New Roman" w:cs="Times New Roman"/>
          <w:sz w:val="24"/>
          <w:szCs w:val="24"/>
        </w:rPr>
        <w:t xml:space="preserve"> was undertake as routine</w:t>
      </w:r>
      <w:r w:rsidR="000356D5" w:rsidRPr="009F03BB">
        <w:rPr>
          <w:rFonts w:ascii="Times New Roman" w:hAnsi="Times New Roman" w:cs="Times New Roman"/>
          <w:sz w:val="24"/>
          <w:szCs w:val="24"/>
        </w:rPr>
        <w:t>.</w:t>
      </w:r>
    </w:p>
    <w:p w14:paraId="058E8E79" w14:textId="42C571BB" w:rsidR="000619CF" w:rsidRPr="009F03BB" w:rsidRDefault="00245F75">
      <w:pPr>
        <w:pStyle w:val="ListParagraph"/>
        <w:numPr>
          <w:ilvl w:val="0"/>
          <w:numId w:val="41"/>
        </w:numPr>
        <w:shd w:val="clear" w:color="auto" w:fill="FFFFFF" w:themeFill="background1"/>
        <w:spacing w:after="0" w:line="360" w:lineRule="auto"/>
        <w:rPr>
          <w:rFonts w:ascii="Times New Roman" w:hAnsi="Times New Roman" w:cs="Times New Roman"/>
          <w:sz w:val="24"/>
          <w:szCs w:val="24"/>
        </w:rPr>
      </w:pPr>
      <w:r w:rsidRPr="009F03BB">
        <w:rPr>
          <w:rFonts w:ascii="Times New Roman" w:hAnsi="Times New Roman" w:cs="Times New Roman"/>
          <w:sz w:val="24"/>
          <w:szCs w:val="24"/>
        </w:rPr>
        <w:lastRenderedPageBreak/>
        <w:t>B</w:t>
      </w:r>
      <w:r w:rsidR="000619CF" w:rsidRPr="009F03BB">
        <w:rPr>
          <w:rFonts w:ascii="Times New Roman" w:hAnsi="Times New Roman" w:cs="Times New Roman"/>
          <w:sz w:val="24"/>
          <w:szCs w:val="24"/>
        </w:rPr>
        <w:t>lanks containing</w:t>
      </w:r>
      <w:r w:rsidR="00716E27">
        <w:rPr>
          <w:rFonts w:ascii="Times New Roman" w:hAnsi="Times New Roman" w:cs="Times New Roman"/>
          <w:sz w:val="24"/>
          <w:szCs w:val="24"/>
        </w:rPr>
        <w:t>, transport medium or</w:t>
      </w:r>
      <w:r w:rsidR="000619CF" w:rsidRPr="009F03BB">
        <w:rPr>
          <w:rFonts w:ascii="Times New Roman" w:hAnsi="Times New Roman" w:cs="Times New Roman"/>
          <w:sz w:val="24"/>
          <w:szCs w:val="24"/>
        </w:rPr>
        <w:t xml:space="preserve"> reagents </w:t>
      </w:r>
      <w:r w:rsidR="00716E27">
        <w:rPr>
          <w:rFonts w:ascii="Times New Roman" w:hAnsi="Times New Roman" w:cs="Times New Roman"/>
          <w:sz w:val="24"/>
          <w:szCs w:val="24"/>
        </w:rPr>
        <w:t xml:space="preserve">without the addition of a sample </w:t>
      </w:r>
      <w:r w:rsidR="000619CF" w:rsidRPr="009F03BB">
        <w:rPr>
          <w:rFonts w:ascii="Times New Roman" w:hAnsi="Times New Roman" w:cs="Times New Roman"/>
          <w:sz w:val="24"/>
          <w:szCs w:val="24"/>
        </w:rPr>
        <w:t>and PCR blanks</w:t>
      </w:r>
      <w:r w:rsidR="00716E27">
        <w:rPr>
          <w:rFonts w:ascii="Times New Roman" w:hAnsi="Times New Roman" w:cs="Times New Roman"/>
          <w:sz w:val="24"/>
          <w:szCs w:val="24"/>
        </w:rPr>
        <w:t xml:space="preserve"> with no DNA present, </w:t>
      </w:r>
      <w:r w:rsidRPr="009F03BB">
        <w:rPr>
          <w:rFonts w:ascii="Times New Roman" w:hAnsi="Times New Roman" w:cs="Times New Roman"/>
          <w:sz w:val="24"/>
          <w:szCs w:val="24"/>
        </w:rPr>
        <w:t>were used to detect any contamination occurring despite the above precautions.</w:t>
      </w:r>
    </w:p>
    <w:p w14:paraId="6CB8CE17" w14:textId="6AA0F82F" w:rsidR="00B3129B" w:rsidRDefault="00B3129B" w:rsidP="00D32D12">
      <w:pPr>
        <w:shd w:val="clear" w:color="auto" w:fill="FFFFFF" w:themeFill="background1"/>
        <w:spacing w:line="360" w:lineRule="auto"/>
      </w:pPr>
    </w:p>
    <w:p w14:paraId="6984CAA2" w14:textId="3753F228" w:rsidR="00B3129B" w:rsidRPr="00B3129B" w:rsidRDefault="00B3129B" w:rsidP="0025036E">
      <w:pPr>
        <w:pStyle w:val="Heading3"/>
      </w:pPr>
      <w:bookmarkStart w:id="115" w:name="_Toc117765945"/>
      <w:r w:rsidRPr="00B3129B">
        <w:t xml:space="preserve">Data </w:t>
      </w:r>
      <w:r w:rsidR="004451A4">
        <w:t>s</w:t>
      </w:r>
      <w:r w:rsidR="00EA5D1A">
        <w:t>ecurity</w:t>
      </w:r>
      <w:bookmarkEnd w:id="115"/>
    </w:p>
    <w:p w14:paraId="14526042" w14:textId="4AD8FA76" w:rsidR="00B3129B" w:rsidRPr="00B3129B" w:rsidRDefault="00B3129B" w:rsidP="00941943">
      <w:pPr>
        <w:shd w:val="clear" w:color="auto" w:fill="FFFFFF" w:themeFill="background1"/>
        <w:spacing w:line="360" w:lineRule="auto"/>
      </w:pPr>
      <w:r w:rsidRPr="00B3129B">
        <w:t>Data was handled as described in study 1 with regards to the storage of data files.</w:t>
      </w:r>
    </w:p>
    <w:p w14:paraId="3C5E20E1" w14:textId="4AC7C63A" w:rsidR="00B3129B" w:rsidRDefault="00B3129B" w:rsidP="001D04B2">
      <w:pPr>
        <w:shd w:val="clear" w:color="auto" w:fill="FFFFFF" w:themeFill="background1"/>
        <w:spacing w:line="360" w:lineRule="auto"/>
      </w:pPr>
      <w:r w:rsidRPr="00B3129B">
        <w:t xml:space="preserve">Frozen transport medium samples sent to Edinburgh were labelled with study numbers </w:t>
      </w:r>
      <w:r w:rsidR="00BC271D">
        <w:t xml:space="preserve">only, </w:t>
      </w:r>
      <w:r w:rsidRPr="00B3129B">
        <w:t xml:space="preserve">without </w:t>
      </w:r>
      <w:r w:rsidR="00BC271D">
        <w:t xml:space="preserve">any </w:t>
      </w:r>
      <w:r w:rsidRPr="00B3129B">
        <w:t xml:space="preserve">patient identifiable details. A word document with the key to the study numbers and patient details was stored only on a password protected, personal network drive on an NHS computer at SCH. Anonymised data sets were used to carry out the analysis on non-NHS computers. No patient identifiable data was or will be reported or published and the study adhered to the requirements of the Data Protection Act 1998. Trial documents (paper and electronic) have and will be retained in a secure location during and after the trial has finished.  All source documents will be retained for a period of 5 years following the end of the trial prior to destruction.  </w:t>
      </w:r>
    </w:p>
    <w:p w14:paraId="494C3298" w14:textId="77777777" w:rsidR="00D32D12" w:rsidRPr="001D04B2" w:rsidRDefault="00D32D12" w:rsidP="001D04B2">
      <w:pPr>
        <w:shd w:val="clear" w:color="auto" w:fill="FFFFFF" w:themeFill="background1"/>
        <w:spacing w:line="360" w:lineRule="auto"/>
      </w:pPr>
    </w:p>
    <w:p w14:paraId="69676784" w14:textId="5BA1135A" w:rsidR="00DC17FF" w:rsidRPr="0025036E" w:rsidRDefault="00C65C56" w:rsidP="0025036E">
      <w:pPr>
        <w:pStyle w:val="Heading3"/>
        <w:spacing w:line="360" w:lineRule="auto"/>
        <w:rPr>
          <w:rFonts w:ascii="Times New Roman" w:hAnsi="Times New Roman" w:cs="Times New Roman"/>
        </w:rPr>
      </w:pPr>
      <w:bookmarkStart w:id="116" w:name="_Toc117765946"/>
      <w:r w:rsidRPr="0025036E">
        <w:rPr>
          <w:rFonts w:ascii="Times New Roman" w:hAnsi="Times New Roman" w:cs="Times New Roman"/>
        </w:rPr>
        <w:t>Bioinformatic</w:t>
      </w:r>
      <w:r w:rsidR="008D1E53" w:rsidRPr="0025036E">
        <w:rPr>
          <w:rFonts w:ascii="Times New Roman" w:hAnsi="Times New Roman" w:cs="Times New Roman"/>
        </w:rPr>
        <w:t xml:space="preserve">s </w:t>
      </w:r>
      <w:r w:rsidR="00E017C5" w:rsidRPr="0025036E">
        <w:rPr>
          <w:rFonts w:ascii="Times New Roman" w:hAnsi="Times New Roman" w:cs="Times New Roman"/>
        </w:rPr>
        <w:t>and statistical analysis</w:t>
      </w:r>
      <w:bookmarkEnd w:id="116"/>
    </w:p>
    <w:p w14:paraId="5E7F1FA2" w14:textId="47A57EB3" w:rsidR="004F225C" w:rsidRPr="0025036E" w:rsidRDefault="00D65C76" w:rsidP="008A778E">
      <w:pPr>
        <w:spacing w:line="360" w:lineRule="auto"/>
        <w:rPr>
          <w:rFonts w:eastAsia="Calibri"/>
        </w:rPr>
      </w:pPr>
      <w:r w:rsidRPr="0025036E">
        <w:rPr>
          <w:rFonts w:eastAsia="Calibri"/>
        </w:rPr>
        <w:t>PBB study 2</w:t>
      </w:r>
      <w:r w:rsidR="006E1F80" w:rsidRPr="0025036E">
        <w:rPr>
          <w:rFonts w:eastAsia="Calibri"/>
        </w:rPr>
        <w:t xml:space="preserve"> was </w:t>
      </w:r>
      <w:r w:rsidR="00EA5D1A" w:rsidRPr="0025036E">
        <w:rPr>
          <w:rFonts w:eastAsia="Calibri"/>
        </w:rPr>
        <w:t>analysed</w:t>
      </w:r>
      <w:r w:rsidR="006E1F80" w:rsidRPr="0025036E">
        <w:rPr>
          <w:rFonts w:eastAsia="Calibri"/>
        </w:rPr>
        <w:t xml:space="preserve"> according to STROBE guidelines (</w:t>
      </w:r>
      <w:hyperlink r:id="rId22" w:history="1">
        <w:r w:rsidR="006E1F80" w:rsidRPr="0025036E">
          <w:rPr>
            <w:rFonts w:eastAsia="Calibri"/>
            <w:color w:val="0000FF"/>
            <w:u w:val="single"/>
          </w:rPr>
          <w:t>www.strobe-statement.org</w:t>
        </w:r>
      </w:hyperlink>
      <w:r w:rsidR="006E1F80" w:rsidRPr="0025036E">
        <w:rPr>
          <w:rFonts w:eastAsia="Calibri"/>
        </w:rPr>
        <w:t>) as described in study 1. Statistician, Professor Rigby (University of York and Hull) advised and reviewed the statistical methodology used throughout the study. Given the similar study design and participant inclusion criteria, results from PBB study 1 and 2 were combined</w:t>
      </w:r>
      <w:r w:rsidRPr="0025036E">
        <w:rPr>
          <w:rFonts w:eastAsia="Calibri"/>
        </w:rPr>
        <w:t xml:space="preserve"> for some analyses</w:t>
      </w:r>
      <w:r w:rsidR="006E1F80" w:rsidRPr="0025036E">
        <w:rPr>
          <w:rFonts w:eastAsia="Calibri"/>
        </w:rPr>
        <w:t>. The combined sample size allowed for statistical analysis. A paired T-test was used to compare the means between the two groups for continuous data and Fisher’s exact test for categorical data. Poisson regression analysis was used to report the incidence rate ratio when comparing incident rates between the 2 groups. A p value of &lt; 0.05 was taken as statistically significant however</w:t>
      </w:r>
      <w:r w:rsidR="009C1849" w:rsidRPr="0025036E">
        <w:rPr>
          <w:rFonts w:eastAsia="Calibri"/>
        </w:rPr>
        <w:t>,</w:t>
      </w:r>
      <w:r w:rsidR="006E1F80" w:rsidRPr="0025036E">
        <w:rPr>
          <w:rFonts w:eastAsia="Calibri"/>
        </w:rPr>
        <w:t xml:space="preserve"> Martin Bland’s interpretation of significance was used to indicate the strength of the evidence </w:t>
      </w:r>
      <w:r w:rsidR="00A031C6" w:rsidRPr="0025036E">
        <w:rPr>
          <w:rFonts w:eastAsia="Calibri"/>
        </w:rPr>
        <w:t xml:space="preserve">as reported in </w:t>
      </w:r>
      <w:r w:rsidR="00A031C6" w:rsidRPr="0025036E">
        <w:rPr>
          <w:rFonts w:eastAsia="Calibri"/>
        </w:rPr>
        <w:fldChar w:fldCharType="begin"/>
      </w:r>
      <w:r w:rsidR="00A031C6" w:rsidRPr="0025036E">
        <w:rPr>
          <w:rFonts w:eastAsia="Calibri"/>
        </w:rPr>
        <w:instrText xml:space="preserve"> REF _Ref105530748 \h  \* MERGEFORMAT </w:instrText>
      </w:r>
      <w:r w:rsidR="00A031C6" w:rsidRPr="0025036E">
        <w:rPr>
          <w:rFonts w:eastAsia="Calibri"/>
        </w:rPr>
      </w:r>
      <w:r w:rsidR="00A031C6" w:rsidRPr="0025036E">
        <w:rPr>
          <w:rFonts w:eastAsia="Calibri"/>
        </w:rPr>
        <w:fldChar w:fldCharType="separate"/>
      </w:r>
      <w:r w:rsidR="00A031C6" w:rsidRPr="008A778E">
        <w:t xml:space="preserve">Table </w:t>
      </w:r>
      <w:r w:rsidR="00A031C6" w:rsidRPr="008A778E">
        <w:rPr>
          <w:noProof/>
        </w:rPr>
        <w:t>6</w:t>
      </w:r>
      <w:r w:rsidR="00A031C6" w:rsidRPr="008A778E">
        <w:rPr>
          <w:b/>
          <w:bCs/>
        </w:rPr>
        <w:t xml:space="preserve">: </w:t>
      </w:r>
      <w:r w:rsidR="00A031C6" w:rsidRPr="008A778E">
        <w:t>Martin Bland's interpretation of significance</w:t>
      </w:r>
      <w:r w:rsidR="00A031C6" w:rsidRPr="0025036E">
        <w:rPr>
          <w:rFonts w:eastAsia="Calibri"/>
        </w:rPr>
        <w:fldChar w:fldCharType="end"/>
      </w:r>
      <w:r w:rsidR="003A013E" w:rsidRPr="0025036E">
        <w:rPr>
          <w:rFonts w:eastAsia="Calibri"/>
        </w:rPr>
        <w:t xml:space="preserve"> </w:t>
      </w:r>
      <w:r w:rsidR="003A013E" w:rsidRPr="0025036E">
        <w:rPr>
          <w:rFonts w:eastAsia="Calibri"/>
        </w:rPr>
        <w:fldChar w:fldCharType="begin"/>
      </w:r>
      <w:r w:rsidR="004D131F" w:rsidRPr="0025036E">
        <w:rPr>
          <w:rFonts w:eastAsia="Calibri"/>
        </w:rPr>
        <w:instrText xml:space="preserve"> ADDIN EN.CITE &lt;EndNote&gt;&lt;Cite&gt;&lt;Author&gt;Bland&lt;/Author&gt;&lt;Year&gt;2020&lt;/Year&gt;&lt;RecNum&gt;502&lt;/RecNum&gt;&lt;DisplayText&gt;(Bland, 2020)&lt;/DisplayText&gt;&lt;record&gt;&lt;rec-number&gt;502&lt;/rec-number&gt;&lt;foreign-keys&gt;&lt;key app="EN" db-id="pr9rwt2w8padxcerwx6prd0a9wtda2w5fw2t" timestamp="1655976133"&gt;502&lt;/key&gt;&lt;/foreign-keys&gt;&lt;ref-type name="Web Page"&gt;12&lt;/ref-type&gt;&lt;contributors&gt;&lt;authors&gt;&lt;author&gt;Bland, M.&lt;/author&gt;&lt;/authors&gt;&lt;/contributors&gt;&lt;titles&gt;&lt;title&gt;Introduction to Statistics for Research: Significance tests&lt;/title&gt;&lt;/titles&gt;&lt;number&gt;23/06/2022&lt;/number&gt;&lt;dates&gt;&lt;year&gt;2020&lt;/year&gt;&lt;/dates&gt;&lt;pub-location&gt;University of York&lt;/pub-location&gt;&lt;urls&gt;&lt;related-urls&gt;&lt;url&gt;https://www-users.york.ac.uk/~mb55/yh_stats/sigtst.htm&lt;/url&gt;&lt;/related-urls&gt;&lt;/urls&gt;&lt;/record&gt;&lt;/Cite&gt;&lt;/EndNote&gt;</w:instrText>
      </w:r>
      <w:r w:rsidR="003A013E" w:rsidRPr="0025036E">
        <w:rPr>
          <w:rFonts w:eastAsia="Calibri"/>
        </w:rPr>
        <w:fldChar w:fldCharType="separate"/>
      </w:r>
      <w:r w:rsidR="003A013E" w:rsidRPr="0025036E">
        <w:rPr>
          <w:rFonts w:eastAsia="Calibri"/>
          <w:noProof/>
        </w:rPr>
        <w:t>(Bland, 2020)</w:t>
      </w:r>
      <w:r w:rsidR="003A013E" w:rsidRPr="0025036E">
        <w:rPr>
          <w:rFonts w:eastAsia="Calibri"/>
        </w:rPr>
        <w:fldChar w:fldCharType="end"/>
      </w:r>
      <w:r w:rsidR="003A013E" w:rsidRPr="0025036E">
        <w:rPr>
          <w:rFonts w:eastAsia="Calibri"/>
        </w:rPr>
        <w:t>.</w:t>
      </w:r>
      <w:r w:rsidR="004F225C" w:rsidRPr="0025036E">
        <w:rPr>
          <w:rFonts w:eastAsia="Calibri"/>
        </w:rPr>
        <w:t xml:space="preserve"> An intention to treat analysis was used acknowledging the fact that 2 participants in the comparison group were prescribed long term antibiotics and remained in the study.</w:t>
      </w:r>
    </w:p>
    <w:p w14:paraId="18CA5CB8" w14:textId="77777777" w:rsidR="00BC271D" w:rsidRPr="001D04B2" w:rsidRDefault="00BC271D" w:rsidP="004F225C">
      <w:pPr>
        <w:spacing w:line="360" w:lineRule="auto"/>
        <w:rPr>
          <w:rFonts w:ascii="Calibri" w:eastAsia="Calibri" w:hAnsi="Calibri" w:cs="Arial"/>
        </w:rPr>
      </w:pPr>
    </w:p>
    <w:p w14:paraId="4E106381" w14:textId="3477A0AE" w:rsidR="002C440E" w:rsidRPr="001D04B2" w:rsidRDefault="002C440E" w:rsidP="001D04B2">
      <w:pPr>
        <w:pStyle w:val="Caption"/>
        <w:keepNext/>
        <w:rPr>
          <w:b/>
          <w:bCs/>
          <w:i w:val="0"/>
          <w:iCs w:val="0"/>
          <w:color w:val="auto"/>
          <w:sz w:val="24"/>
          <w:szCs w:val="24"/>
        </w:rPr>
      </w:pPr>
      <w:bookmarkStart w:id="117" w:name="_Ref105530748"/>
      <w:bookmarkStart w:id="118" w:name="_Toc117780247"/>
      <w:r w:rsidRPr="001D04B2">
        <w:rPr>
          <w:b/>
          <w:bCs/>
          <w:i w:val="0"/>
          <w:iCs w:val="0"/>
          <w:color w:val="auto"/>
          <w:sz w:val="24"/>
          <w:szCs w:val="24"/>
        </w:rPr>
        <w:lastRenderedPageBreak/>
        <w:t xml:space="preserve">Table </w:t>
      </w:r>
      <w:r w:rsidRPr="001D04B2">
        <w:rPr>
          <w:b/>
          <w:bCs/>
          <w:i w:val="0"/>
          <w:iCs w:val="0"/>
          <w:color w:val="auto"/>
          <w:sz w:val="24"/>
          <w:szCs w:val="24"/>
        </w:rPr>
        <w:fldChar w:fldCharType="begin"/>
      </w:r>
      <w:r w:rsidRPr="001D04B2">
        <w:rPr>
          <w:b/>
          <w:bCs/>
          <w:i w:val="0"/>
          <w:iCs w:val="0"/>
          <w:color w:val="auto"/>
          <w:sz w:val="24"/>
          <w:szCs w:val="24"/>
        </w:rPr>
        <w:instrText xml:space="preserve"> SEQ Table \* ARABIC </w:instrText>
      </w:r>
      <w:r w:rsidRPr="001D04B2">
        <w:rPr>
          <w:b/>
          <w:bCs/>
          <w:i w:val="0"/>
          <w:iCs w:val="0"/>
          <w:color w:val="auto"/>
          <w:sz w:val="24"/>
          <w:szCs w:val="24"/>
        </w:rPr>
        <w:fldChar w:fldCharType="separate"/>
      </w:r>
      <w:r w:rsidR="00592CBF">
        <w:rPr>
          <w:b/>
          <w:bCs/>
          <w:i w:val="0"/>
          <w:iCs w:val="0"/>
          <w:noProof/>
          <w:color w:val="auto"/>
          <w:sz w:val="24"/>
          <w:szCs w:val="24"/>
        </w:rPr>
        <w:t>6</w:t>
      </w:r>
      <w:r w:rsidRPr="001D04B2">
        <w:rPr>
          <w:b/>
          <w:bCs/>
          <w:i w:val="0"/>
          <w:iCs w:val="0"/>
          <w:color w:val="auto"/>
          <w:sz w:val="24"/>
          <w:szCs w:val="24"/>
        </w:rPr>
        <w:fldChar w:fldCharType="end"/>
      </w:r>
      <w:r w:rsidRPr="001D04B2">
        <w:rPr>
          <w:b/>
          <w:bCs/>
          <w:i w:val="0"/>
          <w:iCs w:val="0"/>
          <w:color w:val="auto"/>
          <w:sz w:val="24"/>
          <w:szCs w:val="24"/>
        </w:rPr>
        <w:t xml:space="preserve">: </w:t>
      </w:r>
      <w:r w:rsidRPr="00915A94">
        <w:rPr>
          <w:i w:val="0"/>
          <w:iCs w:val="0"/>
          <w:color w:val="auto"/>
          <w:sz w:val="24"/>
          <w:szCs w:val="24"/>
        </w:rPr>
        <w:t>Martin Bland's interpretation of significance</w:t>
      </w:r>
      <w:bookmarkEnd w:id="117"/>
      <w:bookmarkEnd w:id="118"/>
    </w:p>
    <w:tbl>
      <w:tblPr>
        <w:tblStyle w:val="TableGrid"/>
        <w:tblW w:w="0" w:type="auto"/>
        <w:tblLook w:val="04A0" w:firstRow="1" w:lastRow="0" w:firstColumn="1" w:lastColumn="0" w:noHBand="0" w:noVBand="1"/>
      </w:tblPr>
      <w:tblGrid>
        <w:gridCol w:w="4508"/>
        <w:gridCol w:w="4508"/>
      </w:tblGrid>
      <w:tr w:rsidR="006E1F80" w:rsidRPr="006E1F80" w14:paraId="744AA6B4" w14:textId="77777777" w:rsidTr="001D04B2">
        <w:tc>
          <w:tcPr>
            <w:tcW w:w="4508" w:type="dxa"/>
            <w:shd w:val="clear" w:color="auto" w:fill="BDD6EE" w:themeFill="accent1" w:themeFillTint="66"/>
          </w:tcPr>
          <w:p w14:paraId="6D7CEDE2"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value</w:t>
            </w:r>
          </w:p>
        </w:tc>
        <w:tc>
          <w:tcPr>
            <w:tcW w:w="4508" w:type="dxa"/>
            <w:shd w:val="clear" w:color="auto" w:fill="BDD6EE" w:themeFill="accent1" w:themeFillTint="66"/>
          </w:tcPr>
          <w:p w14:paraId="6CBEF1AF"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Evidence for a difference or relationship</w:t>
            </w:r>
          </w:p>
        </w:tc>
      </w:tr>
      <w:tr w:rsidR="006E1F80" w:rsidRPr="006E1F80" w14:paraId="1BA6C88B" w14:textId="77777777" w:rsidTr="00703D08">
        <w:tc>
          <w:tcPr>
            <w:tcW w:w="4508" w:type="dxa"/>
          </w:tcPr>
          <w:p w14:paraId="6EEA4964"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&gt;0.1</w:t>
            </w:r>
          </w:p>
        </w:tc>
        <w:tc>
          <w:tcPr>
            <w:tcW w:w="4508" w:type="dxa"/>
          </w:tcPr>
          <w:p w14:paraId="2D0E60DD"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Little of no evidence</w:t>
            </w:r>
          </w:p>
        </w:tc>
      </w:tr>
      <w:tr w:rsidR="006E1F80" w:rsidRPr="006E1F80" w14:paraId="2DA74A0D" w14:textId="77777777" w:rsidTr="00703D08">
        <w:tc>
          <w:tcPr>
            <w:tcW w:w="4508" w:type="dxa"/>
          </w:tcPr>
          <w:p w14:paraId="68683032"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 0.05-0.1</w:t>
            </w:r>
          </w:p>
        </w:tc>
        <w:tc>
          <w:tcPr>
            <w:tcW w:w="4508" w:type="dxa"/>
          </w:tcPr>
          <w:p w14:paraId="000DD4BF"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Weak evidence</w:t>
            </w:r>
          </w:p>
        </w:tc>
      </w:tr>
      <w:tr w:rsidR="006E1F80" w:rsidRPr="006E1F80" w14:paraId="38872BB5" w14:textId="77777777" w:rsidTr="001D04B2">
        <w:tc>
          <w:tcPr>
            <w:tcW w:w="4508" w:type="dxa"/>
            <w:shd w:val="clear" w:color="auto" w:fill="DEEAF6" w:themeFill="accent1" w:themeFillTint="33"/>
          </w:tcPr>
          <w:p w14:paraId="05D0A414" w14:textId="4D7046AD"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 0.01 – 0.05</w:t>
            </w:r>
          </w:p>
        </w:tc>
        <w:tc>
          <w:tcPr>
            <w:tcW w:w="4508" w:type="dxa"/>
            <w:shd w:val="clear" w:color="auto" w:fill="DEEAF6" w:themeFill="accent1" w:themeFillTint="33"/>
          </w:tcPr>
          <w:p w14:paraId="30333BBA"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Evidence</w:t>
            </w:r>
          </w:p>
        </w:tc>
      </w:tr>
      <w:tr w:rsidR="006E1F80" w:rsidRPr="006E1F80" w14:paraId="540BD692" w14:textId="77777777" w:rsidTr="00703D08">
        <w:tc>
          <w:tcPr>
            <w:tcW w:w="4508" w:type="dxa"/>
          </w:tcPr>
          <w:p w14:paraId="34A49021"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&lt; 0.01</w:t>
            </w:r>
          </w:p>
        </w:tc>
        <w:tc>
          <w:tcPr>
            <w:tcW w:w="4508" w:type="dxa"/>
          </w:tcPr>
          <w:p w14:paraId="2839FF82"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Strong evidence</w:t>
            </w:r>
          </w:p>
        </w:tc>
      </w:tr>
      <w:tr w:rsidR="006E1F80" w:rsidRPr="006E1F80" w14:paraId="53F9514B" w14:textId="77777777" w:rsidTr="00703D08">
        <w:tc>
          <w:tcPr>
            <w:tcW w:w="4508" w:type="dxa"/>
          </w:tcPr>
          <w:p w14:paraId="65338FA8"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P &lt; 0.001</w:t>
            </w:r>
          </w:p>
        </w:tc>
        <w:tc>
          <w:tcPr>
            <w:tcW w:w="4508" w:type="dxa"/>
          </w:tcPr>
          <w:p w14:paraId="061AFA19" w14:textId="77777777" w:rsidR="006E1F80" w:rsidRPr="006E1F80" w:rsidRDefault="006E1F80" w:rsidP="006E1F80">
            <w:pPr>
              <w:spacing w:line="360" w:lineRule="auto"/>
              <w:rPr>
                <w:rFonts w:ascii="Calibri" w:eastAsia="Calibri" w:hAnsi="Calibri" w:cs="Arial"/>
              </w:rPr>
            </w:pPr>
            <w:r w:rsidRPr="006E1F80">
              <w:rPr>
                <w:rFonts w:ascii="Calibri" w:eastAsia="Calibri" w:hAnsi="Calibri" w:cs="Arial"/>
              </w:rPr>
              <w:t>Very strong evidence</w:t>
            </w:r>
          </w:p>
        </w:tc>
      </w:tr>
    </w:tbl>
    <w:p w14:paraId="15D22CF4" w14:textId="27D9C62E" w:rsidR="007A6094" w:rsidRPr="004F225C" w:rsidRDefault="006E1F80" w:rsidP="004F225C">
      <w:pPr>
        <w:spacing w:line="360" w:lineRule="auto"/>
        <w:rPr>
          <w:rFonts w:ascii="Calibri" w:eastAsia="Calibri" w:hAnsi="Calibri" w:cs="Arial"/>
        </w:rPr>
      </w:pPr>
      <w:r w:rsidRPr="006E1F80">
        <w:rPr>
          <w:rFonts w:ascii="Calibri" w:eastAsia="Calibri" w:hAnsi="Calibri" w:cs="Arial"/>
        </w:rPr>
        <w:t xml:space="preserve"> </w:t>
      </w:r>
    </w:p>
    <w:p w14:paraId="5EB24570" w14:textId="501150AA" w:rsidR="0040241A" w:rsidRPr="00D32D12" w:rsidRDefault="00E017C5" w:rsidP="004F225C">
      <w:pPr>
        <w:pStyle w:val="Heading4"/>
        <w:spacing w:before="0" w:line="360" w:lineRule="auto"/>
        <w:rPr>
          <w:sz w:val="24"/>
          <w:szCs w:val="24"/>
        </w:rPr>
      </w:pPr>
      <w:r w:rsidRPr="00D32D12">
        <w:rPr>
          <w:sz w:val="24"/>
          <w:szCs w:val="24"/>
        </w:rPr>
        <w:t>Q</w:t>
      </w:r>
      <w:r w:rsidR="008D1E53" w:rsidRPr="00D32D12">
        <w:rPr>
          <w:sz w:val="24"/>
          <w:szCs w:val="24"/>
        </w:rPr>
        <w:t>uality control</w:t>
      </w:r>
      <w:r w:rsidR="00D65C76">
        <w:rPr>
          <w:sz w:val="24"/>
          <w:szCs w:val="24"/>
        </w:rPr>
        <w:t xml:space="preserve"> for 16sPCR</w:t>
      </w:r>
    </w:p>
    <w:p w14:paraId="40433CF7" w14:textId="50C5D69E" w:rsidR="00E73B0E" w:rsidRDefault="00031F7A" w:rsidP="004F225C">
      <w:pPr>
        <w:shd w:val="clear" w:color="auto" w:fill="FFFFFF" w:themeFill="background1"/>
        <w:spacing w:line="360" w:lineRule="auto"/>
      </w:pPr>
      <w:r>
        <w:t xml:space="preserve">Raw sequences were processed using </w:t>
      </w:r>
      <w:r w:rsidR="00692C1E">
        <w:t xml:space="preserve">the packages </w:t>
      </w:r>
      <w:r w:rsidR="004028CB">
        <w:t>‘</w:t>
      </w:r>
      <w:r>
        <w:t>DADA2</w:t>
      </w:r>
      <w:r w:rsidR="004028CB">
        <w:t>’</w:t>
      </w:r>
      <w:r w:rsidR="00CA5585">
        <w:t xml:space="preserve">, </w:t>
      </w:r>
      <w:r w:rsidR="00686D21">
        <w:t>‘</w:t>
      </w:r>
      <w:proofErr w:type="spellStart"/>
      <w:r w:rsidR="004028CB">
        <w:t>d</w:t>
      </w:r>
      <w:r w:rsidR="00CA5585">
        <w:t>econtam</w:t>
      </w:r>
      <w:proofErr w:type="spellEnd"/>
      <w:r w:rsidR="00686D21">
        <w:t>’</w:t>
      </w:r>
      <w:r w:rsidR="00CA5585">
        <w:t xml:space="preserve">, </w:t>
      </w:r>
      <w:r w:rsidR="00686D21">
        <w:t>‘</w:t>
      </w:r>
      <w:proofErr w:type="spellStart"/>
      <w:r w:rsidR="004028CB">
        <w:t>p</w:t>
      </w:r>
      <w:r w:rsidR="00CA5585">
        <w:t>hyloseq</w:t>
      </w:r>
      <w:proofErr w:type="spellEnd"/>
      <w:r w:rsidR="00686D21">
        <w:t>’</w:t>
      </w:r>
      <w:r w:rsidR="00CA5585">
        <w:t xml:space="preserve"> and </w:t>
      </w:r>
      <w:r w:rsidR="00686D21">
        <w:t>‘</w:t>
      </w:r>
      <w:r w:rsidR="004028CB">
        <w:t>v</w:t>
      </w:r>
      <w:r w:rsidR="00CA5585">
        <w:t>egan</w:t>
      </w:r>
      <w:r w:rsidR="00686D21">
        <w:t>’</w:t>
      </w:r>
      <w:r>
        <w:t xml:space="preserve"> in R. </w:t>
      </w:r>
      <w:r w:rsidR="00E43831">
        <w:t>The bioinformatic department in Edinburgh firstly removed the</w:t>
      </w:r>
      <w:r>
        <w:t xml:space="preserve"> barcodes and primers </w:t>
      </w:r>
      <w:r w:rsidR="000A01F1">
        <w:t>and</w:t>
      </w:r>
      <w:r>
        <w:t xml:space="preserve"> </w:t>
      </w:r>
      <w:r w:rsidR="00E43831">
        <w:t xml:space="preserve">plotted the </w:t>
      </w:r>
      <w:r w:rsidR="000A01F1">
        <w:t>q</w:t>
      </w:r>
      <w:r>
        <w:t>uality scores</w:t>
      </w:r>
      <w:r w:rsidR="00E43831">
        <w:t xml:space="preserve">. </w:t>
      </w:r>
      <w:r w:rsidR="0091337B">
        <w:t>R</w:t>
      </w:r>
      <w:r w:rsidR="00CE37E7">
        <w:t xml:space="preserve">eads </w:t>
      </w:r>
      <w:r w:rsidR="0091337B">
        <w:t xml:space="preserve">were then </w:t>
      </w:r>
      <w:r w:rsidR="00CE37E7">
        <w:t xml:space="preserve">trimmed </w:t>
      </w:r>
      <w:r w:rsidR="0091337B">
        <w:t xml:space="preserve">and filtered </w:t>
      </w:r>
      <w:r w:rsidR="00CE37E7">
        <w:t>as the quality dropped</w:t>
      </w:r>
      <w:r w:rsidR="00373B7B">
        <w:t xml:space="preserve"> (length threshold of 200 base pairs for forward reads, 150 base</w:t>
      </w:r>
      <w:r w:rsidR="00E43831">
        <w:t xml:space="preserve"> </w:t>
      </w:r>
      <w:r w:rsidR="00373B7B">
        <w:t>pairs for reverse reads</w:t>
      </w:r>
      <w:r w:rsidR="0097661D">
        <w:t>)</w:t>
      </w:r>
      <w:r w:rsidR="00373B7B">
        <w:t>.</w:t>
      </w:r>
      <w:r w:rsidR="0091337B">
        <w:t xml:space="preserve"> Given that the V4 region is usually 253 base pairs, there </w:t>
      </w:r>
      <w:r w:rsidR="0097661D">
        <w:t>was</w:t>
      </w:r>
      <w:r w:rsidR="0091337B">
        <w:t xml:space="preserve"> still </w:t>
      </w:r>
      <w:r w:rsidR="0097661D">
        <w:t>adequate</w:t>
      </w:r>
      <w:r w:rsidR="0091337B">
        <w:t xml:space="preserve"> overlapping of forward and reverse reads. </w:t>
      </w:r>
      <w:r w:rsidR="00E73B0E">
        <w:t xml:space="preserve">Standard filtering parameters were used: </w:t>
      </w:r>
      <w:proofErr w:type="spellStart"/>
      <w:r w:rsidR="00E73B0E">
        <w:t>maxEE</w:t>
      </w:r>
      <w:proofErr w:type="spellEnd"/>
      <w:r w:rsidR="00E73B0E">
        <w:t xml:space="preserve"> = 2 (</w:t>
      </w:r>
      <w:r w:rsidR="000B789E">
        <w:t>maximum number of expected errors allowed in a read</w:t>
      </w:r>
      <w:r w:rsidR="00E73B0E">
        <w:t xml:space="preserve">), </w:t>
      </w:r>
      <w:proofErr w:type="spellStart"/>
      <w:r w:rsidR="00E73B0E">
        <w:t>truncQ</w:t>
      </w:r>
      <w:proofErr w:type="spellEnd"/>
      <w:r w:rsidR="00C47244">
        <w:t xml:space="preserve"> </w:t>
      </w:r>
      <w:r w:rsidR="00E73B0E">
        <w:t>=</w:t>
      </w:r>
      <w:r w:rsidR="00C47244">
        <w:t xml:space="preserve"> </w:t>
      </w:r>
      <w:r w:rsidR="00E73B0E">
        <w:t>2 (truncation of reads with a Q score of less than 2)</w:t>
      </w:r>
      <w:r w:rsidR="000A01F1">
        <w:t>. The DADA2 core sample inference algorithm was run. This software</w:t>
      </w:r>
      <w:r w:rsidR="00373B7B">
        <w:t xml:space="preserve"> models and corrects for Illumin</w:t>
      </w:r>
      <w:r w:rsidR="0097661D">
        <w:t>a</w:t>
      </w:r>
      <w:r w:rsidR="00373B7B">
        <w:t>-sequenced amplicon erro</w:t>
      </w:r>
      <w:r w:rsidR="00A66A7C">
        <w:t>r</w:t>
      </w:r>
      <w:r w:rsidR="00373B7B">
        <w:t xml:space="preserve">s and infers sample sequences exactly and resolves differences of as little as 1 nucleotide </w:t>
      </w:r>
      <w:r w:rsidR="00E71208">
        <w:fldChar w:fldCharType="begin">
          <w:fldData xml:space="preserve">PEVuZE5vdGU+PENpdGU+PEF1dGhvcj5DYWxsYWhhbjwvQXV0aG9yPjxZZWFyPjIwMTY8L1llYXI+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</w:fldData>
        </w:fldChar>
      </w:r>
      <w:r w:rsidR="00EE22EB">
        <w:instrText xml:space="preserve"> ADDIN EN.CITE </w:instrText>
      </w:r>
      <w:r w:rsidR="00EE22EB">
        <w:fldChar w:fldCharType="begin">
          <w:fldData xml:space="preserve">PEVuZE5vdGU+PENpdGU+PEF1dGhvcj5DYWxsYWhhbjwvQXV0aG9yPjxZZWFyPjIwMTY8L1llYXI+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</w:fldData>
        </w:fldChar>
      </w:r>
      <w:r w:rsidR="00EE22EB">
        <w:instrText xml:space="preserve"> ADDIN EN.CITE.DATA </w:instrText>
      </w:r>
      <w:r w:rsidR="00EE22EB">
        <w:fldChar w:fldCharType="end"/>
      </w:r>
      <w:r w:rsidR="00E71208">
        <w:fldChar w:fldCharType="separate"/>
      </w:r>
      <w:r w:rsidR="00EE22EB">
        <w:rPr>
          <w:noProof/>
        </w:rPr>
        <w:t>(Callahan et al., 2016)</w:t>
      </w:r>
      <w:r w:rsidR="00E71208">
        <w:fldChar w:fldCharType="end"/>
      </w:r>
      <w:r w:rsidR="00E71208">
        <w:t>.</w:t>
      </w:r>
      <w:r w:rsidR="00A66A7C">
        <w:t xml:space="preserve"> Further filtering of sequences longer or shorter than the expected base length (acceptable 250-256 base pairs) occurred and removal of chimeras. Taxonomy was assigned in DADA2</w:t>
      </w:r>
      <w:r w:rsidR="00751A39">
        <w:t xml:space="preserve"> using a native Bayesian classifier method </w:t>
      </w:r>
      <w:r w:rsidR="00E71208">
        <w:fldChar w:fldCharType="begin"/>
      </w:r>
      <w:r w:rsidR="00EE22EB">
        <w:instrText xml:space="preserve"> ADDIN EN.CITE &lt;EndNote&gt;&lt;Cite&gt;&lt;Author&gt;Wang&lt;/Author&gt;&lt;Year&gt;2007&lt;/Year&gt;&lt;RecNum&gt;410&lt;/RecNum&gt;&lt;DisplayText&gt;(Wang et al., 2007)&lt;/DisplayText&gt;&lt;record&gt;&lt;rec-number&gt;410&lt;/rec-number&gt;&lt;foreign-keys&gt;&lt;key app="EN" db-id="pr9rwt2w8padxcerwx6prd0a9wtda2w5fw2t" timestamp="1643725245"&gt;410&lt;/key&gt;&lt;/foreign-keys&gt;&lt;ref-type name="Journal Article"&gt;17&lt;/ref-type&gt;&lt;contributors&gt;&lt;authors&gt;&lt;author&gt;Wang, Q.&lt;/author&gt;&lt;author&gt;Garrity, G. M.&lt;/author&gt;&lt;author&gt;Tiedje, J. M.&lt;/author&gt;&lt;author&gt;Cole, J. R.&lt;/author&gt;&lt;/authors&gt;&lt;/contributors&gt;&lt;auth-address&gt;Center for Microbial Ecology, Michigan State University, East Lansing, MI 48824, USA.&lt;/auth-address&gt;&lt;titles&gt;&lt;title&gt;Naive Bayesian classifier for rapid assignment of rRNA sequences into the new bacterial taxonomy&lt;/title&gt;&lt;secondary-title&gt;Appl Environ Microbiol&lt;/secondary-title&gt;&lt;/titles&gt;&lt;periodical&gt;&lt;full-title&gt;Appl Environ Microbiol&lt;/full-title&gt;&lt;/periodical&gt;&lt;pages&gt;5261-7&lt;/pages&gt;&lt;volume&gt;73&lt;/volume&gt;&lt;number&gt;16&lt;/number&gt;&lt;edition&gt;2007/06/26&lt;/edition&gt;&lt;keywords&gt;&lt;keyword&gt;Algorithms&lt;/keyword&gt;&lt;keyword&gt;Bacteria/*classification/*genetics&lt;/keyword&gt;&lt;keyword&gt;*Bayes Theorem&lt;/keyword&gt;&lt;keyword&gt;Classification/methods&lt;/keyword&gt;&lt;keyword&gt;Databases, Nucleic Acid&lt;/keyword&gt;&lt;keyword&gt;Phylogeny&lt;/keyword&gt;&lt;keyword&gt;RNA, Ribosomal/*genetics&lt;/keyword&gt;&lt;keyword&gt;RNA, Ribosomal, 16S/genetics&lt;/keyword&gt;&lt;/keywords&gt;&lt;dates&gt;&lt;year&gt;2007&lt;/year&gt;&lt;pub-dates&gt;&lt;date&gt;Aug&lt;/date&gt;&lt;/pub-dates&gt;&lt;/dates&gt;&lt;isbn&gt;0099-2240 (Print)&amp;#xD;0099-2240&lt;/isbn&gt;&lt;accession-num&gt;17586664&lt;/accession-num&gt;&lt;urls&gt;&lt;/urls&gt;&lt;custom2&gt;PMC1950982&lt;/custom2&gt;&lt;electronic-resource-num&gt;10.1128/aem.00062-07&lt;/electronic-resource-num&gt;&lt;remote-database-provider&gt;NLM&lt;/remote-database-provider&gt;&lt;language&gt;eng&lt;/language&gt;&lt;/record&gt;&lt;/Cite&gt;&lt;/EndNote&gt;</w:instrText>
      </w:r>
      <w:r w:rsidR="00E71208">
        <w:fldChar w:fldCharType="separate"/>
      </w:r>
      <w:r w:rsidR="00EE22EB">
        <w:rPr>
          <w:noProof/>
        </w:rPr>
        <w:t>(Wang et al., 2007)</w:t>
      </w:r>
      <w:r w:rsidR="00E71208">
        <w:fldChar w:fldCharType="end"/>
      </w:r>
      <w:r w:rsidR="00280BA4">
        <w:t xml:space="preserve"> This </w:t>
      </w:r>
      <w:r w:rsidR="00751A39">
        <w:t xml:space="preserve">takes </w:t>
      </w:r>
      <w:r w:rsidR="00280BA4">
        <w:t>the</w:t>
      </w:r>
      <w:r w:rsidR="00751A39">
        <w:t xml:space="preserve"> input set of </w:t>
      </w:r>
      <w:r w:rsidR="00280BA4">
        <w:t xml:space="preserve">unknown </w:t>
      </w:r>
      <w:r w:rsidR="00751A39">
        <w:t>sequences and a training set of reference sequences (</w:t>
      </w:r>
      <w:r w:rsidR="00280BA4">
        <w:t>silva v138 training set</w:t>
      </w:r>
      <w:r w:rsidR="00751A39">
        <w:t xml:space="preserve">) and outputs taxonomic assignments. </w:t>
      </w:r>
    </w:p>
    <w:p w14:paraId="0331C984" w14:textId="2DF68078" w:rsidR="00A031C6" w:rsidRDefault="007A6094" w:rsidP="006115E5">
      <w:pPr>
        <w:shd w:val="clear" w:color="auto" w:fill="FFFFFF" w:themeFill="background1"/>
        <w:spacing w:line="360" w:lineRule="auto"/>
      </w:pPr>
      <w:r>
        <w:t>All subsequent analysis steps were undertaken by myself, with support from Dr Alicia Ruiz Rodriguez</w:t>
      </w:r>
      <w:r w:rsidRPr="007A6094">
        <w:t xml:space="preserve"> </w:t>
      </w:r>
      <w:r>
        <w:t>(a postdoctoral researchers in Professor Bogaert’s team)</w:t>
      </w:r>
      <w:r w:rsidR="0088660D">
        <w:t xml:space="preserve"> and Justyna </w:t>
      </w:r>
      <w:proofErr w:type="spellStart"/>
      <w:r w:rsidR="0088660D">
        <w:t>Binkowska</w:t>
      </w:r>
      <w:proofErr w:type="spellEnd"/>
      <w:r w:rsidR="0088660D">
        <w:t xml:space="preserve"> (a PhD student in Professor Bogaert’s team)</w:t>
      </w:r>
      <w:r>
        <w:t>. F</w:t>
      </w:r>
      <w:r w:rsidR="00280BA4">
        <w:t xml:space="preserve">urther quality control </w:t>
      </w:r>
      <w:r>
        <w:t xml:space="preserve">was undertaken with </w:t>
      </w:r>
      <w:r w:rsidR="00280BA4">
        <w:t>removal of contaminant</w:t>
      </w:r>
      <w:r w:rsidR="00C5105D">
        <w:t xml:space="preserve">s </w:t>
      </w:r>
      <w:r w:rsidR="004028CB">
        <w:t xml:space="preserve">and ultra-rare taxa </w:t>
      </w:r>
      <w:r w:rsidR="0022598D">
        <w:t xml:space="preserve">using the package </w:t>
      </w:r>
      <w:r w:rsidR="00245F75">
        <w:t>‘</w:t>
      </w:r>
      <w:proofErr w:type="spellStart"/>
      <w:r w:rsidR="00F145C7">
        <w:t>d</w:t>
      </w:r>
      <w:r w:rsidR="0022598D">
        <w:t>econtam</w:t>
      </w:r>
      <w:proofErr w:type="spellEnd"/>
      <w:r w:rsidR="0022598D">
        <w:t xml:space="preserve"> </w:t>
      </w:r>
      <w:r w:rsidR="00245F75">
        <w:t>‘</w:t>
      </w:r>
      <w:r w:rsidR="0022598D">
        <w:t>in</w:t>
      </w:r>
      <w:r w:rsidR="00C5105D">
        <w:t xml:space="preserve"> R. </w:t>
      </w:r>
      <w:r>
        <w:t xml:space="preserve"> </w:t>
      </w:r>
    </w:p>
    <w:p w14:paraId="64AB5462" w14:textId="77777777" w:rsidR="00D65C76" w:rsidRPr="00A031C6" w:rsidRDefault="00D65C76" w:rsidP="006115E5">
      <w:pPr>
        <w:shd w:val="clear" w:color="auto" w:fill="FFFFFF" w:themeFill="background1"/>
        <w:spacing w:line="360" w:lineRule="auto"/>
      </w:pPr>
    </w:p>
    <w:p w14:paraId="4F83FFC6" w14:textId="675432A9" w:rsidR="008D1E53" w:rsidRPr="00A031C6" w:rsidRDefault="00E017C5" w:rsidP="00EF67A3">
      <w:pPr>
        <w:pStyle w:val="Heading3"/>
        <w:spacing w:line="360" w:lineRule="auto"/>
      </w:pPr>
      <w:bookmarkStart w:id="119" w:name="_Toc117765947"/>
      <w:r>
        <w:lastRenderedPageBreak/>
        <w:t>Analysis</w:t>
      </w:r>
      <w:bookmarkEnd w:id="119"/>
    </w:p>
    <w:p w14:paraId="46310F36" w14:textId="7F45F669" w:rsidR="00D25F3F" w:rsidRPr="006B282D" w:rsidRDefault="00D25F3F" w:rsidP="00EF67A3">
      <w:pPr>
        <w:spacing w:line="360" w:lineRule="auto"/>
      </w:pPr>
      <w:r w:rsidRPr="006B282D">
        <w:t xml:space="preserve">I carried out the analysis in R using the packages </w:t>
      </w:r>
      <w:r w:rsidR="00B3129B">
        <w:t>‘</w:t>
      </w:r>
      <w:proofErr w:type="spellStart"/>
      <w:r w:rsidR="00B3129B">
        <w:t>P</w:t>
      </w:r>
      <w:r w:rsidRPr="006B282D">
        <w:t>hyloseq</w:t>
      </w:r>
      <w:proofErr w:type="spellEnd"/>
      <w:r w:rsidR="00B3129B">
        <w:t>’</w:t>
      </w:r>
      <w:r w:rsidRPr="006B282D">
        <w:t xml:space="preserve">, </w:t>
      </w:r>
      <w:r w:rsidR="00B3129B">
        <w:t>‘V</w:t>
      </w:r>
      <w:r w:rsidRPr="006B282D">
        <w:t>egan</w:t>
      </w:r>
      <w:r w:rsidR="00B3129B">
        <w:t>’</w:t>
      </w:r>
      <w:r w:rsidRPr="006B282D">
        <w:t xml:space="preserve"> and </w:t>
      </w:r>
      <w:r w:rsidR="00B3129B">
        <w:t>‘</w:t>
      </w:r>
      <w:r w:rsidRPr="006B282D">
        <w:t>ggplot2</w:t>
      </w:r>
      <w:r w:rsidR="00B3129B">
        <w:t>’</w:t>
      </w:r>
      <w:r w:rsidRPr="006B282D">
        <w:t xml:space="preserve">. Firstly, an overview of the </w:t>
      </w:r>
      <w:r w:rsidR="000626B2" w:rsidRPr="006B282D">
        <w:t>microbial composition was obtained using stacked bar charts.</w:t>
      </w:r>
      <w:r w:rsidR="002C5CD2">
        <w:t xml:space="preserve"> Differential abundance testing was carried out using the </w:t>
      </w:r>
      <w:r w:rsidR="00F1692E">
        <w:t>‘</w:t>
      </w:r>
      <w:proofErr w:type="spellStart"/>
      <w:r w:rsidR="002C5CD2">
        <w:t>metagenomeseq</w:t>
      </w:r>
      <w:proofErr w:type="spellEnd"/>
      <w:r w:rsidR="00F1692E">
        <w:t>’</w:t>
      </w:r>
      <w:r w:rsidR="002C5CD2">
        <w:t xml:space="preserve"> model to detect difference</w:t>
      </w:r>
      <w:r w:rsidR="000700F2">
        <w:t>s</w:t>
      </w:r>
      <w:r w:rsidR="002C5CD2">
        <w:t xml:space="preserve"> in the </w:t>
      </w:r>
      <w:r w:rsidR="00C111C8">
        <w:t xml:space="preserve">relative abundance of ASVs between the 2 </w:t>
      </w:r>
      <w:r w:rsidR="00C111C8" w:rsidRPr="005D1FE5">
        <w:t xml:space="preserve">groups. </w:t>
      </w:r>
      <w:r w:rsidR="00703D08" w:rsidRPr="005D1FE5">
        <w:t xml:space="preserve">This programme </w:t>
      </w:r>
      <w:r w:rsidR="005D1FE5">
        <w:t>is</w:t>
      </w:r>
      <w:r w:rsidR="00703D08" w:rsidRPr="005D1FE5">
        <w:t xml:space="preserve"> designed to account for sparsity due to under sampling </w:t>
      </w:r>
      <w:r w:rsidR="00703D08" w:rsidRPr="005D1FE5">
        <w:fldChar w:fldCharType="begin"/>
      </w:r>
      <w:r w:rsidR="00EE22EB">
        <w:instrText xml:space="preserve"> ADDIN EN.CITE &lt;EndNote&gt;&lt;Cite&gt;&lt;Author&gt;Paulson&lt;/Author&gt;&lt;Year&gt;2013&lt;/Year&gt;&lt;RecNum&gt;477&lt;/RecNum&gt;&lt;DisplayText&gt;(Paulson et al., 2013)&lt;/DisplayText&gt;&lt;record&gt;&lt;rec-number&gt;477&lt;/rec-number&gt;&lt;foreign-keys&gt;&lt;key app="EN" db-id="pr9rwt2w8padxcerwx6prd0a9wtda2w5fw2t" timestamp="1652800432"&gt;477&lt;/key&gt;&lt;/foreign-keys&gt;&lt;ref-type name="Journal Article"&gt;17&lt;/ref-type&gt;&lt;contributors&gt;&lt;authors&gt;&lt;author&gt;Paulson, Joseph N.&lt;/author&gt;&lt;author&gt;Stine, O. Colin&lt;/author&gt;&lt;author&gt;Bravo, Héctor Corrada&lt;/author&gt;&lt;author&gt;Pop, Mihai&lt;/author&gt;&lt;/authors&gt;&lt;/contributors&gt;&lt;titles&gt;&lt;title&gt;Differential abundance analysis for microbial marker-gene surveys&lt;/title&gt;&lt;secondary-title&gt;Nature methods&lt;/secondary-title&gt;&lt;alt-title&gt;Nat Methods&lt;/alt-title&gt;&lt;/titles&gt;&lt;alt-periodical&gt;&lt;full-title&gt;Nat Methods&lt;/full-title&gt;&lt;/alt-periodical&gt;&lt;pages&gt;1200-1202&lt;/pages&gt;&lt;volume&gt;10&lt;/volume&gt;&lt;number&gt;12&lt;/number&gt;&lt;edition&gt;2013/09/29&lt;/edition&gt;&lt;keywords&gt;&lt;keyword&gt;Algorithms&lt;/keyword&gt;&lt;keyword&gt;Animals&lt;/keyword&gt;&lt;keyword&gt;Area Under Curve&lt;/keyword&gt;&lt;keyword&gt;Cluster Analysis&lt;/keyword&gt;&lt;keyword&gt;Computer Simulation&lt;/keyword&gt;&lt;keyword&gt;Databases, Genetic&lt;/keyword&gt;&lt;keyword&gt;Gene Expression Profiling/methods&lt;/keyword&gt;&lt;keyword&gt;*Genetic Markers&lt;/keyword&gt;&lt;keyword&gt;Genetic Variation&lt;/keyword&gt;&lt;keyword&gt;Humans&lt;/keyword&gt;&lt;keyword&gt;Intestines/microbiology&lt;/keyword&gt;&lt;keyword&gt;Metagenomics/*methods&lt;/keyword&gt;&lt;keyword&gt;Mice&lt;/keyword&gt;&lt;keyword&gt;*Microbiota&lt;/keyword&gt;&lt;keyword&gt;Models, Genetic&lt;/keyword&gt;&lt;keyword&gt;Models, Statistical&lt;/keyword&gt;&lt;keyword&gt;Normal Distribution&lt;/keyword&gt;&lt;keyword&gt;Phenotype&lt;/keyword&gt;&lt;keyword&gt;RNA, Ribosomal, 16S/*genetics&lt;/keyword&gt;&lt;keyword&gt;Sequence Analysis, DNA&lt;/keyword&gt;&lt;keyword&gt;Software&lt;/keyword&gt;&lt;/keywords&gt;&lt;dates&gt;&lt;year&gt;2013&lt;/year&gt;&lt;/dates&gt;&lt;isbn&gt;1548-7105&amp;#xD;1548-7091&lt;/isbn&gt;&lt;accession-num&gt;24076764&lt;/accession-num&gt;&lt;urls&gt;&lt;related-urls&gt;&lt;url&gt;https://pubmed.ncbi.nlm.nih.gov/24076764&lt;/url&gt;&lt;url&gt;https://www.ncbi.nlm.nih.gov/pmc/articles/PMC4010126/&lt;/url&gt;&lt;/related-urls&gt;&lt;/urls&gt;&lt;electronic-resource-num&gt;10.1038/nmeth.2658&lt;/electronic-resource-num&gt;&lt;remote-database-name&gt;PubMed&lt;/remote-database-name&gt;&lt;language&gt;eng&lt;/language&gt;&lt;/record&gt;&lt;/Cite&gt;&lt;/EndNote&gt;</w:instrText>
      </w:r>
      <w:r w:rsidR="00703D08" w:rsidRPr="005D1FE5">
        <w:fldChar w:fldCharType="separate"/>
      </w:r>
      <w:r w:rsidR="00EE22EB">
        <w:rPr>
          <w:noProof/>
        </w:rPr>
        <w:t>(Paulson et al., 2013)</w:t>
      </w:r>
      <w:r w:rsidR="00703D08" w:rsidRPr="005D1FE5">
        <w:fldChar w:fldCharType="end"/>
      </w:r>
      <w:r w:rsidR="002C5CD2" w:rsidRPr="005D1FE5">
        <w:t xml:space="preserve">. </w:t>
      </w:r>
      <w:r w:rsidR="000F51CF" w:rsidRPr="005D1FE5">
        <w:t>The</w:t>
      </w:r>
      <w:r w:rsidR="000F51CF">
        <w:t xml:space="preserve"> top 50 ASVs were selected and a</w:t>
      </w:r>
      <w:r w:rsidR="002C5CD2">
        <w:t xml:space="preserve">n adjusted p-value of &lt;0.05 was considered to </w:t>
      </w:r>
      <w:r w:rsidR="00A81456">
        <w:t>be significant.</w:t>
      </w:r>
      <w:r w:rsidR="002C5CD2">
        <w:t xml:space="preserve"> </w:t>
      </w:r>
      <w:r w:rsidR="000626B2" w:rsidRPr="006B282D">
        <w:t>Alpha diversity (within-sample diversity) was computed using the Shannon</w:t>
      </w:r>
      <w:r w:rsidR="00C1656F" w:rsidRPr="006B282D">
        <w:t xml:space="preserve"> diversity</w:t>
      </w:r>
      <w:r w:rsidR="000626B2" w:rsidRPr="006B282D">
        <w:t xml:space="preserve"> index on raw sequence data. </w:t>
      </w:r>
      <w:r w:rsidR="00C1656F" w:rsidRPr="006B282D">
        <w:t xml:space="preserve">This index takes into account the richness (number of species) and evenness (relative abundance) of species within a community. </w:t>
      </w:r>
      <w:r w:rsidR="00A031C6">
        <w:t>Fisher’s test was</w:t>
      </w:r>
      <w:r w:rsidR="000626B2" w:rsidRPr="006B282D">
        <w:t xml:space="preserve"> used to compare the 2 groups. Following this, beta diversity (between-sample diversity) was investigated using the Bray-</w:t>
      </w:r>
      <w:r w:rsidR="00844B4D">
        <w:t>C</w:t>
      </w:r>
      <w:r w:rsidR="000626B2" w:rsidRPr="006B282D">
        <w:t xml:space="preserve">urtis dissimilarity measure. </w:t>
      </w:r>
      <w:r w:rsidR="00EF5884">
        <w:t xml:space="preserve">To assess this, a dissimilarity matrix was constructed whereby the composition of each samples is compared to all the other samples and assigned a numerical value. </w:t>
      </w:r>
      <w:r w:rsidR="000626B2" w:rsidRPr="006B282D">
        <w:t xml:space="preserve">This measure ranges between 0 and 1 where 0 </w:t>
      </w:r>
      <w:r w:rsidR="00CB7150" w:rsidRPr="006B282D">
        <w:t>indicates</w:t>
      </w:r>
      <w:r w:rsidR="000626B2" w:rsidRPr="006B282D">
        <w:t xml:space="preserve"> the 2 sites have zero dissimila</w:t>
      </w:r>
      <w:r w:rsidR="00CB7150" w:rsidRPr="006B282D">
        <w:t>ri</w:t>
      </w:r>
      <w:r w:rsidR="000626B2" w:rsidRPr="006B282D">
        <w:t xml:space="preserve">ty </w:t>
      </w:r>
      <w:r w:rsidR="00CB7150" w:rsidRPr="006B282D">
        <w:t>i.e.</w:t>
      </w:r>
      <w:r w:rsidR="000626B2" w:rsidRPr="006B282D">
        <w:t xml:space="preserve"> </w:t>
      </w:r>
      <w:r w:rsidR="00CB7150" w:rsidRPr="006B282D">
        <w:t xml:space="preserve">they share exactly the same number and abundance of microbes. A </w:t>
      </w:r>
      <w:r w:rsidR="00844B4D">
        <w:t>B</w:t>
      </w:r>
      <w:r w:rsidR="00CB7150" w:rsidRPr="006B282D">
        <w:t>ray-</w:t>
      </w:r>
      <w:r w:rsidR="00844B4D">
        <w:t>C</w:t>
      </w:r>
      <w:r w:rsidR="00CB7150" w:rsidRPr="006B282D">
        <w:t>urtis measure of 1 means that the 2 sites have complete dissimilarity.</w:t>
      </w:r>
      <w:r w:rsidR="00C1656F" w:rsidRPr="006B282D">
        <w:t xml:space="preserve"> After creating a </w:t>
      </w:r>
      <w:r w:rsidR="00815233" w:rsidRPr="00815233">
        <w:t>dissimilarity</w:t>
      </w:r>
      <w:r w:rsidR="00C1656F" w:rsidRPr="006B282D">
        <w:t xml:space="preserve"> matrix from the ASV table, non-metric multidimensional scaling (NMDS) was undertaken. In order to test whether there was significant dissimilarity between groups, a permutational multivariant analysis of variance (PERMANOVA) was calculated.</w:t>
      </w:r>
      <w:r w:rsidR="00A913BB">
        <w:t xml:space="preserve"> PERMANOVA is a non-parametric multivariant statistical </w:t>
      </w:r>
      <w:r w:rsidR="00F1180C">
        <w:t>model</w:t>
      </w:r>
      <w:r w:rsidR="00A913BB">
        <w:t>. It is used to compare groups of objects and test the null hypothesis that the dispersion o</w:t>
      </w:r>
      <w:r w:rsidR="00886669">
        <w:t>f</w:t>
      </w:r>
      <w:r w:rsidR="00A913BB">
        <w:t xml:space="preserve"> the groups, as defined by a measure in space, are equivalent for all groups</w:t>
      </w:r>
      <w:r w:rsidR="007C7865">
        <w:t xml:space="preserve"> </w:t>
      </w:r>
      <w:r w:rsidR="007C7865">
        <w:fldChar w:fldCharType="begin"/>
      </w:r>
      <w:r w:rsidR="007C7865">
        <w:instrText xml:space="preserve"> ADDIN EN.CITE &lt;EndNote&gt;&lt;Cite&gt;&lt;Author&gt;Ebner&lt;/Author&gt;&lt;Year&gt;2018&lt;/Year&gt;&lt;RecNum&gt;488&lt;/RecNum&gt;&lt;DisplayText&gt;(Ebner, 2018)&lt;/DisplayText&gt;&lt;record&gt;&lt;rec-number&gt;488&lt;/rec-number&gt;&lt;foreign-keys&gt;&lt;key app="EN" db-id="pr9rwt2w8padxcerwx6prd0a9wtda2w5fw2t" timestamp="1654635094"&gt;488&lt;/key&gt;&lt;/foreign-keys&gt;&lt;ref-type name="Blog"&gt;56&lt;/ref-type&gt;&lt;contributors&gt;&lt;authors&gt;&lt;author&gt;Ebner, J&lt;/author&gt;&lt;/authors&gt;&lt;/contributors&gt;&lt;titles&gt;&lt;title&gt;Permutational Multivariate Analysis of Variance (PERMANOVA) in R&lt;/title&gt;&lt;/titles&gt;&lt;volume&gt;2022&lt;/volume&gt;&lt;number&gt;06/07/2022&lt;/number&gt;&lt;dates&gt;&lt;year&gt;2018&lt;/year&gt;&lt;/dates&gt;&lt;urls&gt;&lt;related-urls&gt;&lt;url&gt;https://archetypalecology.wordpress.com/2018/02/21/permutational-multivariate-analysis-of-variance-permanova-in-r-preliminary/&lt;/url&gt;&lt;/related-urls&gt;&lt;/urls&gt;&lt;/record&gt;&lt;/Cite&gt;&lt;/EndNote&gt;</w:instrText>
      </w:r>
      <w:r w:rsidR="007C7865">
        <w:fldChar w:fldCharType="separate"/>
      </w:r>
      <w:r w:rsidR="007C7865">
        <w:rPr>
          <w:noProof/>
        </w:rPr>
        <w:t>(Ebner, 2018)</w:t>
      </w:r>
      <w:r w:rsidR="007C7865">
        <w:fldChar w:fldCharType="end"/>
      </w:r>
      <w:r w:rsidR="00A913BB">
        <w:t xml:space="preserve">. </w:t>
      </w:r>
      <w:r w:rsidR="00112B8B">
        <w:t>Rejection of the null hypothesis means that the spread of objects differs between the groups.</w:t>
      </w:r>
    </w:p>
    <w:p w14:paraId="74660A9A" w14:textId="2CD535BF" w:rsidR="000A5FE2" w:rsidRDefault="000A5FE2" w:rsidP="00A14CB0">
      <w:pPr>
        <w:shd w:val="clear" w:color="auto" w:fill="FFFFFF" w:themeFill="background1"/>
        <w:spacing w:line="360" w:lineRule="auto"/>
        <w:jc w:val="both"/>
        <w:rPr>
          <w:rFonts w:cs="Arial"/>
        </w:rPr>
      </w:pPr>
    </w:p>
    <w:p w14:paraId="3976D49C" w14:textId="5E98B15A" w:rsidR="001C12DE" w:rsidRPr="001C12DE" w:rsidRDefault="000A5FE2" w:rsidP="004F3338">
      <w:pPr>
        <w:pStyle w:val="Heading2"/>
        <w:rPr>
          <w:lang w:eastAsia="en-GB"/>
        </w:rPr>
      </w:pPr>
      <w:bookmarkStart w:id="120" w:name="_Toc117765948"/>
      <w:r w:rsidRPr="00CB07C2">
        <w:rPr>
          <w:lang w:eastAsia="en-GB"/>
        </w:rPr>
        <w:t xml:space="preserve">Methods: </w:t>
      </w:r>
      <w:r w:rsidR="00F1548D" w:rsidRPr="00CB07C2">
        <w:rPr>
          <w:lang w:eastAsia="en-GB"/>
        </w:rPr>
        <w:t xml:space="preserve">PBB </w:t>
      </w:r>
      <w:r w:rsidRPr="00CB07C2">
        <w:rPr>
          <w:lang w:eastAsia="en-GB"/>
        </w:rPr>
        <w:t xml:space="preserve">Study 3 </w:t>
      </w:r>
      <w:r w:rsidR="00F1548D" w:rsidRPr="00CB07C2">
        <w:rPr>
          <w:lang w:eastAsia="en-GB"/>
        </w:rPr>
        <w:t>– Antibiotic resistance patterns of nasopharyngeal bacteria</w:t>
      </w:r>
      <w:bookmarkEnd w:id="120"/>
    </w:p>
    <w:p w14:paraId="0DB626F1" w14:textId="045B61B3" w:rsidR="009F221D" w:rsidRPr="00F1548D" w:rsidRDefault="000A5FE2" w:rsidP="00F1548D">
      <w:pPr>
        <w:spacing w:line="360" w:lineRule="auto"/>
      </w:pPr>
      <w:r w:rsidRPr="00F1548D">
        <w:t xml:space="preserve">The initial </w:t>
      </w:r>
      <w:r w:rsidR="008C3CC7" w:rsidRPr="00F1548D">
        <w:t>PBB</w:t>
      </w:r>
      <w:r w:rsidRPr="00F1548D">
        <w:t xml:space="preserve"> studies </w:t>
      </w:r>
      <w:r w:rsidR="00BE4337">
        <w:t xml:space="preserve">1 and 2 </w:t>
      </w:r>
      <w:r w:rsidRPr="00F1548D">
        <w:t xml:space="preserve">investigated </w:t>
      </w:r>
      <w:r w:rsidR="00BE4337">
        <w:t xml:space="preserve">similar </w:t>
      </w:r>
      <w:r w:rsidRPr="00F1548D">
        <w:t>cohorts of children with PBB</w:t>
      </w:r>
      <w:r w:rsidR="008C3CC7" w:rsidRPr="00F1548D">
        <w:t>. Half of these participants were</w:t>
      </w:r>
      <w:r w:rsidRPr="00F1548D">
        <w:t xml:space="preserve"> exposed to long-term azithromycin and </w:t>
      </w:r>
      <w:r w:rsidR="008C3CC7" w:rsidRPr="00F1548D">
        <w:t xml:space="preserve">half </w:t>
      </w:r>
      <w:r w:rsidRPr="00F1548D">
        <w:t>were not exposed to long-term azithromycin</w:t>
      </w:r>
      <w:r w:rsidR="005D179E">
        <w:t xml:space="preserve"> (25 in each group)</w:t>
      </w:r>
      <w:r w:rsidRPr="00F1548D">
        <w:t xml:space="preserve">. </w:t>
      </w:r>
      <w:r w:rsidR="00EA5A8A" w:rsidRPr="00F1548D">
        <w:t xml:space="preserve">PBB studies 1 and 2 </w:t>
      </w:r>
      <w:r w:rsidR="00EA5A8A">
        <w:t xml:space="preserve">initially </w:t>
      </w:r>
      <w:r w:rsidR="00EA5A8A" w:rsidRPr="00F1548D">
        <w:t xml:space="preserve">looked at </w:t>
      </w:r>
      <w:r w:rsidR="00EA5A8A">
        <w:t>just a</w:t>
      </w:r>
      <w:r w:rsidR="00EA5A8A" w:rsidRPr="00F1548D">
        <w:t xml:space="preserve">zithromycin susceptibility of bacterial isolates. </w:t>
      </w:r>
      <w:r w:rsidR="00EA5A8A">
        <w:t xml:space="preserve">An additional pump priming grant enabled </w:t>
      </w:r>
      <w:r w:rsidR="00EA5A8A" w:rsidRPr="00F1548D">
        <w:t>further investigat</w:t>
      </w:r>
      <w:r w:rsidR="00EA5A8A">
        <w:t>ion</w:t>
      </w:r>
      <w:r w:rsidR="00EA5A8A" w:rsidRPr="00F1548D">
        <w:t xml:space="preserve"> the resistance patterns of </w:t>
      </w:r>
      <w:r w:rsidR="00EA5A8A">
        <w:t xml:space="preserve">stored </w:t>
      </w:r>
      <w:r w:rsidR="00EA5A8A" w:rsidRPr="00F1548D">
        <w:t>bacterial isolates from PBB studies 1 and 2</w:t>
      </w:r>
      <w:r w:rsidR="00EA5A8A">
        <w:t>,</w:t>
      </w:r>
      <w:r w:rsidR="00EA5A8A" w:rsidRPr="00F1548D">
        <w:t xml:space="preserve"> </w:t>
      </w:r>
      <w:r w:rsidR="00EA5A8A">
        <w:t xml:space="preserve">initially with </w:t>
      </w:r>
      <w:r w:rsidR="00EA5A8A" w:rsidRPr="00F1548D">
        <w:t>regard to susceptibility to other antibiotic classes</w:t>
      </w:r>
      <w:r w:rsidR="00EA5A8A">
        <w:t xml:space="preserve"> and subsequently by</w:t>
      </w:r>
      <w:r w:rsidR="00163DB7" w:rsidRPr="00F1548D">
        <w:t xml:space="preserve"> genotypic resistance</w:t>
      </w:r>
      <w:r w:rsidR="009F221D">
        <w:t xml:space="preserve">. </w:t>
      </w:r>
    </w:p>
    <w:p w14:paraId="730839A1" w14:textId="16D81171" w:rsidR="000A5FE2" w:rsidRDefault="000A5FE2" w:rsidP="007C7865">
      <w:pPr>
        <w:pStyle w:val="Heading3"/>
        <w:spacing w:before="0" w:line="360" w:lineRule="auto"/>
        <w:rPr>
          <w:lang w:eastAsia="en-GB"/>
        </w:rPr>
      </w:pPr>
      <w:bookmarkStart w:id="121" w:name="_Toc117765949"/>
      <w:r>
        <w:rPr>
          <w:lang w:eastAsia="en-GB"/>
        </w:rPr>
        <w:lastRenderedPageBreak/>
        <w:t>Study conduct and funding</w:t>
      </w:r>
      <w:bookmarkEnd w:id="121"/>
    </w:p>
    <w:p w14:paraId="0EE3824F" w14:textId="3B699238" w:rsidR="004A7D28" w:rsidRDefault="004A7D28" w:rsidP="007C7865">
      <w:pPr>
        <w:spacing w:line="360" w:lineRule="auto"/>
      </w:pPr>
      <w:r w:rsidRPr="00F1548D">
        <w:t>This study was</w:t>
      </w:r>
      <w:r w:rsidR="003D6ED7" w:rsidRPr="00F1548D">
        <w:t xml:space="preserve"> conducted </w:t>
      </w:r>
      <w:r w:rsidR="005D179E">
        <w:t>under the umbrella of the</w:t>
      </w:r>
      <w:r w:rsidR="003D6ED7" w:rsidRPr="00F1548D">
        <w:t xml:space="preserve"> favourable ethical approval from PBB studies 1 and 2</w:t>
      </w:r>
      <w:r w:rsidR="001C12DE">
        <w:t xml:space="preserve"> (</w:t>
      </w:r>
      <w:r w:rsidR="00E92BD0">
        <w:t>Ethics r</w:t>
      </w:r>
      <w:r w:rsidR="00E92BD0" w:rsidRPr="008F33C8">
        <w:t>eference number</w:t>
      </w:r>
      <w:r w:rsidR="00E92BD0">
        <w:t>s</w:t>
      </w:r>
      <w:r w:rsidR="00E92BD0" w:rsidRPr="008F33C8">
        <w:t xml:space="preserve"> </w:t>
      </w:r>
      <w:r w:rsidR="00E92BD0" w:rsidRPr="00241369">
        <w:t>18/WS/0176</w:t>
      </w:r>
      <w:r w:rsidR="00E92BD0">
        <w:t xml:space="preserve"> and </w:t>
      </w:r>
      <w:r w:rsidR="00E92BD0" w:rsidRPr="00241369">
        <w:t>19/YH/0207</w:t>
      </w:r>
      <w:r w:rsidR="00020D48">
        <w:t>, IRAS numbers 246148 and 255076</w:t>
      </w:r>
      <w:r w:rsidR="001C12DE">
        <w:t>)</w:t>
      </w:r>
      <w:r w:rsidR="003D6ED7" w:rsidRPr="00F1548D">
        <w:t xml:space="preserve">. Specific written consent was taken during the first 2 studies to allow storage of the nasopharyngeal </w:t>
      </w:r>
      <w:r w:rsidR="00A64728" w:rsidRPr="00F1548D">
        <w:t xml:space="preserve">bacterial </w:t>
      </w:r>
      <w:r w:rsidR="003D6ED7" w:rsidRPr="00F1548D">
        <w:t xml:space="preserve">isolates </w:t>
      </w:r>
      <w:r w:rsidR="00BE4337">
        <w:t>and</w:t>
      </w:r>
      <w:r w:rsidR="00BE4337" w:rsidRPr="00F1548D">
        <w:t xml:space="preserve"> </w:t>
      </w:r>
      <w:r w:rsidR="003D6ED7" w:rsidRPr="00F1548D">
        <w:t>further research</w:t>
      </w:r>
      <w:r w:rsidR="00BE4337">
        <w:t xml:space="preserve"> without additional consent</w:t>
      </w:r>
      <w:r w:rsidR="003D6ED7" w:rsidRPr="00F1548D">
        <w:t xml:space="preserve">. The study was funded by the Florey </w:t>
      </w:r>
      <w:r w:rsidR="00276CD6">
        <w:t>I</w:t>
      </w:r>
      <w:r w:rsidR="003D6ED7" w:rsidRPr="00F1548D">
        <w:t>nstitute</w:t>
      </w:r>
      <w:r w:rsidR="00A64728" w:rsidRPr="00F1548D">
        <w:t xml:space="preserve"> for </w:t>
      </w:r>
      <w:r w:rsidR="00276CD6">
        <w:t>H</w:t>
      </w:r>
      <w:r w:rsidR="00276CD6" w:rsidRPr="00F1548D">
        <w:t xml:space="preserve">ost </w:t>
      </w:r>
      <w:r w:rsidR="00276CD6">
        <w:t>P</w:t>
      </w:r>
      <w:r w:rsidR="00A64728" w:rsidRPr="00F1548D">
        <w:t xml:space="preserve">athogen </w:t>
      </w:r>
      <w:r w:rsidR="00276CD6">
        <w:t>I</w:t>
      </w:r>
      <w:r w:rsidR="00A64728" w:rsidRPr="00F1548D">
        <w:t>nteractions</w:t>
      </w:r>
      <w:r w:rsidR="001C5C53">
        <w:t xml:space="preserve"> (grant number </w:t>
      </w:r>
      <w:r w:rsidR="001C5C53" w:rsidRPr="001C5C53">
        <w:t>R/159946-12-8</w:t>
      </w:r>
      <w:r w:rsidR="001C5C53">
        <w:t>)</w:t>
      </w:r>
      <w:r w:rsidR="00A64728" w:rsidRPr="00F1548D">
        <w:t xml:space="preserve">. </w:t>
      </w:r>
    </w:p>
    <w:p w14:paraId="25EE721A" w14:textId="77777777" w:rsidR="007C7865" w:rsidRPr="00F1548D" w:rsidRDefault="007C7865" w:rsidP="007C7865">
      <w:pPr>
        <w:spacing w:line="360" w:lineRule="auto"/>
      </w:pPr>
    </w:p>
    <w:p w14:paraId="3C92EF1B" w14:textId="33760CF9" w:rsidR="00A64728" w:rsidRPr="00F1548D" w:rsidRDefault="00A64728" w:rsidP="007C7865">
      <w:pPr>
        <w:pStyle w:val="Heading3"/>
        <w:spacing w:before="0" w:line="360" w:lineRule="auto"/>
        <w:rPr>
          <w:lang w:eastAsia="en-GB"/>
        </w:rPr>
      </w:pPr>
      <w:bookmarkStart w:id="122" w:name="_Toc117765950"/>
      <w:r w:rsidRPr="00F1548D">
        <w:rPr>
          <w:lang w:eastAsia="en-GB"/>
        </w:rPr>
        <w:t>Study design</w:t>
      </w:r>
      <w:bookmarkEnd w:id="122"/>
      <w:r w:rsidRPr="00F1548D">
        <w:rPr>
          <w:lang w:eastAsia="en-GB"/>
        </w:rPr>
        <w:t xml:space="preserve"> </w:t>
      </w:r>
    </w:p>
    <w:p w14:paraId="38872E47" w14:textId="313D83C2" w:rsidR="000F7529" w:rsidRDefault="000F7529" w:rsidP="007C7865">
      <w:pPr>
        <w:spacing w:line="360" w:lineRule="auto"/>
      </w:pPr>
      <w:r w:rsidRPr="00F1548D">
        <w:t xml:space="preserve">PBB studies 1 and 2 </w:t>
      </w:r>
      <w:r w:rsidR="00BE4337">
        <w:t xml:space="preserve">had </w:t>
      </w:r>
      <w:r w:rsidR="00EA5A8A">
        <w:t xml:space="preserve">initially </w:t>
      </w:r>
      <w:r w:rsidRPr="00F1548D">
        <w:t xml:space="preserve">looked at </w:t>
      </w:r>
      <w:r w:rsidR="001C5C53">
        <w:t>just a</w:t>
      </w:r>
      <w:r w:rsidR="001C5C53" w:rsidRPr="00F1548D">
        <w:t xml:space="preserve">zithromycin </w:t>
      </w:r>
      <w:r w:rsidRPr="00F1548D">
        <w:t xml:space="preserve">susceptibility of bacterial isolates from serial DNPS collected from </w:t>
      </w:r>
      <w:r w:rsidR="00CC52B5">
        <w:t>50</w:t>
      </w:r>
      <w:r w:rsidR="00CC52B5" w:rsidRPr="00F1548D">
        <w:t xml:space="preserve"> </w:t>
      </w:r>
      <w:r w:rsidRPr="00F1548D">
        <w:t>children with PBB</w:t>
      </w:r>
      <w:r w:rsidR="00CC52B5">
        <w:t xml:space="preserve"> (</w:t>
      </w:r>
      <w:r w:rsidR="008F7555">
        <w:t>half</w:t>
      </w:r>
      <w:r w:rsidRPr="00F1548D">
        <w:t xml:space="preserve"> were exposed to long-term azithromycin an</w:t>
      </w:r>
      <w:r w:rsidR="008F7555">
        <w:t>d half</w:t>
      </w:r>
      <w:r w:rsidRPr="00F1548D">
        <w:t xml:space="preserve"> were not</w:t>
      </w:r>
      <w:r w:rsidR="00CC52B5">
        <w:t>)</w:t>
      </w:r>
      <w:r w:rsidRPr="00F1548D">
        <w:t xml:space="preserve">. During the study period, many children </w:t>
      </w:r>
      <w:r w:rsidR="00CC52B5">
        <w:t>received</w:t>
      </w:r>
      <w:r w:rsidRPr="00F1548D">
        <w:t xml:space="preserve"> </w:t>
      </w:r>
      <w:r w:rsidR="001C5C53">
        <w:t xml:space="preserve">additional </w:t>
      </w:r>
      <w:r w:rsidRPr="00F1548D">
        <w:t xml:space="preserve">acute course of antibiotics in particular </w:t>
      </w:r>
      <w:r w:rsidR="008C3CC7" w:rsidRPr="00F1548D">
        <w:t>amoxicillin and co-amoxiclav</w:t>
      </w:r>
      <w:r w:rsidRPr="00F1548D">
        <w:t xml:space="preserve">. </w:t>
      </w:r>
      <w:r w:rsidR="00CC52B5">
        <w:t>All samples were analysed for phenotypic resistance and samples of interest were then sent for whole genome sequencing.</w:t>
      </w:r>
    </w:p>
    <w:p w14:paraId="15439068" w14:textId="77777777" w:rsidR="007C7865" w:rsidRPr="00F1548D" w:rsidRDefault="007C7865" w:rsidP="007C7865">
      <w:pPr>
        <w:spacing w:line="360" w:lineRule="auto"/>
      </w:pPr>
    </w:p>
    <w:p w14:paraId="6E5D9627" w14:textId="79B3AE5A" w:rsidR="000F7529" w:rsidRPr="00F1548D" w:rsidRDefault="000F7529" w:rsidP="007C7865">
      <w:pPr>
        <w:pStyle w:val="Heading3"/>
        <w:spacing w:before="0" w:line="360" w:lineRule="auto"/>
        <w:rPr>
          <w:lang w:eastAsia="en-GB"/>
        </w:rPr>
      </w:pPr>
      <w:bookmarkStart w:id="123" w:name="_Toc117765951"/>
      <w:r w:rsidRPr="00F1548D">
        <w:rPr>
          <w:lang w:eastAsia="en-GB"/>
        </w:rPr>
        <w:t>Phenotypic resistance</w:t>
      </w:r>
      <w:bookmarkEnd w:id="123"/>
      <w:r w:rsidRPr="00F1548D">
        <w:rPr>
          <w:lang w:eastAsia="en-GB"/>
        </w:rPr>
        <w:t xml:space="preserve"> </w:t>
      </w:r>
    </w:p>
    <w:p w14:paraId="084DACAA" w14:textId="27B7FE73" w:rsidR="00553A1B" w:rsidRDefault="008F7555" w:rsidP="00553A1B">
      <w:pPr>
        <w:spacing w:line="360" w:lineRule="auto"/>
      </w:pPr>
      <w:r>
        <w:t>All</w:t>
      </w:r>
      <w:r w:rsidR="000F7529" w:rsidRPr="00F1548D">
        <w:t xml:space="preserve"> </w:t>
      </w:r>
      <w:r w:rsidR="004C5E5C">
        <w:t xml:space="preserve">167 </w:t>
      </w:r>
      <w:r w:rsidR="000F7529" w:rsidRPr="00F1548D">
        <w:t xml:space="preserve">frozen nasopharyngeal bacterial </w:t>
      </w:r>
      <w:r w:rsidR="00A64728" w:rsidRPr="00F1548D">
        <w:t>isolates from participants in PBB stud</w:t>
      </w:r>
      <w:r w:rsidR="000F7529" w:rsidRPr="00F1548D">
        <w:t xml:space="preserve">ies 1 and 2 </w:t>
      </w:r>
      <w:r w:rsidR="00A64728" w:rsidRPr="00F1548D">
        <w:t>were used for this study</w:t>
      </w:r>
      <w:r w:rsidR="000F7529" w:rsidRPr="00F1548D">
        <w:t xml:space="preserve"> (</w:t>
      </w:r>
      <w:r w:rsidR="00EC69CE">
        <w:t>79</w:t>
      </w:r>
      <w:r w:rsidR="000F7529" w:rsidRPr="00F1548D">
        <w:t xml:space="preserve"> from PBB study 1 and </w:t>
      </w:r>
      <w:r w:rsidR="00EC69CE">
        <w:t>8</w:t>
      </w:r>
      <w:r w:rsidR="00170EE2">
        <w:t>8</w:t>
      </w:r>
      <w:r w:rsidR="000F7529" w:rsidRPr="00F1548D">
        <w:t xml:space="preserve"> from PBB study 2)</w:t>
      </w:r>
      <w:r w:rsidR="00A64728" w:rsidRPr="00F1548D">
        <w:t xml:space="preserve">. All isolates were </w:t>
      </w:r>
      <w:r w:rsidR="008324E8" w:rsidRPr="00F1548D">
        <w:t>sub</w:t>
      </w:r>
      <w:r w:rsidR="00276CD6">
        <w:t>-</w:t>
      </w:r>
      <w:r w:rsidR="008324E8" w:rsidRPr="00F1548D">
        <w:t>cultured</w:t>
      </w:r>
      <w:r w:rsidR="00A64728" w:rsidRPr="00F1548D">
        <w:t xml:space="preserve"> at the</w:t>
      </w:r>
      <w:r w:rsidR="00736249" w:rsidRPr="00F1548D">
        <w:t xml:space="preserve"> Sheffield Teaching Hospitals NHS Foundation Trust </w:t>
      </w:r>
      <w:r>
        <w:t xml:space="preserve">microbiology </w:t>
      </w:r>
      <w:r w:rsidR="00736249" w:rsidRPr="00F1548D">
        <w:t>laboratory</w:t>
      </w:r>
      <w:r w:rsidR="00276CD6">
        <w:t xml:space="preserve"> by the laboratory staff</w:t>
      </w:r>
      <w:r>
        <w:t>.</w:t>
      </w:r>
      <w:r w:rsidR="00EF259E" w:rsidRPr="00F1548D">
        <w:t xml:space="preserve"> </w:t>
      </w:r>
      <w:r w:rsidR="00A708CE" w:rsidRPr="00F1548D">
        <w:t xml:space="preserve">The antibiotics for susceptibility testing </w:t>
      </w:r>
      <w:r w:rsidR="001F78FE">
        <w:t>were</w:t>
      </w:r>
      <w:r w:rsidR="001F78FE" w:rsidRPr="00F1548D">
        <w:t xml:space="preserve"> </w:t>
      </w:r>
      <w:r w:rsidR="001F78FE">
        <w:t>in accordance with</w:t>
      </w:r>
      <w:r w:rsidR="00A708CE" w:rsidRPr="00F1548D">
        <w:t xml:space="preserve"> the standard antibiotic susceptibility panels run </w:t>
      </w:r>
      <w:r w:rsidR="001F78FE">
        <w:t>on</w:t>
      </w:r>
      <w:r w:rsidR="001F78FE" w:rsidRPr="00F1548D">
        <w:t xml:space="preserve"> </w:t>
      </w:r>
      <w:r w:rsidR="00A708CE" w:rsidRPr="00F1548D">
        <w:t xml:space="preserve">NHS samples </w:t>
      </w:r>
      <w:r w:rsidR="001F78FE">
        <w:t>determined by</w:t>
      </w:r>
      <w:r w:rsidR="00A708CE" w:rsidRPr="00F1548D">
        <w:t xml:space="preserve"> clinically relevant antibiotics</w:t>
      </w:r>
      <w:r w:rsidR="00A708CE">
        <w:t xml:space="preserve"> and local resistance patterns</w:t>
      </w:r>
      <w:r w:rsidR="00A708CE" w:rsidRPr="00F1548D">
        <w:t>.</w:t>
      </w:r>
      <w:r w:rsidR="00A708CE">
        <w:t xml:space="preserve"> </w:t>
      </w:r>
      <w:r w:rsidR="00EF259E" w:rsidRPr="00F1548D">
        <w:t xml:space="preserve">Susceptibility to the antibiotics </w:t>
      </w:r>
      <w:r w:rsidR="00ED01C4">
        <w:t xml:space="preserve">listed </w:t>
      </w:r>
      <w:r w:rsidR="00A708CE">
        <w:t xml:space="preserve">in </w:t>
      </w:r>
      <w:r w:rsidR="00ED01C4">
        <w:t xml:space="preserve">Table 7 </w:t>
      </w:r>
      <w:r w:rsidR="00EF259E" w:rsidRPr="00F1548D">
        <w:t xml:space="preserve">was </w:t>
      </w:r>
      <w:r w:rsidR="00ED01C4">
        <w:t xml:space="preserve">determined </w:t>
      </w:r>
      <w:r w:rsidR="00EF259E" w:rsidRPr="00F1548D">
        <w:t>using disk diffusion</w:t>
      </w:r>
      <w:r w:rsidR="00CC52B5">
        <w:t xml:space="preserve">. </w:t>
      </w:r>
      <w:r w:rsidR="00CC52B5" w:rsidRPr="007B2719">
        <w:t>Dis</w:t>
      </w:r>
      <w:r w:rsidR="00733A0A">
        <w:t>c</w:t>
      </w:r>
      <w:r w:rsidR="00CC52B5" w:rsidRPr="007B2719">
        <w:t>s impregnated with specific concentrations of antibiotic</w:t>
      </w:r>
      <w:r w:rsidR="00DB6F71">
        <w:t xml:space="preserve"> (supplied by MAST)</w:t>
      </w:r>
      <w:r w:rsidR="00A708CE">
        <w:t xml:space="preserve"> </w:t>
      </w:r>
      <w:r w:rsidR="001F78FE">
        <w:t xml:space="preserve">as </w:t>
      </w:r>
      <w:r w:rsidR="00A708CE">
        <w:t>noted in</w:t>
      </w:r>
      <w:r w:rsidR="00CC52B5" w:rsidRPr="007B2719">
        <w:t xml:space="preserve"> </w:t>
      </w:r>
      <w:r w:rsidR="00CC52B5" w:rsidRPr="007B2719">
        <w:fldChar w:fldCharType="begin"/>
      </w:r>
      <w:r w:rsidR="00CC52B5" w:rsidRPr="007B2719">
        <w:instrText xml:space="preserve"> REF _Ref105531266 \h  \* MERGEFORMAT </w:instrText>
      </w:r>
      <w:r w:rsidR="00CC52B5" w:rsidRPr="007B2719">
        <w:fldChar w:fldCharType="separate"/>
      </w:r>
      <w:r w:rsidR="00CC52B5" w:rsidRPr="007B2719">
        <w:rPr>
          <w:color w:val="000000" w:themeColor="text1"/>
        </w:rPr>
        <w:t xml:space="preserve">Table </w:t>
      </w:r>
      <w:r w:rsidR="00CC52B5" w:rsidRPr="007B2719">
        <w:rPr>
          <w:noProof/>
          <w:color w:val="000000" w:themeColor="text1"/>
        </w:rPr>
        <w:t>7</w:t>
      </w:r>
      <w:r w:rsidR="00CC52B5" w:rsidRPr="007B2719">
        <w:fldChar w:fldCharType="end"/>
      </w:r>
      <w:r w:rsidR="00CC52B5" w:rsidRPr="007B2719">
        <w:t xml:space="preserve"> were placed on pre-inoculated agar/blood agar plates</w:t>
      </w:r>
      <w:r w:rsidR="00ED01C4">
        <w:t xml:space="preserve"> </w:t>
      </w:r>
      <w:r w:rsidR="002043C9">
        <w:t xml:space="preserve">(Agar </w:t>
      </w:r>
      <w:r w:rsidR="001F78FE">
        <w:t>from</w:t>
      </w:r>
      <w:r w:rsidR="002043C9">
        <w:t xml:space="preserve"> </w:t>
      </w:r>
      <w:proofErr w:type="spellStart"/>
      <w:r w:rsidR="002043C9">
        <w:t>Oxoid</w:t>
      </w:r>
      <w:proofErr w:type="spellEnd"/>
      <w:r w:rsidR="00F71CB7">
        <w:t xml:space="preserve"> ltd</w:t>
      </w:r>
      <w:r w:rsidR="002043C9">
        <w:t xml:space="preserve">) </w:t>
      </w:r>
      <w:r w:rsidR="00A708CE">
        <w:t>and z</w:t>
      </w:r>
      <w:r w:rsidR="00CC52B5" w:rsidRPr="007B2719">
        <w:t>ones of inhibition</w:t>
      </w:r>
      <w:r w:rsidR="00A708CE">
        <w:t xml:space="preserve"> (Figure 2-3 A)</w:t>
      </w:r>
      <w:r w:rsidR="00A708CE" w:rsidRPr="00565ED7">
        <w:t xml:space="preserve"> </w:t>
      </w:r>
      <w:r w:rsidR="00CC52B5" w:rsidRPr="007B2719">
        <w:t xml:space="preserve"> were measured in millimetres. Measurements were compared to the reference EUCAST zone diameter breakpoints for the bacterial species and antibiotic investigated. An effective antibiotic creates a large zone of inhibition, whilst an antibiotic that is not effective will not kill bacteria as the antibiotic concentration falls </w:t>
      </w:r>
      <w:r w:rsidR="001F78FE">
        <w:t xml:space="preserve">with diffusion </w:t>
      </w:r>
      <w:r w:rsidR="00CC52B5" w:rsidRPr="007B2719">
        <w:t>and hence the zone of inhibition will be smaller. The diameter that determines resistance v</w:t>
      </w:r>
      <w:r w:rsidR="001F78FE">
        <w:t>ersu</w:t>
      </w:r>
      <w:r w:rsidR="00CC52B5" w:rsidRPr="007B2719">
        <w:t>s susceptibility is defined as the breakpoint (</w:t>
      </w:r>
      <w:r w:rsidR="00CC52B5" w:rsidRPr="007B2719">
        <w:fldChar w:fldCharType="begin"/>
      </w:r>
      <w:r w:rsidR="00CC52B5" w:rsidRPr="007B2719">
        <w:instrText xml:space="preserve"> REF _Ref105531266 \h  \* MERGEFORMAT </w:instrText>
      </w:r>
      <w:r w:rsidR="00CC52B5" w:rsidRPr="007B2719">
        <w:fldChar w:fldCharType="separate"/>
      </w:r>
      <w:r w:rsidR="00CC52B5" w:rsidRPr="007B2719">
        <w:rPr>
          <w:color w:val="000000" w:themeColor="text1"/>
        </w:rPr>
        <w:t xml:space="preserve">Table </w:t>
      </w:r>
      <w:r w:rsidR="00CC52B5" w:rsidRPr="007B2719">
        <w:rPr>
          <w:noProof/>
          <w:color w:val="000000" w:themeColor="text1"/>
        </w:rPr>
        <w:t>7</w:t>
      </w:r>
      <w:r w:rsidR="00CC52B5" w:rsidRPr="007B2719">
        <w:fldChar w:fldCharType="end"/>
      </w:r>
      <w:r w:rsidR="00CC52B5" w:rsidRPr="007B2719">
        <w:t>).</w:t>
      </w:r>
      <w:r w:rsidR="00EF259E" w:rsidRPr="00CC52B5">
        <w:t xml:space="preserve"> </w:t>
      </w:r>
      <w:r w:rsidR="00ED01C4">
        <w:t xml:space="preserve">E-test strips </w:t>
      </w:r>
      <w:r w:rsidR="001F78FE">
        <w:t>(</w:t>
      </w:r>
      <w:proofErr w:type="spellStart"/>
      <w:r w:rsidR="001F78FE">
        <w:t>Liofilchen</w:t>
      </w:r>
      <w:proofErr w:type="spellEnd"/>
      <w:r w:rsidR="001F78FE">
        <w:t xml:space="preserve">) </w:t>
      </w:r>
      <w:r w:rsidR="00ED01C4">
        <w:t>were used on a selection of samples to confirm erythromycin susceptibility (</w:t>
      </w:r>
      <w:r w:rsidR="00ED01C4" w:rsidRPr="00DA75B0">
        <w:fldChar w:fldCharType="begin"/>
      </w:r>
      <w:r w:rsidR="00ED01C4" w:rsidRPr="00DA75B0">
        <w:instrText xml:space="preserve"> REF _Ref105445737 \h  \* MERGEFORMAT </w:instrText>
      </w:r>
      <w:r w:rsidR="00ED01C4" w:rsidRPr="00DA75B0">
        <w:fldChar w:fldCharType="separate"/>
      </w:r>
      <w:r w:rsidR="00ED01C4" w:rsidRPr="00DA75B0">
        <w:rPr>
          <w:color w:val="000000" w:themeColor="text1"/>
        </w:rPr>
        <w:t xml:space="preserve">Figure </w:t>
      </w:r>
      <w:r w:rsidR="00ED01C4" w:rsidRPr="00DA75B0">
        <w:rPr>
          <w:noProof/>
          <w:color w:val="000000" w:themeColor="text1"/>
        </w:rPr>
        <w:t>2</w:t>
      </w:r>
      <w:r w:rsidR="00ED01C4" w:rsidRPr="00DA75B0">
        <w:rPr>
          <w:color w:val="000000" w:themeColor="text1"/>
        </w:rPr>
        <w:noBreakHyphen/>
      </w:r>
      <w:r w:rsidR="00ED01C4" w:rsidRPr="00DA75B0">
        <w:rPr>
          <w:noProof/>
          <w:color w:val="000000" w:themeColor="text1"/>
        </w:rPr>
        <w:t>3</w:t>
      </w:r>
      <w:r w:rsidR="00ED01C4" w:rsidRPr="00DA75B0">
        <w:fldChar w:fldCharType="end"/>
      </w:r>
      <w:r w:rsidR="00ED01C4">
        <w:t xml:space="preserve"> B</w:t>
      </w:r>
      <w:r w:rsidR="00ED01C4" w:rsidRPr="00DA75B0">
        <w:t>)</w:t>
      </w:r>
      <w:r w:rsidR="00ED01C4">
        <w:t xml:space="preserve">. </w:t>
      </w:r>
      <w:r w:rsidR="001F78FE">
        <w:t>The p</w:t>
      </w:r>
      <w:r w:rsidR="001F78FE" w:rsidRPr="00ED01C4">
        <w:t xml:space="preserve">lastic </w:t>
      </w:r>
      <w:r w:rsidR="00ED01C4" w:rsidRPr="00ED01C4">
        <w:t xml:space="preserve">strips coated with </w:t>
      </w:r>
      <w:r w:rsidR="00ED01C4">
        <w:t>ery</w:t>
      </w:r>
      <w:r w:rsidR="00A708CE">
        <w:t>thromycin</w:t>
      </w:r>
      <w:r w:rsidR="00ED01C4" w:rsidRPr="00ED01C4">
        <w:t xml:space="preserve"> </w:t>
      </w:r>
      <w:r w:rsidR="001F78FE">
        <w:t xml:space="preserve">(maximum antibiotic concentration </w:t>
      </w:r>
      <w:r w:rsidR="001F78FE">
        <w:lastRenderedPageBreak/>
        <w:t xml:space="preserve">256mg/L) </w:t>
      </w:r>
      <w:r w:rsidR="00ED01C4" w:rsidRPr="00ED01C4">
        <w:t xml:space="preserve">were placed on pre-inoculated agar/blood agar plates. Elliptical inhibition zones indicate the MIC at the intersection point between the inhibition zone and edge of the strip. </w:t>
      </w:r>
      <w:r w:rsidR="00ED01C4">
        <w:t>R</w:t>
      </w:r>
      <w:r w:rsidR="00ED01C4" w:rsidRPr="00F1548D">
        <w:t xml:space="preserve">esistance </w:t>
      </w:r>
      <w:r w:rsidR="00ED01C4">
        <w:t xml:space="preserve">was </w:t>
      </w:r>
      <w:r w:rsidR="00ED01C4" w:rsidRPr="00F1548D">
        <w:t>determined in accordance with the EUCAST breakpoint tables</w:t>
      </w:r>
      <w:r w:rsidR="00D46920">
        <w:t xml:space="preserve"> </w:t>
      </w:r>
      <w:r w:rsidR="00D46920">
        <w:fldChar w:fldCharType="begin"/>
      </w:r>
      <w:r w:rsidR="004A398A">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D46920">
        <w:fldChar w:fldCharType="separate"/>
      </w:r>
      <w:r w:rsidR="00D46920">
        <w:rPr>
          <w:noProof/>
        </w:rPr>
        <w:t>(EUCAST, 2022)</w:t>
      </w:r>
      <w:r w:rsidR="00D46920">
        <w:fldChar w:fldCharType="end"/>
      </w:r>
      <w:r w:rsidR="00ED01C4">
        <w:t xml:space="preserve">. </w:t>
      </w:r>
      <w:r w:rsidR="00721C61">
        <w:t>Finally</w:t>
      </w:r>
      <w:r w:rsidR="001F78FE">
        <w:t>,</w:t>
      </w:r>
      <w:r w:rsidR="00721C61">
        <w:t xml:space="preserve"> an</w:t>
      </w:r>
      <w:r w:rsidR="002A5343">
        <w:t xml:space="preserve"> agar incorporation method</w:t>
      </w:r>
      <w:r w:rsidR="00A708CE">
        <w:t xml:space="preserve"> (Table 8 and Figure 2-3 C)</w:t>
      </w:r>
      <w:r w:rsidR="002A5343">
        <w:t xml:space="preserve"> </w:t>
      </w:r>
      <w:r w:rsidR="00ED01C4">
        <w:t xml:space="preserve">was used </w:t>
      </w:r>
      <w:r w:rsidR="002A5343">
        <w:t xml:space="preserve">for </w:t>
      </w:r>
      <w:r w:rsidR="002A5343" w:rsidRPr="003465DC">
        <w:rPr>
          <w:i/>
          <w:iCs/>
        </w:rPr>
        <w:t>S. aureus</w:t>
      </w:r>
      <w:r w:rsidR="002A5343">
        <w:t xml:space="preserve"> </w:t>
      </w:r>
      <w:r w:rsidR="00ED01C4">
        <w:t>(</w:t>
      </w:r>
      <w:r w:rsidR="00195279">
        <w:t xml:space="preserve">due to the high numbers of </w:t>
      </w:r>
      <w:r w:rsidR="00195279" w:rsidRPr="0090330D">
        <w:rPr>
          <w:i/>
          <w:iCs/>
        </w:rPr>
        <w:t>S. aureus</w:t>
      </w:r>
      <w:r w:rsidR="00195279">
        <w:t xml:space="preserve"> that require testing </w:t>
      </w:r>
      <w:r w:rsidR="00A00FAC">
        <w:t>daily</w:t>
      </w:r>
      <w:r w:rsidR="00ED01C4">
        <w:t xml:space="preserve"> - </w:t>
      </w:r>
      <w:r w:rsidR="00985FA9">
        <w:t>the agar incorporation method is more efficient than testing with the disk diffusion method</w:t>
      </w:r>
      <w:r w:rsidR="00721C61">
        <w:t>)</w:t>
      </w:r>
      <w:r w:rsidR="00985FA9">
        <w:t xml:space="preserve">. </w:t>
      </w:r>
      <w:r w:rsidR="00A708CE" w:rsidRPr="00A708CE">
        <w:t>A pre</w:t>
      </w:r>
      <w:r w:rsidR="009E6279">
        <w:t>-</w:t>
      </w:r>
      <w:r w:rsidR="00A708CE" w:rsidRPr="00A708CE">
        <w:t xml:space="preserve">defined concentration of antibiotic </w:t>
      </w:r>
      <w:r w:rsidR="002043C9">
        <w:t xml:space="preserve">(MAST </w:t>
      </w:r>
      <w:proofErr w:type="spellStart"/>
      <w:r w:rsidR="009E6279">
        <w:t>Adatabs</w:t>
      </w:r>
      <w:proofErr w:type="spellEnd"/>
      <w:r w:rsidR="009E6279">
        <w:sym w:font="Symbol" w:char="F0E2"/>
      </w:r>
      <w:r w:rsidR="002043C9">
        <w:t xml:space="preserve">) </w:t>
      </w:r>
      <w:r w:rsidR="00A708CE" w:rsidRPr="00A708CE">
        <w:t>was incorporated into agar plates</w:t>
      </w:r>
      <w:r w:rsidR="00F71CB7">
        <w:t xml:space="preserve"> (poured in house using </w:t>
      </w:r>
      <w:proofErr w:type="spellStart"/>
      <w:r w:rsidR="00F71CB7">
        <w:t>Oxoid</w:t>
      </w:r>
      <w:proofErr w:type="spellEnd"/>
      <w:r w:rsidR="00F71CB7">
        <w:t xml:space="preserve"> Muller-Hinton powder)</w:t>
      </w:r>
      <w:r w:rsidR="00A708CE" w:rsidRPr="00A708CE">
        <w:t>. The concentration of antibiotic used relates to the MIC breakpoint that determines resistance v</w:t>
      </w:r>
      <w:r w:rsidR="00721C61">
        <w:t>ersu</w:t>
      </w:r>
      <w:r w:rsidR="00A708CE" w:rsidRPr="00A708CE">
        <w:t>s susceptibility. A standardised bacterial inoculum was prepared to give 10</w:t>
      </w:r>
      <w:r w:rsidR="00A708CE" w:rsidRPr="007B2719">
        <w:rPr>
          <w:vertAlign w:val="superscript"/>
        </w:rPr>
        <w:t>4</w:t>
      </w:r>
      <w:r w:rsidR="00A708CE" w:rsidRPr="00A708CE">
        <w:t xml:space="preserve"> colony-forming units per spot on the agar plate (EUCAST, 2000). If bacterial growth is inhibited then the bacteria is classified as susceptible to that antibiotic. If bacterial growth persists in the presence of the known antibiotic concentration that determines resistance, the bacteria is classified as resistant. An antibiotic free agar plate </w:t>
      </w:r>
      <w:r w:rsidR="009E6279">
        <w:t>comprises the</w:t>
      </w:r>
      <w:r w:rsidR="00A708CE" w:rsidRPr="00A708CE">
        <w:t xml:space="preserve"> control.</w:t>
      </w:r>
      <w:r w:rsidR="00A708CE">
        <w:t xml:space="preserve"> </w:t>
      </w:r>
      <w:r w:rsidR="00F71CB7">
        <w:t xml:space="preserve">As part of the laboratory </w:t>
      </w:r>
      <w:r w:rsidR="00553A1B">
        <w:t xml:space="preserve">United Kingdom Accreditation Service (UKAS), all </w:t>
      </w:r>
      <w:bookmarkStart w:id="124" w:name="_Ref105531266"/>
      <w:bookmarkStart w:id="125" w:name="_Ref105531260"/>
      <w:r w:rsidR="00553A1B">
        <w:t xml:space="preserve">agar media is quality controlled. </w:t>
      </w:r>
      <w:r w:rsidR="009E6279">
        <w:t xml:space="preserve">For all assays, antibiotic </w:t>
      </w:r>
      <w:r w:rsidR="00553A1B">
        <w:t>dis</w:t>
      </w:r>
      <w:r w:rsidR="00733A0A">
        <w:t>c</w:t>
      </w:r>
      <w:r w:rsidR="00553A1B">
        <w:t xml:space="preserve">s are tested weekly against quality control organisms as recommended by EUCAST. MIC strips are quality control checked against the same organism when a new batch comes into use to ensure they produce acceptable results. </w:t>
      </w:r>
    </w:p>
    <w:p w14:paraId="74028CEE" w14:textId="0DB0D8EF" w:rsidR="004F225C" w:rsidRDefault="004F225C" w:rsidP="00553A1B">
      <w:pPr>
        <w:spacing w:line="360" w:lineRule="auto"/>
      </w:pPr>
    </w:p>
    <w:p w14:paraId="547F115B" w14:textId="5FFF5A14" w:rsidR="00350445" w:rsidRDefault="00350445" w:rsidP="00553A1B">
      <w:pPr>
        <w:spacing w:line="360" w:lineRule="auto"/>
      </w:pPr>
    </w:p>
    <w:p w14:paraId="622FAB3F" w14:textId="57EB721D" w:rsidR="00350445" w:rsidRDefault="00350445" w:rsidP="00553A1B">
      <w:pPr>
        <w:spacing w:line="360" w:lineRule="auto"/>
      </w:pPr>
    </w:p>
    <w:p w14:paraId="7E85A609" w14:textId="3D8B9381" w:rsidR="00350445" w:rsidRDefault="00350445" w:rsidP="00553A1B">
      <w:pPr>
        <w:spacing w:line="360" w:lineRule="auto"/>
      </w:pPr>
    </w:p>
    <w:p w14:paraId="2EA689B7" w14:textId="280CA7AD" w:rsidR="00350445" w:rsidRDefault="00350445" w:rsidP="00553A1B">
      <w:pPr>
        <w:spacing w:line="360" w:lineRule="auto"/>
      </w:pPr>
    </w:p>
    <w:p w14:paraId="0889579E" w14:textId="5A00ED79" w:rsidR="00350445" w:rsidRDefault="00350445" w:rsidP="00553A1B">
      <w:pPr>
        <w:spacing w:line="360" w:lineRule="auto"/>
      </w:pPr>
    </w:p>
    <w:p w14:paraId="70A32AF9" w14:textId="76027F57" w:rsidR="00350445" w:rsidRDefault="00350445" w:rsidP="00553A1B">
      <w:pPr>
        <w:spacing w:line="360" w:lineRule="auto"/>
      </w:pPr>
    </w:p>
    <w:p w14:paraId="58DC363F" w14:textId="45EEB715" w:rsidR="00350445" w:rsidRDefault="00350445" w:rsidP="00553A1B">
      <w:pPr>
        <w:spacing w:line="360" w:lineRule="auto"/>
      </w:pPr>
    </w:p>
    <w:p w14:paraId="71F27D63" w14:textId="112277CD" w:rsidR="00350445" w:rsidRDefault="00350445" w:rsidP="00553A1B">
      <w:pPr>
        <w:spacing w:line="360" w:lineRule="auto"/>
      </w:pPr>
    </w:p>
    <w:p w14:paraId="725AABD1" w14:textId="2F66FAF9" w:rsidR="00350445" w:rsidRDefault="00350445" w:rsidP="00553A1B">
      <w:pPr>
        <w:spacing w:line="360" w:lineRule="auto"/>
      </w:pPr>
    </w:p>
    <w:p w14:paraId="1CB6FE19" w14:textId="2CA70DF4" w:rsidR="00EF67A3" w:rsidRDefault="00EF67A3" w:rsidP="00553A1B">
      <w:pPr>
        <w:spacing w:line="360" w:lineRule="auto"/>
      </w:pPr>
    </w:p>
    <w:p w14:paraId="1FCF0D9A" w14:textId="40BFC24E" w:rsidR="00EF67A3" w:rsidRDefault="00EF67A3" w:rsidP="00553A1B">
      <w:pPr>
        <w:spacing w:line="360" w:lineRule="auto"/>
      </w:pPr>
    </w:p>
    <w:p w14:paraId="178DFF9B" w14:textId="77777777" w:rsidR="004D4227" w:rsidRPr="00553A1B" w:rsidRDefault="004D4227" w:rsidP="00553A1B">
      <w:pPr>
        <w:spacing w:line="360" w:lineRule="auto"/>
      </w:pPr>
    </w:p>
    <w:p w14:paraId="6A8FC552" w14:textId="231D4228" w:rsidR="00D04115" w:rsidRPr="007C7865" w:rsidRDefault="00D04115" w:rsidP="007C7865">
      <w:pPr>
        <w:spacing w:line="360" w:lineRule="auto"/>
      </w:pPr>
      <w:bookmarkStart w:id="126" w:name="_Toc117780248"/>
      <w:r w:rsidRPr="00D04115">
        <w:rPr>
          <w:b/>
          <w:bCs/>
          <w:color w:val="000000" w:themeColor="text1"/>
        </w:rPr>
        <w:lastRenderedPageBreak/>
        <w:t xml:space="preserve">Table </w:t>
      </w:r>
      <w:r w:rsidR="002C440E">
        <w:rPr>
          <w:b/>
          <w:bCs/>
          <w:i/>
          <w:iCs/>
          <w:color w:val="000000" w:themeColor="text1"/>
        </w:rPr>
        <w:fldChar w:fldCharType="begin"/>
      </w:r>
      <w:r w:rsidR="002C440E">
        <w:rPr>
          <w:b/>
          <w:bCs/>
          <w:color w:val="000000" w:themeColor="text1"/>
        </w:rPr>
        <w:instrText xml:space="preserve"> SEQ Table \* ARABIC </w:instrText>
      </w:r>
      <w:r w:rsidR="002C440E">
        <w:rPr>
          <w:b/>
          <w:bCs/>
          <w:i/>
          <w:iCs/>
          <w:color w:val="000000" w:themeColor="text1"/>
        </w:rPr>
        <w:fldChar w:fldCharType="separate"/>
      </w:r>
      <w:r w:rsidR="00EF67A3">
        <w:rPr>
          <w:b/>
          <w:bCs/>
          <w:noProof/>
          <w:color w:val="000000" w:themeColor="text1"/>
        </w:rPr>
        <w:t>7</w:t>
      </w:r>
      <w:r w:rsidR="002C440E">
        <w:rPr>
          <w:b/>
          <w:bCs/>
          <w:i/>
          <w:iCs/>
          <w:color w:val="000000" w:themeColor="text1"/>
        </w:rPr>
        <w:fldChar w:fldCharType="end"/>
      </w:r>
      <w:bookmarkEnd w:id="124"/>
      <w:r w:rsidRPr="00D04115">
        <w:rPr>
          <w:b/>
          <w:bCs/>
          <w:color w:val="000000" w:themeColor="text1"/>
        </w:rPr>
        <w:t>:</w:t>
      </w:r>
      <w:r w:rsidRPr="00D04115">
        <w:rPr>
          <w:color w:val="000000" w:themeColor="text1"/>
        </w:rPr>
        <w:t xml:space="preserve"> Antibiotics used for susceptibility testing </w:t>
      </w:r>
      <w:r w:rsidR="00A84E0E">
        <w:rPr>
          <w:color w:val="000000" w:themeColor="text1"/>
        </w:rPr>
        <w:t xml:space="preserve">using </w:t>
      </w:r>
      <w:r w:rsidRPr="00D04115">
        <w:rPr>
          <w:color w:val="000000" w:themeColor="text1"/>
        </w:rPr>
        <w:t>dis</w:t>
      </w:r>
      <w:r w:rsidR="00733A0A">
        <w:rPr>
          <w:color w:val="000000" w:themeColor="text1"/>
        </w:rPr>
        <w:t>c</w:t>
      </w:r>
      <w:r w:rsidRPr="00D04115">
        <w:rPr>
          <w:color w:val="000000" w:themeColor="text1"/>
        </w:rPr>
        <w:t xml:space="preserve"> diffusion method</w:t>
      </w:r>
      <w:r w:rsidR="00B06159">
        <w:rPr>
          <w:color w:val="000000" w:themeColor="text1"/>
        </w:rPr>
        <w:t xml:space="preserve"> for specified bacteria</w:t>
      </w:r>
      <w:bookmarkEnd w:id="125"/>
      <w:bookmarkEnd w:id="126"/>
    </w:p>
    <w:tbl>
      <w:tblPr>
        <w:tblStyle w:val="TableGrid"/>
        <w:tblW w:w="0" w:type="auto"/>
        <w:tblLook w:val="04A0" w:firstRow="1" w:lastRow="0" w:firstColumn="1" w:lastColumn="0" w:noHBand="0" w:noVBand="1"/>
      </w:tblPr>
      <w:tblGrid>
        <w:gridCol w:w="2405"/>
        <w:gridCol w:w="3119"/>
        <w:gridCol w:w="1559"/>
        <w:gridCol w:w="1559"/>
      </w:tblGrid>
      <w:tr w:rsidR="00890ED1" w14:paraId="7732ABEB" w14:textId="77777777" w:rsidTr="001F0609">
        <w:tc>
          <w:tcPr>
            <w:tcW w:w="2405" w:type="dxa"/>
            <w:vMerge w:val="restart"/>
            <w:shd w:val="clear" w:color="auto" w:fill="BDD6EE" w:themeFill="accent1" w:themeFillTint="66"/>
          </w:tcPr>
          <w:p w14:paraId="18054420" w14:textId="77777777" w:rsidR="00890ED1" w:rsidRDefault="00890ED1" w:rsidP="00736249">
            <w:r>
              <w:t>Bacteria</w:t>
            </w:r>
          </w:p>
        </w:tc>
        <w:tc>
          <w:tcPr>
            <w:tcW w:w="3119" w:type="dxa"/>
            <w:vMerge w:val="restart"/>
            <w:shd w:val="clear" w:color="auto" w:fill="BDD6EE" w:themeFill="accent1" w:themeFillTint="66"/>
          </w:tcPr>
          <w:p w14:paraId="53316855" w14:textId="1876D3F4" w:rsidR="00890ED1" w:rsidRDefault="00890ED1" w:rsidP="00736249">
            <w:r>
              <w:t>Antibiotic (</w:t>
            </w:r>
            <w:r>
              <w:rPr>
                <w:rFonts w:cstheme="minorHAnsi"/>
              </w:rPr>
              <w:t>µ</w:t>
            </w:r>
            <w:r>
              <w:t>g on disk)</w:t>
            </w:r>
          </w:p>
        </w:tc>
        <w:tc>
          <w:tcPr>
            <w:tcW w:w="3118" w:type="dxa"/>
            <w:gridSpan w:val="2"/>
            <w:shd w:val="clear" w:color="auto" w:fill="BDD6EE" w:themeFill="accent1" w:themeFillTint="66"/>
          </w:tcPr>
          <w:p w14:paraId="256F91D1" w14:textId="30A676AD" w:rsidR="00890ED1" w:rsidRDefault="00890ED1" w:rsidP="00736249">
            <w:r>
              <w:t>Zone diameter break points (mm)</w:t>
            </w:r>
            <w:r w:rsidR="002326B5">
              <w:t xml:space="preserve"> </w:t>
            </w:r>
            <w:r w:rsidR="002326B5">
              <w:fldChar w:fldCharType="begin"/>
            </w:r>
            <w:r w:rsidR="004A398A">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2326B5">
              <w:fldChar w:fldCharType="separate"/>
            </w:r>
            <w:r w:rsidR="002326B5">
              <w:rPr>
                <w:noProof/>
              </w:rPr>
              <w:t>(EUCAST, 2022)</w:t>
            </w:r>
            <w:r w:rsidR="002326B5">
              <w:fldChar w:fldCharType="end"/>
            </w:r>
          </w:p>
        </w:tc>
      </w:tr>
      <w:tr w:rsidR="00890ED1" w14:paraId="77654502" w14:textId="4E961855" w:rsidTr="001F0609">
        <w:tc>
          <w:tcPr>
            <w:tcW w:w="2405" w:type="dxa"/>
            <w:vMerge/>
          </w:tcPr>
          <w:p w14:paraId="30215E36" w14:textId="77777777" w:rsidR="00890ED1" w:rsidRDefault="00890ED1" w:rsidP="00736249"/>
        </w:tc>
        <w:tc>
          <w:tcPr>
            <w:tcW w:w="3119" w:type="dxa"/>
            <w:vMerge/>
          </w:tcPr>
          <w:p w14:paraId="65D6AAD9" w14:textId="2A40F721" w:rsidR="00890ED1" w:rsidRDefault="00890ED1" w:rsidP="00736249"/>
        </w:tc>
        <w:tc>
          <w:tcPr>
            <w:tcW w:w="1559" w:type="dxa"/>
          </w:tcPr>
          <w:p w14:paraId="2EBECA0F" w14:textId="315D5AEA" w:rsidR="00890ED1" w:rsidRDefault="00890ED1" w:rsidP="00736249">
            <w:r>
              <w:t xml:space="preserve">Sensitive </w:t>
            </w:r>
            <w:r w:rsidRPr="00CC28DA">
              <w:t>≥</w:t>
            </w:r>
          </w:p>
        </w:tc>
        <w:tc>
          <w:tcPr>
            <w:tcW w:w="1559" w:type="dxa"/>
            <w:shd w:val="clear" w:color="auto" w:fill="auto"/>
          </w:tcPr>
          <w:p w14:paraId="6F305F33" w14:textId="6C0662E4" w:rsidR="00890ED1" w:rsidRPr="003465DC" w:rsidRDefault="00890ED1" w:rsidP="00736249">
            <w:pPr>
              <w:rPr>
                <w:color w:val="FF0000"/>
              </w:rPr>
            </w:pPr>
            <w:r>
              <w:t>Resistant &lt;</w:t>
            </w:r>
          </w:p>
        </w:tc>
      </w:tr>
      <w:tr w:rsidR="00890ED1" w14:paraId="6A08112C" w14:textId="64AB3370" w:rsidTr="001F0609">
        <w:tc>
          <w:tcPr>
            <w:tcW w:w="2405" w:type="dxa"/>
          </w:tcPr>
          <w:p w14:paraId="03155970" w14:textId="691A0872" w:rsidR="00890ED1" w:rsidRPr="00647727" w:rsidRDefault="00890ED1" w:rsidP="00736249">
            <w:pPr>
              <w:rPr>
                <w:i/>
                <w:iCs/>
              </w:rPr>
            </w:pPr>
            <w:bookmarkStart w:id="127" w:name="_Hlk75871724"/>
            <w:r w:rsidRPr="00647727">
              <w:rPr>
                <w:i/>
                <w:iCs/>
              </w:rPr>
              <w:t>S. pneumoniae</w:t>
            </w:r>
          </w:p>
        </w:tc>
        <w:tc>
          <w:tcPr>
            <w:tcW w:w="3119" w:type="dxa"/>
          </w:tcPr>
          <w:p w14:paraId="10B9AC11" w14:textId="7F537981" w:rsidR="00890ED1" w:rsidRDefault="00890ED1" w:rsidP="00736249">
            <w:r>
              <w:t>Erythromycin 15</w:t>
            </w:r>
          </w:p>
          <w:p w14:paraId="7084598C" w14:textId="0E65C14B" w:rsidR="00890ED1" w:rsidRDefault="00890ED1" w:rsidP="00736249">
            <w:r>
              <w:t>Oxacillin 1</w:t>
            </w:r>
          </w:p>
          <w:p w14:paraId="763CC813" w14:textId="68DB55AF" w:rsidR="00890ED1" w:rsidRDefault="00890ED1" w:rsidP="00736249">
            <w:r>
              <w:t>Tetracycline 30</w:t>
            </w:r>
          </w:p>
          <w:p w14:paraId="3D2D8B79" w14:textId="77777777" w:rsidR="00890ED1" w:rsidRDefault="00890ED1" w:rsidP="00736249">
            <w:r>
              <w:t>Chloramphenicol 30</w:t>
            </w:r>
          </w:p>
          <w:p w14:paraId="6514CCF7" w14:textId="66199436" w:rsidR="00EF67A2" w:rsidRDefault="00EF67A2" w:rsidP="00736249">
            <w:r>
              <w:t>Levofloxacin 5</w:t>
            </w:r>
          </w:p>
        </w:tc>
        <w:tc>
          <w:tcPr>
            <w:tcW w:w="1559" w:type="dxa"/>
          </w:tcPr>
          <w:p w14:paraId="79D153B8" w14:textId="77777777" w:rsidR="00890ED1" w:rsidRDefault="00890ED1" w:rsidP="00736249">
            <w:r>
              <w:t>22</w:t>
            </w:r>
          </w:p>
          <w:p w14:paraId="719D700E" w14:textId="77777777" w:rsidR="00890ED1" w:rsidRDefault="00890ED1" w:rsidP="00736249">
            <w:r>
              <w:t>20</w:t>
            </w:r>
          </w:p>
          <w:p w14:paraId="49B81717" w14:textId="77777777" w:rsidR="00890ED1" w:rsidRDefault="00890ED1" w:rsidP="00736249">
            <w:r>
              <w:t>25</w:t>
            </w:r>
          </w:p>
          <w:p w14:paraId="22CE4088" w14:textId="77777777" w:rsidR="00890ED1" w:rsidRDefault="00890ED1" w:rsidP="00736249">
            <w:r>
              <w:t>21</w:t>
            </w:r>
          </w:p>
          <w:p w14:paraId="6EA9608C" w14:textId="457648B2" w:rsidR="00EF67A2" w:rsidRDefault="00EF67A2" w:rsidP="00736249">
            <w:r>
              <w:t>50</w:t>
            </w:r>
          </w:p>
        </w:tc>
        <w:tc>
          <w:tcPr>
            <w:tcW w:w="1559" w:type="dxa"/>
          </w:tcPr>
          <w:p w14:paraId="592C2170" w14:textId="77777777" w:rsidR="00890ED1" w:rsidRDefault="00890ED1" w:rsidP="00736249">
            <w:r>
              <w:t>19</w:t>
            </w:r>
          </w:p>
          <w:p w14:paraId="643402AE" w14:textId="77777777" w:rsidR="00890ED1" w:rsidRDefault="00890ED1" w:rsidP="00736249">
            <w:r>
              <w:t>20</w:t>
            </w:r>
          </w:p>
          <w:p w14:paraId="5CD4CF71" w14:textId="77777777" w:rsidR="00890ED1" w:rsidRDefault="00890ED1" w:rsidP="00736249">
            <w:r>
              <w:t>22</w:t>
            </w:r>
          </w:p>
          <w:p w14:paraId="75F22324" w14:textId="77777777" w:rsidR="00890ED1" w:rsidRDefault="00890ED1" w:rsidP="00736249">
            <w:r>
              <w:t>21</w:t>
            </w:r>
          </w:p>
          <w:p w14:paraId="16E1318C" w14:textId="36EC80A2" w:rsidR="00EF67A2" w:rsidRDefault="00EF67A2" w:rsidP="00736249">
            <w:r>
              <w:t>16</w:t>
            </w:r>
          </w:p>
        </w:tc>
      </w:tr>
      <w:tr w:rsidR="00890ED1" w14:paraId="7BFCD7C1" w14:textId="3E6E152C" w:rsidTr="001F0609">
        <w:tc>
          <w:tcPr>
            <w:tcW w:w="2405" w:type="dxa"/>
          </w:tcPr>
          <w:p w14:paraId="5287B5FA" w14:textId="06D069F5" w:rsidR="00890ED1" w:rsidRPr="00647727" w:rsidRDefault="00890ED1" w:rsidP="00736249">
            <w:pPr>
              <w:rPr>
                <w:i/>
                <w:iCs/>
              </w:rPr>
            </w:pPr>
            <w:r w:rsidRPr="00647727">
              <w:rPr>
                <w:i/>
                <w:iCs/>
              </w:rPr>
              <w:t>H. influenzae</w:t>
            </w:r>
          </w:p>
        </w:tc>
        <w:tc>
          <w:tcPr>
            <w:tcW w:w="3119" w:type="dxa"/>
          </w:tcPr>
          <w:p w14:paraId="6161B270" w14:textId="78616C1C" w:rsidR="00890ED1" w:rsidRDefault="00890ED1" w:rsidP="00736249">
            <w:r>
              <w:t>Chloramphenicol 30</w:t>
            </w:r>
          </w:p>
          <w:p w14:paraId="48E87999" w14:textId="77777777" w:rsidR="00890ED1" w:rsidRDefault="00890ED1" w:rsidP="00736249">
            <w:r>
              <w:t>Ampicillin 2</w:t>
            </w:r>
          </w:p>
          <w:p w14:paraId="7012223D" w14:textId="77777777" w:rsidR="0003710C" w:rsidRDefault="00890ED1" w:rsidP="00736249">
            <w:r>
              <w:t xml:space="preserve">Cefuroxime 30 </w:t>
            </w:r>
          </w:p>
          <w:p w14:paraId="62F0E887" w14:textId="77777777" w:rsidR="0003710C" w:rsidRDefault="00890ED1" w:rsidP="00736249">
            <w:r>
              <w:t xml:space="preserve">Ciprofloxacin 5 </w:t>
            </w:r>
          </w:p>
          <w:p w14:paraId="72785556" w14:textId="20792799" w:rsidR="00890ED1" w:rsidRDefault="00890ED1" w:rsidP="00736249">
            <w:r>
              <w:t>tetracycline 30</w:t>
            </w:r>
          </w:p>
          <w:p w14:paraId="3B5D0E5D" w14:textId="0897CF8B" w:rsidR="00890ED1" w:rsidRDefault="00890ED1" w:rsidP="00736249">
            <w:r>
              <w:t>Co-amoxiclav 3</w:t>
            </w:r>
          </w:p>
        </w:tc>
        <w:tc>
          <w:tcPr>
            <w:tcW w:w="1559" w:type="dxa"/>
          </w:tcPr>
          <w:p w14:paraId="467B5F75" w14:textId="77777777" w:rsidR="00890ED1" w:rsidRDefault="00890ED1" w:rsidP="00D81E2A">
            <w:r>
              <w:t>28</w:t>
            </w:r>
          </w:p>
          <w:p w14:paraId="5AFFFE6E" w14:textId="77777777" w:rsidR="00890ED1" w:rsidRDefault="00890ED1" w:rsidP="00D81E2A">
            <w:r>
              <w:t>18</w:t>
            </w:r>
          </w:p>
          <w:p w14:paraId="64F92A8C" w14:textId="77777777" w:rsidR="00890ED1" w:rsidRDefault="00890ED1" w:rsidP="00D81E2A">
            <w:r>
              <w:t>27</w:t>
            </w:r>
          </w:p>
          <w:p w14:paraId="0667B5C4" w14:textId="77777777" w:rsidR="00890ED1" w:rsidRDefault="00890ED1" w:rsidP="00D81E2A">
            <w:r>
              <w:t>30</w:t>
            </w:r>
          </w:p>
          <w:p w14:paraId="3DAF64A2" w14:textId="77777777" w:rsidR="00890ED1" w:rsidRDefault="00890ED1" w:rsidP="00D81E2A">
            <w:r>
              <w:t>25</w:t>
            </w:r>
          </w:p>
          <w:p w14:paraId="10C223C6" w14:textId="03FE642E" w:rsidR="00890ED1" w:rsidRDefault="00890ED1" w:rsidP="00B954B2">
            <w:r>
              <w:t>50</w:t>
            </w:r>
          </w:p>
        </w:tc>
        <w:tc>
          <w:tcPr>
            <w:tcW w:w="1559" w:type="dxa"/>
          </w:tcPr>
          <w:p w14:paraId="67F0711E" w14:textId="77777777" w:rsidR="00890ED1" w:rsidRDefault="00890ED1" w:rsidP="00736249">
            <w:r>
              <w:t>28</w:t>
            </w:r>
          </w:p>
          <w:p w14:paraId="1F4A1F98" w14:textId="77777777" w:rsidR="00890ED1" w:rsidRDefault="00890ED1" w:rsidP="00736249">
            <w:r>
              <w:t>18</w:t>
            </w:r>
          </w:p>
          <w:p w14:paraId="44DF964F" w14:textId="77777777" w:rsidR="00890ED1" w:rsidRDefault="00890ED1" w:rsidP="00736249">
            <w:r>
              <w:t>25</w:t>
            </w:r>
          </w:p>
          <w:p w14:paraId="6721523B" w14:textId="77777777" w:rsidR="00890ED1" w:rsidRDefault="00890ED1" w:rsidP="00736249">
            <w:r>
              <w:t>30</w:t>
            </w:r>
          </w:p>
          <w:p w14:paraId="6B5519B8" w14:textId="77777777" w:rsidR="00890ED1" w:rsidRDefault="00890ED1" w:rsidP="00736249">
            <w:r>
              <w:t>22</w:t>
            </w:r>
          </w:p>
          <w:p w14:paraId="202F08EF" w14:textId="3A8E1807" w:rsidR="00890ED1" w:rsidRDefault="00890ED1" w:rsidP="00736249">
            <w:r>
              <w:t>15</w:t>
            </w:r>
          </w:p>
        </w:tc>
      </w:tr>
      <w:tr w:rsidR="00890ED1" w14:paraId="63C371BC" w14:textId="29CE81FA" w:rsidTr="001F0609">
        <w:tc>
          <w:tcPr>
            <w:tcW w:w="2405" w:type="dxa"/>
          </w:tcPr>
          <w:p w14:paraId="6A835E23" w14:textId="77777777" w:rsidR="00890ED1" w:rsidRPr="00647727" w:rsidRDefault="00890ED1" w:rsidP="00736249">
            <w:pPr>
              <w:rPr>
                <w:i/>
                <w:iCs/>
              </w:rPr>
            </w:pPr>
            <w:r w:rsidRPr="00647727">
              <w:rPr>
                <w:i/>
                <w:iCs/>
              </w:rPr>
              <w:t>M. catarrhalis</w:t>
            </w:r>
          </w:p>
        </w:tc>
        <w:tc>
          <w:tcPr>
            <w:tcW w:w="3119" w:type="dxa"/>
          </w:tcPr>
          <w:p w14:paraId="58B8FEA6" w14:textId="77777777" w:rsidR="00FC5E60" w:rsidRDefault="00890ED1" w:rsidP="00736249">
            <w:r w:rsidRPr="002A5343">
              <w:t>Chloramphenicol</w:t>
            </w:r>
            <w:r>
              <w:t xml:space="preserve"> 30 E</w:t>
            </w:r>
            <w:r w:rsidRPr="002A5343">
              <w:t>rythromycin</w:t>
            </w:r>
            <w:r>
              <w:t xml:space="preserve"> 15 </w:t>
            </w:r>
          </w:p>
          <w:p w14:paraId="7FF6BCFD" w14:textId="77777777" w:rsidR="00FC5E60" w:rsidRDefault="00890ED1" w:rsidP="00736249">
            <w:r>
              <w:t>C</w:t>
            </w:r>
            <w:r w:rsidRPr="002A5343">
              <w:t>efuroxime</w:t>
            </w:r>
            <w:r>
              <w:t xml:space="preserve"> 30 </w:t>
            </w:r>
          </w:p>
          <w:p w14:paraId="695D97BD" w14:textId="787A1EA6" w:rsidR="00890ED1" w:rsidRDefault="00890ED1" w:rsidP="00736249">
            <w:r>
              <w:t>C</w:t>
            </w:r>
            <w:r w:rsidRPr="002A5343">
              <w:t>iprofloxacin</w:t>
            </w:r>
            <w:r>
              <w:t xml:space="preserve"> 5</w:t>
            </w:r>
          </w:p>
          <w:p w14:paraId="6B0133B3" w14:textId="12A77EC2" w:rsidR="00890ED1" w:rsidRDefault="00890ED1" w:rsidP="00736249">
            <w:r>
              <w:t>T</w:t>
            </w:r>
            <w:r w:rsidRPr="002A5343">
              <w:t xml:space="preserve">etracycline </w:t>
            </w:r>
            <w:r>
              <w:t>30</w:t>
            </w:r>
          </w:p>
          <w:p w14:paraId="4CBF58EE" w14:textId="00067492" w:rsidR="00890ED1" w:rsidRDefault="00890ED1" w:rsidP="00736249">
            <w:r w:rsidRPr="002A5343">
              <w:t>Co-amoxiclav</w:t>
            </w:r>
            <w:r>
              <w:t xml:space="preserve"> 3</w:t>
            </w:r>
          </w:p>
        </w:tc>
        <w:tc>
          <w:tcPr>
            <w:tcW w:w="1559" w:type="dxa"/>
            <w:shd w:val="clear" w:color="auto" w:fill="auto"/>
          </w:tcPr>
          <w:p w14:paraId="23369E40" w14:textId="43144982" w:rsidR="00890ED1" w:rsidRPr="007E23E0" w:rsidRDefault="00890ED1" w:rsidP="00736249">
            <w:r w:rsidRPr="001F0609">
              <w:t>31</w:t>
            </w:r>
          </w:p>
          <w:p w14:paraId="61A0AA40" w14:textId="77777777" w:rsidR="00890ED1" w:rsidRPr="007E23E0" w:rsidRDefault="00890ED1" w:rsidP="00736249">
            <w:r w:rsidRPr="007E23E0">
              <w:t>23</w:t>
            </w:r>
          </w:p>
          <w:p w14:paraId="679D2C32" w14:textId="77777777" w:rsidR="00890ED1" w:rsidRPr="007E23E0" w:rsidRDefault="00890ED1" w:rsidP="00736249">
            <w:r w:rsidRPr="007E23E0">
              <w:t>21</w:t>
            </w:r>
          </w:p>
          <w:p w14:paraId="53BBAC83" w14:textId="77777777" w:rsidR="00890ED1" w:rsidRPr="007E23E0" w:rsidRDefault="00890ED1" w:rsidP="00736249">
            <w:r w:rsidRPr="007E23E0">
              <w:t>31</w:t>
            </w:r>
          </w:p>
          <w:p w14:paraId="05017CBF" w14:textId="77777777" w:rsidR="00890ED1" w:rsidRPr="007E23E0" w:rsidRDefault="00890ED1" w:rsidP="00736249">
            <w:r w:rsidRPr="007E23E0">
              <w:t>28</w:t>
            </w:r>
          </w:p>
          <w:p w14:paraId="5B58770A" w14:textId="253B7FA9" w:rsidR="00890ED1" w:rsidRPr="003465DC" w:rsidRDefault="00890ED1" w:rsidP="00736249">
            <w:pPr>
              <w:rPr>
                <w:highlight w:val="red"/>
              </w:rPr>
            </w:pPr>
            <w:r w:rsidRPr="007E23E0">
              <w:t>19</w:t>
            </w:r>
          </w:p>
        </w:tc>
        <w:tc>
          <w:tcPr>
            <w:tcW w:w="1559" w:type="dxa"/>
            <w:shd w:val="clear" w:color="auto" w:fill="auto"/>
          </w:tcPr>
          <w:p w14:paraId="33C5D3BB" w14:textId="02DE0C87" w:rsidR="00890ED1" w:rsidRDefault="00890ED1" w:rsidP="00736249">
            <w:r w:rsidRPr="001F0609">
              <w:t>30</w:t>
            </w:r>
          </w:p>
          <w:p w14:paraId="4AF7F230" w14:textId="77777777" w:rsidR="00890ED1" w:rsidRDefault="00890ED1" w:rsidP="00736249">
            <w:r>
              <w:t>20</w:t>
            </w:r>
          </w:p>
          <w:p w14:paraId="3419EEFF" w14:textId="77777777" w:rsidR="00890ED1" w:rsidRDefault="00890ED1" w:rsidP="00736249">
            <w:r>
              <w:t>18</w:t>
            </w:r>
          </w:p>
          <w:p w14:paraId="7EBC1FAD" w14:textId="77777777" w:rsidR="00890ED1" w:rsidRDefault="00890ED1" w:rsidP="00736249">
            <w:r>
              <w:t>31</w:t>
            </w:r>
          </w:p>
          <w:p w14:paraId="069E3EB7" w14:textId="77777777" w:rsidR="00890ED1" w:rsidRDefault="00890ED1" w:rsidP="00736249">
            <w:r>
              <w:t>25</w:t>
            </w:r>
          </w:p>
          <w:p w14:paraId="725D16F4" w14:textId="32A0597E" w:rsidR="00890ED1" w:rsidRPr="002A5343" w:rsidRDefault="00890ED1" w:rsidP="00736249">
            <w:r>
              <w:t>19</w:t>
            </w:r>
          </w:p>
        </w:tc>
      </w:tr>
      <w:bookmarkEnd w:id="127"/>
    </w:tbl>
    <w:p w14:paraId="6FB9FF7E" w14:textId="58A061A2" w:rsidR="00647727" w:rsidRDefault="00647727" w:rsidP="00736249"/>
    <w:p w14:paraId="1BCE6749" w14:textId="77777777" w:rsidR="003B02AA" w:rsidRDefault="003B02AA" w:rsidP="00736249"/>
    <w:p w14:paraId="237CBDA4" w14:textId="6ADD4AC8" w:rsidR="00306313" w:rsidRPr="00306313" w:rsidRDefault="00306313" w:rsidP="00350445">
      <w:pPr>
        <w:spacing w:line="360" w:lineRule="auto"/>
      </w:pPr>
      <w:bookmarkStart w:id="128" w:name="_Ref105531292"/>
      <w:bookmarkStart w:id="129" w:name="_Toc117780249"/>
      <w:r w:rsidRPr="00306313">
        <w:rPr>
          <w:b/>
          <w:bCs/>
        </w:rPr>
        <w:t xml:space="preserve">Table </w:t>
      </w:r>
      <w:r w:rsidR="002C440E">
        <w:rPr>
          <w:b/>
          <w:bCs/>
        </w:rPr>
        <w:fldChar w:fldCharType="begin"/>
      </w:r>
      <w:r w:rsidR="002C440E">
        <w:rPr>
          <w:b/>
          <w:bCs/>
        </w:rPr>
        <w:instrText xml:space="preserve"> SEQ Table \* ARABIC </w:instrText>
      </w:r>
      <w:r w:rsidR="002C440E">
        <w:rPr>
          <w:b/>
          <w:bCs/>
        </w:rPr>
        <w:fldChar w:fldCharType="separate"/>
      </w:r>
      <w:r w:rsidR="00592CBF">
        <w:rPr>
          <w:b/>
          <w:bCs/>
          <w:noProof/>
        </w:rPr>
        <w:t>8</w:t>
      </w:r>
      <w:r w:rsidR="002C440E">
        <w:rPr>
          <w:b/>
          <w:bCs/>
        </w:rPr>
        <w:fldChar w:fldCharType="end"/>
      </w:r>
      <w:bookmarkEnd w:id="128"/>
      <w:r w:rsidRPr="00306313">
        <w:rPr>
          <w:b/>
          <w:bCs/>
        </w:rPr>
        <w:t>:</w:t>
      </w:r>
      <w:r w:rsidRPr="00306313">
        <w:t xml:space="preserve"> Antibiotics tested for susceptibility in </w:t>
      </w:r>
      <w:r w:rsidRPr="00306313">
        <w:rPr>
          <w:i/>
          <w:iCs/>
        </w:rPr>
        <w:t>S. aureus</w:t>
      </w:r>
      <w:r w:rsidRPr="00306313">
        <w:t xml:space="preserve"> using the agar incorporation method</w:t>
      </w:r>
      <w:bookmarkEnd w:id="129"/>
    </w:p>
    <w:tbl>
      <w:tblPr>
        <w:tblStyle w:val="TableGrid"/>
        <w:tblW w:w="0" w:type="auto"/>
        <w:tblLook w:val="04A0" w:firstRow="1" w:lastRow="0" w:firstColumn="1" w:lastColumn="0" w:noHBand="0" w:noVBand="1"/>
      </w:tblPr>
      <w:tblGrid>
        <w:gridCol w:w="2405"/>
        <w:gridCol w:w="3119"/>
        <w:gridCol w:w="3118"/>
      </w:tblGrid>
      <w:tr w:rsidR="00B06159" w14:paraId="07105878" w14:textId="77777777" w:rsidTr="0090330D">
        <w:tc>
          <w:tcPr>
            <w:tcW w:w="2405" w:type="dxa"/>
            <w:shd w:val="clear" w:color="auto" w:fill="BDD6EE" w:themeFill="accent1" w:themeFillTint="66"/>
          </w:tcPr>
          <w:p w14:paraId="4FBF4C30" w14:textId="668C617C" w:rsidR="00B06159" w:rsidRPr="0090330D" w:rsidRDefault="00B06159" w:rsidP="00896913">
            <w:r>
              <w:t>Bacteria</w:t>
            </w:r>
          </w:p>
        </w:tc>
        <w:tc>
          <w:tcPr>
            <w:tcW w:w="3119" w:type="dxa"/>
            <w:shd w:val="clear" w:color="auto" w:fill="BDD6EE" w:themeFill="accent1" w:themeFillTint="66"/>
          </w:tcPr>
          <w:p w14:paraId="76110ED1" w14:textId="569D41FB" w:rsidR="00B06159" w:rsidRDefault="00B06159" w:rsidP="00896913">
            <w:r>
              <w:t>Antibiotic used</w:t>
            </w:r>
          </w:p>
        </w:tc>
        <w:tc>
          <w:tcPr>
            <w:tcW w:w="3118" w:type="dxa"/>
            <w:shd w:val="clear" w:color="auto" w:fill="BDD6EE" w:themeFill="accent1" w:themeFillTint="66"/>
          </w:tcPr>
          <w:p w14:paraId="62D1E096" w14:textId="77777777" w:rsidR="00B06159" w:rsidRDefault="00B06159" w:rsidP="00896913">
            <w:r>
              <w:t xml:space="preserve">MIC breakpoints used </w:t>
            </w:r>
          </w:p>
          <w:p w14:paraId="685AF1A7" w14:textId="4297E1FD" w:rsidR="00B06159" w:rsidRDefault="00B06159" w:rsidP="00896913">
            <w:r>
              <w:t>(mg/L)</w:t>
            </w:r>
          </w:p>
        </w:tc>
      </w:tr>
      <w:tr w:rsidR="00B06159" w14:paraId="7AF3FB4A" w14:textId="77777777" w:rsidTr="0090330D">
        <w:tc>
          <w:tcPr>
            <w:tcW w:w="2405" w:type="dxa"/>
          </w:tcPr>
          <w:p w14:paraId="31F050C0" w14:textId="2D202772" w:rsidR="00B06159" w:rsidRPr="00647727" w:rsidRDefault="00B06159" w:rsidP="00890ED1">
            <w:pPr>
              <w:rPr>
                <w:i/>
                <w:iCs/>
              </w:rPr>
            </w:pPr>
            <w:r w:rsidRPr="00647727">
              <w:rPr>
                <w:i/>
                <w:iCs/>
              </w:rPr>
              <w:t>S. aureus</w:t>
            </w:r>
          </w:p>
        </w:tc>
        <w:tc>
          <w:tcPr>
            <w:tcW w:w="3119" w:type="dxa"/>
          </w:tcPr>
          <w:p w14:paraId="62165590" w14:textId="77777777" w:rsidR="00B06159" w:rsidRDefault="00B06159" w:rsidP="00890ED1">
            <w:r>
              <w:t xml:space="preserve">Amoxicillin, </w:t>
            </w:r>
          </w:p>
          <w:p w14:paraId="7352C770" w14:textId="45CF2A75" w:rsidR="00B06159" w:rsidRDefault="00B06159" w:rsidP="00890ED1">
            <w:r>
              <w:t xml:space="preserve">Penicillin, Erythromycin, Vancomycin, </w:t>
            </w:r>
          </w:p>
          <w:p w14:paraId="1BF61B48" w14:textId="77777777" w:rsidR="00B06159" w:rsidRDefault="00B06159" w:rsidP="00890ED1">
            <w:proofErr w:type="spellStart"/>
            <w:r>
              <w:t>Fusidic</w:t>
            </w:r>
            <w:proofErr w:type="spellEnd"/>
            <w:r>
              <w:t xml:space="preserve"> acid, Chloramphenicol, </w:t>
            </w:r>
          </w:p>
          <w:p w14:paraId="323F485B" w14:textId="77777777" w:rsidR="00B06159" w:rsidRDefault="00B06159" w:rsidP="00890ED1">
            <w:r>
              <w:t xml:space="preserve">Rifampicin, </w:t>
            </w:r>
          </w:p>
          <w:p w14:paraId="66E84720" w14:textId="77777777" w:rsidR="00B06159" w:rsidRDefault="00B06159" w:rsidP="00890ED1">
            <w:r>
              <w:t xml:space="preserve">Tetracycline, </w:t>
            </w:r>
          </w:p>
          <w:p w14:paraId="52CF8596" w14:textId="77777777" w:rsidR="00B06159" w:rsidRDefault="00B06159" w:rsidP="00890ED1">
            <w:r>
              <w:t xml:space="preserve">Ciprofloxacin, </w:t>
            </w:r>
          </w:p>
          <w:p w14:paraId="6ABAEA49" w14:textId="77777777" w:rsidR="00B06159" w:rsidRDefault="00B06159" w:rsidP="00890ED1">
            <w:r>
              <w:t xml:space="preserve">Gentamicin, </w:t>
            </w:r>
          </w:p>
          <w:p w14:paraId="25903388" w14:textId="77777777" w:rsidR="00B06159" w:rsidRDefault="00B06159" w:rsidP="00890ED1">
            <w:r>
              <w:t xml:space="preserve">Trimethoprim, Nitrofurantoin, </w:t>
            </w:r>
          </w:p>
          <w:p w14:paraId="029346F0" w14:textId="35BCC2F6" w:rsidR="00B06159" w:rsidRDefault="00B06159" w:rsidP="00890ED1">
            <w:r>
              <w:t xml:space="preserve">Teicoplanin, </w:t>
            </w:r>
          </w:p>
          <w:p w14:paraId="730ED9E7" w14:textId="3F8E88BB" w:rsidR="00B06159" w:rsidRDefault="00B06159" w:rsidP="00890ED1">
            <w:r>
              <w:t>Oxacillin</w:t>
            </w:r>
          </w:p>
        </w:tc>
        <w:tc>
          <w:tcPr>
            <w:tcW w:w="3118" w:type="dxa"/>
          </w:tcPr>
          <w:p w14:paraId="7F39ABF1" w14:textId="47FC5C16" w:rsidR="00B06159" w:rsidRDefault="00B06159" w:rsidP="00890ED1">
            <w:r>
              <w:t>0.125</w:t>
            </w:r>
          </w:p>
          <w:p w14:paraId="1FAD7B3C" w14:textId="41490B7F" w:rsidR="00B06159" w:rsidRDefault="00B06159" w:rsidP="00890ED1">
            <w:r>
              <w:t>0.125</w:t>
            </w:r>
          </w:p>
          <w:p w14:paraId="45D10EAF" w14:textId="249315B2" w:rsidR="00B06159" w:rsidRDefault="00B06159" w:rsidP="00890ED1">
            <w:r>
              <w:t>1</w:t>
            </w:r>
          </w:p>
          <w:p w14:paraId="045C22E8" w14:textId="77777777" w:rsidR="00B06159" w:rsidRDefault="00B06159" w:rsidP="00890ED1">
            <w:r>
              <w:t>2</w:t>
            </w:r>
          </w:p>
          <w:p w14:paraId="3A4B7060" w14:textId="70B8DE10" w:rsidR="00B06159" w:rsidRDefault="00B06159" w:rsidP="00890ED1">
            <w:r>
              <w:t>1</w:t>
            </w:r>
          </w:p>
          <w:p w14:paraId="3A25D72B" w14:textId="77777777" w:rsidR="00B06159" w:rsidRDefault="00B06159" w:rsidP="00890ED1">
            <w:r>
              <w:t>8</w:t>
            </w:r>
          </w:p>
          <w:p w14:paraId="5947AE77" w14:textId="77777777" w:rsidR="00B06159" w:rsidRDefault="00B06159" w:rsidP="00890ED1">
            <w:r>
              <w:t>0.06</w:t>
            </w:r>
          </w:p>
          <w:p w14:paraId="30CFC1BE" w14:textId="5CBC9027" w:rsidR="00B06159" w:rsidRDefault="00B06159" w:rsidP="00890ED1">
            <w:r>
              <w:t>1</w:t>
            </w:r>
          </w:p>
          <w:p w14:paraId="12ECA39F" w14:textId="66DD60F1" w:rsidR="00B06159" w:rsidRDefault="00B06159" w:rsidP="00890ED1">
            <w:r>
              <w:t>2</w:t>
            </w:r>
          </w:p>
          <w:p w14:paraId="7A5E9AD6" w14:textId="77777777" w:rsidR="00B06159" w:rsidRDefault="00B06159" w:rsidP="00890ED1">
            <w:r>
              <w:t>4</w:t>
            </w:r>
          </w:p>
          <w:p w14:paraId="666393E7" w14:textId="77777777" w:rsidR="00B06159" w:rsidRDefault="00B06159" w:rsidP="00890ED1">
            <w:r>
              <w:t>64</w:t>
            </w:r>
          </w:p>
          <w:p w14:paraId="0C9C0206" w14:textId="77777777" w:rsidR="00B06159" w:rsidRDefault="00B06159" w:rsidP="00890ED1">
            <w:r>
              <w:t>2</w:t>
            </w:r>
          </w:p>
          <w:p w14:paraId="7D597926" w14:textId="555E06AE" w:rsidR="00B06159" w:rsidRDefault="00B06159" w:rsidP="00890ED1">
            <w:r>
              <w:t>0.125</w:t>
            </w:r>
          </w:p>
        </w:tc>
      </w:tr>
    </w:tbl>
    <w:p w14:paraId="64120F14" w14:textId="41294657" w:rsidR="004A3DAF" w:rsidRDefault="004A3DAF" w:rsidP="00736249"/>
    <w:p w14:paraId="13DFC4E3" w14:textId="0A9102F3" w:rsidR="00B54053" w:rsidRDefault="00B54053" w:rsidP="00736249"/>
    <w:p w14:paraId="782AD205" w14:textId="77777777" w:rsidR="00B54053" w:rsidRDefault="00B54053" w:rsidP="00736249"/>
    <w:p w14:paraId="05410A32" w14:textId="77777777" w:rsidR="00276CD6" w:rsidRPr="00020D48" w:rsidRDefault="00276CD6" w:rsidP="001D04B2"/>
    <w:p w14:paraId="15577D53" w14:textId="77777777" w:rsidR="00EA0BD0" w:rsidRDefault="004A3DAF" w:rsidP="00EA0BD0">
      <w:pPr>
        <w:keepNext/>
      </w:pPr>
      <w:r>
        <w:rPr>
          <w:noProof/>
        </w:rPr>
        <w:lastRenderedPageBreak/>
        <w:drawing>
          <wp:inline distT="0" distB="0" distL="0" distR="0" wp14:anchorId="17DA4D11" wp14:editId="5163F1B3">
            <wp:extent cx="1462488" cy="1949983"/>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2488" cy="1949983"/>
                    </a:xfrm>
                    <a:prstGeom prst="rect">
                      <a:avLst/>
                    </a:prstGeom>
                    <a:noFill/>
                  </pic:spPr>
                </pic:pic>
              </a:graphicData>
            </a:graphic>
          </wp:inline>
        </w:drawing>
      </w:r>
      <w:r>
        <w:tab/>
      </w:r>
      <w:r>
        <w:rPr>
          <w:noProof/>
        </w:rPr>
        <w:drawing>
          <wp:inline distT="0" distB="0" distL="0" distR="0" wp14:anchorId="41AC6F9A" wp14:editId="599D7EDB">
            <wp:extent cx="1463040" cy="1950720"/>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1950720"/>
                    </a:xfrm>
                    <a:prstGeom prst="rect">
                      <a:avLst/>
                    </a:prstGeom>
                    <a:noFill/>
                  </pic:spPr>
                </pic:pic>
              </a:graphicData>
            </a:graphic>
          </wp:inline>
        </w:drawing>
      </w:r>
      <w:r>
        <w:tab/>
      </w:r>
      <w:r>
        <w:rPr>
          <w:noProof/>
        </w:rPr>
        <w:drawing>
          <wp:inline distT="0" distB="0" distL="0" distR="0" wp14:anchorId="5879948D" wp14:editId="222B684A">
            <wp:extent cx="1464310" cy="1952414"/>
            <wp:effectExtent l="0" t="0" r="2540" b="0"/>
            <wp:docPr id="321" name="Picture 321" descr="A picture containing table, indoor, kitchenwar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A picture containing table, indoor, kitchenware, cu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85" cy="1955847"/>
                    </a:xfrm>
                    <a:prstGeom prst="rect">
                      <a:avLst/>
                    </a:prstGeom>
                    <a:noFill/>
                  </pic:spPr>
                </pic:pic>
              </a:graphicData>
            </a:graphic>
          </wp:inline>
        </w:drawing>
      </w:r>
    </w:p>
    <w:p w14:paraId="6E10C0B5" w14:textId="77777777" w:rsidR="00EA0BD0" w:rsidRDefault="00EA0BD0" w:rsidP="00EA0BD0">
      <w:pPr>
        <w:pStyle w:val="Caption"/>
      </w:pPr>
    </w:p>
    <w:p w14:paraId="739F2A45" w14:textId="6070269B" w:rsidR="00EA0BD0" w:rsidRPr="00EA0BD0" w:rsidRDefault="00EA0BD0">
      <w:pPr>
        <w:pStyle w:val="Caption"/>
        <w:numPr>
          <w:ilvl w:val="0"/>
          <w:numId w:val="44"/>
        </w:numPr>
        <w:rPr>
          <w:i w:val="0"/>
          <w:iCs w:val="0"/>
          <w:color w:val="000000" w:themeColor="text1"/>
          <w:sz w:val="24"/>
          <w:szCs w:val="24"/>
        </w:rPr>
      </w:pPr>
      <w:r w:rsidRPr="00EA0BD0">
        <w:rPr>
          <w:i w:val="0"/>
          <w:iCs w:val="0"/>
          <w:color w:val="000000" w:themeColor="text1"/>
          <w:sz w:val="24"/>
          <w:szCs w:val="24"/>
        </w:rPr>
        <w:t xml:space="preserve">                                                </w:t>
      </w:r>
      <w:r w:rsidR="000724CA">
        <w:rPr>
          <w:i w:val="0"/>
          <w:iCs w:val="0"/>
          <w:color w:val="000000" w:themeColor="text1"/>
          <w:sz w:val="24"/>
          <w:szCs w:val="24"/>
        </w:rPr>
        <w:t>B.</w:t>
      </w:r>
      <w:r w:rsidRPr="00EA0BD0">
        <w:rPr>
          <w:i w:val="0"/>
          <w:iCs w:val="0"/>
          <w:color w:val="000000" w:themeColor="text1"/>
          <w:sz w:val="24"/>
          <w:szCs w:val="24"/>
        </w:rPr>
        <w:t xml:space="preserve">                                                         </w:t>
      </w:r>
      <w:r w:rsidR="000724CA">
        <w:rPr>
          <w:i w:val="0"/>
          <w:iCs w:val="0"/>
          <w:color w:val="000000" w:themeColor="text1"/>
          <w:sz w:val="24"/>
          <w:szCs w:val="24"/>
        </w:rPr>
        <w:t>C.</w:t>
      </w:r>
    </w:p>
    <w:p w14:paraId="5375DA4E" w14:textId="1C6D3932" w:rsidR="00EA0BD0" w:rsidRPr="00485F15" w:rsidRDefault="00485F15" w:rsidP="00485F15">
      <w:pPr>
        <w:pStyle w:val="Caption"/>
        <w:rPr>
          <w:i w:val="0"/>
          <w:iCs w:val="0"/>
          <w:color w:val="000000" w:themeColor="text1"/>
          <w:sz w:val="24"/>
          <w:szCs w:val="24"/>
        </w:rPr>
      </w:pPr>
      <w:bookmarkStart w:id="130" w:name="_Ref105445737"/>
      <w:bookmarkStart w:id="131" w:name="_Toc117780214"/>
      <w:r w:rsidRPr="00485F15">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EF67A3">
        <w:rPr>
          <w:b/>
          <w:bCs/>
          <w:i w:val="0"/>
          <w:iCs w:val="0"/>
          <w:noProof/>
          <w:color w:val="000000" w:themeColor="text1"/>
          <w:sz w:val="24"/>
          <w:szCs w:val="24"/>
        </w:rPr>
        <w:t>2</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EF67A3">
        <w:rPr>
          <w:b/>
          <w:bCs/>
          <w:i w:val="0"/>
          <w:iCs w:val="0"/>
          <w:noProof/>
          <w:color w:val="000000" w:themeColor="text1"/>
          <w:sz w:val="24"/>
          <w:szCs w:val="24"/>
        </w:rPr>
        <w:t>3</w:t>
      </w:r>
      <w:r w:rsidR="00F42C6F">
        <w:rPr>
          <w:b/>
          <w:bCs/>
          <w:i w:val="0"/>
          <w:iCs w:val="0"/>
          <w:color w:val="000000" w:themeColor="text1"/>
          <w:sz w:val="24"/>
          <w:szCs w:val="24"/>
        </w:rPr>
        <w:fldChar w:fldCharType="end"/>
      </w:r>
      <w:bookmarkEnd w:id="130"/>
      <w:r w:rsidRPr="00485F15">
        <w:rPr>
          <w:b/>
          <w:bCs/>
          <w:i w:val="0"/>
          <w:iCs w:val="0"/>
          <w:color w:val="000000" w:themeColor="text1"/>
          <w:sz w:val="24"/>
          <w:szCs w:val="24"/>
        </w:rPr>
        <w:t>:</w:t>
      </w:r>
      <w:r w:rsidRPr="00485F15">
        <w:rPr>
          <w:i w:val="0"/>
          <w:iCs w:val="0"/>
          <w:color w:val="000000" w:themeColor="text1"/>
          <w:sz w:val="24"/>
          <w:szCs w:val="24"/>
        </w:rPr>
        <w:t xml:space="preserve"> </w:t>
      </w:r>
      <w:r w:rsidR="00EA0BD0" w:rsidRPr="00485F15">
        <w:rPr>
          <w:i w:val="0"/>
          <w:iCs w:val="0"/>
          <w:color w:val="000000" w:themeColor="text1"/>
          <w:sz w:val="24"/>
          <w:szCs w:val="24"/>
        </w:rPr>
        <w:t>Methods used to determine antibiotic susceptibility</w:t>
      </w:r>
      <w:bookmarkEnd w:id="131"/>
    </w:p>
    <w:p w14:paraId="10B1C254" w14:textId="5CD4CEF2" w:rsidR="004A3DAF" w:rsidRPr="00315847" w:rsidRDefault="004A3DAF">
      <w:pPr>
        <w:pStyle w:val="ListParagraph"/>
        <w:numPr>
          <w:ilvl w:val="0"/>
          <w:numId w:val="39"/>
        </w:numPr>
        <w:spacing w:after="0" w:line="360" w:lineRule="auto"/>
        <w:ind w:left="714" w:hanging="357"/>
        <w:rPr>
          <w:i/>
          <w:iCs/>
          <w:sz w:val="24"/>
          <w:szCs w:val="24"/>
        </w:rPr>
      </w:pPr>
      <w:r w:rsidRPr="00315847">
        <w:rPr>
          <w:i/>
          <w:iCs/>
          <w:sz w:val="24"/>
          <w:szCs w:val="24"/>
        </w:rPr>
        <w:t>Dis</w:t>
      </w:r>
      <w:r w:rsidR="00733A0A">
        <w:rPr>
          <w:i/>
          <w:iCs/>
          <w:sz w:val="24"/>
          <w:szCs w:val="24"/>
        </w:rPr>
        <w:t>c</w:t>
      </w:r>
      <w:r w:rsidRPr="00315847">
        <w:rPr>
          <w:i/>
          <w:iCs/>
          <w:sz w:val="24"/>
          <w:szCs w:val="24"/>
        </w:rPr>
        <w:t xml:space="preserve"> diffusion method: </w:t>
      </w:r>
      <w:r w:rsidR="006D5B50" w:rsidRPr="00315847">
        <w:rPr>
          <w:i/>
          <w:iCs/>
          <w:sz w:val="24"/>
          <w:szCs w:val="24"/>
        </w:rPr>
        <w:t>Dis</w:t>
      </w:r>
      <w:r w:rsidR="00733A0A">
        <w:rPr>
          <w:i/>
          <w:iCs/>
          <w:sz w:val="24"/>
          <w:szCs w:val="24"/>
        </w:rPr>
        <w:t>c</w:t>
      </w:r>
      <w:r w:rsidR="006D5B50" w:rsidRPr="00315847">
        <w:rPr>
          <w:i/>
          <w:iCs/>
          <w:sz w:val="24"/>
          <w:szCs w:val="24"/>
        </w:rPr>
        <w:t>s impregnated with specific concentrations of antibiotic</w:t>
      </w:r>
      <w:r w:rsidR="00477524" w:rsidRPr="00315847">
        <w:rPr>
          <w:i/>
          <w:iCs/>
          <w:sz w:val="24"/>
          <w:szCs w:val="24"/>
        </w:rPr>
        <w:t xml:space="preserve"> as specified in </w:t>
      </w:r>
      <w:r w:rsidR="00EC40CD" w:rsidRPr="00EC40CD">
        <w:rPr>
          <w:i/>
          <w:iCs/>
          <w:sz w:val="24"/>
          <w:szCs w:val="24"/>
        </w:rPr>
        <w:fldChar w:fldCharType="begin"/>
      </w:r>
      <w:r w:rsidR="00EC40CD" w:rsidRPr="00EC40CD">
        <w:rPr>
          <w:i/>
          <w:iCs/>
          <w:sz w:val="24"/>
          <w:szCs w:val="24"/>
        </w:rPr>
        <w:instrText xml:space="preserve"> REF _Ref105531266 \h  \* MERGEFORMAT </w:instrText>
      </w:r>
      <w:r w:rsidR="00EC40CD" w:rsidRPr="00EC40CD">
        <w:rPr>
          <w:i/>
          <w:iCs/>
          <w:sz w:val="24"/>
          <w:szCs w:val="24"/>
        </w:rPr>
      </w:r>
      <w:r w:rsidR="00EC40CD" w:rsidRPr="00EC40CD">
        <w:rPr>
          <w:i/>
          <w:iCs/>
          <w:sz w:val="24"/>
          <w:szCs w:val="24"/>
        </w:rPr>
        <w:fldChar w:fldCharType="separate"/>
      </w:r>
      <w:r w:rsidR="00EC40CD" w:rsidRPr="00EC40CD">
        <w:rPr>
          <w:i/>
          <w:iCs/>
          <w:color w:val="000000" w:themeColor="text1"/>
          <w:sz w:val="24"/>
          <w:szCs w:val="24"/>
        </w:rPr>
        <w:t xml:space="preserve">Table </w:t>
      </w:r>
      <w:r w:rsidR="00EC40CD" w:rsidRPr="00EC40CD">
        <w:rPr>
          <w:i/>
          <w:iCs/>
          <w:noProof/>
          <w:color w:val="000000" w:themeColor="text1"/>
          <w:sz w:val="24"/>
          <w:szCs w:val="24"/>
        </w:rPr>
        <w:t>7</w:t>
      </w:r>
      <w:r w:rsidR="00EC40CD" w:rsidRPr="00EC40CD">
        <w:rPr>
          <w:i/>
          <w:iCs/>
          <w:sz w:val="24"/>
          <w:szCs w:val="24"/>
        </w:rPr>
        <w:fldChar w:fldCharType="end"/>
      </w:r>
      <w:r w:rsidR="00EC40CD">
        <w:rPr>
          <w:i/>
          <w:iCs/>
          <w:sz w:val="24"/>
          <w:szCs w:val="24"/>
        </w:rPr>
        <w:t xml:space="preserve"> </w:t>
      </w:r>
      <w:r w:rsidR="00276CD6" w:rsidRPr="00315847">
        <w:rPr>
          <w:i/>
          <w:iCs/>
          <w:sz w:val="24"/>
          <w:szCs w:val="24"/>
        </w:rPr>
        <w:t xml:space="preserve">were </w:t>
      </w:r>
      <w:r w:rsidR="006D5B50" w:rsidRPr="00315847">
        <w:rPr>
          <w:i/>
          <w:iCs/>
          <w:sz w:val="24"/>
          <w:szCs w:val="24"/>
        </w:rPr>
        <w:t>placed on pre-inoculated agar</w:t>
      </w:r>
      <w:r w:rsidR="00785A05" w:rsidRPr="00315847">
        <w:rPr>
          <w:i/>
          <w:iCs/>
          <w:sz w:val="24"/>
          <w:szCs w:val="24"/>
        </w:rPr>
        <w:t>/blood agar</w:t>
      </w:r>
      <w:r w:rsidR="00260DEF" w:rsidRPr="00315847">
        <w:rPr>
          <w:i/>
          <w:iCs/>
          <w:sz w:val="24"/>
          <w:szCs w:val="24"/>
        </w:rPr>
        <w:t xml:space="preserve"> </w:t>
      </w:r>
      <w:r w:rsidR="006D5B50" w:rsidRPr="00315847">
        <w:rPr>
          <w:i/>
          <w:iCs/>
          <w:sz w:val="24"/>
          <w:szCs w:val="24"/>
        </w:rPr>
        <w:t xml:space="preserve">plates. Zones of inhibition </w:t>
      </w:r>
      <w:r w:rsidR="00AD1C94" w:rsidRPr="00315847">
        <w:rPr>
          <w:i/>
          <w:iCs/>
          <w:sz w:val="24"/>
          <w:szCs w:val="24"/>
        </w:rPr>
        <w:t>were</w:t>
      </w:r>
      <w:r w:rsidR="006D5B50" w:rsidRPr="00315847">
        <w:rPr>
          <w:i/>
          <w:iCs/>
          <w:sz w:val="24"/>
          <w:szCs w:val="24"/>
        </w:rPr>
        <w:t xml:space="preserve"> </w:t>
      </w:r>
      <w:r w:rsidR="00AD1C94" w:rsidRPr="00315847">
        <w:rPr>
          <w:i/>
          <w:iCs/>
          <w:sz w:val="24"/>
          <w:szCs w:val="24"/>
        </w:rPr>
        <w:t>measured</w:t>
      </w:r>
      <w:r w:rsidR="001C12DE" w:rsidRPr="00315847">
        <w:rPr>
          <w:i/>
          <w:iCs/>
          <w:sz w:val="24"/>
          <w:szCs w:val="24"/>
        </w:rPr>
        <w:t xml:space="preserve"> </w:t>
      </w:r>
      <w:r w:rsidR="00985FA9" w:rsidRPr="00315847">
        <w:rPr>
          <w:i/>
          <w:iCs/>
          <w:sz w:val="24"/>
          <w:szCs w:val="24"/>
        </w:rPr>
        <w:t>in millimetres</w:t>
      </w:r>
      <w:r w:rsidR="003A1E49" w:rsidRPr="00315847">
        <w:rPr>
          <w:i/>
          <w:iCs/>
          <w:sz w:val="24"/>
          <w:szCs w:val="24"/>
        </w:rPr>
        <w:t xml:space="preserve">. Measurements were </w:t>
      </w:r>
      <w:r w:rsidR="001C12DE" w:rsidRPr="00315847">
        <w:rPr>
          <w:i/>
          <w:iCs/>
          <w:sz w:val="24"/>
          <w:szCs w:val="24"/>
        </w:rPr>
        <w:t xml:space="preserve">compared to the reference </w:t>
      </w:r>
      <w:r w:rsidR="00AD1C94" w:rsidRPr="00315847">
        <w:rPr>
          <w:i/>
          <w:iCs/>
          <w:sz w:val="24"/>
          <w:szCs w:val="24"/>
        </w:rPr>
        <w:t xml:space="preserve">EUCAST </w:t>
      </w:r>
      <w:r w:rsidR="003A1E49" w:rsidRPr="00315847">
        <w:rPr>
          <w:i/>
          <w:iCs/>
          <w:sz w:val="24"/>
          <w:szCs w:val="24"/>
        </w:rPr>
        <w:t xml:space="preserve">zone diameter </w:t>
      </w:r>
      <w:r w:rsidR="00AD1C94" w:rsidRPr="00315847">
        <w:rPr>
          <w:i/>
          <w:iCs/>
          <w:sz w:val="24"/>
          <w:szCs w:val="24"/>
        </w:rPr>
        <w:t>breakpoint</w:t>
      </w:r>
      <w:r w:rsidR="003A1E49" w:rsidRPr="00315847">
        <w:rPr>
          <w:i/>
          <w:iCs/>
          <w:sz w:val="24"/>
          <w:szCs w:val="24"/>
        </w:rPr>
        <w:t>s</w:t>
      </w:r>
      <w:r w:rsidR="00985FA9" w:rsidRPr="00315847">
        <w:rPr>
          <w:i/>
          <w:iCs/>
          <w:sz w:val="24"/>
          <w:szCs w:val="24"/>
        </w:rPr>
        <w:t xml:space="preserve"> </w:t>
      </w:r>
      <w:r w:rsidR="00AD1C94" w:rsidRPr="00315847">
        <w:rPr>
          <w:i/>
          <w:iCs/>
          <w:sz w:val="24"/>
          <w:szCs w:val="24"/>
        </w:rPr>
        <w:t>for the bacterial species and antibiotic investigated</w:t>
      </w:r>
      <w:r w:rsidR="001C12DE" w:rsidRPr="00315847">
        <w:rPr>
          <w:i/>
          <w:iCs/>
          <w:sz w:val="24"/>
          <w:szCs w:val="24"/>
        </w:rPr>
        <w:t xml:space="preserve">. </w:t>
      </w:r>
      <w:r w:rsidR="00260DEF" w:rsidRPr="00EC40CD">
        <w:rPr>
          <w:i/>
          <w:iCs/>
          <w:sz w:val="24"/>
          <w:szCs w:val="24"/>
        </w:rPr>
        <w:t>(</w:t>
      </w:r>
      <w:r w:rsidR="00EC40CD" w:rsidRPr="00EC40CD">
        <w:rPr>
          <w:i/>
          <w:iCs/>
          <w:sz w:val="24"/>
          <w:szCs w:val="24"/>
        </w:rPr>
        <w:fldChar w:fldCharType="begin"/>
      </w:r>
      <w:r w:rsidR="00EC40CD" w:rsidRPr="00EC40CD">
        <w:rPr>
          <w:i/>
          <w:iCs/>
          <w:sz w:val="24"/>
          <w:szCs w:val="24"/>
        </w:rPr>
        <w:instrText xml:space="preserve"> REF _Ref105531266 \h  \* MERGEFORMAT </w:instrText>
      </w:r>
      <w:r w:rsidR="00EC40CD" w:rsidRPr="00EC40CD">
        <w:rPr>
          <w:i/>
          <w:iCs/>
          <w:sz w:val="24"/>
          <w:szCs w:val="24"/>
        </w:rPr>
      </w:r>
      <w:r w:rsidR="00EC40CD" w:rsidRPr="00EC40CD">
        <w:rPr>
          <w:i/>
          <w:iCs/>
          <w:sz w:val="24"/>
          <w:szCs w:val="24"/>
        </w:rPr>
        <w:fldChar w:fldCharType="separate"/>
      </w:r>
      <w:r w:rsidR="00EC40CD" w:rsidRPr="00EC40CD">
        <w:rPr>
          <w:i/>
          <w:iCs/>
          <w:color w:val="000000" w:themeColor="text1"/>
          <w:sz w:val="24"/>
          <w:szCs w:val="24"/>
        </w:rPr>
        <w:t xml:space="preserve">Table </w:t>
      </w:r>
      <w:r w:rsidR="00EC40CD" w:rsidRPr="00EC40CD">
        <w:rPr>
          <w:i/>
          <w:iCs/>
          <w:noProof/>
          <w:color w:val="000000" w:themeColor="text1"/>
          <w:sz w:val="24"/>
          <w:szCs w:val="24"/>
        </w:rPr>
        <w:t>7</w:t>
      </w:r>
      <w:r w:rsidR="00EC40CD" w:rsidRPr="00EC40CD">
        <w:rPr>
          <w:i/>
          <w:iCs/>
          <w:sz w:val="24"/>
          <w:szCs w:val="24"/>
        </w:rPr>
        <w:fldChar w:fldCharType="end"/>
      </w:r>
      <w:r w:rsidR="00260DEF" w:rsidRPr="00EC40CD">
        <w:rPr>
          <w:i/>
          <w:iCs/>
          <w:sz w:val="24"/>
          <w:szCs w:val="24"/>
        </w:rPr>
        <w:t>)</w:t>
      </w:r>
      <w:r w:rsidR="006C4D82" w:rsidRPr="00EC40CD">
        <w:rPr>
          <w:i/>
          <w:iCs/>
          <w:sz w:val="24"/>
          <w:szCs w:val="24"/>
        </w:rPr>
        <w:t>.</w:t>
      </w:r>
    </w:p>
    <w:p w14:paraId="39A84BE9" w14:textId="7470D656" w:rsidR="00785A05" w:rsidRPr="00315847" w:rsidRDefault="006D5B50">
      <w:pPr>
        <w:pStyle w:val="ListParagraph"/>
        <w:numPr>
          <w:ilvl w:val="0"/>
          <w:numId w:val="39"/>
        </w:numPr>
        <w:spacing w:after="0" w:line="360" w:lineRule="auto"/>
        <w:ind w:left="714" w:hanging="357"/>
        <w:rPr>
          <w:i/>
          <w:iCs/>
          <w:sz w:val="24"/>
          <w:szCs w:val="24"/>
        </w:rPr>
      </w:pPr>
      <w:r w:rsidRPr="00315847">
        <w:rPr>
          <w:i/>
          <w:iCs/>
          <w:sz w:val="24"/>
          <w:szCs w:val="24"/>
        </w:rPr>
        <w:t>E-test strip method: Plastic strips coated with predefined antibiotics concentrations</w:t>
      </w:r>
      <w:r w:rsidR="00260DEF" w:rsidRPr="00315847">
        <w:rPr>
          <w:i/>
          <w:iCs/>
          <w:sz w:val="24"/>
          <w:szCs w:val="24"/>
        </w:rPr>
        <w:t xml:space="preserve"> were placed on pre-inoculated agar/blood agar plates. </w:t>
      </w:r>
      <w:r w:rsidRPr="00315847">
        <w:rPr>
          <w:i/>
          <w:iCs/>
          <w:sz w:val="24"/>
          <w:szCs w:val="24"/>
        </w:rPr>
        <w:t>Elliptical inhibition zones indicate the MIC at the intersection point between the inhibition zone and edge of the strip</w:t>
      </w:r>
      <w:r w:rsidR="00761B93" w:rsidRPr="00315847">
        <w:rPr>
          <w:i/>
          <w:iCs/>
          <w:sz w:val="24"/>
          <w:szCs w:val="24"/>
        </w:rPr>
        <w:t xml:space="preserve">. </w:t>
      </w:r>
    </w:p>
    <w:p w14:paraId="31856A80" w14:textId="296F16C6" w:rsidR="0090450F" w:rsidRPr="007B2719" w:rsidRDefault="006D5B50">
      <w:pPr>
        <w:pStyle w:val="ListParagraph"/>
        <w:numPr>
          <w:ilvl w:val="0"/>
          <w:numId w:val="39"/>
        </w:numPr>
        <w:spacing w:after="0" w:line="360" w:lineRule="auto"/>
        <w:ind w:left="714" w:hanging="357"/>
        <w:rPr>
          <w:i/>
          <w:iCs/>
        </w:rPr>
      </w:pPr>
      <w:r w:rsidRPr="00315847">
        <w:rPr>
          <w:i/>
          <w:iCs/>
          <w:sz w:val="24"/>
          <w:szCs w:val="24"/>
        </w:rPr>
        <w:t xml:space="preserve">Agar incorporation method: </w:t>
      </w:r>
      <w:r w:rsidR="00B80D7F" w:rsidRPr="00315847">
        <w:rPr>
          <w:i/>
          <w:iCs/>
          <w:sz w:val="24"/>
          <w:szCs w:val="24"/>
        </w:rPr>
        <w:t>A p</w:t>
      </w:r>
      <w:r w:rsidRPr="00315847">
        <w:rPr>
          <w:i/>
          <w:iCs/>
          <w:sz w:val="24"/>
          <w:szCs w:val="24"/>
        </w:rPr>
        <w:t>redefined concentration</w:t>
      </w:r>
      <w:r w:rsidR="00B80D7F" w:rsidRPr="00315847">
        <w:rPr>
          <w:i/>
          <w:iCs/>
          <w:sz w:val="24"/>
          <w:szCs w:val="24"/>
        </w:rPr>
        <w:t xml:space="preserve"> </w:t>
      </w:r>
      <w:r w:rsidRPr="00315847">
        <w:rPr>
          <w:i/>
          <w:iCs/>
          <w:sz w:val="24"/>
          <w:szCs w:val="24"/>
        </w:rPr>
        <w:t xml:space="preserve">of </w:t>
      </w:r>
      <w:r w:rsidR="00216DE2" w:rsidRPr="00315847">
        <w:rPr>
          <w:i/>
          <w:iCs/>
          <w:sz w:val="24"/>
          <w:szCs w:val="24"/>
        </w:rPr>
        <w:t>antibiotic</w:t>
      </w:r>
      <w:r w:rsidRPr="00315847">
        <w:rPr>
          <w:i/>
          <w:iCs/>
          <w:sz w:val="24"/>
          <w:szCs w:val="24"/>
        </w:rPr>
        <w:t xml:space="preserve"> </w:t>
      </w:r>
      <w:r w:rsidR="00260DEF" w:rsidRPr="00315847">
        <w:rPr>
          <w:i/>
          <w:iCs/>
          <w:sz w:val="24"/>
          <w:szCs w:val="24"/>
        </w:rPr>
        <w:t>was</w:t>
      </w:r>
      <w:r w:rsidR="0040235E" w:rsidRPr="00315847">
        <w:rPr>
          <w:i/>
          <w:iCs/>
          <w:sz w:val="24"/>
          <w:szCs w:val="24"/>
        </w:rPr>
        <w:t xml:space="preserve"> </w:t>
      </w:r>
      <w:r w:rsidRPr="00315847">
        <w:rPr>
          <w:i/>
          <w:iCs/>
          <w:sz w:val="24"/>
          <w:szCs w:val="24"/>
        </w:rPr>
        <w:t xml:space="preserve">incorporated into agar </w:t>
      </w:r>
      <w:r w:rsidR="00260DEF" w:rsidRPr="00315847">
        <w:rPr>
          <w:i/>
          <w:iCs/>
          <w:sz w:val="24"/>
          <w:szCs w:val="24"/>
        </w:rPr>
        <w:t>plates</w:t>
      </w:r>
      <w:r w:rsidR="00721C61">
        <w:rPr>
          <w:i/>
          <w:iCs/>
          <w:sz w:val="24"/>
          <w:szCs w:val="24"/>
        </w:rPr>
        <w:t xml:space="preserve">. </w:t>
      </w:r>
      <w:r w:rsidR="00216DE2" w:rsidRPr="00315847">
        <w:rPr>
          <w:i/>
          <w:iCs/>
          <w:sz w:val="24"/>
          <w:szCs w:val="24"/>
        </w:rPr>
        <w:t xml:space="preserve">A standardised </w:t>
      </w:r>
      <w:r w:rsidR="003F00BE" w:rsidRPr="00315847">
        <w:rPr>
          <w:i/>
          <w:iCs/>
          <w:sz w:val="24"/>
          <w:szCs w:val="24"/>
        </w:rPr>
        <w:t xml:space="preserve">density of bacterial inoculum </w:t>
      </w:r>
      <w:r w:rsidR="00260DEF" w:rsidRPr="00315847">
        <w:rPr>
          <w:i/>
          <w:iCs/>
          <w:sz w:val="24"/>
          <w:szCs w:val="24"/>
        </w:rPr>
        <w:t>was</w:t>
      </w:r>
      <w:r w:rsidR="003F00BE" w:rsidRPr="00315847">
        <w:rPr>
          <w:i/>
          <w:iCs/>
          <w:sz w:val="24"/>
          <w:szCs w:val="24"/>
        </w:rPr>
        <w:t xml:space="preserve"> prepared to give 10</w:t>
      </w:r>
      <w:r w:rsidR="003F00BE" w:rsidRPr="00315847">
        <w:rPr>
          <w:i/>
          <w:iCs/>
          <w:sz w:val="24"/>
          <w:szCs w:val="24"/>
          <w:vertAlign w:val="superscript"/>
        </w:rPr>
        <w:t>4</w:t>
      </w:r>
      <w:r w:rsidR="003F00BE" w:rsidRPr="00315847">
        <w:rPr>
          <w:i/>
          <w:iCs/>
          <w:sz w:val="24"/>
          <w:szCs w:val="24"/>
        </w:rPr>
        <w:t xml:space="preserve"> colony-forming units per spot on the ag</w:t>
      </w:r>
      <w:r w:rsidR="000137F6">
        <w:rPr>
          <w:i/>
          <w:iCs/>
          <w:sz w:val="24"/>
          <w:szCs w:val="24"/>
        </w:rPr>
        <w:t>ar</w:t>
      </w:r>
      <w:r w:rsidR="00721C61">
        <w:rPr>
          <w:i/>
          <w:iCs/>
          <w:sz w:val="24"/>
          <w:szCs w:val="24"/>
        </w:rPr>
        <w:t xml:space="preserve"> plate</w:t>
      </w:r>
      <w:r w:rsidR="00EC40CD">
        <w:rPr>
          <w:i/>
          <w:iCs/>
          <w:sz w:val="24"/>
          <w:szCs w:val="24"/>
        </w:rPr>
        <w:t xml:space="preserve">. </w:t>
      </w:r>
      <w:r w:rsidR="00402C14" w:rsidRPr="00315847">
        <w:rPr>
          <w:i/>
          <w:iCs/>
          <w:sz w:val="24"/>
          <w:szCs w:val="24"/>
        </w:rPr>
        <w:t xml:space="preserve">If bacterial growth is inhibited </w:t>
      </w:r>
      <w:r w:rsidR="00260DEF" w:rsidRPr="00315847">
        <w:rPr>
          <w:i/>
          <w:iCs/>
          <w:sz w:val="24"/>
          <w:szCs w:val="24"/>
        </w:rPr>
        <w:t xml:space="preserve">(middle plate) </w:t>
      </w:r>
      <w:r w:rsidR="00402C14" w:rsidRPr="00315847">
        <w:rPr>
          <w:i/>
          <w:iCs/>
          <w:sz w:val="24"/>
          <w:szCs w:val="24"/>
        </w:rPr>
        <w:t>then the bacteria is classified as susceptible to that antibiotic. If bacterial growth persists</w:t>
      </w:r>
      <w:r w:rsidR="00260DEF" w:rsidRPr="00315847">
        <w:rPr>
          <w:i/>
          <w:iCs/>
          <w:sz w:val="24"/>
          <w:szCs w:val="24"/>
        </w:rPr>
        <w:t xml:space="preserve"> (bottom plate)</w:t>
      </w:r>
      <w:r w:rsidR="00402C14" w:rsidRPr="00315847">
        <w:rPr>
          <w:i/>
          <w:iCs/>
          <w:sz w:val="24"/>
          <w:szCs w:val="24"/>
        </w:rPr>
        <w:t xml:space="preserve"> in the presence of the known antibiotic concentration that determines resistance, the bacteria is classified as resistant</w:t>
      </w:r>
      <w:r w:rsidR="00216DE2" w:rsidRPr="00315847">
        <w:rPr>
          <w:i/>
          <w:iCs/>
          <w:sz w:val="24"/>
          <w:szCs w:val="24"/>
        </w:rPr>
        <w:t>. A</w:t>
      </w:r>
      <w:r w:rsidR="00D46D94" w:rsidRPr="00315847">
        <w:rPr>
          <w:i/>
          <w:iCs/>
          <w:sz w:val="24"/>
          <w:szCs w:val="24"/>
        </w:rPr>
        <w:t>n antibiotic</w:t>
      </w:r>
      <w:r w:rsidR="00216DE2" w:rsidRPr="00315847">
        <w:rPr>
          <w:i/>
          <w:iCs/>
          <w:sz w:val="24"/>
          <w:szCs w:val="24"/>
        </w:rPr>
        <w:t xml:space="preserve"> </w:t>
      </w:r>
      <w:r w:rsidR="00D46D94" w:rsidRPr="00315847">
        <w:rPr>
          <w:i/>
          <w:iCs/>
          <w:sz w:val="24"/>
          <w:szCs w:val="24"/>
        </w:rPr>
        <w:t>free agar</w:t>
      </w:r>
      <w:r w:rsidR="00216DE2" w:rsidRPr="00315847">
        <w:rPr>
          <w:i/>
          <w:iCs/>
          <w:sz w:val="24"/>
          <w:szCs w:val="24"/>
        </w:rPr>
        <w:t xml:space="preserve"> plate is used </w:t>
      </w:r>
      <w:r w:rsidR="00D46D94" w:rsidRPr="00315847">
        <w:rPr>
          <w:i/>
          <w:iCs/>
          <w:sz w:val="24"/>
          <w:szCs w:val="24"/>
        </w:rPr>
        <w:t xml:space="preserve">as a </w:t>
      </w:r>
      <w:r w:rsidR="00402C14" w:rsidRPr="00315847">
        <w:rPr>
          <w:i/>
          <w:iCs/>
          <w:sz w:val="24"/>
          <w:szCs w:val="24"/>
        </w:rPr>
        <w:t xml:space="preserve">control </w:t>
      </w:r>
      <w:r w:rsidR="00216DE2" w:rsidRPr="00315847">
        <w:rPr>
          <w:i/>
          <w:iCs/>
          <w:sz w:val="24"/>
          <w:szCs w:val="24"/>
        </w:rPr>
        <w:t>(top plate in diagram).</w:t>
      </w:r>
    </w:p>
    <w:p w14:paraId="553E2434" w14:textId="0B24EA35" w:rsidR="00721C61" w:rsidRDefault="00721C61" w:rsidP="00721C61">
      <w:pPr>
        <w:pStyle w:val="ListParagraph"/>
        <w:rPr>
          <w:i/>
          <w:iCs/>
          <w:sz w:val="24"/>
          <w:szCs w:val="24"/>
        </w:rPr>
      </w:pPr>
    </w:p>
    <w:p w14:paraId="2239AC94" w14:textId="77777777" w:rsidR="00721C61" w:rsidRPr="00315847" w:rsidRDefault="00721C61" w:rsidP="007B2719">
      <w:pPr>
        <w:pStyle w:val="ListParagraph"/>
        <w:rPr>
          <w:i/>
          <w:iCs/>
        </w:rPr>
      </w:pPr>
    </w:p>
    <w:p w14:paraId="2C251C0F" w14:textId="7D34A016" w:rsidR="000F7529" w:rsidRDefault="000F7529" w:rsidP="00576BDA">
      <w:pPr>
        <w:pStyle w:val="Heading3"/>
        <w:spacing w:before="0" w:line="360" w:lineRule="auto"/>
      </w:pPr>
      <w:bookmarkStart w:id="132" w:name="_Toc117765952"/>
      <w:r>
        <w:lastRenderedPageBreak/>
        <w:t>Genotypic resistance</w:t>
      </w:r>
      <w:bookmarkEnd w:id="132"/>
      <w:r>
        <w:t xml:space="preserve"> </w:t>
      </w:r>
    </w:p>
    <w:p w14:paraId="346F1C9F" w14:textId="52383709" w:rsidR="00EF259E" w:rsidRPr="001D0248" w:rsidRDefault="00EF259E" w:rsidP="00284867">
      <w:pPr>
        <w:spacing w:after="160" w:line="360" w:lineRule="auto"/>
      </w:pPr>
      <w:r>
        <w:t xml:space="preserve">Once phenotypic </w:t>
      </w:r>
      <w:r w:rsidR="00D13BCB">
        <w:t xml:space="preserve">antibiotic resistance </w:t>
      </w:r>
      <w:r>
        <w:t xml:space="preserve">data had been obtained, the frozen bacterial isolates were transferred to the University of Sheffield (Professor </w:t>
      </w:r>
      <w:proofErr w:type="spellStart"/>
      <w:r>
        <w:t>Condliffe’s</w:t>
      </w:r>
      <w:proofErr w:type="spellEnd"/>
      <w:r>
        <w:t xml:space="preserve"> laboratory)</w:t>
      </w:r>
      <w:r w:rsidR="00477524">
        <w:t>.</w:t>
      </w:r>
      <w:r>
        <w:t xml:space="preserve"> </w:t>
      </w:r>
      <w:r w:rsidR="001C462A">
        <w:t xml:space="preserve">I </w:t>
      </w:r>
      <w:proofErr w:type="spellStart"/>
      <w:r w:rsidR="001C462A">
        <w:t>subcultured</w:t>
      </w:r>
      <w:proofErr w:type="spellEnd"/>
      <w:r w:rsidR="001C462A">
        <w:t xml:space="preserve"> the</w:t>
      </w:r>
      <w:r>
        <w:t xml:space="preserve"> bacterial isolates </w:t>
      </w:r>
      <w:r w:rsidR="00A51D20">
        <w:t>by plating them onto</w:t>
      </w:r>
      <w:r w:rsidR="001C462A">
        <w:t xml:space="preserve"> </w:t>
      </w:r>
      <w:r>
        <w:t>chocolate agar</w:t>
      </w:r>
      <w:r w:rsidR="00015345">
        <w:t xml:space="preserve"> </w:t>
      </w:r>
      <w:r w:rsidR="00BB0FBC">
        <w:t>(</w:t>
      </w:r>
      <w:r w:rsidR="00BB0FBC" w:rsidRPr="0090330D">
        <w:rPr>
          <w:i/>
          <w:iCs/>
        </w:rPr>
        <w:t>H. influenzae</w:t>
      </w:r>
      <w:r w:rsidR="00015345">
        <w:t>)</w:t>
      </w:r>
      <w:r w:rsidR="009E6279">
        <w:t>,</w:t>
      </w:r>
      <w:r>
        <w:t xml:space="preserve"> blood aga</w:t>
      </w:r>
      <w:r w:rsidR="00A51D20">
        <w:t>r</w:t>
      </w:r>
      <w:r w:rsidR="00015345">
        <w:t xml:space="preserve"> </w:t>
      </w:r>
      <w:r w:rsidR="00E14BFA">
        <w:t>(</w:t>
      </w:r>
      <w:r w:rsidR="00E14BFA" w:rsidRPr="0090330D">
        <w:rPr>
          <w:i/>
          <w:iCs/>
        </w:rPr>
        <w:t>S. pneumoniae</w:t>
      </w:r>
      <w:r w:rsidR="00BB0FBC">
        <w:rPr>
          <w:i/>
          <w:iCs/>
        </w:rPr>
        <w:t xml:space="preserve"> </w:t>
      </w:r>
      <w:r w:rsidR="00BB0FBC" w:rsidRPr="0090330D">
        <w:t>and</w:t>
      </w:r>
      <w:r w:rsidR="00BB0FBC">
        <w:rPr>
          <w:i/>
          <w:iCs/>
        </w:rPr>
        <w:t xml:space="preserve"> M. catarrhalis</w:t>
      </w:r>
      <w:r w:rsidR="00015345">
        <w:t>)</w:t>
      </w:r>
      <w:r w:rsidR="00E14BFA">
        <w:t xml:space="preserve">, </w:t>
      </w:r>
      <w:r w:rsidR="009E6279">
        <w:t xml:space="preserve">or </w:t>
      </w:r>
      <w:r w:rsidR="003C695D">
        <w:t>B</w:t>
      </w:r>
      <w:r w:rsidR="00E14BFA">
        <w:t xml:space="preserve">rain </w:t>
      </w:r>
      <w:r w:rsidR="003C695D">
        <w:t>H</w:t>
      </w:r>
      <w:r w:rsidR="00E14BFA">
        <w:t xml:space="preserve">eart </w:t>
      </w:r>
      <w:r w:rsidR="003C695D">
        <w:t>I</w:t>
      </w:r>
      <w:r w:rsidR="00E14BFA">
        <w:t>nfusion</w:t>
      </w:r>
      <w:r w:rsidR="003C695D">
        <w:t xml:space="preserve"> (BHI)</w:t>
      </w:r>
      <w:r w:rsidR="00E14BFA">
        <w:t xml:space="preserve"> agar (</w:t>
      </w:r>
      <w:r w:rsidR="00E14BFA" w:rsidRPr="0090330D">
        <w:rPr>
          <w:i/>
          <w:iCs/>
        </w:rPr>
        <w:t>S. aureus</w:t>
      </w:r>
      <w:r w:rsidR="00E14BFA">
        <w:t xml:space="preserve">) </w:t>
      </w:r>
      <w:r w:rsidR="003C695D">
        <w:t xml:space="preserve">and </w:t>
      </w:r>
      <w:r w:rsidR="00665DC2">
        <w:t>incubat</w:t>
      </w:r>
      <w:r w:rsidR="00A51D20">
        <w:t>ing them</w:t>
      </w:r>
      <w:r w:rsidR="00665DC2">
        <w:t xml:space="preserve"> overnight</w:t>
      </w:r>
      <w:r w:rsidR="003C695D">
        <w:t xml:space="preserve"> at 37</w:t>
      </w:r>
      <w:r w:rsidR="003C695D">
        <w:sym w:font="Symbol" w:char="F0B0"/>
      </w:r>
      <w:r w:rsidR="003C695D">
        <w:t>C</w:t>
      </w:r>
      <w:r w:rsidR="00B95FCC">
        <w:t xml:space="preserve"> in 5% CO</w:t>
      </w:r>
      <w:r w:rsidR="00B95FCC" w:rsidRPr="00B95FCC">
        <w:rPr>
          <w:vertAlign w:val="subscript"/>
        </w:rPr>
        <w:t>2</w:t>
      </w:r>
      <w:r w:rsidR="00B95FCC">
        <w:t xml:space="preserve"> (No CO</w:t>
      </w:r>
      <w:r w:rsidR="00B95FCC" w:rsidRPr="00B95FCC">
        <w:rPr>
          <w:vertAlign w:val="subscript"/>
        </w:rPr>
        <w:t xml:space="preserve">2 </w:t>
      </w:r>
      <w:r w:rsidR="00B95FCC">
        <w:t xml:space="preserve">for </w:t>
      </w:r>
      <w:r w:rsidR="00B95FCC" w:rsidRPr="00B95FCC">
        <w:rPr>
          <w:i/>
          <w:iCs/>
        </w:rPr>
        <w:t>S. aureus</w:t>
      </w:r>
      <w:r w:rsidR="00B95FCC">
        <w:t xml:space="preserve">). </w:t>
      </w:r>
      <w:r w:rsidR="00503D5A">
        <w:t>Between 30-50 c</w:t>
      </w:r>
      <w:r>
        <w:t>olonies were sampled</w:t>
      </w:r>
      <w:r w:rsidR="00503D5A">
        <w:t xml:space="preserve"> using a 10</w:t>
      </w:r>
      <w:r w:rsidR="00503D5A">
        <w:rPr>
          <w:rFonts w:cstheme="minorHAnsi"/>
        </w:rPr>
        <w:t>µ</w:t>
      </w:r>
      <w:r w:rsidR="00503D5A">
        <w:t>l inoculat</w:t>
      </w:r>
      <w:r w:rsidR="000015AC">
        <w:t>ion</w:t>
      </w:r>
      <w:r w:rsidR="00503D5A">
        <w:t xml:space="preserve"> loop. These were</w:t>
      </w:r>
      <w:r w:rsidR="00665DC2">
        <w:t xml:space="preserve"> suspended in 1ml of </w:t>
      </w:r>
      <w:r>
        <w:t>PBS</w:t>
      </w:r>
      <w:r w:rsidR="00665DC2">
        <w:t xml:space="preserve"> and then the Qiagen </w:t>
      </w:r>
      <w:proofErr w:type="spellStart"/>
      <w:r w:rsidR="00665DC2">
        <w:t>DNeasy</w:t>
      </w:r>
      <w:proofErr w:type="spellEnd"/>
      <w:r w:rsidR="00665DC2">
        <w:t xml:space="preserve"> blood tissue protocol for DNA extraction was followed </w:t>
      </w:r>
      <w:r w:rsidR="00477524">
        <w:t xml:space="preserve">using the reagents from the supplied kit </w:t>
      </w:r>
      <w:r w:rsidR="00665DC2">
        <w:t>(</w:t>
      </w:r>
      <w:r w:rsidR="00940BDB">
        <w:t>a</w:t>
      </w:r>
      <w:r w:rsidR="00665DC2">
        <w:t xml:space="preserve">ppendix </w:t>
      </w:r>
      <w:r w:rsidR="00940BDB">
        <w:t>5</w:t>
      </w:r>
      <w:r w:rsidR="00665DC2">
        <w:t>).</w:t>
      </w:r>
      <w:r>
        <w:t xml:space="preserve"> </w:t>
      </w:r>
      <w:r w:rsidR="00503D5A">
        <w:t>In summary</w:t>
      </w:r>
      <w:r w:rsidR="00721C61">
        <w:t>,</w:t>
      </w:r>
      <w:r w:rsidR="00503D5A">
        <w:t xml:space="preserve"> </w:t>
      </w:r>
      <w:r w:rsidR="00393A22">
        <w:t xml:space="preserve">gram-positive </w:t>
      </w:r>
      <w:r w:rsidR="001C462A">
        <w:t xml:space="preserve">bacteria were lysed in an enzymatic lysis buffer </w:t>
      </w:r>
      <w:r w:rsidR="005F2596">
        <w:t xml:space="preserve">for </w:t>
      </w:r>
      <w:r w:rsidR="00393A22">
        <w:t>2 hours</w:t>
      </w:r>
      <w:r w:rsidR="005F2596">
        <w:t>. P</w:t>
      </w:r>
      <w:r w:rsidR="001C462A">
        <w:t xml:space="preserve">roteinase K </w:t>
      </w:r>
      <w:r w:rsidR="00015345">
        <w:t xml:space="preserve">was </w:t>
      </w:r>
      <w:r w:rsidR="001C462A">
        <w:t>added to remove protein contamin</w:t>
      </w:r>
      <w:r w:rsidR="005F2596">
        <w:t>ation</w:t>
      </w:r>
      <w:r w:rsidR="001C462A">
        <w:t>.</w:t>
      </w:r>
      <w:r w:rsidR="005F2596">
        <w:t xml:space="preserve"> Buffering conditions were adjusted to provide optimal DNA-binding conditions</w:t>
      </w:r>
      <w:r w:rsidR="00015345">
        <w:t xml:space="preserve"> and the </w:t>
      </w:r>
      <w:r w:rsidR="005F2596">
        <w:t>lysates loa</w:t>
      </w:r>
      <w:r w:rsidR="000015AC">
        <w:t>d</w:t>
      </w:r>
      <w:r w:rsidR="005F2596">
        <w:t xml:space="preserve">ed onto the </w:t>
      </w:r>
      <w:proofErr w:type="spellStart"/>
      <w:r w:rsidR="005F2596">
        <w:t>DNeasy</w:t>
      </w:r>
      <w:proofErr w:type="spellEnd"/>
      <w:r w:rsidR="005F2596">
        <w:t xml:space="preserve"> Mini Spin Columns. DNA </w:t>
      </w:r>
      <w:r w:rsidR="003C695D">
        <w:t xml:space="preserve">binds </w:t>
      </w:r>
      <w:r w:rsidR="005F2596">
        <w:t xml:space="preserve">selectively to the </w:t>
      </w:r>
      <w:proofErr w:type="spellStart"/>
      <w:r w:rsidR="005F2596">
        <w:t>DNeasy</w:t>
      </w:r>
      <w:proofErr w:type="spellEnd"/>
      <w:r w:rsidR="005F2596">
        <w:t xml:space="preserve"> membrane and contaminants</w:t>
      </w:r>
      <w:r w:rsidR="003C695D">
        <w:t xml:space="preserve"> were</w:t>
      </w:r>
      <w:r w:rsidR="005F2596">
        <w:t xml:space="preserve"> removed by centrifug</w:t>
      </w:r>
      <w:r w:rsidR="003C695D">
        <w:t>ation</w:t>
      </w:r>
      <w:r w:rsidR="005F2596">
        <w:t xml:space="preserve"> and washing steps. DNA was then eluted </w:t>
      </w:r>
      <w:r w:rsidR="003C695D">
        <w:t xml:space="preserve">using </w:t>
      </w:r>
      <w:r w:rsidR="005F2596">
        <w:t>50</w:t>
      </w:r>
      <w:r w:rsidR="00015345">
        <w:rPr>
          <w:rFonts w:cstheme="minorHAnsi"/>
        </w:rPr>
        <w:t>µ</w:t>
      </w:r>
      <w:r w:rsidR="00015345">
        <w:t>l</w:t>
      </w:r>
      <w:r w:rsidR="005F2596">
        <w:t xml:space="preserve"> of</w:t>
      </w:r>
      <w:r w:rsidR="00015345">
        <w:t xml:space="preserve"> </w:t>
      </w:r>
      <w:r w:rsidR="005F2596">
        <w:t>buffer</w:t>
      </w:r>
      <w:r w:rsidR="00015345">
        <w:t xml:space="preserve"> AE</w:t>
      </w:r>
      <w:r w:rsidR="001C462A">
        <w:t xml:space="preserve"> </w:t>
      </w:r>
      <w:r w:rsidR="00015345">
        <w:t xml:space="preserve">provided in the DNA extraction kit. </w:t>
      </w:r>
      <w:r w:rsidR="003C695D">
        <w:t xml:space="preserve">DNA extraction from </w:t>
      </w:r>
      <w:r w:rsidR="003C695D" w:rsidRPr="006D7CA7">
        <w:rPr>
          <w:i/>
          <w:iCs/>
        </w:rPr>
        <w:t>S. pneumoniae</w:t>
      </w:r>
      <w:r w:rsidR="003C695D">
        <w:t xml:space="preserve"> isolates during practice runs resulted in minimal DNA being obtained when using an incubation time of 30 minutes. </w:t>
      </w:r>
      <w:r w:rsidR="00665DC2">
        <w:t xml:space="preserve">A protocol optimisation </w:t>
      </w:r>
      <w:r>
        <w:t xml:space="preserve">was </w:t>
      </w:r>
      <w:r w:rsidR="003E6877">
        <w:t xml:space="preserve">required </w:t>
      </w:r>
      <w:r>
        <w:t xml:space="preserve">for processing </w:t>
      </w:r>
      <w:r w:rsidR="00464859">
        <w:t xml:space="preserve">of </w:t>
      </w:r>
      <w:r w:rsidR="00464859" w:rsidRPr="006D7CA7">
        <w:rPr>
          <w:i/>
          <w:iCs/>
        </w:rPr>
        <w:t>S. pneumoniae</w:t>
      </w:r>
      <w:r w:rsidR="00464859">
        <w:t xml:space="preserve">. The yield of DNA was </w:t>
      </w:r>
      <w:r w:rsidR="00C47244">
        <w:t>optimised</w:t>
      </w:r>
      <w:r w:rsidR="00464859">
        <w:t xml:space="preserve"> when the</w:t>
      </w:r>
      <w:r>
        <w:t xml:space="preserve"> </w:t>
      </w:r>
      <w:r w:rsidR="005D6581">
        <w:t>bacteria we</w:t>
      </w:r>
      <w:r w:rsidR="00665DC2">
        <w:t>re</w:t>
      </w:r>
      <w:r w:rsidR="005D6581">
        <w:t xml:space="preserve"> incubated for 2 hours i</w:t>
      </w:r>
      <w:r w:rsidR="00665DC2">
        <w:t>n the enzymatic lysis buffer rather</w:t>
      </w:r>
      <w:r w:rsidR="005D6581">
        <w:t xml:space="preserve"> than 30 min</w:t>
      </w:r>
      <w:r w:rsidR="00665DC2">
        <w:t>utes</w:t>
      </w:r>
      <w:r w:rsidR="00464859">
        <w:t xml:space="preserve"> (as advised by Lucy Unwin, PhD student, University of Sheffield)</w:t>
      </w:r>
      <w:r w:rsidR="003E6877">
        <w:t>.</w:t>
      </w:r>
      <w:r w:rsidR="00393A22">
        <w:t xml:space="preserve"> This was thought to be due to the </w:t>
      </w:r>
      <w:r w:rsidR="00884CC8">
        <w:t>properties of the</w:t>
      </w:r>
      <w:r w:rsidR="009C7B3B">
        <w:t xml:space="preserve"> polysaccharide</w:t>
      </w:r>
      <w:r w:rsidR="00884CC8">
        <w:t xml:space="preserve"> bacterial </w:t>
      </w:r>
      <w:r w:rsidR="009C7B3B">
        <w:t xml:space="preserve">capsule and the </w:t>
      </w:r>
      <w:r w:rsidR="00884CC8">
        <w:t xml:space="preserve">cell wall. </w:t>
      </w:r>
    </w:p>
    <w:p w14:paraId="10627983" w14:textId="1F9B1E4A" w:rsidR="00006664" w:rsidRDefault="00794FFF" w:rsidP="00665DC2">
      <w:pPr>
        <w:shd w:val="clear" w:color="auto" w:fill="FFFFFF" w:themeFill="background1"/>
        <w:spacing w:line="360" w:lineRule="auto"/>
      </w:pPr>
      <w:r>
        <w:t>DNA concentration and quality was assessed u</w:t>
      </w:r>
      <w:r w:rsidR="000C3296">
        <w:t>s</w:t>
      </w:r>
      <w:r>
        <w:t>ing a</w:t>
      </w:r>
      <w:r w:rsidR="00665DC2">
        <w:t xml:space="preserve"> Nanodrop </w:t>
      </w:r>
      <w:r w:rsidR="008710EB">
        <w:t>spectrophotometer</w:t>
      </w:r>
      <w:r w:rsidR="003C695D">
        <w:t>.</w:t>
      </w:r>
      <w:r w:rsidR="0091747B">
        <w:t xml:space="preserve"> The ratio of </w:t>
      </w:r>
      <w:r>
        <w:t xml:space="preserve">the </w:t>
      </w:r>
      <w:r w:rsidR="0091747B">
        <w:t>absorbance at 260 and 280nm was used to assess DNA purity with a ratio of ~1.8 being accepted as “pure”</w:t>
      </w:r>
      <w:r w:rsidR="000A665A">
        <w:t xml:space="preserve"> </w:t>
      </w:r>
      <w:r w:rsidR="0091747B">
        <w:t>for DNA</w:t>
      </w:r>
      <w:r w:rsidR="00E32B2F">
        <w:t xml:space="preserve"> </w:t>
      </w:r>
      <w:r w:rsidR="00E32B2F">
        <w:fldChar w:fldCharType="begin"/>
      </w:r>
      <w:r w:rsidR="00E32B2F">
        <w:instrText xml:space="preserve"> ADDIN EN.CITE &lt;EndNote&gt;&lt;Cite&gt;&lt;Author&gt;Koetsier&lt;/Author&gt;&lt;Year&gt;2019&lt;/Year&gt;&lt;RecNum&gt;412&lt;/RecNum&gt;&lt;DisplayText&gt;(Koetsier, 2019)&lt;/DisplayText&gt;&lt;record&gt;&lt;rec-number&gt;412&lt;/rec-number&gt;&lt;foreign-keys&gt;&lt;key app="EN" db-id="pr9rwt2w8padxcerwx6prd0a9wtda2w5fw2t" timestamp="1645447972"&gt;412&lt;/key&gt;&lt;/foreign-keys&gt;&lt;ref-type name="Generic"&gt;13&lt;/ref-type&gt;&lt;contributors&gt;&lt;authors&gt;&lt;author&gt;Koetsier, G. Cantor, E.&lt;/author&gt;&lt;/authors&gt;&lt;/contributors&gt;&lt;titles&gt;&lt;title&gt;A practical guide to analyzing nucleic acid concentration and purity with microvolume spectrophotometers&lt;/title&gt;&lt;/titles&gt;&lt;dates&gt;&lt;year&gt;2019&lt;/year&gt;&lt;/dates&gt;&lt;pub-location&gt;New England Biolabs&lt;/pub-location&gt;&lt;urls&gt;&lt;/urls&gt;&lt;/record&gt;&lt;/Cite&gt;&lt;/EndNote&gt;</w:instrText>
      </w:r>
      <w:r w:rsidR="00E32B2F">
        <w:fldChar w:fldCharType="separate"/>
      </w:r>
      <w:r w:rsidR="00E32B2F">
        <w:rPr>
          <w:noProof/>
        </w:rPr>
        <w:t>(Koetsier, 2019)</w:t>
      </w:r>
      <w:r w:rsidR="00E32B2F">
        <w:fldChar w:fldCharType="end"/>
      </w:r>
      <w:r w:rsidR="0091747B">
        <w:t xml:space="preserve">. </w:t>
      </w:r>
      <w:r w:rsidR="00006664">
        <w:t xml:space="preserve"> </w:t>
      </w:r>
      <w:r w:rsidR="0091747B">
        <w:t xml:space="preserve">The presence of RNA </w:t>
      </w:r>
      <w:r w:rsidR="00E32B2F">
        <w:t xml:space="preserve">(pure RNA: A260/A280 ratio = 2.1) </w:t>
      </w:r>
      <w:r w:rsidR="0091747B">
        <w:t>may lead to higher ratios and the presence contaminants such as proteins may lead to ratios of &lt;1.</w:t>
      </w:r>
      <w:r>
        <w:t xml:space="preserve">6 </w:t>
      </w:r>
      <w:r w:rsidR="00E32B2F">
        <w:fldChar w:fldCharType="begin"/>
      </w:r>
      <w:r w:rsidR="00E32B2F">
        <w:instrText xml:space="preserve"> ADDIN EN.CITE &lt;EndNote&gt;&lt;Cite&gt;&lt;Author&gt;Koetsier&lt;/Author&gt;&lt;Year&gt;2019&lt;/Year&gt;&lt;RecNum&gt;412&lt;/RecNum&gt;&lt;DisplayText&gt;(Koetsier, 2019)&lt;/DisplayText&gt;&lt;record&gt;&lt;rec-number&gt;412&lt;/rec-number&gt;&lt;foreign-keys&gt;&lt;key app="EN" db-id="pr9rwt2w8padxcerwx6prd0a9wtda2w5fw2t" timestamp="1645447972"&gt;412&lt;/key&gt;&lt;/foreign-keys&gt;&lt;ref-type name="Generic"&gt;13&lt;/ref-type&gt;&lt;contributors&gt;&lt;authors&gt;&lt;author&gt;Koetsier, G. Cantor, E.&lt;/author&gt;&lt;/authors&gt;&lt;/contributors&gt;&lt;titles&gt;&lt;title&gt;A practical guide to analyzing nucleic acid concentration and purity with microvolume spectrophotometers&lt;/title&gt;&lt;/titles&gt;&lt;dates&gt;&lt;year&gt;2019&lt;/year&gt;&lt;/dates&gt;&lt;pub-location&gt;New England Biolabs&lt;/pub-location&gt;&lt;urls&gt;&lt;/urls&gt;&lt;/record&gt;&lt;/Cite&gt;&lt;/EndNote&gt;</w:instrText>
      </w:r>
      <w:r w:rsidR="00E32B2F">
        <w:fldChar w:fldCharType="separate"/>
      </w:r>
      <w:r w:rsidR="00E32B2F">
        <w:rPr>
          <w:noProof/>
        </w:rPr>
        <w:t>(Koetsier, 2019)</w:t>
      </w:r>
      <w:r w:rsidR="00E32B2F">
        <w:fldChar w:fldCharType="end"/>
      </w:r>
      <w:r w:rsidR="0091747B">
        <w:t xml:space="preserve">. </w:t>
      </w:r>
      <w:r w:rsidR="00006664">
        <w:t xml:space="preserve">The DNA </w:t>
      </w:r>
      <w:r w:rsidR="00665DC2">
        <w:t xml:space="preserve">was </w:t>
      </w:r>
      <w:r w:rsidR="00006664">
        <w:t xml:space="preserve">then </w:t>
      </w:r>
      <w:r w:rsidR="00665DC2">
        <w:t>frozen at -80</w:t>
      </w:r>
      <w:r w:rsidR="00665DC2">
        <w:rPr>
          <w:rFonts w:cstheme="minorHAnsi"/>
        </w:rPr>
        <w:t>⁰</w:t>
      </w:r>
      <w:r w:rsidR="00665DC2">
        <w:t xml:space="preserve">C until further analysis. A selection of </w:t>
      </w:r>
      <w:r w:rsidR="00B95FCC">
        <w:t>40</w:t>
      </w:r>
      <w:r w:rsidR="00665DC2">
        <w:t xml:space="preserve"> </w:t>
      </w:r>
      <w:r w:rsidR="00665DC2" w:rsidRPr="003465DC">
        <w:rPr>
          <w:i/>
          <w:iCs/>
        </w:rPr>
        <w:t>Streptococcus pneumoniae</w:t>
      </w:r>
      <w:r w:rsidR="00665DC2">
        <w:t xml:space="preserve"> DNA</w:t>
      </w:r>
      <w:r w:rsidR="00665DC2" w:rsidRPr="003465DC">
        <w:rPr>
          <w:i/>
          <w:iCs/>
        </w:rPr>
        <w:t xml:space="preserve"> </w:t>
      </w:r>
      <w:r w:rsidR="00665DC2">
        <w:t xml:space="preserve">samples </w:t>
      </w:r>
      <w:r w:rsidR="00F718A6">
        <w:t>that had been designated as ‘</w:t>
      </w:r>
      <w:r w:rsidR="003F0A16">
        <w:t>azithromycin</w:t>
      </w:r>
      <w:r w:rsidR="00F718A6">
        <w:t>-resistant’ by the microb</w:t>
      </w:r>
      <w:r w:rsidR="003F0A16">
        <w:t xml:space="preserve">iology laboratory </w:t>
      </w:r>
      <w:r w:rsidR="00665DC2">
        <w:t xml:space="preserve">were sent to the external company </w:t>
      </w:r>
      <w:proofErr w:type="spellStart"/>
      <w:r w:rsidR="00665DC2">
        <w:t>Microbe</w:t>
      </w:r>
      <w:r w:rsidR="00FD28EB">
        <w:t>s</w:t>
      </w:r>
      <w:r w:rsidR="00665DC2">
        <w:t>NG</w:t>
      </w:r>
      <w:proofErr w:type="spellEnd"/>
      <w:r w:rsidR="00665DC2">
        <w:t xml:space="preserve"> for whole genome sequencing in order to identify </w:t>
      </w:r>
      <w:r w:rsidR="003F0A16">
        <w:t xml:space="preserve">any </w:t>
      </w:r>
      <w:r w:rsidR="00665DC2">
        <w:t>resistance genes involved.</w:t>
      </w:r>
      <w:r w:rsidR="006554F9">
        <w:t xml:space="preserve"> </w:t>
      </w:r>
      <w:r w:rsidR="00665DC2">
        <w:t xml:space="preserve"> </w:t>
      </w:r>
      <w:proofErr w:type="spellStart"/>
      <w:r w:rsidR="006554F9">
        <w:t>MicrobesNG</w:t>
      </w:r>
      <w:proofErr w:type="spellEnd"/>
      <w:r w:rsidR="006554F9">
        <w:t xml:space="preserve"> required a minimum DNA concentration of 10 ng/</w:t>
      </w:r>
      <w:r w:rsidR="006554F9">
        <w:rPr>
          <w:rFonts w:cstheme="minorHAnsi"/>
        </w:rPr>
        <w:t>µ</w:t>
      </w:r>
      <w:r w:rsidR="006554F9">
        <w:t xml:space="preserve">l in 30-100 </w:t>
      </w:r>
      <w:r w:rsidR="006554F9">
        <w:rPr>
          <w:rFonts w:cstheme="minorHAnsi"/>
        </w:rPr>
        <w:t>µ</w:t>
      </w:r>
      <w:r w:rsidR="006554F9">
        <w:t xml:space="preserve">l. </w:t>
      </w:r>
      <w:r w:rsidR="00665DC2">
        <w:t xml:space="preserve">The selection was based on </w:t>
      </w:r>
      <w:r w:rsidR="00AA768C">
        <w:t>prioritising highly resistant isolates and where multiple isolates were obtained from the same participant.</w:t>
      </w:r>
    </w:p>
    <w:p w14:paraId="1BC44C52" w14:textId="77777777" w:rsidR="00006664" w:rsidRDefault="00006664" w:rsidP="00665DC2">
      <w:pPr>
        <w:shd w:val="clear" w:color="auto" w:fill="FFFFFF" w:themeFill="background1"/>
        <w:spacing w:line="360" w:lineRule="auto"/>
      </w:pPr>
    </w:p>
    <w:p w14:paraId="7FD43E60" w14:textId="73BAA711" w:rsidR="00006664" w:rsidRPr="003465DC" w:rsidRDefault="00006664" w:rsidP="00B95FCC">
      <w:pPr>
        <w:pStyle w:val="Heading3"/>
        <w:spacing w:before="0" w:line="360" w:lineRule="auto"/>
      </w:pPr>
      <w:bookmarkStart w:id="133" w:name="_Toc117765953"/>
      <w:r w:rsidRPr="003465DC">
        <w:lastRenderedPageBreak/>
        <w:t>Whole genome sequencing</w:t>
      </w:r>
      <w:r w:rsidR="00FD28EB">
        <w:t xml:space="preserve"> at </w:t>
      </w:r>
      <w:proofErr w:type="spellStart"/>
      <w:r w:rsidR="00FD28EB">
        <w:t>MicrobesNG</w:t>
      </w:r>
      <w:bookmarkEnd w:id="133"/>
      <w:proofErr w:type="spellEnd"/>
    </w:p>
    <w:p w14:paraId="24CC84F4" w14:textId="33582C96" w:rsidR="00FD3305" w:rsidRDefault="00601362" w:rsidP="00B95FCC">
      <w:pPr>
        <w:shd w:val="clear" w:color="auto" w:fill="FFFFFF" w:themeFill="background1"/>
        <w:spacing w:line="360" w:lineRule="auto"/>
      </w:pPr>
      <w:r>
        <w:t xml:space="preserve">Whole genome sequencing </w:t>
      </w:r>
      <w:r w:rsidR="003F00BE">
        <w:t>was</w:t>
      </w:r>
      <w:r>
        <w:t xml:space="preserve"> performed on the Illumina sequencing platform and sequenced using 2x250bp paired end reads. </w:t>
      </w:r>
    </w:p>
    <w:p w14:paraId="58B33A27" w14:textId="77777777" w:rsidR="009C7B3B" w:rsidRDefault="009C7B3B" w:rsidP="00B95FCC">
      <w:pPr>
        <w:shd w:val="clear" w:color="auto" w:fill="FFFFFF" w:themeFill="background1"/>
        <w:spacing w:line="360" w:lineRule="auto"/>
      </w:pPr>
    </w:p>
    <w:p w14:paraId="329D4A51" w14:textId="64D8FEFA" w:rsidR="00FD3305" w:rsidRDefault="00FD3305" w:rsidP="00B95FCC">
      <w:pPr>
        <w:pStyle w:val="Heading3"/>
        <w:spacing w:before="0" w:line="360" w:lineRule="auto"/>
      </w:pPr>
      <w:bookmarkStart w:id="134" w:name="_Toc117765954"/>
      <w:r w:rsidRPr="00FD3305">
        <w:t>Bioinformatics</w:t>
      </w:r>
      <w:bookmarkEnd w:id="134"/>
      <w:r w:rsidRPr="00FD3305">
        <w:t xml:space="preserve"> </w:t>
      </w:r>
    </w:p>
    <w:p w14:paraId="2849165E" w14:textId="606E95BE" w:rsidR="00601362" w:rsidRDefault="00FD3305" w:rsidP="00B95FCC">
      <w:pPr>
        <w:shd w:val="clear" w:color="auto" w:fill="FFFFFF" w:themeFill="background1"/>
        <w:spacing w:line="360" w:lineRule="auto"/>
      </w:pPr>
      <w:r>
        <w:t xml:space="preserve">An overview of the bioinformatics pipeline used is provided in </w:t>
      </w:r>
      <w:r w:rsidR="00315847" w:rsidRPr="00315847">
        <w:fldChar w:fldCharType="begin"/>
      </w:r>
      <w:r w:rsidR="00315847" w:rsidRPr="00315847">
        <w:instrText xml:space="preserve"> REF _Ref105445848 \h  \* MERGEFORMAT </w:instrText>
      </w:r>
      <w:r w:rsidR="00315847" w:rsidRPr="00315847">
        <w:fldChar w:fldCharType="separate"/>
      </w:r>
      <w:r w:rsidR="00315847" w:rsidRPr="00315847">
        <w:rPr>
          <w:color w:val="000000" w:themeColor="text1"/>
        </w:rPr>
        <w:t xml:space="preserve">Figure </w:t>
      </w:r>
      <w:r w:rsidR="00315847" w:rsidRPr="00315847">
        <w:rPr>
          <w:noProof/>
          <w:color w:val="000000" w:themeColor="text1"/>
        </w:rPr>
        <w:t>2</w:t>
      </w:r>
      <w:r w:rsidR="00315847" w:rsidRPr="00315847">
        <w:rPr>
          <w:color w:val="000000" w:themeColor="text1"/>
        </w:rPr>
        <w:noBreakHyphen/>
      </w:r>
      <w:r w:rsidR="00315847" w:rsidRPr="00315847">
        <w:rPr>
          <w:noProof/>
          <w:color w:val="000000" w:themeColor="text1"/>
        </w:rPr>
        <w:t>4</w:t>
      </w:r>
      <w:r w:rsidR="00315847" w:rsidRPr="00315847">
        <w:fldChar w:fldCharType="end"/>
      </w:r>
      <w:r w:rsidRPr="00315847">
        <w:t xml:space="preserve">. </w:t>
      </w:r>
      <w:r>
        <w:t xml:space="preserve">Assembly and annotation was performed by </w:t>
      </w:r>
      <w:proofErr w:type="spellStart"/>
      <w:r>
        <w:t>MicrobesNG</w:t>
      </w:r>
      <w:proofErr w:type="spellEnd"/>
      <w:r>
        <w:t xml:space="preserve"> using their </w:t>
      </w:r>
      <w:r w:rsidR="00601362">
        <w:t xml:space="preserve">standard pipeline. The closest identifiable reference genome </w:t>
      </w:r>
      <w:r>
        <w:t>was</w:t>
      </w:r>
      <w:r w:rsidR="00601362">
        <w:t xml:space="preserve"> identified using the Kraken taxonomic sequence classification system. Reads </w:t>
      </w:r>
      <w:r>
        <w:t>were</w:t>
      </w:r>
      <w:r w:rsidR="00601362">
        <w:t xml:space="preserve"> then mapped to the reference genome using Burrows-Wheeler Aligner </w:t>
      </w:r>
      <w:r w:rsidR="002C25D4">
        <w:t xml:space="preserve">(BWA) </w:t>
      </w:r>
      <w:r w:rsidR="00601362">
        <w:t>software and the quality of the data assessed</w:t>
      </w:r>
      <w:r>
        <w:t xml:space="preserve">. A de novo assembly of the reads was then performed using </w:t>
      </w:r>
      <w:r w:rsidR="000A665A">
        <w:t>‘</w:t>
      </w:r>
      <w:proofErr w:type="spellStart"/>
      <w:r>
        <w:t>SPAdes</w:t>
      </w:r>
      <w:proofErr w:type="spellEnd"/>
      <w:r w:rsidR="000A665A">
        <w:t>’</w:t>
      </w:r>
      <w:r>
        <w:t xml:space="preserve"> and the reads mapped back to the resultant contigs, again using BWA mem to get more quality metrics.</w:t>
      </w:r>
    </w:p>
    <w:p w14:paraId="4DE5FF6D" w14:textId="4DAEC2E5" w:rsidR="004E7FB7" w:rsidRPr="00284867" w:rsidRDefault="00FD3305" w:rsidP="00284867">
      <w:pPr>
        <w:shd w:val="clear" w:color="auto" w:fill="FFFFFF" w:themeFill="background1"/>
        <w:spacing w:after="160" w:line="360" w:lineRule="auto"/>
      </w:pPr>
      <w:r>
        <w:t xml:space="preserve">I then performed the subsequent bioinformatic analysis </w:t>
      </w:r>
      <w:r w:rsidR="008F3F03">
        <w:t>with guidance from</w:t>
      </w:r>
      <w:r>
        <w:t xml:space="preserve"> postdoctoral researcher</w:t>
      </w:r>
      <w:r w:rsidR="002C25D4">
        <w:t>,</w:t>
      </w:r>
      <w:r>
        <w:t xml:space="preserve"> Carlos </w:t>
      </w:r>
      <w:proofErr w:type="spellStart"/>
      <w:r>
        <w:t>Suligoy</w:t>
      </w:r>
      <w:proofErr w:type="spellEnd"/>
      <w:r>
        <w:t xml:space="preserve">, department of Infection, Immunity and Cardiovascular Disease, University of Sheffield. </w:t>
      </w:r>
      <w:r w:rsidR="00BA0008">
        <w:t>Analysis was carried out using the Linux system Ubuntu</w:t>
      </w:r>
      <w:r w:rsidR="009E400F">
        <w:t xml:space="preserve"> and the </w:t>
      </w:r>
      <w:r w:rsidR="009E400F" w:rsidRPr="00284867">
        <w:t xml:space="preserve">following </w:t>
      </w:r>
      <w:r w:rsidR="004E7FB7" w:rsidRPr="00284867">
        <w:t>packages:</w:t>
      </w:r>
    </w:p>
    <w:p w14:paraId="26179613" w14:textId="127C3951" w:rsidR="004E7FB7" w:rsidRPr="00284867" w:rsidRDefault="004E7FB7">
      <w:pPr>
        <w:pStyle w:val="ListParagraph"/>
        <w:numPr>
          <w:ilvl w:val="0"/>
          <w:numId w:val="43"/>
        </w:numPr>
        <w:shd w:val="clear" w:color="auto" w:fill="FFFFFF" w:themeFill="background1"/>
        <w:spacing w:after="0" w:line="360" w:lineRule="auto"/>
        <w:rPr>
          <w:rFonts w:ascii="Times New Roman" w:hAnsi="Times New Roman" w:cs="Times New Roman"/>
          <w:sz w:val="24"/>
          <w:szCs w:val="24"/>
        </w:rPr>
      </w:pP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abricate</w:t>
      </w:r>
      <w:proofErr w:type="spellEnd"/>
      <w:r w:rsidRPr="00284867">
        <w:rPr>
          <w:rFonts w:ascii="Times New Roman" w:hAnsi="Times New Roman" w:cs="Times New Roman"/>
          <w:sz w:val="24"/>
          <w:szCs w:val="24"/>
        </w:rPr>
        <w:t>’ : T</w:t>
      </w:r>
      <w:r w:rsidR="00C21A91" w:rsidRPr="00284867">
        <w:rPr>
          <w:rFonts w:ascii="Times New Roman" w:hAnsi="Times New Roman" w:cs="Times New Roman"/>
          <w:sz w:val="24"/>
          <w:szCs w:val="24"/>
        </w:rPr>
        <w:t>o perform mass screening of contigs</w:t>
      </w:r>
      <w:r w:rsidR="00641462" w:rsidRPr="00284867">
        <w:rPr>
          <w:rFonts w:ascii="Times New Roman" w:hAnsi="Times New Roman" w:cs="Times New Roman"/>
          <w:sz w:val="24"/>
          <w:szCs w:val="24"/>
        </w:rPr>
        <w:t xml:space="preserve"> for resistance genes</w:t>
      </w:r>
      <w:r w:rsidR="00576268" w:rsidRPr="00284867">
        <w:rPr>
          <w:rFonts w:ascii="Times New Roman" w:hAnsi="Times New Roman" w:cs="Times New Roman"/>
          <w:sz w:val="24"/>
          <w:szCs w:val="24"/>
        </w:rPr>
        <w:t xml:space="preserve"> (</w:t>
      </w:r>
      <w:r w:rsidRPr="00284867">
        <w:rPr>
          <w:rFonts w:ascii="Times New Roman" w:hAnsi="Times New Roman" w:cs="Times New Roman"/>
          <w:sz w:val="24"/>
          <w:szCs w:val="24"/>
        </w:rPr>
        <w:t>NCBI</w:t>
      </w:r>
      <w:r w:rsidR="00576268" w:rsidRPr="00284867">
        <w:rPr>
          <w:rFonts w:ascii="Times New Roman" w:hAnsi="Times New Roman" w:cs="Times New Roman"/>
          <w:sz w:val="24"/>
          <w:szCs w:val="24"/>
        </w:rPr>
        <w:t xml:space="preserve"> </w:t>
      </w:r>
      <w:r w:rsidR="00B263EE">
        <w:rPr>
          <w:rFonts w:ascii="Times New Roman" w:hAnsi="Times New Roman" w:cs="Times New Roman"/>
          <w:sz w:val="24"/>
          <w:szCs w:val="24"/>
        </w:rPr>
        <w:t xml:space="preserve">and </w:t>
      </w:r>
      <w:proofErr w:type="spellStart"/>
      <w:r w:rsidR="00B263EE">
        <w:rPr>
          <w:rFonts w:ascii="Times New Roman" w:hAnsi="Times New Roman" w:cs="Times New Roman"/>
          <w:sz w:val="24"/>
          <w:szCs w:val="24"/>
        </w:rPr>
        <w:t>Res</w:t>
      </w:r>
      <w:r w:rsidRPr="00284867">
        <w:rPr>
          <w:rFonts w:ascii="Times New Roman" w:hAnsi="Times New Roman" w:cs="Times New Roman"/>
          <w:sz w:val="24"/>
          <w:szCs w:val="24"/>
        </w:rPr>
        <w:t>Finder</w:t>
      </w:r>
      <w:proofErr w:type="spellEnd"/>
      <w:r w:rsidRPr="00284867">
        <w:rPr>
          <w:rFonts w:ascii="Times New Roman" w:hAnsi="Times New Roman" w:cs="Times New Roman"/>
          <w:sz w:val="24"/>
          <w:szCs w:val="24"/>
        </w:rPr>
        <w:t xml:space="preserve"> </w:t>
      </w:r>
      <w:r w:rsidR="00576268" w:rsidRPr="00284867">
        <w:rPr>
          <w:rFonts w:ascii="Times New Roman" w:hAnsi="Times New Roman" w:cs="Times New Roman"/>
          <w:sz w:val="24"/>
          <w:szCs w:val="24"/>
        </w:rPr>
        <w:t>database</w:t>
      </w:r>
      <w:r w:rsidR="00B263EE">
        <w:rPr>
          <w:rFonts w:ascii="Times New Roman" w:hAnsi="Times New Roman" w:cs="Times New Roman"/>
          <w:sz w:val="24"/>
          <w:szCs w:val="24"/>
        </w:rPr>
        <w:t>s</w:t>
      </w:r>
      <w:r w:rsidRPr="00284867">
        <w:rPr>
          <w:rFonts w:ascii="Times New Roman" w:hAnsi="Times New Roman" w:cs="Times New Roman"/>
          <w:sz w:val="24"/>
          <w:szCs w:val="24"/>
        </w:rPr>
        <w:t xml:space="preserve">) </w:t>
      </w:r>
      <w:r w:rsidR="00641462" w:rsidRPr="00284867">
        <w:rPr>
          <w:rFonts w:ascii="Times New Roman" w:hAnsi="Times New Roman" w:cs="Times New Roman"/>
          <w:sz w:val="24"/>
          <w:szCs w:val="24"/>
        </w:rPr>
        <w:t xml:space="preserve">, plasmids </w:t>
      </w: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PlasmidFinder</w:t>
      </w:r>
      <w:proofErr w:type="spellEnd"/>
      <w:r w:rsidRPr="00284867">
        <w:rPr>
          <w:rFonts w:ascii="Times New Roman" w:hAnsi="Times New Roman" w:cs="Times New Roman"/>
          <w:sz w:val="24"/>
          <w:szCs w:val="24"/>
        </w:rPr>
        <w:t xml:space="preserve"> database) </w:t>
      </w:r>
      <w:r w:rsidR="00641462" w:rsidRPr="00284867">
        <w:rPr>
          <w:rFonts w:ascii="Times New Roman" w:hAnsi="Times New Roman" w:cs="Times New Roman"/>
          <w:sz w:val="24"/>
          <w:szCs w:val="24"/>
        </w:rPr>
        <w:t xml:space="preserve">and SNPs mapping. </w:t>
      </w:r>
    </w:p>
    <w:p w14:paraId="47887757" w14:textId="77777777" w:rsidR="004E7FB7" w:rsidRPr="00284867" w:rsidRDefault="004E7FB7">
      <w:pPr>
        <w:pStyle w:val="ListParagraph"/>
        <w:numPr>
          <w:ilvl w:val="0"/>
          <w:numId w:val="43"/>
        </w:numPr>
        <w:shd w:val="clear" w:color="auto" w:fill="FFFFFF" w:themeFill="background1"/>
        <w:spacing w:after="0" w:line="360" w:lineRule="auto"/>
        <w:rPr>
          <w:rFonts w:ascii="Times New Roman" w:hAnsi="Times New Roman" w:cs="Times New Roman"/>
          <w:sz w:val="24"/>
          <w:szCs w:val="24"/>
        </w:rPr>
      </w:pP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p</w:t>
      </w:r>
      <w:r w:rsidR="00641462" w:rsidRPr="00284867">
        <w:rPr>
          <w:rFonts w:ascii="Times New Roman" w:hAnsi="Times New Roman" w:cs="Times New Roman"/>
          <w:sz w:val="24"/>
          <w:szCs w:val="24"/>
        </w:rPr>
        <w:t>neumoCat</w:t>
      </w:r>
      <w:proofErr w:type="spellEnd"/>
      <w:r w:rsidRPr="00284867">
        <w:rPr>
          <w:rFonts w:ascii="Times New Roman" w:hAnsi="Times New Roman" w:cs="Times New Roman"/>
          <w:sz w:val="24"/>
          <w:szCs w:val="24"/>
        </w:rPr>
        <w:t>’ : To</w:t>
      </w:r>
      <w:r w:rsidR="00641462" w:rsidRPr="00284867">
        <w:rPr>
          <w:rFonts w:ascii="Times New Roman" w:hAnsi="Times New Roman" w:cs="Times New Roman"/>
          <w:sz w:val="24"/>
          <w:szCs w:val="24"/>
        </w:rPr>
        <w:t xml:space="preserve"> identif</w:t>
      </w:r>
      <w:r w:rsidRPr="00284867">
        <w:rPr>
          <w:rFonts w:ascii="Times New Roman" w:hAnsi="Times New Roman" w:cs="Times New Roman"/>
          <w:sz w:val="24"/>
          <w:szCs w:val="24"/>
        </w:rPr>
        <w:t>y</w:t>
      </w:r>
      <w:r w:rsidR="00641462" w:rsidRPr="00284867">
        <w:rPr>
          <w:rFonts w:ascii="Times New Roman" w:hAnsi="Times New Roman" w:cs="Times New Roman"/>
          <w:sz w:val="24"/>
          <w:szCs w:val="24"/>
        </w:rPr>
        <w:t xml:space="preserve"> the </w:t>
      </w:r>
      <w:proofErr w:type="spellStart"/>
      <w:r w:rsidR="00641462" w:rsidRPr="00C47244">
        <w:rPr>
          <w:rFonts w:ascii="Times New Roman" w:hAnsi="Times New Roman" w:cs="Times New Roman"/>
          <w:i/>
          <w:iCs/>
          <w:sz w:val="24"/>
          <w:szCs w:val="24"/>
        </w:rPr>
        <w:t>pneumoncoccal</w:t>
      </w:r>
      <w:proofErr w:type="spellEnd"/>
      <w:r w:rsidR="00641462" w:rsidRPr="00284867">
        <w:rPr>
          <w:rFonts w:ascii="Times New Roman" w:hAnsi="Times New Roman" w:cs="Times New Roman"/>
          <w:sz w:val="24"/>
          <w:szCs w:val="24"/>
        </w:rPr>
        <w:t xml:space="preserve"> serotype. </w:t>
      </w:r>
    </w:p>
    <w:p w14:paraId="49CE9284" w14:textId="387860D3" w:rsidR="00FD3305" w:rsidRPr="00284867" w:rsidRDefault="004E7FB7">
      <w:pPr>
        <w:pStyle w:val="ListParagraph"/>
        <w:numPr>
          <w:ilvl w:val="0"/>
          <w:numId w:val="43"/>
        </w:numPr>
        <w:shd w:val="clear" w:color="auto" w:fill="FFFFFF" w:themeFill="background1"/>
        <w:spacing w:after="0" w:line="360" w:lineRule="auto"/>
        <w:rPr>
          <w:rFonts w:ascii="Times New Roman" w:hAnsi="Times New Roman" w:cs="Times New Roman"/>
          <w:sz w:val="24"/>
          <w:szCs w:val="24"/>
        </w:rPr>
      </w:pP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r</w:t>
      </w:r>
      <w:r w:rsidR="00641462" w:rsidRPr="00284867">
        <w:rPr>
          <w:rFonts w:ascii="Times New Roman" w:hAnsi="Times New Roman" w:cs="Times New Roman"/>
          <w:sz w:val="24"/>
          <w:szCs w:val="24"/>
        </w:rPr>
        <w:t>oary</w:t>
      </w:r>
      <w:proofErr w:type="spellEnd"/>
      <w:r w:rsidRPr="00284867">
        <w:rPr>
          <w:rFonts w:ascii="Times New Roman" w:hAnsi="Times New Roman" w:cs="Times New Roman"/>
          <w:sz w:val="24"/>
          <w:szCs w:val="24"/>
        </w:rPr>
        <w:t>’</w:t>
      </w:r>
      <w:r w:rsidR="00641462" w:rsidRPr="00284867">
        <w:rPr>
          <w:rFonts w:ascii="Times New Roman" w:hAnsi="Times New Roman" w:cs="Times New Roman"/>
          <w:sz w:val="24"/>
          <w:szCs w:val="24"/>
        </w:rPr>
        <w:t xml:space="preserve"> and </w:t>
      </w: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s</w:t>
      </w:r>
      <w:r w:rsidR="00641462" w:rsidRPr="00284867">
        <w:rPr>
          <w:rFonts w:ascii="Times New Roman" w:hAnsi="Times New Roman" w:cs="Times New Roman"/>
          <w:sz w:val="24"/>
          <w:szCs w:val="24"/>
        </w:rPr>
        <w:t>coary</w:t>
      </w:r>
      <w:proofErr w:type="spellEnd"/>
      <w:r w:rsidRPr="00284867">
        <w:rPr>
          <w:rFonts w:ascii="Times New Roman" w:hAnsi="Times New Roman" w:cs="Times New Roman"/>
          <w:sz w:val="24"/>
          <w:szCs w:val="24"/>
        </w:rPr>
        <w:t>’</w:t>
      </w:r>
      <w:r w:rsidR="00641462" w:rsidRPr="00284867">
        <w:rPr>
          <w:rFonts w:ascii="Times New Roman" w:hAnsi="Times New Roman" w:cs="Times New Roman"/>
          <w:sz w:val="24"/>
          <w:szCs w:val="24"/>
        </w:rPr>
        <w:t xml:space="preserve"> </w:t>
      </w:r>
      <w:r w:rsidR="00A93389" w:rsidRPr="00284867">
        <w:rPr>
          <w:rFonts w:ascii="Times New Roman" w:hAnsi="Times New Roman" w:cs="Times New Roman"/>
          <w:sz w:val="24"/>
          <w:szCs w:val="24"/>
        </w:rPr>
        <w:t xml:space="preserve">: </w:t>
      </w:r>
      <w:r w:rsidR="00641462" w:rsidRPr="00284867">
        <w:rPr>
          <w:rFonts w:ascii="Times New Roman" w:hAnsi="Times New Roman" w:cs="Times New Roman"/>
          <w:sz w:val="24"/>
          <w:szCs w:val="24"/>
        </w:rPr>
        <w:t xml:space="preserve"> </w:t>
      </w:r>
      <w:r w:rsidR="00A93389" w:rsidRPr="00284867">
        <w:rPr>
          <w:rFonts w:ascii="Times New Roman" w:hAnsi="Times New Roman" w:cs="Times New Roman"/>
          <w:sz w:val="24"/>
          <w:szCs w:val="24"/>
        </w:rPr>
        <w:t>U</w:t>
      </w:r>
      <w:r w:rsidR="00641462" w:rsidRPr="00284867">
        <w:rPr>
          <w:rFonts w:ascii="Times New Roman" w:hAnsi="Times New Roman" w:cs="Times New Roman"/>
          <w:sz w:val="24"/>
          <w:szCs w:val="24"/>
        </w:rPr>
        <w:t>tilised for pangenome studies.</w:t>
      </w:r>
      <w:r w:rsidR="001B1138" w:rsidRPr="00284867">
        <w:rPr>
          <w:rFonts w:ascii="Times New Roman" w:hAnsi="Times New Roman" w:cs="Times New Roman"/>
          <w:sz w:val="24"/>
          <w:szCs w:val="24"/>
        </w:rPr>
        <w:t xml:space="preserve"> </w:t>
      </w:r>
    </w:p>
    <w:p w14:paraId="2CE902D1" w14:textId="3B7B2C41" w:rsidR="00A93389" w:rsidRPr="00284867" w:rsidRDefault="00A93389">
      <w:pPr>
        <w:pStyle w:val="ListParagraph"/>
        <w:numPr>
          <w:ilvl w:val="0"/>
          <w:numId w:val="43"/>
        </w:numPr>
        <w:shd w:val="clear" w:color="auto" w:fill="FFFFFF" w:themeFill="background1"/>
        <w:spacing w:line="360" w:lineRule="auto"/>
        <w:ind w:left="714" w:hanging="357"/>
        <w:rPr>
          <w:rFonts w:ascii="Times New Roman" w:hAnsi="Times New Roman" w:cs="Times New Roman"/>
          <w:sz w:val="24"/>
          <w:szCs w:val="24"/>
        </w:rPr>
      </w:pPr>
      <w:r w:rsidRPr="00284867">
        <w:rPr>
          <w:rFonts w:ascii="Times New Roman" w:hAnsi="Times New Roman" w:cs="Times New Roman"/>
          <w:sz w:val="24"/>
          <w:szCs w:val="24"/>
        </w:rPr>
        <w:t>‘</w:t>
      </w:r>
      <w:proofErr w:type="spellStart"/>
      <w:r w:rsidRPr="00284867">
        <w:rPr>
          <w:rFonts w:ascii="Times New Roman" w:hAnsi="Times New Roman" w:cs="Times New Roman"/>
          <w:sz w:val="24"/>
          <w:szCs w:val="24"/>
        </w:rPr>
        <w:t>fastTree</w:t>
      </w:r>
      <w:proofErr w:type="spellEnd"/>
      <w:r w:rsidRPr="00284867">
        <w:rPr>
          <w:rFonts w:ascii="Times New Roman" w:hAnsi="Times New Roman" w:cs="Times New Roman"/>
          <w:sz w:val="24"/>
          <w:szCs w:val="24"/>
        </w:rPr>
        <w:t xml:space="preserve">’: To create a tree file for use in the </w:t>
      </w:r>
      <w:r w:rsidR="00B1199E" w:rsidRPr="00284867">
        <w:rPr>
          <w:rFonts w:ascii="Times New Roman" w:hAnsi="Times New Roman" w:cs="Times New Roman"/>
          <w:sz w:val="24"/>
          <w:szCs w:val="24"/>
        </w:rPr>
        <w:t>‘</w:t>
      </w:r>
      <w:r w:rsidRPr="00284867">
        <w:rPr>
          <w:rFonts w:ascii="Times New Roman" w:hAnsi="Times New Roman" w:cs="Times New Roman"/>
          <w:sz w:val="24"/>
          <w:szCs w:val="24"/>
        </w:rPr>
        <w:t>interactive tree of life</w:t>
      </w:r>
      <w:r w:rsidR="00B1199E" w:rsidRPr="00284867">
        <w:rPr>
          <w:rFonts w:ascii="Times New Roman" w:hAnsi="Times New Roman" w:cs="Times New Roman"/>
          <w:sz w:val="24"/>
          <w:szCs w:val="24"/>
        </w:rPr>
        <w:t>’</w:t>
      </w:r>
      <w:r w:rsidRPr="00284867">
        <w:rPr>
          <w:rFonts w:ascii="Times New Roman" w:hAnsi="Times New Roman" w:cs="Times New Roman"/>
          <w:sz w:val="24"/>
          <w:szCs w:val="24"/>
        </w:rPr>
        <w:t xml:space="preserve"> for phylogenetic tree construction</w:t>
      </w:r>
      <w:r w:rsidR="009C7B3B" w:rsidRPr="00284867">
        <w:rPr>
          <w:rFonts w:ascii="Times New Roman" w:hAnsi="Times New Roman" w:cs="Times New Roman"/>
          <w:sz w:val="24"/>
          <w:szCs w:val="24"/>
        </w:rPr>
        <w:t>.</w:t>
      </w:r>
    </w:p>
    <w:p w14:paraId="25E07629" w14:textId="1DE8B17B" w:rsidR="00736249" w:rsidRPr="00A64728" w:rsidRDefault="002935D3" w:rsidP="00350445">
      <w:pPr>
        <w:shd w:val="clear" w:color="auto" w:fill="FFFFFF" w:themeFill="background1"/>
        <w:spacing w:line="360" w:lineRule="auto"/>
      </w:pPr>
      <w:r>
        <w:t xml:space="preserve">In summary, </w:t>
      </w:r>
      <w:r w:rsidR="0019438F">
        <w:t>c</w:t>
      </w:r>
      <w:r>
        <w:t xml:space="preserve">oding instructions </w:t>
      </w:r>
      <w:r w:rsidR="0036159B">
        <w:t>for the downloading and use of the packages w</w:t>
      </w:r>
      <w:r w:rsidR="0019438F">
        <w:t>ere</w:t>
      </w:r>
      <w:r w:rsidR="0036159B">
        <w:t xml:space="preserve"> obtained</w:t>
      </w:r>
      <w:r>
        <w:t xml:space="preserve"> through GitHub</w:t>
      </w:r>
      <w:r w:rsidR="0036159B">
        <w:t>, Inc.</w:t>
      </w:r>
      <w:r w:rsidR="007B34C1">
        <w:t xml:space="preserve"> This is an</w:t>
      </w:r>
      <w:r w:rsidR="0036159B">
        <w:t xml:space="preserve"> online collaborative platform </w:t>
      </w:r>
      <w:r w:rsidR="007B34C1">
        <w:t xml:space="preserve">that facilitates social coding and a web interface to open source, </w:t>
      </w:r>
      <w:r w:rsidR="009C7B3B">
        <w:t>version-controlled</w:t>
      </w:r>
      <w:r w:rsidR="007B34C1">
        <w:t xml:space="preserve"> </w:t>
      </w:r>
      <w:r w:rsidR="0019438F">
        <w:t xml:space="preserve">projects such as the packages used in this analysis. The required sequence data files supplied by </w:t>
      </w:r>
      <w:proofErr w:type="spellStart"/>
      <w:r w:rsidR="0019438F">
        <w:t>MicrobesNG</w:t>
      </w:r>
      <w:proofErr w:type="spellEnd"/>
      <w:r w:rsidR="0019438F">
        <w:t xml:space="preserve">, were inputted into each of the packages and the programme run. Interpretation of the output data obtained for the pangenome studies </w:t>
      </w:r>
      <w:r w:rsidR="009C7B3B">
        <w:t xml:space="preserve">was assisted by </w:t>
      </w:r>
      <w:r w:rsidR="0019438F">
        <w:t xml:space="preserve">Dr </w:t>
      </w:r>
      <w:r w:rsidR="009C7B3B">
        <w:t xml:space="preserve">Carl </w:t>
      </w:r>
      <w:proofErr w:type="spellStart"/>
      <w:r w:rsidR="0019438F">
        <w:t>Suligoy</w:t>
      </w:r>
      <w:proofErr w:type="spellEnd"/>
      <w:r w:rsidR="009C7B3B">
        <w:t xml:space="preserve"> (PDRA in Dr Tom </w:t>
      </w:r>
      <w:proofErr w:type="spellStart"/>
      <w:r w:rsidR="009C7B3B">
        <w:t>Darton’s</w:t>
      </w:r>
      <w:proofErr w:type="spellEnd"/>
      <w:r w:rsidR="009C7B3B">
        <w:t xml:space="preserve"> laboratory)</w:t>
      </w:r>
      <w:r w:rsidR="0019438F">
        <w:t xml:space="preserve">. </w:t>
      </w:r>
    </w:p>
    <w:p w14:paraId="2CE92327" w14:textId="77777777" w:rsidR="00135703" w:rsidRDefault="00135703" w:rsidP="00FD3305"/>
    <w:p w14:paraId="576B01B2" w14:textId="77777777" w:rsidR="00030D3C" w:rsidRDefault="00B13396" w:rsidP="00030D3C">
      <w:pPr>
        <w:keepNext/>
      </w:pPr>
      <w:r>
        <w:rPr>
          <w:noProof/>
        </w:rPr>
        <w:lastRenderedPageBreak/>
        <w:drawing>
          <wp:inline distT="0" distB="0" distL="0" distR="0" wp14:anchorId="707B1452" wp14:editId="5781495F">
            <wp:extent cx="6671733" cy="3752850"/>
            <wp:effectExtent l="0" t="0" r="0" b="0"/>
            <wp:docPr id="546" name="Graphic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673650" cy="3753928"/>
                    </a:xfrm>
                    <a:prstGeom prst="rect">
                      <a:avLst/>
                    </a:prstGeom>
                  </pic:spPr>
                </pic:pic>
              </a:graphicData>
            </a:graphic>
          </wp:inline>
        </w:drawing>
      </w:r>
    </w:p>
    <w:p w14:paraId="4D6A4F50" w14:textId="036E58F5" w:rsidR="00353FF4" w:rsidRPr="00485F15" w:rsidRDefault="00485F15" w:rsidP="00B54053">
      <w:pPr>
        <w:pStyle w:val="Caption"/>
        <w:spacing w:after="0" w:line="360" w:lineRule="auto"/>
        <w:rPr>
          <w:i w:val="0"/>
          <w:iCs w:val="0"/>
          <w:color w:val="auto"/>
          <w:sz w:val="24"/>
          <w:szCs w:val="24"/>
        </w:rPr>
      </w:pPr>
      <w:bookmarkStart w:id="135" w:name="_Ref105445848"/>
      <w:bookmarkStart w:id="136" w:name="_Toc117780215"/>
      <w:r w:rsidRPr="00485F15">
        <w:rPr>
          <w:b/>
          <w:bCs/>
          <w:i w:val="0"/>
          <w:iCs w:val="0"/>
          <w:color w:val="auto"/>
          <w:sz w:val="24"/>
          <w:szCs w:val="24"/>
        </w:rPr>
        <w:t xml:space="preserve">Figure </w:t>
      </w:r>
      <w:r w:rsidR="00F42C6F">
        <w:rPr>
          <w:b/>
          <w:bCs/>
          <w:i w:val="0"/>
          <w:iCs w:val="0"/>
          <w:color w:val="auto"/>
          <w:sz w:val="24"/>
          <w:szCs w:val="24"/>
        </w:rPr>
        <w:fldChar w:fldCharType="begin"/>
      </w:r>
      <w:r w:rsidR="00F42C6F">
        <w:rPr>
          <w:b/>
          <w:bCs/>
          <w:i w:val="0"/>
          <w:iCs w:val="0"/>
          <w:color w:val="auto"/>
          <w:sz w:val="24"/>
          <w:szCs w:val="24"/>
        </w:rPr>
        <w:instrText xml:space="preserve"> STYLEREF 1 \s </w:instrText>
      </w:r>
      <w:r w:rsidR="00F42C6F">
        <w:rPr>
          <w:b/>
          <w:bCs/>
          <w:i w:val="0"/>
          <w:iCs w:val="0"/>
          <w:color w:val="auto"/>
          <w:sz w:val="24"/>
          <w:szCs w:val="24"/>
        </w:rPr>
        <w:fldChar w:fldCharType="separate"/>
      </w:r>
      <w:r w:rsidR="00EF67A3">
        <w:rPr>
          <w:b/>
          <w:bCs/>
          <w:i w:val="0"/>
          <w:iCs w:val="0"/>
          <w:noProof/>
          <w:color w:val="auto"/>
          <w:sz w:val="24"/>
          <w:szCs w:val="24"/>
        </w:rPr>
        <w:t>2</w:t>
      </w:r>
      <w:r w:rsidR="00F42C6F">
        <w:rPr>
          <w:b/>
          <w:bCs/>
          <w:i w:val="0"/>
          <w:iCs w:val="0"/>
          <w:color w:val="auto"/>
          <w:sz w:val="24"/>
          <w:szCs w:val="24"/>
        </w:rPr>
        <w:fldChar w:fldCharType="end"/>
      </w:r>
      <w:r w:rsidR="00F42C6F">
        <w:rPr>
          <w:b/>
          <w:bCs/>
          <w:i w:val="0"/>
          <w:iCs w:val="0"/>
          <w:color w:val="auto"/>
          <w:sz w:val="24"/>
          <w:szCs w:val="24"/>
        </w:rPr>
        <w:noBreakHyphen/>
      </w:r>
      <w:r w:rsidR="00F42C6F">
        <w:rPr>
          <w:b/>
          <w:bCs/>
          <w:i w:val="0"/>
          <w:iCs w:val="0"/>
          <w:color w:val="auto"/>
          <w:sz w:val="24"/>
          <w:szCs w:val="24"/>
        </w:rPr>
        <w:fldChar w:fldCharType="begin"/>
      </w:r>
      <w:r w:rsidR="00F42C6F">
        <w:rPr>
          <w:b/>
          <w:bCs/>
          <w:i w:val="0"/>
          <w:iCs w:val="0"/>
          <w:color w:val="auto"/>
          <w:sz w:val="24"/>
          <w:szCs w:val="24"/>
        </w:rPr>
        <w:instrText xml:space="preserve"> SEQ Figure \* ARABIC \s 1 </w:instrText>
      </w:r>
      <w:r w:rsidR="00F42C6F">
        <w:rPr>
          <w:b/>
          <w:bCs/>
          <w:i w:val="0"/>
          <w:iCs w:val="0"/>
          <w:color w:val="auto"/>
          <w:sz w:val="24"/>
          <w:szCs w:val="24"/>
        </w:rPr>
        <w:fldChar w:fldCharType="separate"/>
      </w:r>
      <w:r w:rsidR="00EF67A3">
        <w:rPr>
          <w:b/>
          <w:bCs/>
          <w:i w:val="0"/>
          <w:iCs w:val="0"/>
          <w:noProof/>
          <w:color w:val="auto"/>
          <w:sz w:val="24"/>
          <w:szCs w:val="24"/>
        </w:rPr>
        <w:t>4</w:t>
      </w:r>
      <w:r w:rsidR="00F42C6F">
        <w:rPr>
          <w:b/>
          <w:bCs/>
          <w:i w:val="0"/>
          <w:iCs w:val="0"/>
          <w:color w:val="auto"/>
          <w:sz w:val="24"/>
          <w:szCs w:val="24"/>
        </w:rPr>
        <w:fldChar w:fldCharType="end"/>
      </w:r>
      <w:bookmarkEnd w:id="135"/>
      <w:r w:rsidRPr="00485F15">
        <w:rPr>
          <w:b/>
          <w:bCs/>
          <w:i w:val="0"/>
          <w:iCs w:val="0"/>
          <w:color w:val="auto"/>
          <w:sz w:val="24"/>
          <w:szCs w:val="24"/>
        </w:rPr>
        <w:t>:</w:t>
      </w:r>
      <w:r w:rsidR="00A36483" w:rsidRPr="00485F15">
        <w:rPr>
          <w:i w:val="0"/>
          <w:iCs w:val="0"/>
          <w:color w:val="auto"/>
          <w:sz w:val="24"/>
          <w:szCs w:val="24"/>
        </w:rPr>
        <w:t xml:space="preserve"> </w:t>
      </w:r>
      <w:r w:rsidR="00315847" w:rsidRPr="00485F15">
        <w:rPr>
          <w:i w:val="0"/>
          <w:iCs w:val="0"/>
          <w:color w:val="auto"/>
          <w:sz w:val="24"/>
          <w:szCs w:val="24"/>
        </w:rPr>
        <w:t>P</w:t>
      </w:r>
      <w:r w:rsidR="00A36483" w:rsidRPr="00485F15">
        <w:rPr>
          <w:i w:val="0"/>
          <w:iCs w:val="0"/>
          <w:color w:val="auto"/>
          <w:sz w:val="24"/>
          <w:szCs w:val="24"/>
        </w:rPr>
        <w:t>ipeline used for the bioinformatic analysis of the S. pneumoniae sequence data.</w:t>
      </w:r>
      <w:bookmarkEnd w:id="136"/>
      <w:r w:rsidR="00A36483" w:rsidRPr="00485F15">
        <w:rPr>
          <w:i w:val="0"/>
          <w:iCs w:val="0"/>
          <w:color w:val="auto"/>
          <w:sz w:val="24"/>
          <w:szCs w:val="24"/>
        </w:rPr>
        <w:t xml:space="preserve"> </w:t>
      </w:r>
    </w:p>
    <w:p w14:paraId="7D38F8F9" w14:textId="29661CC4" w:rsidR="00135703" w:rsidRPr="00315847" w:rsidRDefault="00135703" w:rsidP="00B54053">
      <w:pPr>
        <w:pStyle w:val="Caption"/>
        <w:spacing w:after="0" w:line="360" w:lineRule="auto"/>
        <w:rPr>
          <w:color w:val="000000" w:themeColor="text1"/>
          <w:sz w:val="24"/>
          <w:szCs w:val="24"/>
        </w:rPr>
      </w:pPr>
      <w:r w:rsidRPr="00315847">
        <w:rPr>
          <w:color w:val="000000" w:themeColor="text1"/>
          <w:sz w:val="24"/>
          <w:szCs w:val="24"/>
          <w:lang w:eastAsia="en-GB"/>
        </w:rPr>
        <w:t xml:space="preserve">The flow of the analysis starts with the sequencing and ends with the association study. A variety of programmes are used at each step. Green denotes steps carried out by </w:t>
      </w:r>
      <w:proofErr w:type="spellStart"/>
      <w:r w:rsidRPr="00315847">
        <w:rPr>
          <w:color w:val="000000" w:themeColor="text1"/>
          <w:sz w:val="24"/>
          <w:szCs w:val="24"/>
          <w:lang w:eastAsia="en-GB"/>
        </w:rPr>
        <w:t>MicrobesNG</w:t>
      </w:r>
      <w:proofErr w:type="spellEnd"/>
      <w:r w:rsidRPr="00315847">
        <w:rPr>
          <w:color w:val="000000" w:themeColor="text1"/>
          <w:sz w:val="24"/>
          <w:szCs w:val="24"/>
          <w:lang w:eastAsia="en-GB"/>
        </w:rPr>
        <w:t xml:space="preserve"> and blue show</w:t>
      </w:r>
      <w:r w:rsidR="00BB0FBC" w:rsidRPr="00315847">
        <w:rPr>
          <w:color w:val="000000" w:themeColor="text1"/>
          <w:sz w:val="24"/>
          <w:szCs w:val="24"/>
          <w:lang w:eastAsia="en-GB"/>
        </w:rPr>
        <w:t>s the</w:t>
      </w:r>
      <w:r w:rsidRPr="00315847">
        <w:rPr>
          <w:color w:val="000000" w:themeColor="text1"/>
          <w:sz w:val="24"/>
          <w:szCs w:val="24"/>
          <w:lang w:eastAsia="en-GB"/>
        </w:rPr>
        <w:t xml:space="preserve"> steps I performed.</w:t>
      </w:r>
    </w:p>
    <w:p w14:paraId="122F65FE" w14:textId="1F724FDF" w:rsidR="00FD3305" w:rsidRPr="00A36483" w:rsidRDefault="009C50A4" w:rsidP="00735239">
      <w:r w:rsidRPr="00A36483">
        <w:br w:type="page"/>
      </w:r>
    </w:p>
    <w:p w14:paraId="5E35A7E8" w14:textId="78F0637B" w:rsidR="00E331F1" w:rsidRDefault="00E331F1" w:rsidP="003F775C">
      <w:pPr>
        <w:pStyle w:val="Heading1"/>
        <w:rPr>
          <w:b/>
          <w:bCs/>
        </w:rPr>
      </w:pPr>
      <w:bookmarkStart w:id="137" w:name="_Toc117765955"/>
      <w:r w:rsidRPr="00DD46F9">
        <w:rPr>
          <w:b/>
          <w:bCs/>
        </w:rPr>
        <w:lastRenderedPageBreak/>
        <w:t>Chapter 3</w:t>
      </w:r>
      <w:r w:rsidR="00CB07C2" w:rsidRPr="00DD46F9">
        <w:rPr>
          <w:b/>
          <w:bCs/>
        </w:rPr>
        <w:t>.</w:t>
      </w:r>
      <w:r w:rsidR="00FC43D8" w:rsidRPr="00DD46F9">
        <w:rPr>
          <w:b/>
          <w:bCs/>
        </w:rPr>
        <w:tab/>
      </w:r>
      <w:r w:rsidR="00541066" w:rsidRPr="00DD46F9">
        <w:rPr>
          <w:b/>
          <w:bCs/>
        </w:rPr>
        <w:t>Results - T</w:t>
      </w:r>
      <w:r w:rsidR="00AA65E1" w:rsidRPr="00DD46F9">
        <w:rPr>
          <w:b/>
          <w:bCs/>
        </w:rPr>
        <w:t>he</w:t>
      </w:r>
      <w:r w:rsidR="00313CB1" w:rsidRPr="00DD46F9">
        <w:rPr>
          <w:b/>
          <w:bCs/>
        </w:rPr>
        <w:t xml:space="preserve"> parental experience of having a child prescribed prophylactic antibiotics</w:t>
      </w:r>
      <w:bookmarkEnd w:id="137"/>
      <w:r w:rsidR="00313CB1" w:rsidRPr="00DD46F9">
        <w:rPr>
          <w:b/>
          <w:bCs/>
        </w:rPr>
        <w:t xml:space="preserve"> </w:t>
      </w:r>
    </w:p>
    <w:p w14:paraId="39255CF8" w14:textId="77777777" w:rsidR="00D761F6" w:rsidRPr="00D761F6" w:rsidRDefault="00D761F6" w:rsidP="00D761F6"/>
    <w:p w14:paraId="0066BB90" w14:textId="48F2F0F2" w:rsidR="007563C3" w:rsidRDefault="007563C3" w:rsidP="004F3338">
      <w:pPr>
        <w:pStyle w:val="Heading2"/>
      </w:pPr>
      <w:bookmarkStart w:id="138" w:name="_Toc117765956"/>
      <w:r w:rsidRPr="00DD46F9">
        <w:t>Introduction</w:t>
      </w:r>
      <w:bookmarkEnd w:id="138"/>
    </w:p>
    <w:p w14:paraId="1F5C4001" w14:textId="51125713" w:rsidR="00171DBA" w:rsidRDefault="00171DBA" w:rsidP="000459D0">
      <w:pPr>
        <w:spacing w:line="360" w:lineRule="auto"/>
      </w:pPr>
      <w:r w:rsidRPr="007563C3">
        <w:t xml:space="preserve">Parents </w:t>
      </w:r>
      <w:r>
        <w:t>must represent, advocate and make decisions regarding their child’s health until their child is old enough and competent to make such decisions for themselves. The degree of such responsibility may range from consenting to treatment and discussing management options through to developing ways of getting their child to take medication and remembering to do so. Parents will vary as to how much information and support they require from health care professionals when making decisions. Clinicians are in a unique position where, with good communication and insight, they can assist parents and ease the stress associated with having a sick child. There is a paucity of information about what parents think about antibiotic prophylaxis</w:t>
      </w:r>
      <w:r w:rsidR="001036A6">
        <w:t xml:space="preserve"> (see section 1.9.3)</w:t>
      </w:r>
      <w:r>
        <w:t xml:space="preserve">. Once the prescription for antibiotics leaves the doctor’s hand, the story only just begins for the family. During outpatient appointments there is limited time to explore in depth the factors associated with long-term antibiotic use. This study therefore aimed to explore the parental experience of having a child prescribed prophylactic antibiotics. By doing so we hoped to facilitate clinicians in taking a holistic approach to prescribing and managing children on prophylactic antibiotics in general as well as specifically for respiratory conditions such as PBB. </w:t>
      </w:r>
    </w:p>
    <w:p w14:paraId="557393F8" w14:textId="47A3468C" w:rsidR="00171DBA" w:rsidRDefault="00171DBA" w:rsidP="00284867">
      <w:pPr>
        <w:spacing w:after="160" w:line="360" w:lineRule="auto"/>
      </w:pPr>
      <w:r>
        <w:t xml:space="preserve">Azithromycin is the antibiotic used first line at Sheffield Children’s hospital in the respiratory department for prevention of respiratory infections, and hence this antibiotic was chosen for investigation. </w:t>
      </w:r>
      <w:r w:rsidR="00417D42">
        <w:t>Those prescribing antibiotics should consider antibiotic resistance and follow good antimicrobial stewardship practice</w:t>
      </w:r>
      <w:r>
        <w:t xml:space="preserve">. Factors within the family environment may contribute to resistance. These include adherence and availability of medication to comply with regimens which may influence the duration of the antibiotic course as well as appropriate antibiotic waste disposal. </w:t>
      </w:r>
      <w:r w:rsidRPr="00241369">
        <w:t xml:space="preserve">Given that parents take responsibility for their child’s health and ensuring they are given medication, this qualitative study </w:t>
      </w:r>
      <w:r>
        <w:t xml:space="preserve">was designed to </w:t>
      </w:r>
      <w:r w:rsidRPr="00241369">
        <w:t xml:space="preserve">complement </w:t>
      </w:r>
      <w:r>
        <w:t>and inform subsequent studies</w:t>
      </w:r>
      <w:r w:rsidRPr="00241369">
        <w:t xml:space="preserve"> investigating </w:t>
      </w:r>
      <w:r>
        <w:t>the impact of</w:t>
      </w:r>
      <w:r w:rsidRPr="00241369">
        <w:t xml:space="preserve"> prophylactic antibiotics </w:t>
      </w:r>
      <w:r>
        <w:t>on antimicrobial resistance and dysbiosis</w:t>
      </w:r>
      <w:r w:rsidRPr="00241369">
        <w:t xml:space="preserve">. </w:t>
      </w:r>
    </w:p>
    <w:p w14:paraId="4E007B7E" w14:textId="5DD6501C" w:rsidR="00171DBA" w:rsidRPr="00241369" w:rsidRDefault="00171DBA" w:rsidP="00284867">
      <w:pPr>
        <w:spacing w:after="160" w:line="360" w:lineRule="auto"/>
      </w:pPr>
      <w:r>
        <w:t>In order to develop a better understanding of how parents view the prescription of long-term antibiotics for their child, a qualitative interview-based study was undertaken.</w:t>
      </w:r>
      <w:r w:rsidR="00417D42">
        <w:t xml:space="preserve"> The results of this </w:t>
      </w:r>
      <w:r w:rsidR="00417D42">
        <w:lastRenderedPageBreak/>
        <w:t>study have been published in full (</w:t>
      </w:r>
      <w:proofErr w:type="spellStart"/>
      <w:r w:rsidR="00417D42">
        <w:t>Hardman,</w:t>
      </w:r>
      <w:proofErr w:type="spellEnd"/>
      <w:r w:rsidR="00417D42">
        <w:t xml:space="preserve"> 2021).</w:t>
      </w:r>
      <w:r>
        <w:t xml:space="preserve"> </w:t>
      </w:r>
      <w:r w:rsidRPr="00241369">
        <w:t>Due to a paucity of research investigating parental attitudes and perceptions in relation to having children prescribed long</w:t>
      </w:r>
      <w:r>
        <w:t>-</w:t>
      </w:r>
      <w:r w:rsidRPr="00241369">
        <w:t xml:space="preserve">term antibiotic prophylaxis, an interpretative phenomenological approach </w:t>
      </w:r>
      <w:r>
        <w:t>used</w:t>
      </w:r>
      <w:r w:rsidRPr="00241369">
        <w:t>. Phenomenology is a qualitative research method that takes a philosophical approach to explore peoples’ perceptions of a lived experience. The main philosophical principles underpinning this approach are</w:t>
      </w:r>
      <w:r>
        <w:t xml:space="preserve"> </w:t>
      </w:r>
      <w:r>
        <w:fldChar w:fldCharType="begin"/>
      </w:r>
      <w:r w:rsidR="00250C95">
        <w:instrText xml:space="preserve"> ADDIN EN.CITE &lt;EndNote&gt;&lt;Cite&gt;&lt;Author&gt;Turner&lt;/Author&gt;&lt;Year&gt;2017&lt;/Year&gt;&lt;RecNum&gt;256&lt;/RecNum&gt;&lt;DisplayText&gt;(Turner, 2017)&lt;/DisplayText&gt;&lt;record&gt;&lt;rec-number&gt;256&lt;/rec-number&gt;&lt;foreign-keys&gt;&lt;key app="EN" db-id="pr9rwt2w8padxcerwx6prd0a9wtda2w5fw2t" timestamp="1629731697"&gt;256&lt;/key&gt;&lt;/foreign-keys&gt;&lt;ref-type name="Blog"&gt;56&lt;/ref-type&gt;&lt;contributors&gt;&lt;authors&gt;&lt;author&gt;Daniel Turner&lt;/author&gt;&lt;/authors&gt;&lt;/contributors&gt;&lt;titles&gt;&lt;title&gt;An introduction to interpretative phenomenological analysis&lt;/title&gt;&lt;/titles&gt;&lt;dates&gt;&lt;year&gt;2017&lt;/year&gt;&lt;/dates&gt;&lt;work-type&gt;Quirkos Blog&lt;/work-type&gt;&lt;urls&gt;&lt;related-urls&gt;&lt;url&gt;https://www.quirkos.com/blog/post/intro-interpretative-phenomenological-analysis-summary/&lt;/url&gt;&lt;/related-urls&gt;&lt;/urls&gt;&lt;access-date&gt;Jaunary 2020&lt;/access-date&gt;&lt;/record&gt;&lt;/Cite&gt;&lt;/EndNote&gt;</w:instrText>
      </w:r>
      <w:r>
        <w:fldChar w:fldCharType="separate"/>
      </w:r>
      <w:r w:rsidR="00250C95">
        <w:rPr>
          <w:noProof/>
        </w:rPr>
        <w:t>(Turner, 2017)</w:t>
      </w:r>
      <w:r>
        <w:fldChar w:fldCharType="end"/>
      </w:r>
      <w:r w:rsidRPr="00241369">
        <w:t xml:space="preserve">: </w:t>
      </w:r>
    </w:p>
    <w:p w14:paraId="038E67EB" w14:textId="49F743EC" w:rsidR="00171DBA" w:rsidRPr="00241369" w:rsidRDefault="00171DBA" w:rsidP="00171DBA">
      <w:pPr>
        <w:spacing w:line="360" w:lineRule="auto"/>
      </w:pPr>
      <w:r w:rsidRPr="00241369">
        <w:t>1)</w:t>
      </w:r>
      <w:r w:rsidRPr="00241369">
        <w:tab/>
        <w:t>Things happen (phenomenology)</w:t>
      </w:r>
      <w:r w:rsidR="007818FB">
        <w:t>.</w:t>
      </w:r>
    </w:p>
    <w:p w14:paraId="09355F5E" w14:textId="494D382A" w:rsidR="00171DBA" w:rsidRPr="00241369" w:rsidRDefault="00171DBA" w:rsidP="00284867">
      <w:pPr>
        <w:spacing w:after="160" w:line="360" w:lineRule="auto"/>
      </w:pPr>
      <w:r w:rsidRPr="00241369">
        <w:t>2)</w:t>
      </w:r>
      <w:r w:rsidRPr="00241369">
        <w:tab/>
        <w:t>We interpret this into something that makes sense to us (hermeneutics)</w:t>
      </w:r>
      <w:r w:rsidR="007818FB">
        <w:t>.</w:t>
      </w:r>
    </w:p>
    <w:p w14:paraId="76A018F4" w14:textId="10161CD9" w:rsidR="00561E12" w:rsidRDefault="00171DBA" w:rsidP="00171DBA">
      <w:pPr>
        <w:spacing w:line="360" w:lineRule="auto"/>
      </w:pPr>
      <w:r>
        <w:rPr>
          <w:b/>
          <w:bCs/>
        </w:rPr>
        <w:t>I</w:t>
      </w:r>
      <w:r w:rsidRPr="00741A4D">
        <w:rPr>
          <w:b/>
          <w:bCs/>
        </w:rPr>
        <w:t xml:space="preserve"> hypothesised</w:t>
      </w:r>
      <w:r>
        <w:t xml:space="preserve"> that p</w:t>
      </w:r>
      <w:r w:rsidRPr="00DD2338">
        <w:t xml:space="preserve">sychosocial factors </w:t>
      </w:r>
      <w:r>
        <w:t xml:space="preserve">would </w:t>
      </w:r>
      <w:r w:rsidRPr="00DD2338">
        <w:t xml:space="preserve">influence parents’ decisions relating to the uptake and </w:t>
      </w:r>
      <w:r w:rsidR="00561E12">
        <w:t xml:space="preserve">the way in which families experience long-term </w:t>
      </w:r>
      <w:r w:rsidRPr="00DD2338">
        <w:t xml:space="preserve">prophylactic azithromycin. </w:t>
      </w:r>
    </w:p>
    <w:p w14:paraId="6FEBB15D" w14:textId="0B6D75E4" w:rsidR="00171DBA" w:rsidRDefault="00171DBA" w:rsidP="00171DBA">
      <w:pPr>
        <w:spacing w:before="160" w:line="360" w:lineRule="auto"/>
      </w:pPr>
      <w:r>
        <w:t>B</w:t>
      </w:r>
      <w:r w:rsidRPr="00241369">
        <w:t xml:space="preserve">y conducting face-to-face interviews, </w:t>
      </w:r>
      <w:r>
        <w:t xml:space="preserve">I aimed </w:t>
      </w:r>
      <w:r w:rsidRPr="00241369">
        <w:t xml:space="preserve">to </w:t>
      </w:r>
      <w:r w:rsidR="00427F11">
        <w:t>improve the way in which antibiotic prophylaxis is discussed with parents during medical consultations.</w:t>
      </w:r>
      <w:r w:rsidR="00427F11" w:rsidRPr="00241369" w:rsidDel="00427F11">
        <w:t xml:space="preserve"> </w:t>
      </w:r>
    </w:p>
    <w:p w14:paraId="515E7409" w14:textId="77777777" w:rsidR="00427F11" w:rsidRDefault="00427F11" w:rsidP="00171DBA">
      <w:pPr>
        <w:spacing w:before="160" w:line="360" w:lineRule="auto"/>
      </w:pPr>
    </w:p>
    <w:p w14:paraId="40003A97" w14:textId="77777777" w:rsidR="00171DBA" w:rsidRDefault="00171DBA" w:rsidP="00284867">
      <w:pPr>
        <w:spacing w:after="160" w:line="360" w:lineRule="auto"/>
      </w:pPr>
      <w:r>
        <w:t xml:space="preserve">The </w:t>
      </w:r>
      <w:r w:rsidRPr="00741A4D">
        <w:rPr>
          <w:b/>
          <w:bCs/>
        </w:rPr>
        <w:t>primary objectives</w:t>
      </w:r>
      <w:r>
        <w:t xml:space="preserve"> of this qualitative study were:</w:t>
      </w:r>
    </w:p>
    <w:p w14:paraId="6C03DBE3" w14:textId="77801E27" w:rsidR="00171DBA" w:rsidRPr="00241369" w:rsidRDefault="00171DBA" w:rsidP="00427F11">
      <w:pPr>
        <w:spacing w:line="360" w:lineRule="auto"/>
        <w:ind w:left="1440" w:hanging="720"/>
      </w:pPr>
      <w:r w:rsidRPr="00241369">
        <w:t>1)</w:t>
      </w:r>
      <w:r w:rsidRPr="00241369">
        <w:tab/>
        <w:t xml:space="preserve">To </w:t>
      </w:r>
      <w:r w:rsidR="00427F11">
        <w:t xml:space="preserve">understand what it means for parents to have a child prescribed long-term prophylactic azithromycin to prevent chest infections. </w:t>
      </w:r>
    </w:p>
    <w:p w14:paraId="5B25CACC" w14:textId="600B55D1" w:rsidR="00171DBA" w:rsidRDefault="00171DBA" w:rsidP="00171DBA">
      <w:pPr>
        <w:spacing w:line="360" w:lineRule="auto"/>
        <w:ind w:left="1440" w:hanging="720"/>
      </w:pPr>
      <w:r w:rsidRPr="00241369">
        <w:t>3)</w:t>
      </w:r>
      <w:r w:rsidRPr="00241369">
        <w:tab/>
        <w:t>To develop a behavioural model to explain the parental experience of having a child prescribed long</w:t>
      </w:r>
      <w:r>
        <w:t>-</w:t>
      </w:r>
      <w:r w:rsidRPr="00241369">
        <w:t>term prophylactic antibiotics.</w:t>
      </w:r>
    </w:p>
    <w:p w14:paraId="2DE80C2B" w14:textId="77777777" w:rsidR="007818FB" w:rsidRPr="00171DBA" w:rsidRDefault="007818FB" w:rsidP="00171DBA">
      <w:pPr>
        <w:spacing w:line="360" w:lineRule="auto"/>
        <w:ind w:left="1440" w:hanging="720"/>
      </w:pPr>
    </w:p>
    <w:p w14:paraId="4B775C4D" w14:textId="5BA5B639" w:rsidR="00A64EDA" w:rsidRPr="00DD46F9" w:rsidRDefault="00A64EDA" w:rsidP="004F3338">
      <w:pPr>
        <w:pStyle w:val="Heading2"/>
      </w:pPr>
      <w:bookmarkStart w:id="139" w:name="_Toc117765957"/>
      <w:r w:rsidRPr="00DD46F9">
        <w:t>Results</w:t>
      </w:r>
      <w:bookmarkEnd w:id="139"/>
      <w:r w:rsidRPr="00DD46F9">
        <w:t xml:space="preserve"> </w:t>
      </w:r>
    </w:p>
    <w:p w14:paraId="057F151E" w14:textId="0B272A82" w:rsidR="00A64EDA" w:rsidRDefault="00A64EDA" w:rsidP="005202DE">
      <w:pPr>
        <w:pStyle w:val="Heading3"/>
        <w:spacing w:before="0" w:line="360" w:lineRule="auto"/>
      </w:pPr>
      <w:bookmarkStart w:id="140" w:name="_Toc117765958"/>
      <w:r w:rsidRPr="00241369">
        <w:t>Recruitment and participants</w:t>
      </w:r>
      <w:bookmarkEnd w:id="140"/>
    </w:p>
    <w:p w14:paraId="3330DA57" w14:textId="41D9A250" w:rsidR="00FC59D5" w:rsidRPr="00241369" w:rsidRDefault="00FC59D5" w:rsidP="00284867">
      <w:pPr>
        <w:spacing w:after="160" w:line="360" w:lineRule="auto"/>
      </w:pPr>
      <w:r w:rsidRPr="00241369">
        <w:t>Th</w:t>
      </w:r>
      <w:r w:rsidR="00E8353E">
        <w:t>e</w:t>
      </w:r>
      <w:r w:rsidRPr="00241369">
        <w:t xml:space="preserve"> </w:t>
      </w:r>
      <w:r w:rsidR="00A62E31">
        <w:t xml:space="preserve">recruitment process and methodology for this study are detailed in section 2.1. </w:t>
      </w:r>
      <w:r w:rsidRPr="00241369">
        <w:t xml:space="preserve">A total of 18 </w:t>
      </w:r>
      <w:r>
        <w:t>parents/</w:t>
      </w:r>
      <w:r w:rsidRPr="00241369">
        <w:t xml:space="preserve">guardians took part in the study through 15 conducted interviews. The consort diagram in </w:t>
      </w:r>
      <w:r w:rsidRPr="00FC59D5">
        <w:fldChar w:fldCharType="begin"/>
      </w:r>
      <w:r w:rsidRPr="00FC59D5">
        <w:instrText xml:space="preserve"> REF _Ref105445988 \h  \* MERGEFORMAT </w:instrText>
      </w:r>
      <w:r w:rsidRPr="00FC59D5">
        <w:fldChar w:fldCharType="separate"/>
      </w:r>
      <w:r w:rsidRPr="00FC59D5">
        <w:rPr>
          <w:color w:val="000000" w:themeColor="text1"/>
        </w:rPr>
        <w:t xml:space="preserve">Figure </w:t>
      </w:r>
      <w:r w:rsidRPr="00FC59D5">
        <w:rPr>
          <w:noProof/>
          <w:color w:val="000000" w:themeColor="text1"/>
        </w:rPr>
        <w:t>3</w:t>
      </w:r>
      <w:r w:rsidRPr="00FC59D5">
        <w:rPr>
          <w:color w:val="000000" w:themeColor="text1"/>
        </w:rPr>
        <w:noBreakHyphen/>
      </w:r>
      <w:r w:rsidRPr="00FC59D5">
        <w:rPr>
          <w:noProof/>
          <w:color w:val="000000" w:themeColor="text1"/>
        </w:rPr>
        <w:t>1</w:t>
      </w:r>
      <w:r w:rsidRPr="00FC59D5">
        <w:fldChar w:fldCharType="end"/>
      </w:r>
      <w:r>
        <w:t xml:space="preserve"> </w:t>
      </w:r>
      <w:r w:rsidRPr="00241369">
        <w:t xml:space="preserve">shows the recruitment process. </w:t>
      </w:r>
      <w:r w:rsidR="001E2B1A">
        <w:t xml:space="preserve">All </w:t>
      </w:r>
      <w:r w:rsidR="00801563">
        <w:t>56 parents</w:t>
      </w:r>
      <w:r w:rsidR="00200255">
        <w:t xml:space="preserve"> meeting the inclusion criteria,</w:t>
      </w:r>
      <w:r w:rsidR="00801563">
        <w:t xml:space="preserve"> </w:t>
      </w:r>
      <w:r w:rsidR="00200255">
        <w:t xml:space="preserve">who </w:t>
      </w:r>
      <w:r w:rsidR="00801563">
        <w:t xml:space="preserve">sequentially </w:t>
      </w:r>
      <w:r w:rsidR="001E2B1A">
        <w:t>attend</w:t>
      </w:r>
      <w:r w:rsidR="00200255">
        <w:t>ed</w:t>
      </w:r>
      <w:r w:rsidR="001E2B1A">
        <w:t xml:space="preserve"> 4 specialist respiratory outpatient clinics at SCH</w:t>
      </w:r>
      <w:r w:rsidR="00200255">
        <w:t>,</w:t>
      </w:r>
      <w:r w:rsidR="001E2B1A">
        <w:t xml:space="preserve"> were approached by </w:t>
      </w:r>
      <w:r w:rsidR="00801563">
        <w:t xml:space="preserve">the respiratory nurses. </w:t>
      </w:r>
      <w:r w:rsidR="00200255">
        <w:t>Parents who did not speak English were not given the study information</w:t>
      </w:r>
      <w:r w:rsidR="00EF67A3">
        <w:t xml:space="preserve"> (appendix 3.1)</w:t>
      </w:r>
      <w:r w:rsidR="00200255">
        <w:t>.</w:t>
      </w:r>
      <w:r w:rsidR="00801563">
        <w:t xml:space="preserve"> </w:t>
      </w:r>
      <w:r w:rsidRPr="00241369">
        <w:t xml:space="preserve">The parent who cancelled their interview did not give a reason for the cancelation. </w:t>
      </w:r>
    </w:p>
    <w:p w14:paraId="743518BD" w14:textId="180BFB6C" w:rsidR="00FC59D5" w:rsidRDefault="00FC59D5" w:rsidP="00FC59D5">
      <w:pPr>
        <w:spacing w:line="360" w:lineRule="auto"/>
      </w:pPr>
      <w:r w:rsidRPr="00241369">
        <w:t xml:space="preserve">The mother of the child was interviewed on all occasions apart from one where the grandmother had parental responsibility. In 3 interviews the father or grandfather </w:t>
      </w:r>
      <w:r w:rsidR="007818FB" w:rsidRPr="00241369">
        <w:t>w</w:t>
      </w:r>
      <w:r w:rsidR="007818FB">
        <w:t>as</w:t>
      </w:r>
      <w:r w:rsidR="007818FB" w:rsidRPr="00241369">
        <w:t xml:space="preserve"> </w:t>
      </w:r>
      <w:r w:rsidRPr="00241369">
        <w:t xml:space="preserve">present and contributed </w:t>
      </w:r>
      <w:r w:rsidRPr="00241369">
        <w:lastRenderedPageBreak/>
        <w:t xml:space="preserve">their views. </w:t>
      </w:r>
      <w:r>
        <w:t xml:space="preserve">The majority of parents were white British with a variety of different educational backgrounds which is representative of all the parents we approached. </w:t>
      </w:r>
      <w:r w:rsidRPr="00241369">
        <w:t xml:space="preserve">See </w:t>
      </w:r>
      <w:r w:rsidRPr="0030114B">
        <w:fldChar w:fldCharType="begin"/>
      </w:r>
      <w:r w:rsidRPr="0030114B">
        <w:instrText xml:space="preserve"> REF _Ref105532072 \h  \* MERGEFORMAT </w:instrText>
      </w:r>
      <w:r w:rsidRPr="0030114B">
        <w:fldChar w:fldCharType="separate"/>
      </w:r>
      <w:r w:rsidRPr="0030114B">
        <w:rPr>
          <w:color w:val="000000" w:themeColor="text1"/>
        </w:rPr>
        <w:t xml:space="preserve">Table </w:t>
      </w:r>
      <w:r w:rsidRPr="0030114B">
        <w:rPr>
          <w:noProof/>
          <w:color w:val="000000" w:themeColor="text1"/>
        </w:rPr>
        <w:t>9</w:t>
      </w:r>
      <w:r w:rsidRPr="0030114B">
        <w:fldChar w:fldCharType="end"/>
      </w:r>
      <w:r>
        <w:t xml:space="preserve"> </w:t>
      </w:r>
      <w:r w:rsidRPr="00241369">
        <w:t>for participants’</w:t>
      </w:r>
      <w:r>
        <w:t xml:space="preserve"> </w:t>
      </w:r>
      <w:r w:rsidRPr="00241369">
        <w:t>characteristics.</w:t>
      </w:r>
    </w:p>
    <w:p w14:paraId="1EB9171B" w14:textId="3DB83B7A" w:rsidR="000459D0" w:rsidRDefault="000459D0" w:rsidP="00FC59D5">
      <w:pPr>
        <w:spacing w:line="360" w:lineRule="auto"/>
      </w:pPr>
    </w:p>
    <w:p w14:paraId="3D85E7E6" w14:textId="75C500D4" w:rsidR="007818FB" w:rsidRPr="00241369" w:rsidRDefault="007818FB" w:rsidP="00FC59D5">
      <w:pPr>
        <w:spacing w:line="360" w:lineRule="auto"/>
      </w:pPr>
    </w:p>
    <w:p w14:paraId="547926F7" w14:textId="7175942D" w:rsidR="0030114B" w:rsidRDefault="00EF67A3" w:rsidP="00A64EDA">
      <w:pPr>
        <w:rPr>
          <w:b/>
        </w:rPr>
      </w:pPr>
      <w:r>
        <w:rPr>
          <w:noProof/>
        </w:rPr>
        <mc:AlternateContent>
          <mc:Choice Requires="wpg">
            <w:drawing>
              <wp:anchor distT="0" distB="0" distL="114300" distR="114300" simplePos="0" relativeHeight="251719168" behindDoc="0" locked="0" layoutInCell="1" allowOverlap="1" wp14:anchorId="6A8D954E" wp14:editId="32ED89A9">
                <wp:simplePos x="0" y="0"/>
                <wp:positionH relativeFrom="column">
                  <wp:posOffset>19050</wp:posOffset>
                </wp:positionH>
                <wp:positionV relativeFrom="paragraph">
                  <wp:posOffset>189865</wp:posOffset>
                </wp:positionV>
                <wp:extent cx="5809615" cy="1752600"/>
                <wp:effectExtent l="0" t="0" r="635" b="5715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9615" cy="1752600"/>
                          <a:chOff x="657288" y="0"/>
                          <a:chExt cx="5810186" cy="1752600"/>
                        </a:xfrm>
                      </wpg:grpSpPr>
                      <wps:wsp>
                        <wps:cNvPr id="671" name="Text Box 2"/>
                        <wps:cNvSpPr txBox="1">
                          <a:spLocks noChangeArrowheads="1"/>
                        </wps:cNvSpPr>
                        <wps:spPr bwMode="auto">
                          <a:xfrm>
                            <a:off x="657288" y="0"/>
                            <a:ext cx="1009586" cy="476250"/>
                          </a:xfrm>
                          <a:prstGeom prst="rect">
                            <a:avLst/>
                          </a:prstGeom>
                          <a:solidFill>
                            <a:srgbClr val="FFFFFF"/>
                          </a:solidFill>
                          <a:ln w="9525">
                            <a:solidFill>
                              <a:schemeClr val="tx1"/>
                            </a:solidFill>
                            <a:miter lim="800000"/>
                            <a:headEnd/>
                            <a:tailEnd/>
                          </a:ln>
                        </wps:spPr>
                        <wps:txbx>
                          <w:txbxContent>
                            <w:p w14:paraId="6A35D831" w14:textId="77777777" w:rsidR="00600985" w:rsidRDefault="00600985" w:rsidP="004D1AF9">
                              <w:r>
                                <w:t>56 parents approached during outpatient clinics</w:t>
                              </w:r>
                            </w:p>
                          </w:txbxContent>
                        </wps:txbx>
                        <wps:bodyPr rot="0" vert="horz" wrap="square" lIns="91440" tIns="45720" rIns="91440" bIns="45720" anchor="t" anchorCtr="0">
                          <a:noAutofit/>
                        </wps:bodyPr>
                      </wps:wsp>
                      <wps:wsp>
                        <wps:cNvPr id="672" name="Text Box 2"/>
                        <wps:cNvSpPr txBox="1">
                          <a:spLocks noChangeArrowheads="1"/>
                        </wps:cNvSpPr>
                        <wps:spPr bwMode="auto">
                          <a:xfrm>
                            <a:off x="2505075" y="95250"/>
                            <a:ext cx="1466850" cy="295275"/>
                          </a:xfrm>
                          <a:prstGeom prst="rect">
                            <a:avLst/>
                          </a:prstGeom>
                          <a:solidFill>
                            <a:srgbClr val="FFFFFF"/>
                          </a:solidFill>
                          <a:ln w="9525">
                            <a:solidFill>
                              <a:srgbClr val="000000"/>
                            </a:solidFill>
                            <a:miter lim="800000"/>
                            <a:headEnd/>
                            <a:tailEnd/>
                          </a:ln>
                        </wps:spPr>
                        <wps:txbx>
                          <w:txbxContent>
                            <w:p w14:paraId="3E3AA1D8" w14:textId="77777777" w:rsidR="00600985" w:rsidRDefault="00600985" w:rsidP="004D1AF9">
                              <w:r>
                                <w:t>20 positive responses</w:t>
                              </w:r>
                            </w:p>
                          </w:txbxContent>
                        </wps:txbx>
                        <wps:bodyPr rot="0" vert="horz" wrap="square" lIns="91440" tIns="45720" rIns="91440" bIns="45720" anchor="t" anchorCtr="0">
                          <a:noAutofit/>
                        </wps:bodyPr>
                      </wps:wsp>
                      <wps:wsp>
                        <wps:cNvPr id="673" name="Text Box 2"/>
                        <wps:cNvSpPr txBox="1">
                          <a:spLocks noChangeArrowheads="1"/>
                        </wps:cNvSpPr>
                        <wps:spPr bwMode="auto">
                          <a:xfrm>
                            <a:off x="4457699" y="95249"/>
                            <a:ext cx="2009775" cy="914401"/>
                          </a:xfrm>
                          <a:prstGeom prst="rect">
                            <a:avLst/>
                          </a:prstGeom>
                          <a:solidFill>
                            <a:srgbClr val="FFFFFF"/>
                          </a:solidFill>
                          <a:ln w="9525">
                            <a:solidFill>
                              <a:srgbClr val="000000"/>
                            </a:solidFill>
                            <a:miter lim="800000"/>
                            <a:headEnd/>
                            <a:tailEnd/>
                          </a:ln>
                        </wps:spPr>
                        <wps:txbx>
                          <w:txbxContent>
                            <w:p w14:paraId="74C408FB" w14:textId="277F9AF8" w:rsidR="00600985" w:rsidRDefault="00600985" w:rsidP="004D1AF9">
                              <w:r>
                                <w:t>15 interviews conducted involving 18 participants. 6 individuals were interviewed as couples</w:t>
                              </w:r>
                            </w:p>
                          </w:txbxContent>
                        </wps:txbx>
                        <wps:bodyPr rot="0" vert="horz" wrap="square" lIns="91440" tIns="45720" rIns="91440" bIns="45720" anchor="t" anchorCtr="0">
                          <a:noAutofit/>
                        </wps:bodyPr>
                      </wps:wsp>
                      <wps:wsp>
                        <wps:cNvPr id="674" name="Straight Arrow Connector 327"/>
                        <wps:cNvCnPr/>
                        <wps:spPr>
                          <a:xfrm>
                            <a:off x="1733550" y="266700"/>
                            <a:ext cx="661917"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5" name="Straight Arrow Connector 328"/>
                        <wps:cNvCnPr/>
                        <wps:spPr>
                          <a:xfrm>
                            <a:off x="4019550" y="266700"/>
                            <a:ext cx="34119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6" name="Straight Connector 329"/>
                        <wps:cNvCnPr/>
                        <wps:spPr>
                          <a:xfrm>
                            <a:off x="3124200" y="466725"/>
                            <a:ext cx="0" cy="12858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Straight Arrow Connector 330"/>
                        <wps:cNvCnPr/>
                        <wps:spPr>
                          <a:xfrm>
                            <a:off x="3124200" y="1752600"/>
                            <a:ext cx="124316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8D954E" id="Group 670" o:spid="_x0000_s1039" style="position:absolute;margin-left:1.5pt;margin-top:14.95pt;width:457.45pt;height:138pt;z-index:251719168;mso-width-relative:margin;mso-height-relative:margin" coordorigin="6572" coordsize="58101,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">
                <v:shape id="_x0000_s1040" type="#_x0000_t202" style="position:absolute;left:6572;width:1009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" strokecolor="black [3213]">
                  <v:textbox>
                    <w:txbxContent>
                      <w:p w14:paraId="6A35D831" w14:textId="77777777" w:rsidR="00600985" w:rsidRDefault="00600985" w:rsidP="004D1AF9">
                        <w:r>
                          <w:t>56 parents approached during outpatient clinics</w:t>
                        </w:r>
                      </w:p>
                    </w:txbxContent>
                  </v:textbox>
                </v:shape>
                <v:shape id="_x0000_s1041" type="#_x0000_t202" style="position:absolute;left:25050;top:952;width:1466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">
                  <v:textbox>
                    <w:txbxContent>
                      <w:p w14:paraId="3E3AA1D8" w14:textId="77777777" w:rsidR="00600985" w:rsidRDefault="00600985" w:rsidP="004D1AF9">
                        <w:r>
                          <w:t>20 positive responses</w:t>
                        </w:r>
                      </w:p>
                    </w:txbxContent>
                  </v:textbox>
                </v:shape>
                <v:shape id="_x0000_s1042" type="#_x0000_t202" style="position:absolute;left:44576;top:952;width:2009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74C408FB" w14:textId="277F9AF8" w:rsidR="00600985" w:rsidRDefault="00600985" w:rsidP="004D1AF9">
                        <w:r>
                          <w:t>15 interviews conducted involving 18 participants. 6 individuals were interviewed as couples</w:t>
                        </w:r>
                      </w:p>
                    </w:txbxContent>
                  </v:textbox>
                </v:shape>
                <v:shapetype id="_x0000_t32" coordsize="21600,21600" o:spt="32" o:oned="t" path="m,l21600,21600e" filled="f">
                  <v:path arrowok="t" fillok="f" o:connecttype="none"/>
                  <o:lock v:ext="edit" shapetype="t"/>
                </v:shapetype>
                <v:shape id="Straight Arrow Connector 327" o:spid="_x0000_s1043" type="#_x0000_t32" style="position:absolute;left:17335;top:2667;width:6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" strokecolor="black [3213]" strokeweight="2.25pt">
                  <v:stroke endarrow="block" joinstyle="miter"/>
                </v:shape>
                <v:shape id="Straight Arrow Connector 328" o:spid="_x0000_s1044" type="#_x0000_t32" style="position:absolute;left:40195;top:2667;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" strokecolor="black [3213]" strokeweight="2.25pt">
                  <v:stroke endarrow="block" joinstyle="miter"/>
                </v:shape>
                <v:line id="Straight Connector 329" o:spid="_x0000_s1045" style="position:absolute;visibility:visible;mso-wrap-style:square" from="31242,4667" to="31242,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" strokecolor="black [3213]" strokeweight="2.25pt">
                  <v:stroke joinstyle="miter"/>
                </v:line>
                <v:shape id="Straight Arrow Connector 330" o:spid="_x0000_s1046" type="#_x0000_t32" style="position:absolute;left:31242;top:17526;width:12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" strokecolor="black [3213]" strokeweight="2.25pt">
                  <v:stroke endarrow="block" joinstyle="miter"/>
                </v:shape>
              </v:group>
            </w:pict>
          </mc:Fallback>
        </mc:AlternateContent>
      </w:r>
    </w:p>
    <w:p w14:paraId="1E83A781" w14:textId="63C0AB39" w:rsidR="00A64EDA" w:rsidRPr="00241369" w:rsidRDefault="00A64EDA" w:rsidP="00A64EDA">
      <w:pPr>
        <w:spacing w:line="360" w:lineRule="auto"/>
      </w:pPr>
    </w:p>
    <w:p w14:paraId="3BBDB5E3" w14:textId="32966735" w:rsidR="00A64EDA" w:rsidRPr="00241369" w:rsidRDefault="00A64EDA" w:rsidP="00A64EDA">
      <w:pPr>
        <w:spacing w:line="360" w:lineRule="auto"/>
      </w:pPr>
    </w:p>
    <w:p w14:paraId="3AB929AD" w14:textId="14274308" w:rsidR="004D1AF9" w:rsidRDefault="004D1AF9" w:rsidP="00A64EDA">
      <w:pPr>
        <w:spacing w:line="360" w:lineRule="auto"/>
        <w:rPr>
          <w:b/>
          <w:bCs/>
        </w:rPr>
      </w:pPr>
    </w:p>
    <w:p w14:paraId="1FF98898" w14:textId="077B67AA" w:rsidR="004D1AF9" w:rsidRDefault="004D1AF9" w:rsidP="00A64EDA">
      <w:pPr>
        <w:spacing w:line="360" w:lineRule="auto"/>
        <w:rPr>
          <w:b/>
          <w:bCs/>
        </w:rPr>
      </w:pPr>
    </w:p>
    <w:p w14:paraId="095D829D" w14:textId="7E286950" w:rsidR="004D1AF9" w:rsidRDefault="004D1AF9" w:rsidP="00A64EDA">
      <w:pPr>
        <w:spacing w:line="360" w:lineRule="auto"/>
        <w:rPr>
          <w:b/>
          <w:bCs/>
        </w:rPr>
      </w:pPr>
    </w:p>
    <w:p w14:paraId="38F45B24" w14:textId="24449683" w:rsidR="004D1AF9" w:rsidRDefault="00EF67A3" w:rsidP="00A64EDA">
      <w:pPr>
        <w:spacing w:line="360" w:lineRule="auto"/>
        <w:rPr>
          <w:b/>
          <w:bCs/>
        </w:rPr>
      </w:pPr>
      <w:r>
        <w:rPr>
          <w:noProof/>
        </w:rPr>
        <mc:AlternateContent>
          <mc:Choice Requires="wps">
            <w:drawing>
              <wp:anchor distT="45720" distB="45720" distL="114300" distR="114300" simplePos="0" relativeHeight="251721216" behindDoc="0" locked="0" layoutInCell="1" allowOverlap="1" wp14:anchorId="03BD96A5" wp14:editId="3F05CDB3">
                <wp:simplePos x="0" y="0"/>
                <wp:positionH relativeFrom="column">
                  <wp:posOffset>3818453</wp:posOffset>
                </wp:positionH>
                <wp:positionV relativeFrom="paragraph">
                  <wp:posOffset>144145</wp:posOffset>
                </wp:positionV>
                <wp:extent cx="2009140" cy="782955"/>
                <wp:effectExtent l="0" t="0" r="0" b="0"/>
                <wp:wrapSquare wrapText="bothSides"/>
                <wp:docPr id="66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782955"/>
                        </a:xfrm>
                        <a:prstGeom prst="rect">
                          <a:avLst/>
                        </a:prstGeom>
                        <a:solidFill>
                          <a:srgbClr val="FFFFFF"/>
                        </a:solidFill>
                        <a:ln w="9525">
                          <a:solidFill>
                            <a:srgbClr val="000000"/>
                          </a:solidFill>
                          <a:miter lim="800000"/>
                          <a:headEnd/>
                          <a:tailEnd/>
                        </a:ln>
                      </wps:spPr>
                      <wps:txbx>
                        <w:txbxContent>
                          <w:p w14:paraId="79242DAD" w14:textId="77777777" w:rsidR="00600985" w:rsidRDefault="00600985" w:rsidP="004D1AF9">
                            <w:r>
                              <w:t>1 - Did not attend interview</w:t>
                            </w:r>
                          </w:p>
                          <w:p w14:paraId="7BF92EBE" w14:textId="77777777" w:rsidR="00600985" w:rsidRDefault="00600985" w:rsidP="004D1AF9">
                            <w:r>
                              <w:t>1 - Cancelled interview</w:t>
                            </w:r>
                          </w:p>
                          <w:p w14:paraId="21833A9E" w14:textId="77777777" w:rsidR="00600985" w:rsidRDefault="00600985" w:rsidP="004D1AF9">
                            <w:r>
                              <w:t>3 - Unable to commit to an interview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D96A5" id="Text Box 669" o:spid="_x0000_s1047" type="#_x0000_t202" style="position:absolute;margin-left:300.65pt;margin-top:11.35pt;width:158.2pt;height:61.65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">
                <v:textbox style="mso-fit-shape-to-text:t">
                  <w:txbxContent>
                    <w:p w14:paraId="79242DAD" w14:textId="77777777" w:rsidR="00600985" w:rsidRDefault="00600985" w:rsidP="004D1AF9">
                      <w:r>
                        <w:t>1 - Did not attend interview</w:t>
                      </w:r>
                    </w:p>
                    <w:p w14:paraId="7BF92EBE" w14:textId="77777777" w:rsidR="00600985" w:rsidRDefault="00600985" w:rsidP="004D1AF9">
                      <w:r>
                        <w:t>1 - Cancelled interview</w:t>
                      </w:r>
                    </w:p>
                    <w:p w14:paraId="21833A9E" w14:textId="77777777" w:rsidR="00600985" w:rsidRDefault="00600985" w:rsidP="004D1AF9">
                      <w:r>
                        <w:t>3 - Unable to commit to an interview time</w:t>
                      </w:r>
                    </w:p>
                  </w:txbxContent>
                </v:textbox>
                <w10:wrap type="square"/>
              </v:shape>
            </w:pict>
          </mc:Fallback>
        </mc:AlternateContent>
      </w:r>
    </w:p>
    <w:p w14:paraId="1BBF737D" w14:textId="77777777" w:rsidR="0098157F" w:rsidRDefault="0098157F" w:rsidP="00A64EDA">
      <w:pPr>
        <w:spacing w:line="360" w:lineRule="auto"/>
        <w:rPr>
          <w:b/>
          <w:bCs/>
        </w:rPr>
      </w:pPr>
    </w:p>
    <w:p w14:paraId="2CFF0FEE" w14:textId="6C165DEB" w:rsidR="00E26C49" w:rsidRDefault="00E26C49" w:rsidP="00B54053">
      <w:pPr>
        <w:spacing w:line="360" w:lineRule="auto"/>
        <w:rPr>
          <w:b/>
          <w:bCs/>
        </w:rPr>
      </w:pPr>
    </w:p>
    <w:p w14:paraId="311E01A0" w14:textId="67311756" w:rsidR="00EF67A3" w:rsidRDefault="00EF67A3" w:rsidP="00B54053">
      <w:pPr>
        <w:spacing w:line="360" w:lineRule="auto"/>
        <w:rPr>
          <w:b/>
          <w:bCs/>
        </w:rPr>
      </w:pPr>
    </w:p>
    <w:p w14:paraId="615931A1" w14:textId="11B0F128" w:rsidR="00EF67A3" w:rsidRDefault="00EF67A3" w:rsidP="00B54053">
      <w:pPr>
        <w:spacing w:line="360" w:lineRule="auto"/>
        <w:rPr>
          <w:b/>
          <w:bCs/>
        </w:rPr>
      </w:pPr>
    </w:p>
    <w:p w14:paraId="4C204BAB" w14:textId="77777777" w:rsidR="00EF67A3" w:rsidRDefault="00EF67A3" w:rsidP="00B54053">
      <w:pPr>
        <w:spacing w:line="360" w:lineRule="auto"/>
        <w:rPr>
          <w:b/>
          <w:bCs/>
        </w:rPr>
      </w:pPr>
    </w:p>
    <w:p w14:paraId="729DB24B" w14:textId="6C877C15" w:rsidR="00353FF4" w:rsidRPr="00E26C49" w:rsidRDefault="00E26C49" w:rsidP="00B54053">
      <w:pPr>
        <w:pStyle w:val="Caption"/>
        <w:spacing w:after="0" w:line="360" w:lineRule="auto"/>
        <w:rPr>
          <w:i w:val="0"/>
          <w:iCs w:val="0"/>
          <w:color w:val="000000" w:themeColor="text1"/>
          <w:sz w:val="24"/>
          <w:szCs w:val="24"/>
        </w:rPr>
      </w:pPr>
      <w:bookmarkStart w:id="141" w:name="_Ref105445988"/>
      <w:bookmarkStart w:id="142" w:name="_Toc117780216"/>
      <w:r w:rsidRPr="00E26C49">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3</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bookmarkEnd w:id="141"/>
      <w:r w:rsidRPr="00E26C49">
        <w:rPr>
          <w:b/>
          <w:bCs/>
          <w:i w:val="0"/>
          <w:iCs w:val="0"/>
          <w:color w:val="000000" w:themeColor="text1"/>
          <w:sz w:val="24"/>
          <w:szCs w:val="24"/>
        </w:rPr>
        <w:t>:</w:t>
      </w:r>
      <w:r w:rsidRPr="00E26C49">
        <w:rPr>
          <w:i w:val="0"/>
          <w:iCs w:val="0"/>
          <w:color w:val="000000" w:themeColor="text1"/>
          <w:sz w:val="24"/>
          <w:szCs w:val="24"/>
        </w:rPr>
        <w:t xml:space="preserve"> Consort diagram to show the recruitment process for the parental interview study</w:t>
      </w:r>
      <w:bookmarkEnd w:id="142"/>
    </w:p>
    <w:p w14:paraId="77F79DE1" w14:textId="069DD126" w:rsidR="00A64EDA" w:rsidRDefault="00A64EDA" w:rsidP="00B54053">
      <w:pPr>
        <w:spacing w:line="360" w:lineRule="auto"/>
        <w:rPr>
          <w:i/>
          <w:iCs/>
        </w:rPr>
      </w:pPr>
      <w:r w:rsidRPr="00E26C49">
        <w:rPr>
          <w:i/>
          <w:iCs/>
        </w:rPr>
        <w:t xml:space="preserve">Patients who fulfilled the inclusion criteria were given the study information. Of these, </w:t>
      </w:r>
      <w:r w:rsidR="00524208" w:rsidRPr="00E26C49">
        <w:rPr>
          <w:i/>
          <w:iCs/>
        </w:rPr>
        <w:t xml:space="preserve">20 </w:t>
      </w:r>
      <w:r w:rsidRPr="00E26C49">
        <w:rPr>
          <w:i/>
          <w:iCs/>
        </w:rPr>
        <w:t>responded to the text message sent 1-7 days after the study information had been given to families.</w:t>
      </w:r>
      <w:r w:rsidR="00524208" w:rsidRPr="00E26C49">
        <w:rPr>
          <w:i/>
          <w:iCs/>
        </w:rPr>
        <w:t xml:space="preserve"> A total of 15 interviews were finally conducted. </w:t>
      </w:r>
    </w:p>
    <w:p w14:paraId="6F6D5CD8" w14:textId="518FB398" w:rsidR="0098157F" w:rsidRDefault="0098157F" w:rsidP="007818FB">
      <w:pPr>
        <w:rPr>
          <w:i/>
          <w:iCs/>
        </w:rPr>
      </w:pPr>
    </w:p>
    <w:p w14:paraId="10E9A211" w14:textId="78BAC178" w:rsidR="0098157F" w:rsidRDefault="0098157F" w:rsidP="007818FB">
      <w:pPr>
        <w:rPr>
          <w:i/>
          <w:iCs/>
        </w:rPr>
      </w:pPr>
    </w:p>
    <w:p w14:paraId="2F9D1739" w14:textId="3890BEA6" w:rsidR="0098157F" w:rsidRDefault="0098157F" w:rsidP="007818FB">
      <w:pPr>
        <w:rPr>
          <w:i/>
          <w:iCs/>
        </w:rPr>
      </w:pPr>
    </w:p>
    <w:p w14:paraId="23EEB116" w14:textId="170C571C" w:rsidR="0098157F" w:rsidRDefault="0098157F" w:rsidP="007818FB">
      <w:pPr>
        <w:rPr>
          <w:i/>
          <w:iCs/>
        </w:rPr>
      </w:pPr>
    </w:p>
    <w:p w14:paraId="4F7696E7" w14:textId="1387EB92" w:rsidR="0098157F" w:rsidRDefault="0098157F" w:rsidP="007818FB">
      <w:pPr>
        <w:rPr>
          <w:i/>
          <w:iCs/>
        </w:rPr>
      </w:pPr>
    </w:p>
    <w:p w14:paraId="6064F6BC" w14:textId="1C5A7B11" w:rsidR="0098157F" w:rsidRDefault="0098157F" w:rsidP="007818FB">
      <w:pPr>
        <w:rPr>
          <w:i/>
          <w:iCs/>
        </w:rPr>
      </w:pPr>
    </w:p>
    <w:p w14:paraId="562FFCD0" w14:textId="0A0295E7" w:rsidR="0098157F" w:rsidRDefault="0098157F" w:rsidP="007818FB">
      <w:pPr>
        <w:rPr>
          <w:i/>
          <w:iCs/>
        </w:rPr>
      </w:pPr>
    </w:p>
    <w:p w14:paraId="203D6655" w14:textId="6E8B932F" w:rsidR="0098157F" w:rsidRDefault="0098157F" w:rsidP="007818FB">
      <w:pPr>
        <w:rPr>
          <w:i/>
          <w:iCs/>
        </w:rPr>
      </w:pPr>
    </w:p>
    <w:p w14:paraId="7B9A56C6" w14:textId="16B0A6CF" w:rsidR="0098157F" w:rsidRDefault="0098157F" w:rsidP="007818FB">
      <w:pPr>
        <w:rPr>
          <w:i/>
          <w:iCs/>
        </w:rPr>
      </w:pPr>
    </w:p>
    <w:p w14:paraId="11FC1CDB" w14:textId="0FEBC63E" w:rsidR="0098157F" w:rsidRDefault="0098157F" w:rsidP="007818FB">
      <w:pPr>
        <w:rPr>
          <w:i/>
          <w:iCs/>
        </w:rPr>
      </w:pPr>
    </w:p>
    <w:p w14:paraId="6320F357" w14:textId="3B576062" w:rsidR="0098157F" w:rsidRDefault="0098157F" w:rsidP="007818FB">
      <w:pPr>
        <w:rPr>
          <w:i/>
          <w:iCs/>
        </w:rPr>
      </w:pPr>
    </w:p>
    <w:p w14:paraId="22195DFB" w14:textId="42371982" w:rsidR="00EF67A3" w:rsidRDefault="00EF67A3" w:rsidP="007818FB">
      <w:pPr>
        <w:rPr>
          <w:i/>
          <w:iCs/>
        </w:rPr>
      </w:pPr>
    </w:p>
    <w:p w14:paraId="56DA7A53" w14:textId="1693A3C9" w:rsidR="00EF67A3" w:rsidRDefault="00EF67A3" w:rsidP="007818FB">
      <w:pPr>
        <w:rPr>
          <w:i/>
          <w:iCs/>
        </w:rPr>
      </w:pPr>
    </w:p>
    <w:p w14:paraId="38FF237F" w14:textId="2F0191EF" w:rsidR="00EF67A3" w:rsidRDefault="00EF67A3" w:rsidP="007818FB">
      <w:pPr>
        <w:rPr>
          <w:i/>
          <w:iCs/>
        </w:rPr>
      </w:pPr>
    </w:p>
    <w:p w14:paraId="5CA54402" w14:textId="77777777" w:rsidR="007818FB" w:rsidRPr="00E26C49" w:rsidRDefault="007818FB" w:rsidP="00A64EDA">
      <w:pPr>
        <w:spacing w:line="360" w:lineRule="auto"/>
        <w:rPr>
          <w:b/>
          <w:bCs/>
          <w:i/>
          <w:iCs/>
        </w:rPr>
      </w:pPr>
    </w:p>
    <w:p w14:paraId="4DF0B01A" w14:textId="42606D96" w:rsidR="004854B4" w:rsidRPr="004D691E" w:rsidRDefault="004854B4" w:rsidP="004854B4">
      <w:pPr>
        <w:pStyle w:val="Caption"/>
        <w:keepNext/>
        <w:rPr>
          <w:i w:val="0"/>
          <w:iCs w:val="0"/>
          <w:color w:val="000000" w:themeColor="text1"/>
          <w:sz w:val="24"/>
          <w:szCs w:val="24"/>
        </w:rPr>
      </w:pPr>
      <w:bookmarkStart w:id="143" w:name="_Ref105532072"/>
      <w:bookmarkStart w:id="144" w:name="_Toc117780250"/>
      <w:r w:rsidRPr="004854B4">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9</w:t>
      </w:r>
      <w:r w:rsidR="002C440E">
        <w:rPr>
          <w:b/>
          <w:bCs/>
          <w:i w:val="0"/>
          <w:iCs w:val="0"/>
          <w:color w:val="000000" w:themeColor="text1"/>
          <w:sz w:val="24"/>
          <w:szCs w:val="24"/>
        </w:rPr>
        <w:fldChar w:fldCharType="end"/>
      </w:r>
      <w:bookmarkEnd w:id="143"/>
      <w:r w:rsidRPr="004854B4">
        <w:rPr>
          <w:b/>
          <w:bCs/>
          <w:i w:val="0"/>
          <w:iCs w:val="0"/>
          <w:color w:val="000000" w:themeColor="text1"/>
          <w:sz w:val="24"/>
          <w:szCs w:val="24"/>
        </w:rPr>
        <w:t>:</w:t>
      </w:r>
      <w:r w:rsidRPr="004854B4">
        <w:rPr>
          <w:i w:val="0"/>
          <w:iCs w:val="0"/>
          <w:color w:val="000000" w:themeColor="text1"/>
          <w:sz w:val="24"/>
          <w:szCs w:val="24"/>
        </w:rPr>
        <w:t xml:space="preserve"> </w:t>
      </w:r>
      <w:r w:rsidR="00FC59D5">
        <w:rPr>
          <w:i w:val="0"/>
          <w:iCs w:val="0"/>
          <w:color w:val="000000" w:themeColor="text1"/>
          <w:sz w:val="24"/>
          <w:szCs w:val="24"/>
        </w:rPr>
        <w:t>Participant</w:t>
      </w:r>
      <w:r w:rsidRPr="004854B4">
        <w:rPr>
          <w:i w:val="0"/>
          <w:iCs w:val="0"/>
          <w:color w:val="000000" w:themeColor="text1"/>
          <w:sz w:val="24"/>
          <w:szCs w:val="24"/>
        </w:rPr>
        <w:t xml:space="preserve"> demographics for those </w:t>
      </w:r>
      <w:r w:rsidR="00FC59D5">
        <w:rPr>
          <w:i w:val="0"/>
          <w:iCs w:val="0"/>
          <w:color w:val="000000" w:themeColor="text1"/>
          <w:sz w:val="24"/>
          <w:szCs w:val="24"/>
        </w:rPr>
        <w:t>taking part</w:t>
      </w:r>
      <w:r w:rsidRPr="004854B4">
        <w:rPr>
          <w:i w:val="0"/>
          <w:iCs w:val="0"/>
          <w:color w:val="000000" w:themeColor="text1"/>
          <w:sz w:val="24"/>
          <w:szCs w:val="24"/>
        </w:rPr>
        <w:t xml:space="preserve"> in the parental interview study</w:t>
      </w:r>
      <w:bookmarkEnd w:id="144"/>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0"/>
        <w:gridCol w:w="5103"/>
      </w:tblGrid>
      <w:tr w:rsidR="00A64EDA" w:rsidRPr="008F33C8" w14:paraId="193C689E" w14:textId="77777777" w:rsidTr="00E55625">
        <w:trPr>
          <w:trHeight w:val="878"/>
        </w:trPr>
        <w:tc>
          <w:tcPr>
            <w:tcW w:w="4390" w:type="dxa"/>
            <w:shd w:val="clear" w:color="auto" w:fill="D9D9D9" w:themeFill="background1" w:themeFillShade="D9"/>
          </w:tcPr>
          <w:p w14:paraId="3A340AA5" w14:textId="77777777" w:rsidR="00A64EDA" w:rsidRPr="006A07AF" w:rsidRDefault="00A64EDA" w:rsidP="006A07AF">
            <w:pPr>
              <w:spacing w:after="120"/>
            </w:pPr>
            <w:r w:rsidRPr="006A07AF">
              <w:t>Demographics</w:t>
            </w:r>
          </w:p>
        </w:tc>
        <w:tc>
          <w:tcPr>
            <w:tcW w:w="5103" w:type="dxa"/>
            <w:shd w:val="clear" w:color="auto" w:fill="D9D9D9" w:themeFill="background1" w:themeFillShade="D9"/>
          </w:tcPr>
          <w:p w14:paraId="79892A17" w14:textId="77777777" w:rsidR="00A64EDA" w:rsidRPr="006A07AF" w:rsidRDefault="00A64EDA" w:rsidP="006A07AF">
            <w:pPr>
              <w:spacing w:after="120"/>
            </w:pPr>
            <w:r w:rsidRPr="006A07AF">
              <w:t xml:space="preserve">N = Frequency </w:t>
            </w:r>
          </w:p>
          <w:p w14:paraId="1E209F81" w14:textId="77777777" w:rsidR="00A64EDA" w:rsidRPr="006A07AF" w:rsidRDefault="00A64EDA" w:rsidP="006A07AF">
            <w:pPr>
              <w:spacing w:after="120"/>
            </w:pPr>
            <w:r w:rsidRPr="006A07AF">
              <w:t>Total interviews = 15</w:t>
            </w:r>
          </w:p>
          <w:p w14:paraId="6493E81C" w14:textId="77777777" w:rsidR="00A64EDA" w:rsidRPr="006A07AF" w:rsidRDefault="00A64EDA" w:rsidP="006A07AF">
            <w:pPr>
              <w:spacing w:after="120"/>
            </w:pPr>
            <w:r w:rsidRPr="006A07AF">
              <w:t>Total participants = 18</w:t>
            </w:r>
          </w:p>
        </w:tc>
      </w:tr>
      <w:tr w:rsidR="00A64EDA" w:rsidRPr="008F33C8" w14:paraId="67D31703" w14:textId="77777777" w:rsidTr="00E55625">
        <w:tc>
          <w:tcPr>
            <w:tcW w:w="4390" w:type="dxa"/>
          </w:tcPr>
          <w:p w14:paraId="3D864533" w14:textId="77777777" w:rsidR="00A64EDA" w:rsidRPr="006A07AF" w:rsidRDefault="00A64EDA" w:rsidP="006A07AF">
            <w:pPr>
              <w:spacing w:after="120"/>
            </w:pPr>
            <w:r w:rsidRPr="006A07AF">
              <w:t>Participant interviewed</w:t>
            </w:r>
          </w:p>
        </w:tc>
        <w:tc>
          <w:tcPr>
            <w:tcW w:w="5103" w:type="dxa"/>
          </w:tcPr>
          <w:p w14:paraId="63197A29" w14:textId="77777777" w:rsidR="00A64EDA" w:rsidRPr="006A07AF" w:rsidRDefault="00A64EDA" w:rsidP="006A07AF">
            <w:pPr>
              <w:spacing w:after="120"/>
            </w:pPr>
            <w:r w:rsidRPr="006A07AF">
              <w:t>Mother = 14</w:t>
            </w:r>
          </w:p>
          <w:p w14:paraId="63705F6B" w14:textId="77777777" w:rsidR="00A64EDA" w:rsidRPr="006A07AF" w:rsidRDefault="00A64EDA" w:rsidP="006A07AF">
            <w:pPr>
              <w:spacing w:after="120"/>
            </w:pPr>
            <w:r w:rsidRPr="006A07AF">
              <w:t>Father = 2</w:t>
            </w:r>
          </w:p>
          <w:p w14:paraId="6909749E" w14:textId="77777777" w:rsidR="00A64EDA" w:rsidRPr="006A07AF" w:rsidRDefault="00A64EDA" w:rsidP="006A07AF">
            <w:pPr>
              <w:spacing w:after="120"/>
            </w:pPr>
            <w:r w:rsidRPr="006A07AF">
              <w:t>Grandmother = 1</w:t>
            </w:r>
          </w:p>
          <w:p w14:paraId="2ACBCF0E" w14:textId="77777777" w:rsidR="00A64EDA" w:rsidRPr="006A07AF" w:rsidRDefault="00A64EDA" w:rsidP="006A07AF">
            <w:pPr>
              <w:spacing w:after="120"/>
            </w:pPr>
            <w:r w:rsidRPr="006A07AF">
              <w:t>Grandfather = 1</w:t>
            </w:r>
          </w:p>
        </w:tc>
      </w:tr>
      <w:tr w:rsidR="00A64EDA" w:rsidRPr="008F33C8" w14:paraId="1C93515B" w14:textId="77777777" w:rsidTr="00E55625">
        <w:tc>
          <w:tcPr>
            <w:tcW w:w="4390" w:type="dxa"/>
          </w:tcPr>
          <w:p w14:paraId="2826C082" w14:textId="77777777" w:rsidR="00A64EDA" w:rsidRPr="006A07AF" w:rsidRDefault="00A64EDA" w:rsidP="006A07AF">
            <w:pPr>
              <w:spacing w:after="120"/>
            </w:pPr>
            <w:r w:rsidRPr="006A07AF">
              <w:t>Age of interviewee (years)</w:t>
            </w:r>
          </w:p>
        </w:tc>
        <w:tc>
          <w:tcPr>
            <w:tcW w:w="5103" w:type="dxa"/>
          </w:tcPr>
          <w:p w14:paraId="71B3FCB6" w14:textId="77777777" w:rsidR="00A64EDA" w:rsidRPr="006A07AF" w:rsidRDefault="00A64EDA" w:rsidP="006A07AF">
            <w:pPr>
              <w:spacing w:after="120"/>
            </w:pPr>
            <w:r w:rsidRPr="006A07AF">
              <w:t>21-30 = 2</w:t>
            </w:r>
          </w:p>
          <w:p w14:paraId="20F2C8E1" w14:textId="77777777" w:rsidR="00A64EDA" w:rsidRPr="006A07AF" w:rsidRDefault="00A64EDA" w:rsidP="006A07AF">
            <w:pPr>
              <w:spacing w:after="120"/>
            </w:pPr>
            <w:r w:rsidRPr="006A07AF">
              <w:t>31-40 = 7</w:t>
            </w:r>
          </w:p>
          <w:p w14:paraId="1D1135D5" w14:textId="77777777" w:rsidR="00A64EDA" w:rsidRPr="006A07AF" w:rsidRDefault="00A64EDA" w:rsidP="006A07AF">
            <w:pPr>
              <w:spacing w:after="120"/>
            </w:pPr>
            <w:r w:rsidRPr="006A07AF">
              <w:t>41-50 = 7</w:t>
            </w:r>
          </w:p>
          <w:p w14:paraId="384AFAE8" w14:textId="77777777" w:rsidR="00A64EDA" w:rsidRPr="006A07AF" w:rsidRDefault="00A64EDA" w:rsidP="006A07AF">
            <w:pPr>
              <w:spacing w:after="120"/>
            </w:pPr>
            <w:r w:rsidRPr="006A07AF">
              <w:t>51-60 = 1</w:t>
            </w:r>
          </w:p>
          <w:p w14:paraId="2F88578C" w14:textId="77777777" w:rsidR="00A64EDA" w:rsidRPr="006A07AF" w:rsidRDefault="00A64EDA" w:rsidP="006A07AF">
            <w:pPr>
              <w:spacing w:after="120"/>
            </w:pPr>
            <w:r w:rsidRPr="006A07AF">
              <w:t>61-70 = 1</w:t>
            </w:r>
          </w:p>
        </w:tc>
      </w:tr>
      <w:tr w:rsidR="00A64EDA" w:rsidRPr="008F33C8" w14:paraId="236BCC10" w14:textId="77777777" w:rsidTr="00E55625">
        <w:tc>
          <w:tcPr>
            <w:tcW w:w="4390" w:type="dxa"/>
          </w:tcPr>
          <w:p w14:paraId="5AA4CC13" w14:textId="77777777" w:rsidR="00A64EDA" w:rsidRPr="006A07AF" w:rsidRDefault="00A64EDA" w:rsidP="006A07AF">
            <w:pPr>
              <w:spacing w:after="120"/>
            </w:pPr>
            <w:r w:rsidRPr="006A07AF">
              <w:t>Highest degree</w:t>
            </w:r>
          </w:p>
        </w:tc>
        <w:tc>
          <w:tcPr>
            <w:tcW w:w="5103" w:type="dxa"/>
          </w:tcPr>
          <w:p w14:paraId="7F35E1B2" w14:textId="77777777" w:rsidR="00A64EDA" w:rsidRPr="006A07AF" w:rsidRDefault="00A64EDA" w:rsidP="006A07AF">
            <w:pPr>
              <w:spacing w:after="120"/>
            </w:pPr>
            <w:r w:rsidRPr="006A07AF">
              <w:t>None = 2</w:t>
            </w:r>
          </w:p>
          <w:p w14:paraId="51205FFA" w14:textId="77777777" w:rsidR="00A64EDA" w:rsidRPr="006A07AF" w:rsidRDefault="00A64EDA" w:rsidP="006A07AF">
            <w:pPr>
              <w:spacing w:after="120"/>
            </w:pPr>
            <w:r w:rsidRPr="006A07AF">
              <w:t>GCSE = 2</w:t>
            </w:r>
          </w:p>
          <w:p w14:paraId="620ECC77" w14:textId="77777777" w:rsidR="00A64EDA" w:rsidRPr="006A07AF" w:rsidRDefault="00A64EDA" w:rsidP="006A07AF">
            <w:pPr>
              <w:spacing w:after="120"/>
            </w:pPr>
            <w:r w:rsidRPr="006A07AF">
              <w:t>NVQ = 7</w:t>
            </w:r>
          </w:p>
          <w:p w14:paraId="6CC6D87B" w14:textId="77777777" w:rsidR="00A64EDA" w:rsidRPr="006A07AF" w:rsidRDefault="00A64EDA" w:rsidP="006A07AF">
            <w:pPr>
              <w:spacing w:after="120"/>
            </w:pPr>
            <w:r w:rsidRPr="006A07AF">
              <w:t>Higher degree = 7</w:t>
            </w:r>
          </w:p>
        </w:tc>
      </w:tr>
      <w:tr w:rsidR="00A64EDA" w:rsidRPr="008F33C8" w14:paraId="16515756" w14:textId="77777777" w:rsidTr="00E55625">
        <w:tc>
          <w:tcPr>
            <w:tcW w:w="4390" w:type="dxa"/>
          </w:tcPr>
          <w:p w14:paraId="79805282" w14:textId="77777777" w:rsidR="00A64EDA" w:rsidRPr="006A07AF" w:rsidRDefault="00A64EDA" w:rsidP="006A07AF">
            <w:pPr>
              <w:spacing w:after="120"/>
            </w:pPr>
            <w:r w:rsidRPr="006A07AF">
              <w:t>Employment status</w:t>
            </w:r>
          </w:p>
        </w:tc>
        <w:tc>
          <w:tcPr>
            <w:tcW w:w="5103" w:type="dxa"/>
          </w:tcPr>
          <w:p w14:paraId="4AEA371E" w14:textId="77777777" w:rsidR="00A64EDA" w:rsidRPr="006A07AF" w:rsidRDefault="00A64EDA" w:rsidP="006A07AF">
            <w:pPr>
              <w:spacing w:after="120"/>
            </w:pPr>
            <w:r w:rsidRPr="006A07AF">
              <w:t>Employed = 10</w:t>
            </w:r>
          </w:p>
        </w:tc>
      </w:tr>
      <w:tr w:rsidR="00A64EDA" w:rsidRPr="008F33C8" w14:paraId="5DB318B5" w14:textId="77777777" w:rsidTr="00E55625">
        <w:tc>
          <w:tcPr>
            <w:tcW w:w="4390" w:type="dxa"/>
          </w:tcPr>
          <w:p w14:paraId="49904520" w14:textId="77777777" w:rsidR="00A64EDA" w:rsidRPr="006A07AF" w:rsidRDefault="00A64EDA" w:rsidP="006A07AF">
            <w:pPr>
              <w:spacing w:after="120"/>
            </w:pPr>
            <w:r w:rsidRPr="006A07AF">
              <w:t>Ethnicity</w:t>
            </w:r>
          </w:p>
        </w:tc>
        <w:tc>
          <w:tcPr>
            <w:tcW w:w="5103" w:type="dxa"/>
          </w:tcPr>
          <w:p w14:paraId="3EB8B005" w14:textId="77777777" w:rsidR="00A64EDA" w:rsidRPr="006A07AF" w:rsidRDefault="00A64EDA" w:rsidP="006A07AF">
            <w:pPr>
              <w:spacing w:after="120"/>
            </w:pPr>
            <w:r w:rsidRPr="006A07AF">
              <w:t>White British = 16</w:t>
            </w:r>
          </w:p>
          <w:p w14:paraId="4E459006" w14:textId="77777777" w:rsidR="00A64EDA" w:rsidRPr="006A07AF" w:rsidRDefault="00A64EDA" w:rsidP="006A07AF">
            <w:pPr>
              <w:spacing w:after="120"/>
            </w:pPr>
            <w:r w:rsidRPr="006A07AF">
              <w:t>Arab (Libyan) = 2</w:t>
            </w:r>
          </w:p>
        </w:tc>
      </w:tr>
      <w:tr w:rsidR="00A64EDA" w:rsidRPr="008F33C8" w14:paraId="7DE3CB37" w14:textId="77777777" w:rsidTr="00E55625">
        <w:tc>
          <w:tcPr>
            <w:tcW w:w="4390" w:type="dxa"/>
          </w:tcPr>
          <w:p w14:paraId="3AC7D27D" w14:textId="77777777" w:rsidR="00A64EDA" w:rsidRPr="006A07AF" w:rsidRDefault="00A64EDA" w:rsidP="006A07AF">
            <w:pPr>
              <w:spacing w:after="120"/>
            </w:pPr>
            <w:r w:rsidRPr="006A07AF">
              <w:t>Mean Age of child (years)</w:t>
            </w:r>
          </w:p>
        </w:tc>
        <w:tc>
          <w:tcPr>
            <w:tcW w:w="5103" w:type="dxa"/>
          </w:tcPr>
          <w:p w14:paraId="1EE2CD1E" w14:textId="19D9DCC3" w:rsidR="00A64EDA" w:rsidRPr="006A07AF" w:rsidRDefault="00A64EDA" w:rsidP="006A07AF">
            <w:pPr>
              <w:spacing w:after="120"/>
            </w:pPr>
            <w:r w:rsidRPr="006A07AF">
              <w:t xml:space="preserve"> 4  (</w:t>
            </w:r>
            <w:r w:rsidR="00E8353E">
              <w:t xml:space="preserve">Range: </w:t>
            </w:r>
            <w:r w:rsidRPr="006A07AF">
              <w:t>2 – 6)</w:t>
            </w:r>
          </w:p>
        </w:tc>
      </w:tr>
      <w:tr w:rsidR="00A64EDA" w:rsidRPr="008F33C8" w14:paraId="63569A85" w14:textId="77777777" w:rsidTr="00E55625">
        <w:tc>
          <w:tcPr>
            <w:tcW w:w="4390" w:type="dxa"/>
          </w:tcPr>
          <w:p w14:paraId="26F7FC96" w14:textId="77777777" w:rsidR="00A64EDA" w:rsidRPr="006A07AF" w:rsidRDefault="00A64EDA" w:rsidP="006A07AF">
            <w:pPr>
              <w:spacing w:after="120"/>
            </w:pPr>
            <w:r w:rsidRPr="006A07AF">
              <w:t>Mean duration on prophylaxis (months)</w:t>
            </w:r>
          </w:p>
        </w:tc>
        <w:tc>
          <w:tcPr>
            <w:tcW w:w="5103" w:type="dxa"/>
          </w:tcPr>
          <w:p w14:paraId="32C5CBD2" w14:textId="5534BD90" w:rsidR="00A64EDA" w:rsidRDefault="00A64EDA" w:rsidP="006A07AF">
            <w:pPr>
              <w:spacing w:after="120"/>
            </w:pPr>
            <w:r w:rsidRPr="006A07AF">
              <w:t xml:space="preserve">11 </w:t>
            </w:r>
            <w:r w:rsidR="00E8353E">
              <w:t xml:space="preserve">(Range: </w:t>
            </w:r>
            <w:r w:rsidRPr="006A07AF">
              <w:t>3-31)</w:t>
            </w:r>
          </w:p>
          <w:p w14:paraId="12A1C6DC" w14:textId="7BB330A9" w:rsidR="00B45514" w:rsidRPr="006A07AF" w:rsidRDefault="00B45514" w:rsidP="006A07AF">
            <w:pPr>
              <w:spacing w:after="120"/>
            </w:pPr>
            <w:r>
              <w:t>12 = seasonal prophylaxis</w:t>
            </w:r>
          </w:p>
        </w:tc>
      </w:tr>
      <w:tr w:rsidR="00A64EDA" w:rsidRPr="008F33C8" w14:paraId="284C5E9F" w14:textId="77777777" w:rsidTr="00E55625">
        <w:tc>
          <w:tcPr>
            <w:tcW w:w="4390" w:type="dxa"/>
          </w:tcPr>
          <w:p w14:paraId="0C72CDCA" w14:textId="77777777" w:rsidR="00A64EDA" w:rsidRPr="006A07AF" w:rsidRDefault="00A64EDA" w:rsidP="006A07AF">
            <w:pPr>
              <w:spacing w:after="120"/>
            </w:pPr>
            <w:r w:rsidRPr="006A07AF">
              <w:t>Child’s diagnosis</w:t>
            </w:r>
          </w:p>
        </w:tc>
        <w:tc>
          <w:tcPr>
            <w:tcW w:w="5103" w:type="dxa"/>
          </w:tcPr>
          <w:p w14:paraId="2B4D8052" w14:textId="77777777" w:rsidR="00A64EDA" w:rsidRPr="006A07AF" w:rsidRDefault="00A64EDA" w:rsidP="006A07AF">
            <w:pPr>
              <w:spacing w:after="120"/>
            </w:pPr>
            <w:r w:rsidRPr="006A07AF">
              <w:t>Protracted bacterial bronchitis = 9</w:t>
            </w:r>
          </w:p>
          <w:p w14:paraId="57409DA2" w14:textId="77777777" w:rsidR="00A64EDA" w:rsidRPr="006A07AF" w:rsidRDefault="00A64EDA" w:rsidP="006A07AF">
            <w:pPr>
              <w:spacing w:after="120"/>
            </w:pPr>
            <w:r w:rsidRPr="006A07AF">
              <w:t>Bronchiectasis = 3</w:t>
            </w:r>
          </w:p>
          <w:p w14:paraId="64EC3381" w14:textId="77777777" w:rsidR="00A64EDA" w:rsidRPr="006A07AF" w:rsidRDefault="00A64EDA" w:rsidP="006A07AF">
            <w:pPr>
              <w:spacing w:after="120"/>
            </w:pPr>
            <w:r w:rsidRPr="006A07AF">
              <w:t>Hyper IgM = 1</w:t>
            </w:r>
          </w:p>
          <w:p w14:paraId="5480CC08" w14:textId="77777777" w:rsidR="00A64EDA" w:rsidRPr="006A07AF" w:rsidRDefault="00A64EDA" w:rsidP="006A07AF">
            <w:pPr>
              <w:spacing w:after="120"/>
            </w:pPr>
            <w:r w:rsidRPr="006A07AF">
              <w:t>Congenital tracheal stenosis – post operative = 1</w:t>
            </w:r>
          </w:p>
          <w:p w14:paraId="6C202585" w14:textId="77777777" w:rsidR="00A64EDA" w:rsidRPr="006A07AF" w:rsidRDefault="00A64EDA" w:rsidP="006A07AF">
            <w:pPr>
              <w:spacing w:after="120"/>
            </w:pPr>
            <w:r w:rsidRPr="006A07AF">
              <w:t>Muscular dystrophy = 1</w:t>
            </w:r>
          </w:p>
        </w:tc>
      </w:tr>
    </w:tbl>
    <w:p w14:paraId="0E41A67C" w14:textId="141952C2" w:rsidR="00F23467" w:rsidRDefault="00F23467" w:rsidP="00A64EDA">
      <w:pPr>
        <w:spacing w:line="360" w:lineRule="auto"/>
      </w:pPr>
    </w:p>
    <w:p w14:paraId="2A8890DA" w14:textId="5429D3C2" w:rsidR="000459D0" w:rsidRDefault="000459D0" w:rsidP="00A64EDA">
      <w:pPr>
        <w:spacing w:line="360" w:lineRule="auto"/>
      </w:pPr>
    </w:p>
    <w:p w14:paraId="63ADAE23" w14:textId="77777777" w:rsidR="000459D0" w:rsidRPr="00241369" w:rsidRDefault="000459D0" w:rsidP="00A64EDA">
      <w:pPr>
        <w:spacing w:line="360" w:lineRule="auto"/>
      </w:pPr>
    </w:p>
    <w:p w14:paraId="079CA8A9" w14:textId="3794AB60" w:rsidR="00A64EDA" w:rsidRPr="008F33C8" w:rsidRDefault="00A64EDA" w:rsidP="006B135A">
      <w:pPr>
        <w:pStyle w:val="Heading3"/>
        <w:spacing w:before="0" w:line="360" w:lineRule="auto"/>
      </w:pPr>
      <w:bookmarkStart w:id="145" w:name="_Toc117765959"/>
      <w:r w:rsidRPr="008F33C8">
        <w:lastRenderedPageBreak/>
        <w:t>Interviews</w:t>
      </w:r>
      <w:bookmarkEnd w:id="145"/>
    </w:p>
    <w:p w14:paraId="1FFF050F" w14:textId="11E33E06" w:rsidR="00A64EDA" w:rsidRDefault="00A64EDA" w:rsidP="006B135A">
      <w:pPr>
        <w:spacing w:line="360" w:lineRule="auto"/>
      </w:pPr>
      <w:r w:rsidRPr="00241369">
        <w:t xml:space="preserve">All interviews were face to face, semi-structured in nature and carried out by </w:t>
      </w:r>
      <w:r w:rsidR="007F5E6B">
        <w:t>myself</w:t>
      </w:r>
      <w:r w:rsidRPr="00241369">
        <w:t>. Of these, six were carried out at Sheffield Ch</w:t>
      </w:r>
      <w:r w:rsidR="006F6268">
        <w:t>ildren’s hospital and nine</w:t>
      </w:r>
      <w:r w:rsidRPr="00241369">
        <w:t xml:space="preserve"> in the participant’s home. Each interview lasted approximately 30-70 minutes with the average time being 45 minutes.  Parents seemed comfortable during the interviews and able to discuss their experiences freely. </w:t>
      </w:r>
    </w:p>
    <w:p w14:paraId="55CF1730" w14:textId="77777777" w:rsidR="006A07AF" w:rsidRPr="00241369" w:rsidRDefault="006A07AF" w:rsidP="006A07AF">
      <w:pPr>
        <w:spacing w:line="360" w:lineRule="auto"/>
      </w:pPr>
    </w:p>
    <w:p w14:paraId="1571C3A1" w14:textId="5D7F45D5" w:rsidR="00A64EDA" w:rsidRPr="00241369" w:rsidRDefault="00A64EDA" w:rsidP="006B135A">
      <w:pPr>
        <w:pStyle w:val="Heading3"/>
        <w:spacing w:before="0" w:line="360" w:lineRule="auto"/>
      </w:pPr>
      <w:bookmarkStart w:id="146" w:name="_Toc117765960"/>
      <w:r w:rsidRPr="00241369">
        <w:t>Findings</w:t>
      </w:r>
      <w:bookmarkEnd w:id="146"/>
    </w:p>
    <w:p w14:paraId="486AAD49" w14:textId="1F311E32" w:rsidR="00320AF6" w:rsidRDefault="00CE2595" w:rsidP="006B135A">
      <w:pPr>
        <w:spacing w:line="360" w:lineRule="auto"/>
      </w:pPr>
      <w:r>
        <w:t xml:space="preserve">Through </w:t>
      </w:r>
      <w:r w:rsidR="00F439DD">
        <w:t>a</w:t>
      </w:r>
      <w:r>
        <w:t xml:space="preserve"> process of thematic analysis (</w:t>
      </w:r>
      <w:r w:rsidR="0098157F">
        <w:t>see Methods,</w:t>
      </w:r>
      <w:r>
        <w:t xml:space="preserve"> section </w:t>
      </w:r>
      <w:r w:rsidR="00F439DD">
        <w:t xml:space="preserve">2.1.7), the interview transcripts were coded and a framework of subthemes was iteratively developed.  </w:t>
      </w:r>
      <w:r w:rsidR="00A64EDA" w:rsidRPr="00241369">
        <w:t xml:space="preserve">Three themes </w:t>
      </w:r>
      <w:r w:rsidR="00F439DD">
        <w:t>emerged</w:t>
      </w:r>
      <w:r w:rsidR="00A64EDA" w:rsidRPr="00241369">
        <w:t xml:space="preserve"> that have given</w:t>
      </w:r>
      <w:r w:rsidR="00AE1917">
        <w:t xml:space="preserve"> us</w:t>
      </w:r>
      <w:r w:rsidR="00A64EDA" w:rsidRPr="00241369">
        <w:t xml:space="preserve"> a deeper understanding of factors influencing parent</w:t>
      </w:r>
      <w:r w:rsidR="00CA4152">
        <w:t>al</w:t>
      </w:r>
      <w:r w:rsidR="00A64EDA" w:rsidRPr="00241369">
        <w:t xml:space="preserve"> decision making, expectations and actions surrounding their use of prophylactic antibiotics to prevent respiratory tract infections. The </w:t>
      </w:r>
      <w:r w:rsidR="00F439DD">
        <w:t xml:space="preserve">main themes were decision making regarding prophylaxis, the context of prophylaxis within the family and their environment and response to acute illness whilst on prophylaxis. The </w:t>
      </w:r>
      <w:r w:rsidR="00A64EDA" w:rsidRPr="00241369">
        <w:t xml:space="preserve">themes, subthemes and codes are detailed </w:t>
      </w:r>
      <w:r w:rsidR="00A64EDA" w:rsidRPr="006A07AF">
        <w:t xml:space="preserve">in </w:t>
      </w:r>
      <w:r w:rsidR="006A07AF" w:rsidRPr="006A07AF">
        <w:fldChar w:fldCharType="begin"/>
      </w:r>
      <w:r w:rsidR="006A07AF" w:rsidRPr="006A07AF">
        <w:instrText xml:space="preserve"> REF _Ref105532238 \h  \* MERGEFORMAT </w:instrText>
      </w:r>
      <w:r w:rsidR="006A07AF" w:rsidRPr="006A07AF">
        <w:fldChar w:fldCharType="separate"/>
      </w:r>
      <w:r w:rsidR="006A07AF" w:rsidRPr="006A07AF">
        <w:rPr>
          <w:color w:val="000000" w:themeColor="text1"/>
        </w:rPr>
        <w:t xml:space="preserve">Table </w:t>
      </w:r>
      <w:r w:rsidR="006A07AF" w:rsidRPr="006A07AF">
        <w:rPr>
          <w:noProof/>
          <w:color w:val="000000" w:themeColor="text1"/>
        </w:rPr>
        <w:t>10</w:t>
      </w:r>
      <w:r w:rsidR="006A07AF" w:rsidRPr="006A07AF">
        <w:fldChar w:fldCharType="end"/>
      </w:r>
      <w:r w:rsidR="00A64EDA" w:rsidRPr="00241369">
        <w:t>. Each theme is described in the following sections below. Pertinent quotes are used to illustrate the subthemes relating to the main themes during the analysis</w:t>
      </w:r>
      <w:r w:rsidR="00AE1917">
        <w:t>.</w:t>
      </w:r>
      <w:r w:rsidR="00C964E1">
        <w:t xml:space="preserve"> </w:t>
      </w:r>
    </w:p>
    <w:p w14:paraId="3F86B365" w14:textId="77777777" w:rsidR="00320AF6" w:rsidRDefault="00320AF6" w:rsidP="00320AF6">
      <w:r>
        <w:br w:type="page"/>
      </w:r>
    </w:p>
    <w:p w14:paraId="373F200C" w14:textId="0C6ADDC4" w:rsidR="007339BE" w:rsidRPr="004854B4" w:rsidRDefault="004854B4" w:rsidP="004854B4">
      <w:pPr>
        <w:pStyle w:val="Caption"/>
        <w:rPr>
          <w:i w:val="0"/>
          <w:iCs w:val="0"/>
          <w:color w:val="000000" w:themeColor="text1"/>
          <w:sz w:val="24"/>
          <w:szCs w:val="24"/>
        </w:rPr>
      </w:pPr>
      <w:bookmarkStart w:id="147" w:name="_Ref105532238"/>
      <w:bookmarkStart w:id="148" w:name="_Toc117780251"/>
      <w:r w:rsidRPr="004854B4">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10</w:t>
      </w:r>
      <w:r w:rsidR="002C440E">
        <w:rPr>
          <w:b/>
          <w:bCs/>
          <w:i w:val="0"/>
          <w:iCs w:val="0"/>
          <w:color w:val="000000" w:themeColor="text1"/>
          <w:sz w:val="24"/>
          <w:szCs w:val="24"/>
        </w:rPr>
        <w:fldChar w:fldCharType="end"/>
      </w:r>
      <w:bookmarkEnd w:id="147"/>
      <w:r w:rsidRPr="004854B4">
        <w:rPr>
          <w:b/>
          <w:bCs/>
          <w:i w:val="0"/>
          <w:iCs w:val="0"/>
          <w:color w:val="000000" w:themeColor="text1"/>
          <w:sz w:val="24"/>
          <w:szCs w:val="24"/>
        </w:rPr>
        <w:t xml:space="preserve">: </w:t>
      </w:r>
      <w:r w:rsidR="007339BE" w:rsidRPr="004854B4">
        <w:rPr>
          <w:i w:val="0"/>
          <w:iCs w:val="0"/>
          <w:color w:val="000000" w:themeColor="text1"/>
          <w:sz w:val="24"/>
          <w:szCs w:val="24"/>
        </w:rPr>
        <w:t>Descriptive terms use</w:t>
      </w:r>
      <w:r w:rsidR="00FC59D5">
        <w:rPr>
          <w:i w:val="0"/>
          <w:iCs w:val="0"/>
          <w:color w:val="000000" w:themeColor="text1"/>
          <w:sz w:val="24"/>
          <w:szCs w:val="24"/>
        </w:rPr>
        <w:t>d</w:t>
      </w:r>
      <w:r w:rsidR="007339BE" w:rsidRPr="004854B4">
        <w:rPr>
          <w:i w:val="0"/>
          <w:iCs w:val="0"/>
          <w:color w:val="000000" w:themeColor="text1"/>
          <w:sz w:val="24"/>
          <w:szCs w:val="24"/>
        </w:rPr>
        <w:t xml:space="preserve"> for main themes, subthemes and codes from parental interviews</w:t>
      </w:r>
      <w:bookmarkEnd w:id="148"/>
    </w:p>
    <w:tbl>
      <w:tblPr>
        <w:tblpPr w:leftFromText="180" w:rightFromText="180" w:vertAnchor="page" w:horzAnchor="margin" w:tblpXSpec="right" w:tblpY="2191"/>
        <w:tblW w:w="100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97"/>
        <w:gridCol w:w="2835"/>
        <w:gridCol w:w="3828"/>
      </w:tblGrid>
      <w:tr w:rsidR="001D4B57" w:rsidRPr="008F33C8" w14:paraId="6C291BE8" w14:textId="77777777" w:rsidTr="006A07AF">
        <w:tc>
          <w:tcPr>
            <w:tcW w:w="3397" w:type="dxa"/>
            <w:shd w:val="clear" w:color="auto" w:fill="9CC2E5" w:themeFill="accent1" w:themeFillTint="99"/>
          </w:tcPr>
          <w:p w14:paraId="2590745A" w14:textId="77777777" w:rsidR="001D4B57" w:rsidRPr="008F33C8" w:rsidRDefault="001D4B57" w:rsidP="001D4B57">
            <w:r w:rsidRPr="008F33C8">
              <w:t>Main theme</w:t>
            </w:r>
          </w:p>
        </w:tc>
        <w:tc>
          <w:tcPr>
            <w:tcW w:w="2835" w:type="dxa"/>
            <w:shd w:val="clear" w:color="auto" w:fill="9CC2E5" w:themeFill="accent1" w:themeFillTint="99"/>
          </w:tcPr>
          <w:p w14:paraId="31CC5AB1" w14:textId="77777777" w:rsidR="001D4B57" w:rsidRPr="008F33C8" w:rsidRDefault="001D4B57" w:rsidP="001D4B57">
            <w:r w:rsidRPr="008F33C8">
              <w:t>Subtheme</w:t>
            </w:r>
          </w:p>
        </w:tc>
        <w:tc>
          <w:tcPr>
            <w:tcW w:w="3828" w:type="dxa"/>
            <w:shd w:val="clear" w:color="auto" w:fill="9CC2E5" w:themeFill="accent1" w:themeFillTint="99"/>
          </w:tcPr>
          <w:p w14:paraId="07C00269" w14:textId="77777777" w:rsidR="001D4B57" w:rsidRPr="008F33C8" w:rsidRDefault="001D4B57" w:rsidP="001D4B57">
            <w:r w:rsidRPr="008F33C8">
              <w:t>code</w:t>
            </w:r>
          </w:p>
        </w:tc>
      </w:tr>
      <w:tr w:rsidR="001D4B57" w:rsidRPr="008F33C8" w14:paraId="2774A4B4" w14:textId="77777777" w:rsidTr="006A07AF">
        <w:trPr>
          <w:trHeight w:val="135"/>
        </w:trPr>
        <w:tc>
          <w:tcPr>
            <w:tcW w:w="3397" w:type="dxa"/>
            <w:vMerge w:val="restart"/>
          </w:tcPr>
          <w:p w14:paraId="0020821B" w14:textId="77777777" w:rsidR="001D4B57" w:rsidRPr="008F33C8" w:rsidRDefault="001D4B57" w:rsidP="001D4B57">
            <w:pPr>
              <w:rPr>
                <w:b/>
              </w:rPr>
            </w:pPr>
            <w:r w:rsidRPr="008F33C8">
              <w:rPr>
                <w:b/>
              </w:rPr>
              <w:t>Decision making regarding prophylaxis</w:t>
            </w:r>
          </w:p>
          <w:p w14:paraId="7A2BEBCB" w14:textId="77777777" w:rsidR="001D4B57" w:rsidRPr="008F33C8" w:rsidRDefault="001D4B57" w:rsidP="001D4B57"/>
        </w:tc>
        <w:tc>
          <w:tcPr>
            <w:tcW w:w="2835" w:type="dxa"/>
            <w:vMerge w:val="restart"/>
          </w:tcPr>
          <w:p w14:paraId="0201CE7A" w14:textId="77777777" w:rsidR="001D4B57" w:rsidRPr="008F33C8" w:rsidRDefault="001D4B57" w:rsidP="001D4B57">
            <w:r w:rsidRPr="008F33C8">
              <w:t xml:space="preserve">Determinants of active involvement </w:t>
            </w:r>
          </w:p>
        </w:tc>
        <w:tc>
          <w:tcPr>
            <w:tcW w:w="3828" w:type="dxa"/>
          </w:tcPr>
          <w:p w14:paraId="1A5AC642" w14:textId="77777777" w:rsidR="001D4B57" w:rsidRPr="008F33C8" w:rsidRDefault="001D4B57" w:rsidP="001D4B57">
            <w:r w:rsidRPr="008F33C8">
              <w:t>Self-belief</w:t>
            </w:r>
          </w:p>
        </w:tc>
      </w:tr>
      <w:tr w:rsidR="001D4B57" w:rsidRPr="008F33C8" w14:paraId="4129ED86" w14:textId="77777777" w:rsidTr="006A07AF">
        <w:trPr>
          <w:trHeight w:val="135"/>
        </w:trPr>
        <w:tc>
          <w:tcPr>
            <w:tcW w:w="3397" w:type="dxa"/>
            <w:vMerge/>
          </w:tcPr>
          <w:p w14:paraId="40DF45E3" w14:textId="77777777" w:rsidR="001D4B57" w:rsidRPr="008F33C8" w:rsidRDefault="001D4B57" w:rsidP="001D4B57"/>
        </w:tc>
        <w:tc>
          <w:tcPr>
            <w:tcW w:w="2835" w:type="dxa"/>
            <w:vMerge/>
          </w:tcPr>
          <w:p w14:paraId="5088EDA8" w14:textId="77777777" w:rsidR="001D4B57" w:rsidRPr="008F33C8" w:rsidRDefault="001D4B57" w:rsidP="001D4B57"/>
        </w:tc>
        <w:tc>
          <w:tcPr>
            <w:tcW w:w="3828" w:type="dxa"/>
          </w:tcPr>
          <w:p w14:paraId="301217DB" w14:textId="77777777" w:rsidR="001D4B57" w:rsidRPr="008F33C8" w:rsidRDefault="001D4B57" w:rsidP="001D4B57">
            <w:r w:rsidRPr="008F33C8">
              <w:t>Health literacy</w:t>
            </w:r>
          </w:p>
        </w:tc>
      </w:tr>
      <w:tr w:rsidR="001D4B57" w:rsidRPr="008F33C8" w14:paraId="335F4EEE" w14:textId="77777777" w:rsidTr="006A07AF">
        <w:trPr>
          <w:trHeight w:val="135"/>
        </w:trPr>
        <w:tc>
          <w:tcPr>
            <w:tcW w:w="3397" w:type="dxa"/>
            <w:vMerge/>
          </w:tcPr>
          <w:p w14:paraId="0089F3AB" w14:textId="77777777" w:rsidR="001D4B57" w:rsidRPr="008F33C8" w:rsidRDefault="001D4B57" w:rsidP="001D4B57"/>
        </w:tc>
        <w:tc>
          <w:tcPr>
            <w:tcW w:w="2835" w:type="dxa"/>
            <w:vMerge/>
          </w:tcPr>
          <w:p w14:paraId="47558D42" w14:textId="77777777" w:rsidR="001D4B57" w:rsidRPr="008F33C8" w:rsidRDefault="001D4B57" w:rsidP="001D4B57"/>
        </w:tc>
        <w:tc>
          <w:tcPr>
            <w:tcW w:w="3828" w:type="dxa"/>
          </w:tcPr>
          <w:p w14:paraId="38190847" w14:textId="77777777" w:rsidR="001D4B57" w:rsidRPr="008F33C8" w:rsidRDefault="001D4B57" w:rsidP="001D4B57">
            <w:pPr>
              <w:rPr>
                <w:color w:val="000000" w:themeColor="text1"/>
              </w:rPr>
            </w:pPr>
            <w:r w:rsidRPr="008F33C8">
              <w:rPr>
                <w:color w:val="000000" w:themeColor="text1"/>
              </w:rPr>
              <w:t>Impact on parent</w:t>
            </w:r>
          </w:p>
        </w:tc>
      </w:tr>
      <w:tr w:rsidR="001D4B57" w:rsidRPr="008F33C8" w14:paraId="4FFB8D26" w14:textId="77777777" w:rsidTr="006A07AF">
        <w:trPr>
          <w:trHeight w:val="135"/>
        </w:trPr>
        <w:tc>
          <w:tcPr>
            <w:tcW w:w="3397" w:type="dxa"/>
            <w:vMerge/>
          </w:tcPr>
          <w:p w14:paraId="6A63D0B5" w14:textId="77777777" w:rsidR="001D4B57" w:rsidRPr="008F33C8" w:rsidRDefault="001D4B57" w:rsidP="001D4B57"/>
        </w:tc>
        <w:tc>
          <w:tcPr>
            <w:tcW w:w="2835" w:type="dxa"/>
            <w:vMerge w:val="restart"/>
          </w:tcPr>
          <w:p w14:paraId="124A9E34" w14:textId="77777777" w:rsidR="001D4B57" w:rsidRPr="008F33C8" w:rsidRDefault="001D4B57" w:rsidP="001D4B57">
            <w:r w:rsidRPr="008F33C8">
              <w:t>Passive Barriers</w:t>
            </w:r>
          </w:p>
        </w:tc>
        <w:tc>
          <w:tcPr>
            <w:tcW w:w="3828" w:type="dxa"/>
          </w:tcPr>
          <w:p w14:paraId="53A3DA53" w14:textId="77777777" w:rsidR="001D4B57" w:rsidRPr="008F33C8" w:rsidRDefault="001D4B57" w:rsidP="001D4B57">
            <w:r w:rsidRPr="008F33C8">
              <w:t>Social norms</w:t>
            </w:r>
          </w:p>
        </w:tc>
      </w:tr>
      <w:tr w:rsidR="001D4B57" w:rsidRPr="008F33C8" w14:paraId="582870F3" w14:textId="77777777" w:rsidTr="006A07AF">
        <w:trPr>
          <w:trHeight w:val="135"/>
        </w:trPr>
        <w:tc>
          <w:tcPr>
            <w:tcW w:w="3397" w:type="dxa"/>
            <w:vMerge/>
          </w:tcPr>
          <w:p w14:paraId="0062D355" w14:textId="77777777" w:rsidR="001D4B57" w:rsidRPr="008F33C8" w:rsidRDefault="001D4B57" w:rsidP="001D4B57"/>
        </w:tc>
        <w:tc>
          <w:tcPr>
            <w:tcW w:w="2835" w:type="dxa"/>
            <w:vMerge/>
          </w:tcPr>
          <w:p w14:paraId="6A522643" w14:textId="77777777" w:rsidR="001D4B57" w:rsidRPr="008F33C8" w:rsidRDefault="001D4B57" w:rsidP="001D4B57"/>
        </w:tc>
        <w:tc>
          <w:tcPr>
            <w:tcW w:w="3828" w:type="dxa"/>
          </w:tcPr>
          <w:p w14:paraId="6C92D5FE" w14:textId="77777777" w:rsidR="001D4B57" w:rsidRPr="008F33C8" w:rsidRDefault="001D4B57" w:rsidP="001D4B57">
            <w:r w:rsidRPr="008F33C8">
              <w:t>Health beliefs</w:t>
            </w:r>
          </w:p>
        </w:tc>
      </w:tr>
      <w:tr w:rsidR="001D4B57" w:rsidRPr="008F33C8" w14:paraId="0CDB25CB" w14:textId="77777777" w:rsidTr="006A07AF">
        <w:trPr>
          <w:trHeight w:val="135"/>
        </w:trPr>
        <w:tc>
          <w:tcPr>
            <w:tcW w:w="3397" w:type="dxa"/>
            <w:vMerge/>
          </w:tcPr>
          <w:p w14:paraId="228207E6" w14:textId="77777777" w:rsidR="001D4B57" w:rsidRPr="008F33C8" w:rsidRDefault="001D4B57" w:rsidP="001D4B57"/>
        </w:tc>
        <w:tc>
          <w:tcPr>
            <w:tcW w:w="2835" w:type="dxa"/>
            <w:vMerge/>
          </w:tcPr>
          <w:p w14:paraId="7175D26D" w14:textId="77777777" w:rsidR="001D4B57" w:rsidRPr="008F33C8" w:rsidRDefault="001D4B57" w:rsidP="001D4B57"/>
        </w:tc>
        <w:tc>
          <w:tcPr>
            <w:tcW w:w="3828" w:type="dxa"/>
          </w:tcPr>
          <w:p w14:paraId="50169190" w14:textId="77777777" w:rsidR="001D4B57" w:rsidRPr="008F33C8" w:rsidRDefault="001D4B57" w:rsidP="001D4B57">
            <w:pPr>
              <w:rPr>
                <w:color w:val="5B9BD5" w:themeColor="accent1"/>
              </w:rPr>
            </w:pPr>
            <w:r w:rsidRPr="008F33C8">
              <w:t>Environmental</w:t>
            </w:r>
          </w:p>
        </w:tc>
      </w:tr>
      <w:tr w:rsidR="001D4B57" w:rsidRPr="008F33C8" w14:paraId="14B9A0F0" w14:textId="77777777" w:rsidTr="006A07AF">
        <w:trPr>
          <w:trHeight w:val="135"/>
        </w:trPr>
        <w:tc>
          <w:tcPr>
            <w:tcW w:w="3397" w:type="dxa"/>
            <w:vMerge/>
          </w:tcPr>
          <w:p w14:paraId="4E45A67A" w14:textId="77777777" w:rsidR="001D4B57" w:rsidRPr="008F33C8" w:rsidRDefault="001D4B57" w:rsidP="001D4B57"/>
        </w:tc>
        <w:tc>
          <w:tcPr>
            <w:tcW w:w="2835" w:type="dxa"/>
            <w:vMerge w:val="restart"/>
            <w:shd w:val="clear" w:color="auto" w:fill="FFFFFF" w:themeFill="background1"/>
          </w:tcPr>
          <w:p w14:paraId="611065F8" w14:textId="77777777" w:rsidR="001D4B57" w:rsidRPr="008F33C8" w:rsidRDefault="001D4B57" w:rsidP="001D4B57">
            <w:r w:rsidRPr="008F33C8">
              <w:t>Influencing factors</w:t>
            </w:r>
          </w:p>
        </w:tc>
        <w:tc>
          <w:tcPr>
            <w:tcW w:w="3828" w:type="dxa"/>
          </w:tcPr>
          <w:p w14:paraId="4D24B827" w14:textId="77777777" w:rsidR="001D4B57" w:rsidRPr="008F33C8" w:rsidRDefault="001D4B57" w:rsidP="001D4B57">
            <w:r w:rsidRPr="008F33C8">
              <w:t>Perceptions of prophylaxis</w:t>
            </w:r>
          </w:p>
        </w:tc>
      </w:tr>
      <w:tr w:rsidR="001D4B57" w:rsidRPr="008F33C8" w14:paraId="0FD6373F" w14:textId="77777777" w:rsidTr="006A07AF">
        <w:trPr>
          <w:trHeight w:val="135"/>
        </w:trPr>
        <w:tc>
          <w:tcPr>
            <w:tcW w:w="3397" w:type="dxa"/>
            <w:vMerge/>
          </w:tcPr>
          <w:p w14:paraId="305FD8D3" w14:textId="77777777" w:rsidR="001D4B57" w:rsidRPr="008F33C8" w:rsidRDefault="001D4B57" w:rsidP="001D4B57"/>
        </w:tc>
        <w:tc>
          <w:tcPr>
            <w:tcW w:w="2835" w:type="dxa"/>
            <w:vMerge/>
            <w:shd w:val="clear" w:color="auto" w:fill="FFFFFF" w:themeFill="background1"/>
          </w:tcPr>
          <w:p w14:paraId="680DF4FC" w14:textId="77777777" w:rsidR="001D4B57" w:rsidRPr="008F33C8" w:rsidRDefault="001D4B57" w:rsidP="001D4B57"/>
        </w:tc>
        <w:tc>
          <w:tcPr>
            <w:tcW w:w="3828" w:type="dxa"/>
          </w:tcPr>
          <w:p w14:paraId="7A7C5BAF" w14:textId="77777777" w:rsidR="001D4B57" w:rsidRPr="008F33C8" w:rsidRDefault="001D4B57" w:rsidP="001D4B57">
            <w:r w:rsidRPr="008F33C8">
              <w:t>Health beliefs</w:t>
            </w:r>
          </w:p>
        </w:tc>
      </w:tr>
      <w:tr w:rsidR="001D4B57" w:rsidRPr="008F33C8" w14:paraId="5E353E05" w14:textId="77777777" w:rsidTr="006A07AF">
        <w:trPr>
          <w:trHeight w:val="135"/>
        </w:trPr>
        <w:tc>
          <w:tcPr>
            <w:tcW w:w="3397" w:type="dxa"/>
            <w:vMerge/>
          </w:tcPr>
          <w:p w14:paraId="28122A4E" w14:textId="77777777" w:rsidR="001D4B57" w:rsidRPr="008F33C8" w:rsidRDefault="001D4B57" w:rsidP="001D4B57"/>
        </w:tc>
        <w:tc>
          <w:tcPr>
            <w:tcW w:w="2835" w:type="dxa"/>
            <w:vMerge/>
            <w:shd w:val="clear" w:color="auto" w:fill="FFFFFF" w:themeFill="background1"/>
          </w:tcPr>
          <w:p w14:paraId="5BEDB193" w14:textId="77777777" w:rsidR="001D4B57" w:rsidRPr="008F33C8" w:rsidRDefault="001D4B57" w:rsidP="001D4B57"/>
        </w:tc>
        <w:tc>
          <w:tcPr>
            <w:tcW w:w="3828" w:type="dxa"/>
          </w:tcPr>
          <w:p w14:paraId="48C239EE" w14:textId="77777777" w:rsidR="001D4B57" w:rsidRPr="008F33C8" w:rsidRDefault="001D4B57" w:rsidP="001D4B57">
            <w:r w:rsidRPr="008F33C8">
              <w:t>Impact on quality of life</w:t>
            </w:r>
          </w:p>
        </w:tc>
      </w:tr>
      <w:tr w:rsidR="001D4B57" w:rsidRPr="008F33C8" w14:paraId="1D8B11E3" w14:textId="77777777" w:rsidTr="006A07AF">
        <w:trPr>
          <w:trHeight w:val="135"/>
        </w:trPr>
        <w:tc>
          <w:tcPr>
            <w:tcW w:w="3397" w:type="dxa"/>
            <w:vMerge/>
          </w:tcPr>
          <w:p w14:paraId="3B99287F" w14:textId="77777777" w:rsidR="001D4B57" w:rsidRPr="008F33C8" w:rsidRDefault="001D4B57" w:rsidP="001D4B57"/>
        </w:tc>
        <w:tc>
          <w:tcPr>
            <w:tcW w:w="2835" w:type="dxa"/>
            <w:vMerge/>
            <w:shd w:val="clear" w:color="auto" w:fill="FFFFFF" w:themeFill="background1"/>
          </w:tcPr>
          <w:p w14:paraId="7DB37270" w14:textId="77777777" w:rsidR="001D4B57" w:rsidRPr="008F33C8" w:rsidRDefault="001D4B57" w:rsidP="001D4B57"/>
        </w:tc>
        <w:tc>
          <w:tcPr>
            <w:tcW w:w="3828" w:type="dxa"/>
          </w:tcPr>
          <w:p w14:paraId="683A3EE0" w14:textId="77777777" w:rsidR="001D4B57" w:rsidRPr="008F33C8" w:rsidRDefault="001D4B57" w:rsidP="001D4B57">
            <w:r w:rsidRPr="008F33C8">
              <w:t>Understanding of science</w:t>
            </w:r>
          </w:p>
        </w:tc>
      </w:tr>
      <w:tr w:rsidR="001D4B57" w:rsidRPr="008F33C8" w14:paraId="5A220A6D" w14:textId="77777777" w:rsidTr="006A07AF">
        <w:trPr>
          <w:trHeight w:val="135"/>
        </w:trPr>
        <w:tc>
          <w:tcPr>
            <w:tcW w:w="3397" w:type="dxa"/>
            <w:vMerge/>
          </w:tcPr>
          <w:p w14:paraId="7B39E443" w14:textId="77777777" w:rsidR="001D4B57" w:rsidRPr="008F33C8" w:rsidRDefault="001D4B57" w:rsidP="001D4B57"/>
        </w:tc>
        <w:tc>
          <w:tcPr>
            <w:tcW w:w="2835" w:type="dxa"/>
            <w:vMerge w:val="restart"/>
          </w:tcPr>
          <w:p w14:paraId="76F6E462" w14:textId="77777777" w:rsidR="001D4B57" w:rsidRPr="008F33C8" w:rsidRDefault="001D4B57" w:rsidP="001D4B57">
            <w:r w:rsidRPr="008F33C8">
              <w:t>Balancing risk</w:t>
            </w:r>
          </w:p>
        </w:tc>
        <w:tc>
          <w:tcPr>
            <w:tcW w:w="3828" w:type="dxa"/>
          </w:tcPr>
          <w:p w14:paraId="78A48227" w14:textId="77777777" w:rsidR="001D4B57" w:rsidRPr="008F33C8" w:rsidRDefault="001D4B57" w:rsidP="001D4B57">
            <w:r w:rsidRPr="008F33C8">
              <w:t xml:space="preserve">Benefits </w:t>
            </w:r>
          </w:p>
        </w:tc>
      </w:tr>
      <w:tr w:rsidR="001D4B57" w:rsidRPr="008F33C8" w14:paraId="139CAA59" w14:textId="77777777" w:rsidTr="006A07AF">
        <w:trPr>
          <w:trHeight w:val="135"/>
        </w:trPr>
        <w:tc>
          <w:tcPr>
            <w:tcW w:w="3397" w:type="dxa"/>
            <w:vMerge/>
          </w:tcPr>
          <w:p w14:paraId="66F6E5F7" w14:textId="77777777" w:rsidR="001D4B57" w:rsidRPr="008F33C8" w:rsidRDefault="001D4B57" w:rsidP="001D4B57"/>
        </w:tc>
        <w:tc>
          <w:tcPr>
            <w:tcW w:w="2835" w:type="dxa"/>
            <w:vMerge/>
          </w:tcPr>
          <w:p w14:paraId="28E123ED" w14:textId="77777777" w:rsidR="001D4B57" w:rsidRPr="008F33C8" w:rsidRDefault="001D4B57" w:rsidP="001D4B57"/>
        </w:tc>
        <w:tc>
          <w:tcPr>
            <w:tcW w:w="3828" w:type="dxa"/>
          </w:tcPr>
          <w:p w14:paraId="602C03DA" w14:textId="77777777" w:rsidR="001D4B57" w:rsidRPr="008F33C8" w:rsidRDefault="001D4B57" w:rsidP="001D4B57">
            <w:r w:rsidRPr="008F33C8">
              <w:t>Present versus future</w:t>
            </w:r>
          </w:p>
        </w:tc>
      </w:tr>
      <w:tr w:rsidR="001D4B57" w:rsidRPr="008F33C8" w14:paraId="75980085" w14:textId="77777777" w:rsidTr="006A07AF">
        <w:trPr>
          <w:trHeight w:val="348"/>
        </w:trPr>
        <w:tc>
          <w:tcPr>
            <w:tcW w:w="3397" w:type="dxa"/>
            <w:vMerge/>
          </w:tcPr>
          <w:p w14:paraId="7C3FDE3D" w14:textId="77777777" w:rsidR="001D4B57" w:rsidRPr="008F33C8" w:rsidRDefault="001D4B57" w:rsidP="001D4B57"/>
        </w:tc>
        <w:tc>
          <w:tcPr>
            <w:tcW w:w="2835" w:type="dxa"/>
            <w:vMerge/>
          </w:tcPr>
          <w:p w14:paraId="393DB60F" w14:textId="77777777" w:rsidR="001D4B57" w:rsidRPr="008F33C8" w:rsidRDefault="001D4B57" w:rsidP="001D4B57"/>
        </w:tc>
        <w:tc>
          <w:tcPr>
            <w:tcW w:w="3828" w:type="dxa"/>
          </w:tcPr>
          <w:p w14:paraId="0F7E2682" w14:textId="77777777" w:rsidR="001D4B57" w:rsidRPr="008F33C8" w:rsidRDefault="001D4B57" w:rsidP="001D4B57">
            <w:r w:rsidRPr="008F33C8">
              <w:t>Concerns and side effects</w:t>
            </w:r>
          </w:p>
        </w:tc>
      </w:tr>
      <w:tr w:rsidR="001D4B57" w:rsidRPr="008F33C8" w14:paraId="58E75B5C" w14:textId="77777777" w:rsidTr="006A07AF">
        <w:trPr>
          <w:trHeight w:val="135"/>
        </w:trPr>
        <w:tc>
          <w:tcPr>
            <w:tcW w:w="3397" w:type="dxa"/>
            <w:vMerge w:val="restart"/>
            <w:shd w:val="clear" w:color="auto" w:fill="FFFFFF" w:themeFill="background1"/>
          </w:tcPr>
          <w:p w14:paraId="6358F077" w14:textId="77777777" w:rsidR="001D4B57" w:rsidRPr="008F33C8" w:rsidRDefault="001D4B57" w:rsidP="001D4B57">
            <w:pPr>
              <w:rPr>
                <w:b/>
              </w:rPr>
            </w:pPr>
            <w:r w:rsidRPr="008F33C8">
              <w:rPr>
                <w:b/>
              </w:rPr>
              <w:t>Context of prophylaxis within the family and their environment</w:t>
            </w:r>
          </w:p>
        </w:tc>
        <w:tc>
          <w:tcPr>
            <w:tcW w:w="2835" w:type="dxa"/>
            <w:vMerge w:val="restart"/>
          </w:tcPr>
          <w:p w14:paraId="660DF2B3" w14:textId="77777777" w:rsidR="001D4B57" w:rsidRPr="008F33C8" w:rsidRDefault="001D4B57" w:rsidP="001D4B57">
            <w:r w:rsidRPr="008F33C8">
              <w:t>Normality</w:t>
            </w:r>
          </w:p>
        </w:tc>
        <w:tc>
          <w:tcPr>
            <w:tcW w:w="3828" w:type="dxa"/>
          </w:tcPr>
          <w:p w14:paraId="4024A554" w14:textId="77777777" w:rsidR="001D4B57" w:rsidRPr="008F33C8" w:rsidRDefault="001D4B57" w:rsidP="001D4B57">
            <w:r w:rsidRPr="008F33C8">
              <w:t>Establishing a routine</w:t>
            </w:r>
          </w:p>
        </w:tc>
      </w:tr>
      <w:tr w:rsidR="001D4B57" w:rsidRPr="008F33C8" w14:paraId="1C031979" w14:textId="77777777" w:rsidTr="006A07AF">
        <w:trPr>
          <w:trHeight w:val="135"/>
        </w:trPr>
        <w:tc>
          <w:tcPr>
            <w:tcW w:w="3397" w:type="dxa"/>
            <w:vMerge/>
            <w:shd w:val="clear" w:color="auto" w:fill="FFFFFF" w:themeFill="background1"/>
          </w:tcPr>
          <w:p w14:paraId="3EA8BC14" w14:textId="77777777" w:rsidR="001D4B57" w:rsidRPr="008F33C8" w:rsidRDefault="001D4B57" w:rsidP="001D4B57"/>
        </w:tc>
        <w:tc>
          <w:tcPr>
            <w:tcW w:w="2835" w:type="dxa"/>
            <w:vMerge/>
          </w:tcPr>
          <w:p w14:paraId="6A441511" w14:textId="77777777" w:rsidR="001D4B57" w:rsidRPr="008F33C8" w:rsidRDefault="001D4B57" w:rsidP="001D4B57"/>
        </w:tc>
        <w:tc>
          <w:tcPr>
            <w:tcW w:w="3828" w:type="dxa"/>
          </w:tcPr>
          <w:p w14:paraId="50E92A28" w14:textId="77777777" w:rsidR="001D4B57" w:rsidRPr="008F33C8" w:rsidRDefault="001D4B57" w:rsidP="001D4B57">
            <w:r w:rsidRPr="008F33C8">
              <w:t>Barriers</w:t>
            </w:r>
          </w:p>
        </w:tc>
      </w:tr>
      <w:tr w:rsidR="001D4B57" w:rsidRPr="008F33C8" w14:paraId="524EF6D4" w14:textId="77777777" w:rsidTr="006A07AF">
        <w:trPr>
          <w:trHeight w:val="90"/>
        </w:trPr>
        <w:tc>
          <w:tcPr>
            <w:tcW w:w="3397" w:type="dxa"/>
            <w:vMerge/>
            <w:shd w:val="clear" w:color="auto" w:fill="FFFFFF" w:themeFill="background1"/>
          </w:tcPr>
          <w:p w14:paraId="3DF501BC" w14:textId="77777777" w:rsidR="001D4B57" w:rsidRPr="008F33C8" w:rsidRDefault="001D4B57" w:rsidP="001D4B57"/>
        </w:tc>
        <w:tc>
          <w:tcPr>
            <w:tcW w:w="2835" w:type="dxa"/>
            <w:vMerge w:val="restart"/>
          </w:tcPr>
          <w:p w14:paraId="7B506DC6" w14:textId="77777777" w:rsidR="001D4B57" w:rsidRPr="008F33C8" w:rsidRDefault="001D4B57" w:rsidP="001D4B57">
            <w:r w:rsidRPr="008F33C8">
              <w:t>Practicalities of medication</w:t>
            </w:r>
          </w:p>
        </w:tc>
        <w:tc>
          <w:tcPr>
            <w:tcW w:w="3828" w:type="dxa"/>
          </w:tcPr>
          <w:p w14:paraId="57903505" w14:textId="77777777" w:rsidR="001D4B57" w:rsidRPr="008F33C8" w:rsidRDefault="001D4B57" w:rsidP="001D4B57">
            <w:r w:rsidRPr="008F33C8">
              <w:t>Preparedness</w:t>
            </w:r>
          </w:p>
        </w:tc>
      </w:tr>
      <w:tr w:rsidR="001D4B57" w:rsidRPr="008F33C8" w14:paraId="31EABC99" w14:textId="77777777" w:rsidTr="006A07AF">
        <w:trPr>
          <w:trHeight w:val="90"/>
        </w:trPr>
        <w:tc>
          <w:tcPr>
            <w:tcW w:w="3397" w:type="dxa"/>
            <w:vMerge/>
            <w:shd w:val="clear" w:color="auto" w:fill="FFFFFF" w:themeFill="background1"/>
          </w:tcPr>
          <w:p w14:paraId="3A600014" w14:textId="77777777" w:rsidR="001D4B57" w:rsidRPr="008F33C8" w:rsidRDefault="001D4B57" w:rsidP="001D4B57"/>
        </w:tc>
        <w:tc>
          <w:tcPr>
            <w:tcW w:w="2835" w:type="dxa"/>
            <w:vMerge/>
          </w:tcPr>
          <w:p w14:paraId="0FEFC9AC" w14:textId="77777777" w:rsidR="001D4B57" w:rsidRPr="008F33C8" w:rsidRDefault="001D4B57" w:rsidP="001D4B57"/>
        </w:tc>
        <w:tc>
          <w:tcPr>
            <w:tcW w:w="3828" w:type="dxa"/>
          </w:tcPr>
          <w:p w14:paraId="7D188D1E" w14:textId="77777777" w:rsidR="001D4B57" w:rsidRPr="008F33C8" w:rsidRDefault="001D4B57" w:rsidP="001D4B57">
            <w:r w:rsidRPr="008F33C8">
              <w:t>Administering issues</w:t>
            </w:r>
          </w:p>
        </w:tc>
      </w:tr>
      <w:tr w:rsidR="001D4B57" w:rsidRPr="008F33C8" w14:paraId="6245DC44" w14:textId="77777777" w:rsidTr="006A07AF">
        <w:trPr>
          <w:trHeight w:val="90"/>
        </w:trPr>
        <w:tc>
          <w:tcPr>
            <w:tcW w:w="3397" w:type="dxa"/>
            <w:vMerge/>
            <w:shd w:val="clear" w:color="auto" w:fill="FFFFFF" w:themeFill="background1"/>
          </w:tcPr>
          <w:p w14:paraId="1552076F" w14:textId="77777777" w:rsidR="001D4B57" w:rsidRPr="008F33C8" w:rsidRDefault="001D4B57" w:rsidP="001D4B57"/>
        </w:tc>
        <w:tc>
          <w:tcPr>
            <w:tcW w:w="2835" w:type="dxa"/>
            <w:vMerge/>
          </w:tcPr>
          <w:p w14:paraId="06F3FC9A" w14:textId="77777777" w:rsidR="001D4B57" w:rsidRPr="008F33C8" w:rsidRDefault="001D4B57" w:rsidP="001D4B57"/>
        </w:tc>
        <w:tc>
          <w:tcPr>
            <w:tcW w:w="3828" w:type="dxa"/>
          </w:tcPr>
          <w:p w14:paraId="592E5A2A" w14:textId="77777777" w:rsidR="001D4B57" w:rsidRPr="008F33C8" w:rsidRDefault="001D4B57" w:rsidP="001D4B57">
            <w:r w:rsidRPr="008F33C8">
              <w:t>Waste and disposal</w:t>
            </w:r>
          </w:p>
        </w:tc>
      </w:tr>
      <w:tr w:rsidR="001D4B57" w:rsidRPr="008F33C8" w14:paraId="31887BB2" w14:textId="77777777" w:rsidTr="006A07AF">
        <w:trPr>
          <w:trHeight w:val="270"/>
        </w:trPr>
        <w:tc>
          <w:tcPr>
            <w:tcW w:w="3397" w:type="dxa"/>
            <w:vMerge/>
            <w:shd w:val="clear" w:color="auto" w:fill="FFFFFF" w:themeFill="background1"/>
          </w:tcPr>
          <w:p w14:paraId="2D2002D5" w14:textId="77777777" w:rsidR="001D4B57" w:rsidRPr="008F33C8" w:rsidRDefault="001D4B57" w:rsidP="001D4B57"/>
        </w:tc>
        <w:tc>
          <w:tcPr>
            <w:tcW w:w="2835" w:type="dxa"/>
            <w:vMerge w:val="restart"/>
          </w:tcPr>
          <w:p w14:paraId="40196EF5" w14:textId="77777777" w:rsidR="001D4B57" w:rsidRPr="008F33C8" w:rsidRDefault="001D4B57" w:rsidP="001D4B57">
            <w:r w:rsidRPr="008F33C8">
              <w:t>Adherence</w:t>
            </w:r>
          </w:p>
          <w:p w14:paraId="2AC29515" w14:textId="77777777" w:rsidR="001D4B57" w:rsidRPr="008F33C8" w:rsidRDefault="001D4B57" w:rsidP="001D4B57"/>
        </w:tc>
        <w:tc>
          <w:tcPr>
            <w:tcW w:w="3828" w:type="dxa"/>
          </w:tcPr>
          <w:p w14:paraId="05DE0593" w14:textId="77777777" w:rsidR="001D4B57" w:rsidRPr="008F33C8" w:rsidRDefault="001D4B57" w:rsidP="001D4B57">
            <w:r w:rsidRPr="008F33C8">
              <w:t>Obstacles and difficulties</w:t>
            </w:r>
          </w:p>
        </w:tc>
      </w:tr>
      <w:tr w:rsidR="001D4B57" w:rsidRPr="008F33C8" w14:paraId="6E0050AF" w14:textId="77777777" w:rsidTr="006A07AF">
        <w:trPr>
          <w:trHeight w:val="135"/>
        </w:trPr>
        <w:tc>
          <w:tcPr>
            <w:tcW w:w="3397" w:type="dxa"/>
            <w:vMerge/>
            <w:shd w:val="clear" w:color="auto" w:fill="FFFFFF" w:themeFill="background1"/>
          </w:tcPr>
          <w:p w14:paraId="5BFE2458" w14:textId="77777777" w:rsidR="001D4B57" w:rsidRPr="008F33C8" w:rsidRDefault="001D4B57" w:rsidP="001D4B57"/>
        </w:tc>
        <w:tc>
          <w:tcPr>
            <w:tcW w:w="2835" w:type="dxa"/>
            <w:vMerge/>
          </w:tcPr>
          <w:p w14:paraId="3FC52527" w14:textId="77777777" w:rsidR="001D4B57" w:rsidRPr="008F33C8" w:rsidRDefault="001D4B57" w:rsidP="001D4B57"/>
        </w:tc>
        <w:tc>
          <w:tcPr>
            <w:tcW w:w="3828" w:type="dxa"/>
          </w:tcPr>
          <w:p w14:paraId="092F1333" w14:textId="77777777" w:rsidR="001D4B57" w:rsidRPr="008F33C8" w:rsidRDefault="001D4B57" w:rsidP="001D4B57">
            <w:r w:rsidRPr="008F33C8">
              <w:t xml:space="preserve">Initiatives </w:t>
            </w:r>
          </w:p>
        </w:tc>
      </w:tr>
      <w:tr w:rsidR="001D4B57" w:rsidRPr="008F33C8" w14:paraId="1CC7B09A" w14:textId="77777777" w:rsidTr="006A07AF">
        <w:trPr>
          <w:trHeight w:val="135"/>
        </w:trPr>
        <w:tc>
          <w:tcPr>
            <w:tcW w:w="3397" w:type="dxa"/>
            <w:vMerge/>
            <w:shd w:val="clear" w:color="auto" w:fill="FFFFFF" w:themeFill="background1"/>
          </w:tcPr>
          <w:p w14:paraId="1D243C84" w14:textId="77777777" w:rsidR="001D4B57" w:rsidRPr="008F33C8" w:rsidRDefault="001D4B57" w:rsidP="001D4B57"/>
        </w:tc>
        <w:tc>
          <w:tcPr>
            <w:tcW w:w="2835" w:type="dxa"/>
            <w:vMerge/>
          </w:tcPr>
          <w:p w14:paraId="12325FDC" w14:textId="77777777" w:rsidR="001D4B57" w:rsidRPr="008F33C8" w:rsidRDefault="001D4B57" w:rsidP="001D4B57"/>
        </w:tc>
        <w:tc>
          <w:tcPr>
            <w:tcW w:w="3828" w:type="dxa"/>
          </w:tcPr>
          <w:p w14:paraId="31942E79" w14:textId="77777777" w:rsidR="001D4B57" w:rsidRPr="008F33C8" w:rsidRDefault="001D4B57" w:rsidP="001D4B57">
            <w:r w:rsidRPr="008F33C8">
              <w:t>Impact on quality of life</w:t>
            </w:r>
          </w:p>
        </w:tc>
      </w:tr>
      <w:tr w:rsidR="001D4B57" w:rsidRPr="008F33C8" w14:paraId="4D581457" w14:textId="77777777" w:rsidTr="006A07AF">
        <w:trPr>
          <w:trHeight w:val="382"/>
        </w:trPr>
        <w:tc>
          <w:tcPr>
            <w:tcW w:w="3397" w:type="dxa"/>
            <w:vMerge w:val="restart"/>
            <w:shd w:val="clear" w:color="auto" w:fill="auto"/>
          </w:tcPr>
          <w:p w14:paraId="33CEB2DA" w14:textId="77777777" w:rsidR="001D4B57" w:rsidRPr="008F33C8" w:rsidRDefault="001D4B57" w:rsidP="001D4B57">
            <w:pPr>
              <w:rPr>
                <w:b/>
              </w:rPr>
            </w:pPr>
            <w:r w:rsidRPr="008F33C8">
              <w:rPr>
                <w:b/>
              </w:rPr>
              <w:t>Response to acute illness whilst on prophylaxis</w:t>
            </w:r>
          </w:p>
        </w:tc>
        <w:tc>
          <w:tcPr>
            <w:tcW w:w="2835" w:type="dxa"/>
            <w:vMerge w:val="restart"/>
            <w:shd w:val="clear" w:color="auto" w:fill="FFFFFF" w:themeFill="background1"/>
          </w:tcPr>
          <w:p w14:paraId="1BB023CC" w14:textId="77777777" w:rsidR="001D4B57" w:rsidRPr="008F33C8" w:rsidRDefault="001D4B57" w:rsidP="001D4B57">
            <w:r w:rsidRPr="008F33C8">
              <w:t>Emotive reasoning</w:t>
            </w:r>
          </w:p>
        </w:tc>
        <w:tc>
          <w:tcPr>
            <w:tcW w:w="3828" w:type="dxa"/>
            <w:shd w:val="clear" w:color="auto" w:fill="FFFFFF" w:themeFill="background1"/>
          </w:tcPr>
          <w:p w14:paraId="4F5A1157" w14:textId="77777777" w:rsidR="001D4B57" w:rsidRPr="008F33C8" w:rsidRDefault="001D4B57" w:rsidP="001D4B57">
            <w:r w:rsidRPr="008F33C8">
              <w:t>Immediate response</w:t>
            </w:r>
          </w:p>
        </w:tc>
      </w:tr>
      <w:tr w:rsidR="001D4B57" w:rsidRPr="008F33C8" w14:paraId="03C358F6" w14:textId="77777777" w:rsidTr="006A07AF">
        <w:trPr>
          <w:trHeight w:val="135"/>
        </w:trPr>
        <w:tc>
          <w:tcPr>
            <w:tcW w:w="3397" w:type="dxa"/>
            <w:vMerge/>
            <w:shd w:val="clear" w:color="auto" w:fill="auto"/>
          </w:tcPr>
          <w:p w14:paraId="4711305C" w14:textId="77777777" w:rsidR="001D4B57" w:rsidRPr="008F33C8" w:rsidRDefault="001D4B57" w:rsidP="001D4B57"/>
        </w:tc>
        <w:tc>
          <w:tcPr>
            <w:tcW w:w="2835" w:type="dxa"/>
            <w:vMerge/>
            <w:shd w:val="clear" w:color="auto" w:fill="auto"/>
          </w:tcPr>
          <w:p w14:paraId="797922B1" w14:textId="77777777" w:rsidR="001D4B57" w:rsidRPr="008F33C8" w:rsidRDefault="001D4B57" w:rsidP="001D4B57"/>
        </w:tc>
        <w:tc>
          <w:tcPr>
            <w:tcW w:w="3828" w:type="dxa"/>
            <w:shd w:val="clear" w:color="auto" w:fill="auto"/>
          </w:tcPr>
          <w:p w14:paraId="3734E85F" w14:textId="77777777" w:rsidR="001D4B57" w:rsidRPr="008F33C8" w:rsidRDefault="001D4B57" w:rsidP="001D4B57">
            <w:r w:rsidRPr="008F33C8">
              <w:t>Previous experiences</w:t>
            </w:r>
          </w:p>
        </w:tc>
      </w:tr>
      <w:tr w:rsidR="001D4B57" w:rsidRPr="008F33C8" w14:paraId="58D0D97A" w14:textId="77777777" w:rsidTr="006A07AF">
        <w:trPr>
          <w:trHeight w:val="135"/>
        </w:trPr>
        <w:tc>
          <w:tcPr>
            <w:tcW w:w="3397" w:type="dxa"/>
            <w:vMerge/>
            <w:shd w:val="clear" w:color="auto" w:fill="auto"/>
          </w:tcPr>
          <w:p w14:paraId="78387DAD" w14:textId="77777777" w:rsidR="001D4B57" w:rsidRPr="008F33C8" w:rsidRDefault="001D4B57" w:rsidP="001D4B57"/>
        </w:tc>
        <w:tc>
          <w:tcPr>
            <w:tcW w:w="2835" w:type="dxa"/>
            <w:vMerge w:val="restart"/>
            <w:shd w:val="clear" w:color="auto" w:fill="FFFFFF" w:themeFill="background1"/>
          </w:tcPr>
          <w:p w14:paraId="2A3A4B69" w14:textId="77777777" w:rsidR="001D4B57" w:rsidRPr="008F33C8" w:rsidRDefault="001D4B57" w:rsidP="001D4B57">
            <w:r w:rsidRPr="008F33C8">
              <w:t>Assessment</w:t>
            </w:r>
          </w:p>
        </w:tc>
        <w:tc>
          <w:tcPr>
            <w:tcW w:w="3828" w:type="dxa"/>
            <w:shd w:val="clear" w:color="auto" w:fill="auto"/>
          </w:tcPr>
          <w:p w14:paraId="196BD4D6" w14:textId="77777777" w:rsidR="001D4B57" w:rsidRPr="008F33C8" w:rsidRDefault="001D4B57" w:rsidP="001D4B57">
            <w:r w:rsidRPr="008F33C8">
              <w:t>Threshold for consultation</w:t>
            </w:r>
          </w:p>
        </w:tc>
      </w:tr>
      <w:tr w:rsidR="001D4B57" w:rsidRPr="008F33C8" w14:paraId="4514AC7D" w14:textId="77777777" w:rsidTr="006A07AF">
        <w:trPr>
          <w:trHeight w:val="135"/>
        </w:trPr>
        <w:tc>
          <w:tcPr>
            <w:tcW w:w="3397" w:type="dxa"/>
            <w:vMerge/>
            <w:shd w:val="clear" w:color="auto" w:fill="auto"/>
          </w:tcPr>
          <w:p w14:paraId="5F33FEF3" w14:textId="77777777" w:rsidR="001D4B57" w:rsidRPr="008F33C8" w:rsidRDefault="001D4B57" w:rsidP="001D4B57"/>
        </w:tc>
        <w:tc>
          <w:tcPr>
            <w:tcW w:w="2835" w:type="dxa"/>
            <w:vMerge/>
            <w:shd w:val="clear" w:color="auto" w:fill="FFFFFF" w:themeFill="background1"/>
          </w:tcPr>
          <w:p w14:paraId="68C8A41D" w14:textId="77777777" w:rsidR="001D4B57" w:rsidRPr="008F33C8" w:rsidRDefault="001D4B57" w:rsidP="001D4B57"/>
        </w:tc>
        <w:tc>
          <w:tcPr>
            <w:tcW w:w="3828" w:type="dxa"/>
            <w:shd w:val="clear" w:color="auto" w:fill="auto"/>
          </w:tcPr>
          <w:p w14:paraId="744CE5B1" w14:textId="77777777" w:rsidR="001D4B57" w:rsidRPr="008F33C8" w:rsidRDefault="001D4B57" w:rsidP="001D4B57">
            <w:r w:rsidRPr="008F33C8">
              <w:t>Importance of specific symptoms</w:t>
            </w:r>
          </w:p>
        </w:tc>
      </w:tr>
      <w:tr w:rsidR="001D4B57" w:rsidRPr="008F33C8" w14:paraId="56575AD9" w14:textId="77777777" w:rsidTr="006A07AF">
        <w:trPr>
          <w:trHeight w:val="135"/>
        </w:trPr>
        <w:tc>
          <w:tcPr>
            <w:tcW w:w="3397" w:type="dxa"/>
            <w:vMerge/>
            <w:shd w:val="clear" w:color="auto" w:fill="auto"/>
          </w:tcPr>
          <w:p w14:paraId="452A148C" w14:textId="77777777" w:rsidR="001D4B57" w:rsidRPr="008F33C8" w:rsidRDefault="001D4B57" w:rsidP="001D4B57"/>
        </w:tc>
        <w:tc>
          <w:tcPr>
            <w:tcW w:w="2835" w:type="dxa"/>
            <w:vMerge/>
            <w:shd w:val="clear" w:color="auto" w:fill="auto"/>
          </w:tcPr>
          <w:p w14:paraId="7A63103A" w14:textId="77777777" w:rsidR="001D4B57" w:rsidRPr="008F33C8" w:rsidRDefault="001D4B57" w:rsidP="001D4B57"/>
        </w:tc>
        <w:tc>
          <w:tcPr>
            <w:tcW w:w="3828" w:type="dxa"/>
            <w:shd w:val="clear" w:color="auto" w:fill="auto"/>
          </w:tcPr>
          <w:p w14:paraId="45728B50" w14:textId="77777777" w:rsidR="001D4B57" w:rsidRPr="008F33C8" w:rsidRDefault="001D4B57" w:rsidP="001D4B57">
            <w:r w:rsidRPr="008F33C8">
              <w:t>Driving pressures to take action</w:t>
            </w:r>
          </w:p>
        </w:tc>
      </w:tr>
      <w:tr w:rsidR="001D4B57" w:rsidRPr="008F33C8" w14:paraId="4F0BC783" w14:textId="77777777" w:rsidTr="006A07AF">
        <w:trPr>
          <w:trHeight w:val="90"/>
        </w:trPr>
        <w:tc>
          <w:tcPr>
            <w:tcW w:w="3397" w:type="dxa"/>
            <w:vMerge/>
            <w:shd w:val="clear" w:color="auto" w:fill="auto"/>
          </w:tcPr>
          <w:p w14:paraId="7045080D" w14:textId="77777777" w:rsidR="001D4B57" w:rsidRPr="008F33C8" w:rsidRDefault="001D4B57" w:rsidP="001D4B57"/>
        </w:tc>
        <w:tc>
          <w:tcPr>
            <w:tcW w:w="2835" w:type="dxa"/>
            <w:vMerge w:val="restart"/>
            <w:shd w:val="clear" w:color="auto" w:fill="auto"/>
          </w:tcPr>
          <w:p w14:paraId="2352D708" w14:textId="77777777" w:rsidR="001D4B57" w:rsidRPr="008F33C8" w:rsidRDefault="001D4B57" w:rsidP="001D4B57">
            <w:r w:rsidRPr="008F33C8">
              <w:t>Management</w:t>
            </w:r>
          </w:p>
        </w:tc>
        <w:tc>
          <w:tcPr>
            <w:tcW w:w="3828" w:type="dxa"/>
            <w:shd w:val="clear" w:color="auto" w:fill="auto"/>
          </w:tcPr>
          <w:p w14:paraId="3C100E92" w14:textId="77777777" w:rsidR="001D4B57" w:rsidRPr="008F33C8" w:rsidRDefault="001D4B57" w:rsidP="001D4B57">
            <w:r w:rsidRPr="008F33C8">
              <w:t xml:space="preserve">Misconceptions of terminology and concepts  </w:t>
            </w:r>
          </w:p>
        </w:tc>
      </w:tr>
      <w:tr w:rsidR="001D4B57" w:rsidRPr="008F33C8" w14:paraId="521B3444" w14:textId="77777777" w:rsidTr="006A07AF">
        <w:trPr>
          <w:trHeight w:val="90"/>
        </w:trPr>
        <w:tc>
          <w:tcPr>
            <w:tcW w:w="3397" w:type="dxa"/>
            <w:vMerge/>
            <w:shd w:val="clear" w:color="auto" w:fill="auto"/>
          </w:tcPr>
          <w:p w14:paraId="11F1C994" w14:textId="77777777" w:rsidR="001D4B57" w:rsidRPr="008F33C8" w:rsidRDefault="001D4B57" w:rsidP="001D4B57"/>
        </w:tc>
        <w:tc>
          <w:tcPr>
            <w:tcW w:w="2835" w:type="dxa"/>
            <w:vMerge/>
            <w:shd w:val="clear" w:color="auto" w:fill="auto"/>
          </w:tcPr>
          <w:p w14:paraId="03CEF635" w14:textId="77777777" w:rsidR="001D4B57" w:rsidRPr="008F33C8" w:rsidRDefault="001D4B57" w:rsidP="001D4B57"/>
        </w:tc>
        <w:tc>
          <w:tcPr>
            <w:tcW w:w="3828" w:type="dxa"/>
            <w:shd w:val="clear" w:color="auto" w:fill="auto"/>
          </w:tcPr>
          <w:p w14:paraId="35C7EEA6" w14:textId="77777777" w:rsidR="001D4B57" w:rsidRPr="008F33C8" w:rsidRDefault="001D4B57" w:rsidP="001D4B57">
            <w:r w:rsidRPr="008F33C8">
              <w:t xml:space="preserve">Expectations </w:t>
            </w:r>
          </w:p>
        </w:tc>
      </w:tr>
      <w:tr w:rsidR="001D4B57" w:rsidRPr="008F33C8" w14:paraId="1493C534" w14:textId="77777777" w:rsidTr="006A07AF">
        <w:trPr>
          <w:trHeight w:val="90"/>
        </w:trPr>
        <w:tc>
          <w:tcPr>
            <w:tcW w:w="3397" w:type="dxa"/>
            <w:vMerge/>
            <w:shd w:val="clear" w:color="auto" w:fill="auto"/>
          </w:tcPr>
          <w:p w14:paraId="78B0E5FF" w14:textId="77777777" w:rsidR="001D4B57" w:rsidRPr="008F33C8" w:rsidRDefault="001D4B57" w:rsidP="001D4B57"/>
        </w:tc>
        <w:tc>
          <w:tcPr>
            <w:tcW w:w="2835" w:type="dxa"/>
            <w:vMerge/>
            <w:shd w:val="clear" w:color="auto" w:fill="auto"/>
          </w:tcPr>
          <w:p w14:paraId="35746AE9" w14:textId="77777777" w:rsidR="001D4B57" w:rsidRPr="008F33C8" w:rsidRDefault="001D4B57" w:rsidP="001D4B57"/>
        </w:tc>
        <w:tc>
          <w:tcPr>
            <w:tcW w:w="3828" w:type="dxa"/>
            <w:shd w:val="clear" w:color="auto" w:fill="auto"/>
          </w:tcPr>
          <w:p w14:paraId="4E364F79" w14:textId="77777777" w:rsidR="001D4B57" w:rsidRPr="008F33C8" w:rsidRDefault="001D4B57" w:rsidP="001D4B57">
            <w:r w:rsidRPr="008F33C8">
              <w:t>Understanding of antibiotics</w:t>
            </w:r>
          </w:p>
        </w:tc>
      </w:tr>
    </w:tbl>
    <w:p w14:paraId="66B272AA" w14:textId="2E7CDF12" w:rsidR="00320AF6" w:rsidRPr="00241369" w:rsidRDefault="001D4B57" w:rsidP="00320AF6">
      <w:pPr>
        <w:spacing w:line="360" w:lineRule="auto"/>
        <w:rPr>
          <w:b/>
        </w:rPr>
      </w:pPr>
      <w:r w:rsidRPr="00241369">
        <w:rPr>
          <w:b/>
        </w:rPr>
        <w:t xml:space="preserve"> </w:t>
      </w:r>
    </w:p>
    <w:p w14:paraId="66E5CC35" w14:textId="77777777" w:rsidR="00320AF6" w:rsidRDefault="00320AF6" w:rsidP="00320AF6">
      <w:r>
        <w:br w:type="page"/>
      </w:r>
    </w:p>
    <w:p w14:paraId="42C8DC1B" w14:textId="412A6238" w:rsidR="0075299D" w:rsidRPr="006A07AF" w:rsidRDefault="00AA6003" w:rsidP="006B135A">
      <w:pPr>
        <w:pStyle w:val="Heading4"/>
        <w:spacing w:before="0" w:line="360" w:lineRule="auto"/>
        <w:rPr>
          <w:i w:val="0"/>
          <w:iCs w:val="0"/>
          <w:sz w:val="24"/>
          <w:szCs w:val="24"/>
        </w:rPr>
      </w:pPr>
      <w:r w:rsidRPr="006A07AF">
        <w:rPr>
          <w:i w:val="0"/>
          <w:iCs w:val="0"/>
          <w:sz w:val="24"/>
          <w:szCs w:val="24"/>
        </w:rPr>
        <w:lastRenderedPageBreak/>
        <w:t>Theme 1: Decision making regarding prophylaxis</w:t>
      </w:r>
    </w:p>
    <w:p w14:paraId="2EFA07AF" w14:textId="2C525488" w:rsidR="00AA6003" w:rsidRPr="003C2300" w:rsidRDefault="00AA6003" w:rsidP="006B135A">
      <w:pPr>
        <w:spacing w:line="360" w:lineRule="auto"/>
      </w:pPr>
      <w:r w:rsidRPr="003C2300">
        <w:t xml:space="preserve">Antibiotic prophylaxis with azithromycin was discussed with parents by paediatric respiratory or immunology specialists during outpatient clinics prior to commencement. Parents </w:t>
      </w:r>
      <w:r w:rsidR="00AE1917">
        <w:t xml:space="preserve">reported  taking </w:t>
      </w:r>
      <w:r w:rsidRPr="003C2300">
        <w:t>both active and passive roles when making decisions regarding the use of antibiotic prophylaxis. A variety of factors influenced how they balanced the perceived benefits and risks for their children.</w:t>
      </w:r>
    </w:p>
    <w:p w14:paraId="49058F21" w14:textId="77777777" w:rsidR="00AA6003" w:rsidRPr="003C2300" w:rsidRDefault="00AA6003" w:rsidP="00AA6003">
      <w:pPr>
        <w:spacing w:line="360" w:lineRule="auto"/>
      </w:pPr>
      <w:r w:rsidRPr="003C2300">
        <w:rPr>
          <w:b/>
          <w:i/>
        </w:rPr>
        <w:t>Determinants of active involvement:</w:t>
      </w:r>
      <w:r w:rsidRPr="003C2300">
        <w:t xml:space="preserve"> </w:t>
      </w:r>
    </w:p>
    <w:p w14:paraId="7550B48F" w14:textId="635929BB" w:rsidR="00AA6003" w:rsidRDefault="00AA6003" w:rsidP="00284867">
      <w:pPr>
        <w:spacing w:after="160" w:line="360" w:lineRule="auto"/>
      </w:pPr>
      <w:r w:rsidRPr="003C2300">
        <w:t>Those parents with strong feelings of being experts o</w:t>
      </w:r>
      <w:r w:rsidR="00455569">
        <w:t>f</w:t>
      </w:r>
      <w:r w:rsidRPr="003C2300">
        <w:t xml:space="preserve"> their children felt they could fully engage, voice their concerns and question consultants. </w:t>
      </w:r>
      <w:bookmarkStart w:id="149" w:name="_Hlk117707098"/>
      <w:r w:rsidR="006C4BAA">
        <w:t>Subjectively t</w:t>
      </w:r>
      <w:r w:rsidRPr="003C2300">
        <w:t>his did not necessarily correlate with a high level of health literacy of the underlying condition or knowledge of potential risks of long term antibiotics.</w:t>
      </w:r>
      <w:r w:rsidR="00937878">
        <w:t xml:space="preserve"> This was not however formally assessed.</w:t>
      </w:r>
      <w:r w:rsidRPr="003C2300">
        <w:t xml:space="preserve"> </w:t>
      </w:r>
      <w:bookmarkEnd w:id="149"/>
      <w:r w:rsidR="006C4BAA">
        <w:t xml:space="preserve">The limitations of my own medical gaze are discussed in more detail in section 3.3.4. </w:t>
      </w:r>
      <w:r w:rsidRPr="003C2300">
        <w:t xml:space="preserve">Parents stated the importance of their parental responsibility when reflecting on why they felt they should actively take part in consultations.  A desire to be more informed and increase their knowledge also drove active participation when considering management options. </w:t>
      </w:r>
    </w:p>
    <w:p w14:paraId="1DEE252D" w14:textId="4C345B30" w:rsidR="00455569" w:rsidRDefault="00455569" w:rsidP="00455569">
      <w:pPr>
        <w:shd w:val="clear" w:color="auto" w:fill="D9D9D9"/>
        <w:spacing w:line="360" w:lineRule="auto"/>
        <w:rPr>
          <w:rFonts w:ascii="Calibri" w:eastAsia="Calibri" w:hAnsi="Calibri" w:cs="Arial"/>
          <w:b/>
          <w:i/>
          <w:color w:val="000000"/>
        </w:rPr>
      </w:pPr>
      <w:r>
        <w:rPr>
          <w:rFonts w:ascii="Calibri" w:eastAsia="Calibri" w:hAnsi="Calibri" w:cs="Arial"/>
          <w:i/>
          <w:color w:val="000000"/>
        </w:rPr>
        <w:t>“</w:t>
      </w:r>
      <w:r w:rsidRPr="00455569">
        <w:rPr>
          <w:rFonts w:ascii="Calibri" w:eastAsia="Calibri" w:hAnsi="Calibri" w:cs="Arial"/>
          <w:i/>
          <w:color w:val="000000"/>
        </w:rPr>
        <w:t xml:space="preserve">We all help to decide. If we weren't doing our job as parents, keeping an eye on him, we wouldn't know he’s got that cold. So if they said let’s take him off (prophylaxis), and we said hold on a minute he’s had 4-5 (infections) in the past (month). If we thought that, they might refer their decision and say let’s keep it on for another couple of months.” </w:t>
      </w:r>
      <w:r w:rsidRPr="00455569">
        <w:rPr>
          <w:rFonts w:ascii="Calibri" w:eastAsia="Calibri" w:hAnsi="Calibri" w:cs="Arial"/>
          <w:b/>
          <w:i/>
          <w:color w:val="000000"/>
        </w:rPr>
        <w:t>(Parent 10)</w:t>
      </w:r>
    </w:p>
    <w:p w14:paraId="0F9B2272" w14:textId="77777777" w:rsidR="00CC5175" w:rsidRDefault="00CC5175" w:rsidP="006B0F26">
      <w:pPr>
        <w:rPr>
          <w:rFonts w:ascii="Calibri" w:eastAsia="Calibri" w:hAnsi="Calibri" w:cs="Arial"/>
          <w:b/>
          <w:i/>
          <w:color w:val="000000"/>
        </w:rPr>
      </w:pPr>
    </w:p>
    <w:p w14:paraId="3BABB3C5" w14:textId="76F1DEFF" w:rsidR="00455569" w:rsidRDefault="00455569" w:rsidP="006B0F26">
      <w:pPr>
        <w:shd w:val="clear" w:color="auto" w:fill="D9D9D9" w:themeFill="background1" w:themeFillShade="D9"/>
        <w:spacing w:line="360" w:lineRule="auto"/>
        <w:rPr>
          <w:b/>
          <w:bCs/>
        </w:rPr>
      </w:pPr>
      <w:r w:rsidRPr="000F0C91">
        <w:rPr>
          <w:i/>
          <w:iCs/>
        </w:rPr>
        <w:t>“I think people perceived doctors being that higher authority that sometimes can't be questioned but that is not how it is in society these days. Doctors are saying you are the expert on your illness and actually you're empowered to actually know what you are doing and look after your long term care.”</w:t>
      </w:r>
      <w:r w:rsidRPr="00455569">
        <w:t xml:space="preserve"> </w:t>
      </w:r>
      <w:r w:rsidRPr="00455569">
        <w:rPr>
          <w:b/>
          <w:bCs/>
        </w:rPr>
        <w:t>(Parent 6)</w:t>
      </w:r>
    </w:p>
    <w:p w14:paraId="3804CAC8" w14:textId="77777777" w:rsidR="00CC5175" w:rsidRDefault="00CC5175" w:rsidP="006B0F26"/>
    <w:p w14:paraId="23370194" w14:textId="77777777" w:rsidR="00455569" w:rsidRPr="00455569" w:rsidRDefault="00455569" w:rsidP="00455569">
      <w:pPr>
        <w:shd w:val="clear" w:color="auto" w:fill="D9D9D9"/>
        <w:spacing w:line="360" w:lineRule="auto"/>
        <w:rPr>
          <w:rFonts w:ascii="Calibri" w:eastAsia="Calibri" w:hAnsi="Calibri" w:cs="Arial"/>
          <w:b/>
          <w:i/>
        </w:rPr>
      </w:pPr>
      <w:r w:rsidRPr="00455569">
        <w:rPr>
          <w:rFonts w:ascii="Calibri" w:eastAsia="Calibri" w:hAnsi="Calibri" w:cs="Arial"/>
          <w:i/>
        </w:rPr>
        <w:t xml:space="preserve">“They (doctors) are qualified. They think they know best. But they don't. They really don't… They don't go through the nights of the child not sleeping because they can’t breathe, the child struggling, they do not know… they might know on a medical concept.” </w:t>
      </w:r>
      <w:r w:rsidRPr="00455569">
        <w:rPr>
          <w:rFonts w:ascii="Calibri" w:eastAsia="Calibri" w:hAnsi="Calibri" w:cs="Arial"/>
          <w:b/>
          <w:bCs/>
          <w:i/>
        </w:rPr>
        <w:t>(Parent 8)</w:t>
      </w:r>
    </w:p>
    <w:p w14:paraId="5BE9036E" w14:textId="77777777" w:rsidR="00455569" w:rsidRPr="003C2300" w:rsidRDefault="00455569" w:rsidP="00AA6003">
      <w:pPr>
        <w:spacing w:line="360" w:lineRule="auto"/>
      </w:pPr>
    </w:p>
    <w:p w14:paraId="6874C861" w14:textId="77777777" w:rsidR="00EF67A3" w:rsidRDefault="00EF67A3" w:rsidP="00AA6003">
      <w:pPr>
        <w:spacing w:line="360" w:lineRule="auto"/>
        <w:rPr>
          <w:b/>
          <w:i/>
        </w:rPr>
      </w:pPr>
    </w:p>
    <w:p w14:paraId="7B694944" w14:textId="77777777" w:rsidR="00EF67A3" w:rsidRDefault="00EF67A3" w:rsidP="00AA6003">
      <w:pPr>
        <w:spacing w:line="360" w:lineRule="auto"/>
        <w:rPr>
          <w:b/>
          <w:i/>
        </w:rPr>
      </w:pPr>
    </w:p>
    <w:p w14:paraId="342BCE68" w14:textId="6338217B" w:rsidR="00AA6003" w:rsidRPr="003C2300" w:rsidRDefault="00AA6003" w:rsidP="00AA6003">
      <w:pPr>
        <w:spacing w:line="360" w:lineRule="auto"/>
      </w:pPr>
      <w:r w:rsidRPr="003C2300">
        <w:rPr>
          <w:b/>
          <w:i/>
        </w:rPr>
        <w:lastRenderedPageBreak/>
        <w:t>Passive barriers:</w:t>
      </w:r>
      <w:r w:rsidRPr="003C2300">
        <w:t xml:space="preserve"> </w:t>
      </w:r>
    </w:p>
    <w:p w14:paraId="538676E7" w14:textId="3F4E8F7B" w:rsidR="00455569" w:rsidRDefault="00AA6003" w:rsidP="00284867">
      <w:pPr>
        <w:spacing w:after="160" w:line="360" w:lineRule="auto"/>
      </w:pPr>
      <w:r w:rsidRPr="003C2300">
        <w:t xml:space="preserve">Parents </w:t>
      </w:r>
      <w:r w:rsidR="00455569">
        <w:t xml:space="preserve">who described </w:t>
      </w:r>
      <w:r w:rsidRPr="003C2300">
        <w:t xml:space="preserve">taking a passive role in decision making, and trusting the professional to act in their child’s best interest, said </w:t>
      </w:r>
      <w:r w:rsidR="00FC59D5">
        <w:t xml:space="preserve">that </w:t>
      </w:r>
      <w:r w:rsidRPr="003C2300">
        <w:t xml:space="preserve">they did not feel fully informed. Environmental barriers identified by these parents included chaotic consultation rooms, time pressures and poor eye contact due to health care professionals looking at computer screens. Social norms of politeness, seeing the doctor as a higher authority who could not be questioned and not wanting to waste the doctors time led parents to take a more passive role. Not wanting to be seen or being made to feel like a “drama queen” or “paranoid overdramatic mother” also reinforced passivity. </w:t>
      </w:r>
      <w:r w:rsidR="006F6268">
        <w:t xml:space="preserve">Some </w:t>
      </w:r>
      <w:r w:rsidRPr="003C2300">
        <w:t xml:space="preserve">parents </w:t>
      </w:r>
      <w:r w:rsidR="00F23DB1">
        <w:t>reported</w:t>
      </w:r>
      <w:r w:rsidR="00F23DB1" w:rsidRPr="003C2300">
        <w:t xml:space="preserve"> </w:t>
      </w:r>
      <w:r w:rsidR="00F23DB1">
        <w:t xml:space="preserve">they were </w:t>
      </w:r>
      <w:r w:rsidRPr="003C2300">
        <w:t>unable to understand jargon or key medical concepts. This in turn led to more passive behaviour in order to avoid feeling self-conscious and to cover their confusion. These barriers led to unvoiced concerns, excessive worry and feelings of a lack of control which in turn meant parents required increased support from health care professionals.</w:t>
      </w:r>
    </w:p>
    <w:p w14:paraId="1EE1FE7B" w14:textId="162D21B8" w:rsidR="00455569" w:rsidRDefault="00AA6003" w:rsidP="00455569">
      <w:pPr>
        <w:shd w:val="clear" w:color="auto" w:fill="D9D9D9"/>
        <w:spacing w:line="360" w:lineRule="auto"/>
        <w:rPr>
          <w:rFonts w:ascii="Calibri" w:eastAsia="Calibri" w:hAnsi="Calibri" w:cs="Arial"/>
          <w:b/>
          <w:i/>
        </w:rPr>
      </w:pPr>
      <w:r w:rsidRPr="003C2300">
        <w:t xml:space="preserve"> </w:t>
      </w:r>
      <w:r w:rsidR="00455569" w:rsidRPr="006070F3">
        <w:rPr>
          <w:rFonts w:ascii="Calibri" w:eastAsia="Calibri" w:hAnsi="Calibri" w:cs="Arial"/>
          <w:i/>
        </w:rPr>
        <w:t xml:space="preserve">“...the doctor tells me what the plan is and as a parent I just go along and think he's the doctor, he knows best... and you just take his word for it because he is the professional and I’m just a parent. There’s no guidebook for (parents)... And I think me being me and asking questions, I'm holding that doctor up. I don’t' want to bother him. But it isn’t till when I come home and I think, is it doing him any good (prophylaxis)? Is it harming him? Is it going to cause him any long term (side effects) ... and it’s not till after till I start think about things.” </w:t>
      </w:r>
      <w:r w:rsidR="00455569" w:rsidRPr="006070F3">
        <w:rPr>
          <w:rFonts w:ascii="Calibri" w:eastAsia="Calibri" w:hAnsi="Calibri" w:cs="Arial"/>
          <w:b/>
          <w:i/>
        </w:rPr>
        <w:t>(Parent 9)</w:t>
      </w:r>
    </w:p>
    <w:p w14:paraId="5C735261" w14:textId="77777777" w:rsidR="00CC5175" w:rsidRPr="006070F3" w:rsidRDefault="00CC5175" w:rsidP="00F964D4">
      <w:pPr>
        <w:rPr>
          <w:rFonts w:ascii="Calibri" w:eastAsia="Calibri" w:hAnsi="Calibri" w:cs="Arial"/>
          <w:b/>
          <w:i/>
        </w:rPr>
      </w:pPr>
    </w:p>
    <w:p w14:paraId="4A042413" w14:textId="77777777" w:rsidR="00455569" w:rsidRPr="00455569" w:rsidRDefault="00455569" w:rsidP="00F30EFA">
      <w:pPr>
        <w:shd w:val="clear" w:color="auto" w:fill="D9D9D9" w:themeFill="background1" w:themeFillShade="D9"/>
        <w:spacing w:line="360" w:lineRule="auto"/>
        <w:rPr>
          <w:b/>
          <w:i/>
        </w:rPr>
      </w:pPr>
      <w:r w:rsidRPr="00455569">
        <w:rPr>
          <w:i/>
        </w:rPr>
        <w:t xml:space="preserve">“I don't want to seem like I’m a paranoid mum, but I feel she has taken a turn for the worst when she is coughing and being sick.” </w:t>
      </w:r>
      <w:r w:rsidRPr="00455569">
        <w:rPr>
          <w:b/>
          <w:i/>
        </w:rPr>
        <w:t>(Parent 2)</w:t>
      </w:r>
    </w:p>
    <w:p w14:paraId="4343A3D9" w14:textId="77777777" w:rsidR="00F30EFA" w:rsidRPr="00F30EFA" w:rsidRDefault="00F30EFA" w:rsidP="00F30EFA">
      <w:pPr>
        <w:spacing w:line="360" w:lineRule="auto"/>
        <w:rPr>
          <w:rFonts w:ascii="Calibri" w:eastAsia="Calibri" w:hAnsi="Calibri" w:cs="Arial"/>
          <w:i/>
          <w:sz w:val="12"/>
          <w:szCs w:val="12"/>
        </w:rPr>
      </w:pPr>
    </w:p>
    <w:p w14:paraId="2042D3F6" w14:textId="793A0E4D" w:rsidR="00455569" w:rsidRPr="00455569" w:rsidRDefault="00455569" w:rsidP="00F30EFA">
      <w:pPr>
        <w:shd w:val="clear" w:color="auto" w:fill="D9D9D9" w:themeFill="background1" w:themeFillShade="D9"/>
        <w:spacing w:line="360" w:lineRule="auto"/>
        <w:rPr>
          <w:rFonts w:ascii="Calibri" w:eastAsia="Calibri" w:hAnsi="Calibri" w:cs="Arial"/>
          <w:b/>
          <w:i/>
        </w:rPr>
      </w:pPr>
      <w:r w:rsidRPr="00455569">
        <w:rPr>
          <w:rFonts w:ascii="Calibri" w:eastAsia="Calibri" w:hAnsi="Calibri" w:cs="Arial"/>
          <w:i/>
        </w:rPr>
        <w:t xml:space="preserve">” I go into clinic and they are sat at the computer and they are typing away or writing and it is very rare that they even give you eye contact. And you think they are just under so much pressure and you are just another body. That is how I feel. I just think I’m just another body, with another poorly child.” </w:t>
      </w:r>
      <w:r w:rsidRPr="00455569">
        <w:rPr>
          <w:rFonts w:ascii="Calibri" w:eastAsia="Calibri" w:hAnsi="Calibri" w:cs="Arial"/>
          <w:b/>
          <w:bCs/>
          <w:i/>
        </w:rPr>
        <w:t>(Parent 9)</w:t>
      </w:r>
    </w:p>
    <w:p w14:paraId="2B9D74E1" w14:textId="77777777" w:rsidR="006A07AF" w:rsidRDefault="006A07AF" w:rsidP="00AA6003">
      <w:pPr>
        <w:spacing w:line="360" w:lineRule="auto"/>
        <w:rPr>
          <w:b/>
          <w:i/>
        </w:rPr>
      </w:pPr>
    </w:p>
    <w:p w14:paraId="2ABE89D6" w14:textId="1206D81C" w:rsidR="00AA6003" w:rsidRPr="003C2300" w:rsidRDefault="00AA6003" w:rsidP="00AA6003">
      <w:pPr>
        <w:spacing w:line="360" w:lineRule="auto"/>
      </w:pPr>
      <w:r w:rsidRPr="003C2300">
        <w:rPr>
          <w:b/>
          <w:i/>
        </w:rPr>
        <w:t xml:space="preserve">Transition from passive to </w:t>
      </w:r>
      <w:r w:rsidRPr="003C2300">
        <w:rPr>
          <w:b/>
        </w:rPr>
        <w:t>active</w:t>
      </w:r>
      <w:r w:rsidRPr="003C2300">
        <w:rPr>
          <w:b/>
          <w:i/>
        </w:rPr>
        <w:t xml:space="preserve"> involvement:</w:t>
      </w:r>
      <w:r w:rsidRPr="003C2300">
        <w:t xml:space="preserve"> </w:t>
      </w:r>
    </w:p>
    <w:p w14:paraId="6ABA8E1D" w14:textId="3B2B7EA6" w:rsidR="00AA6003" w:rsidRDefault="00AA6003" w:rsidP="00284867">
      <w:pPr>
        <w:spacing w:after="160" w:line="360" w:lineRule="auto"/>
      </w:pPr>
      <w:r w:rsidRPr="003C2300">
        <w:t xml:space="preserve">Interestingly three parents described becoming more active with regards to decision making once prophylactic antibiotics were </w:t>
      </w:r>
      <w:r w:rsidR="006F6268">
        <w:t xml:space="preserve">discussed </w:t>
      </w:r>
      <w:r w:rsidRPr="003C2300">
        <w:t>in the consultation. Reasons for this transition included the perc</w:t>
      </w:r>
      <w:r w:rsidR="006F6268">
        <w:t>eived significant risks of long-</w:t>
      </w:r>
      <w:r w:rsidRPr="003C2300">
        <w:t xml:space="preserve">term antibiotics, a desire to improve their knowledge </w:t>
      </w:r>
      <w:r w:rsidRPr="003C2300">
        <w:lastRenderedPageBreak/>
        <w:t xml:space="preserve">given an increase in the severity of the situation and frustration at feeling uninformed. This process of transition to active involvement was also promoted when parents felt that their lives were being affected e.g. challenging pharmacists and doctors when there was “hassle” in obtaining prescriptions and medication. Some parents said they felt empowered with more knowledge. </w:t>
      </w:r>
    </w:p>
    <w:p w14:paraId="09F8CA0E" w14:textId="77777777" w:rsidR="004C162B" w:rsidRPr="004C162B" w:rsidRDefault="004C162B" w:rsidP="004C162B">
      <w:pPr>
        <w:shd w:val="clear" w:color="auto" w:fill="D9D9D9"/>
        <w:spacing w:line="360" w:lineRule="auto"/>
        <w:rPr>
          <w:rFonts w:ascii="Calibri" w:eastAsia="Calibri" w:hAnsi="Calibri" w:cs="Arial"/>
          <w:b/>
          <w:i/>
        </w:rPr>
      </w:pPr>
      <w:r w:rsidRPr="004C162B">
        <w:rPr>
          <w:rFonts w:ascii="Calibri" w:eastAsia="Calibri" w:hAnsi="Calibri" w:cs="Arial"/>
          <w:i/>
        </w:rPr>
        <w:t xml:space="preserve">“We’re in such a position now that we just constantly ask questions. Not to be difficult but just because we want to know why. So we had big questions about long term antibiotic use. You know you hear a lot in the press about the use of antibiotics and so we did have a lot of questions regarding that but it was us asking rather than people proactively telling us anything.” </w:t>
      </w:r>
      <w:r w:rsidRPr="004C162B">
        <w:rPr>
          <w:rFonts w:ascii="Calibri" w:eastAsia="Calibri" w:hAnsi="Calibri" w:cs="Arial"/>
          <w:b/>
          <w:i/>
        </w:rPr>
        <w:t>(Parent 1)</w:t>
      </w:r>
    </w:p>
    <w:p w14:paraId="0EA680BF" w14:textId="77777777" w:rsidR="004C162B" w:rsidRPr="00241369" w:rsidRDefault="004C162B" w:rsidP="00AA6003">
      <w:pPr>
        <w:spacing w:line="360" w:lineRule="auto"/>
      </w:pPr>
    </w:p>
    <w:p w14:paraId="11EAD14B" w14:textId="77777777" w:rsidR="00AA6003" w:rsidRPr="003C2300" w:rsidRDefault="00AA6003" w:rsidP="00AA6003">
      <w:pPr>
        <w:spacing w:line="360" w:lineRule="auto"/>
        <w:rPr>
          <w:b/>
          <w:i/>
        </w:rPr>
      </w:pPr>
      <w:r w:rsidRPr="003C2300">
        <w:rPr>
          <w:b/>
          <w:i/>
        </w:rPr>
        <w:t>Influencing factors relating to the use of antibiotic prophylaxis:</w:t>
      </w:r>
    </w:p>
    <w:p w14:paraId="786BED27" w14:textId="0D0F1AA5" w:rsidR="00AA6003" w:rsidRPr="003C2300" w:rsidRDefault="00AA6003" w:rsidP="00284867">
      <w:pPr>
        <w:spacing w:after="160" w:line="360" w:lineRule="auto"/>
      </w:pPr>
      <w:r w:rsidRPr="003C2300">
        <w:t xml:space="preserve">All </w:t>
      </w:r>
      <w:r w:rsidRPr="003C2300">
        <w:rPr>
          <w:color w:val="000000" w:themeColor="text1"/>
        </w:rPr>
        <w:t>parents either hoped</w:t>
      </w:r>
      <w:r w:rsidRPr="003C2300">
        <w:t xml:space="preserve"> or expected that starting antibiotic prophylaxis would reduce the number of respiratory tract infections, improve their child’s health and bring normality to their lives once more. The fear of a common cold progressing to a hospital admission and potential death or lung damage was a recurrent </w:t>
      </w:r>
      <w:r w:rsidR="00A76F40">
        <w:t>concern</w:t>
      </w:r>
      <w:r w:rsidRPr="003C2300">
        <w:t xml:space="preserve">. The majority of parents felt that their child’s condition was detrimental not only to their child’s quality of life but that of the family. This was due to the distress of ill health and time spent in hospital </w:t>
      </w:r>
      <w:r w:rsidR="00A76F40">
        <w:t>as well as</w:t>
      </w:r>
      <w:r w:rsidRPr="003C2300">
        <w:t xml:space="preserve"> creating a hesitancy for spontaneity, moving further from the hospital or progression with their own careers. </w:t>
      </w:r>
    </w:p>
    <w:p w14:paraId="5F75F93C" w14:textId="71B2834E" w:rsidR="00AA6003" w:rsidRDefault="00AA6003" w:rsidP="00284867">
      <w:pPr>
        <w:spacing w:after="160" w:line="360" w:lineRule="auto"/>
      </w:pPr>
      <w:r w:rsidRPr="003C2300">
        <w:t xml:space="preserve">Parents talked about how their own health beliefs of antibiotic use sometimes conflicted with a decision to start long term antibiotics. Many said they themselves had rarely required antibiotics and just got over illnesses whilst others had more alternative medical preferences. </w:t>
      </w:r>
    </w:p>
    <w:p w14:paraId="68531F50" w14:textId="77777777" w:rsidR="00A76F40" w:rsidRPr="00A76F40" w:rsidRDefault="00A76F40" w:rsidP="00A76F40">
      <w:pPr>
        <w:shd w:val="clear" w:color="auto" w:fill="D9D9D9"/>
        <w:spacing w:line="360" w:lineRule="auto"/>
        <w:rPr>
          <w:rFonts w:ascii="Calibri" w:eastAsia="Calibri" w:hAnsi="Calibri" w:cs="Arial"/>
          <w:b/>
          <w:i/>
        </w:rPr>
      </w:pPr>
      <w:r w:rsidRPr="00A76F40">
        <w:rPr>
          <w:rFonts w:ascii="Calibri" w:eastAsia="Calibri" w:hAnsi="Calibri" w:cs="Arial"/>
          <w:i/>
        </w:rPr>
        <w:t xml:space="preserve">“We won’t’ go on holiday because we are fearful that it is going to be another hospital admission and we don’t want to be in a strange place in a strange hospital. </w:t>
      </w:r>
      <w:r w:rsidRPr="00A76F40">
        <w:rPr>
          <w:rFonts w:ascii="Calibri" w:eastAsia="Calibri" w:hAnsi="Calibri" w:cs="Arial"/>
          <w:b/>
          <w:bCs/>
          <w:i/>
        </w:rPr>
        <w:t>(Parent 8)</w:t>
      </w:r>
    </w:p>
    <w:p w14:paraId="57E51F5F" w14:textId="77777777" w:rsidR="00A76F40" w:rsidRPr="00A76F40" w:rsidRDefault="00A76F40" w:rsidP="00A76F40">
      <w:pPr>
        <w:rPr>
          <w:rFonts w:ascii="Calibri" w:eastAsia="Calibri" w:hAnsi="Calibri" w:cs="Arial"/>
          <w:i/>
        </w:rPr>
      </w:pPr>
    </w:p>
    <w:p w14:paraId="57CFF8F1" w14:textId="600C8613" w:rsidR="00856A84" w:rsidRPr="00A76F40" w:rsidRDefault="00A76F40" w:rsidP="00F23DB1">
      <w:pPr>
        <w:shd w:val="clear" w:color="auto" w:fill="D9D9D9"/>
        <w:spacing w:line="360" w:lineRule="auto"/>
        <w:rPr>
          <w:rFonts w:ascii="Calibri" w:eastAsia="Calibri" w:hAnsi="Calibri" w:cs="Arial"/>
          <w:b/>
          <w:i/>
        </w:rPr>
      </w:pPr>
      <w:r w:rsidRPr="00A76F40">
        <w:rPr>
          <w:rFonts w:ascii="Calibri" w:eastAsia="Calibri" w:hAnsi="Calibri" w:cs="Arial"/>
          <w:i/>
        </w:rPr>
        <w:t>“</w:t>
      </w:r>
      <w:r w:rsidR="005253CB" w:rsidRPr="005253CB">
        <w:rPr>
          <w:rFonts w:ascii="Calibri" w:eastAsia="Calibri" w:hAnsi="Calibri" w:cs="Arial"/>
          <w:i/>
        </w:rPr>
        <w:t>I was brought up with homeopathy and it always worked</w:t>
      </w:r>
      <w:r w:rsidR="005253CB">
        <w:rPr>
          <w:rFonts w:ascii="Calibri" w:eastAsia="Calibri" w:hAnsi="Calibri" w:cs="Arial"/>
          <w:i/>
        </w:rPr>
        <w:t xml:space="preserve">… </w:t>
      </w:r>
      <w:r w:rsidRPr="00A76F40">
        <w:rPr>
          <w:rFonts w:ascii="Calibri" w:eastAsia="Calibri" w:hAnsi="Calibri" w:cs="Arial"/>
          <w:i/>
        </w:rPr>
        <w:t>I hate antibiotics because I was brought up to hate them. But they have worked so I was grateful, but very uncomfortable with him having to be on them</w:t>
      </w:r>
      <w:r w:rsidRPr="00A76F40">
        <w:rPr>
          <w:rFonts w:ascii="Calibri" w:eastAsia="Calibri" w:hAnsi="Calibri" w:cs="Arial"/>
          <w:b/>
          <w:i/>
        </w:rPr>
        <w:t>.” (Parent 4)</w:t>
      </w:r>
    </w:p>
    <w:p w14:paraId="68643BB3" w14:textId="77777777" w:rsidR="00A76F40" w:rsidRPr="003C2300" w:rsidRDefault="00A76F40">
      <w:pPr>
        <w:spacing w:line="360" w:lineRule="auto"/>
      </w:pPr>
    </w:p>
    <w:p w14:paraId="4BE76D9B" w14:textId="42608A1D" w:rsidR="00AA6003" w:rsidRDefault="00AA6003" w:rsidP="00284867">
      <w:pPr>
        <w:spacing w:after="160" w:line="360" w:lineRule="auto"/>
      </w:pPr>
      <w:r w:rsidRPr="003C2300">
        <w:lastRenderedPageBreak/>
        <w:t>Parents’ understanding of science was another contributing factor to their decision making. They reported their children as high antibiotic users and had a skewed sense of normality with short courses of antibiotics lasting two to four weeks. The majority considered antibiotic resistance when deciding on antibiotic prophylaxis for their child. The problem of resistance was not seen as an imm</w:t>
      </w:r>
      <w:r w:rsidR="00C803FA">
        <w:t>ediate</w:t>
      </w:r>
      <w:r w:rsidRPr="003C2300">
        <w:t xml:space="preserve"> threat for their child rather as a problem for when they were years older.</w:t>
      </w:r>
    </w:p>
    <w:p w14:paraId="355B26A2" w14:textId="77777777" w:rsidR="00630BDE" w:rsidRPr="00630BDE" w:rsidRDefault="00630BDE" w:rsidP="00630BDE">
      <w:pPr>
        <w:shd w:val="clear" w:color="auto" w:fill="D9D9D9"/>
        <w:spacing w:line="360" w:lineRule="auto"/>
        <w:rPr>
          <w:rFonts w:ascii="Calibri" w:eastAsia="Calibri" w:hAnsi="Calibri" w:cs="Arial"/>
          <w:b/>
          <w:i/>
        </w:rPr>
      </w:pPr>
      <w:r w:rsidRPr="00630BDE">
        <w:rPr>
          <w:rFonts w:ascii="Calibri" w:eastAsia="Calibri" w:hAnsi="Calibri" w:cs="Arial"/>
          <w:i/>
        </w:rPr>
        <w:t xml:space="preserve">“You just don’t' want him to get something really bad when he is older and nothing works.” </w:t>
      </w:r>
      <w:r w:rsidRPr="00630BDE">
        <w:rPr>
          <w:rFonts w:ascii="Calibri" w:eastAsia="Calibri" w:hAnsi="Calibri" w:cs="Arial"/>
          <w:b/>
          <w:bCs/>
          <w:i/>
        </w:rPr>
        <w:t>(Parent 7)</w:t>
      </w:r>
    </w:p>
    <w:p w14:paraId="04E5EEFF" w14:textId="77777777" w:rsidR="00630BDE" w:rsidRPr="00630BDE" w:rsidRDefault="00630BDE" w:rsidP="00F23DB1">
      <w:pPr>
        <w:rPr>
          <w:rFonts w:ascii="Calibri" w:eastAsia="Calibri" w:hAnsi="Calibri" w:cs="Arial"/>
          <w:i/>
        </w:rPr>
      </w:pPr>
    </w:p>
    <w:p w14:paraId="08D4CD3B" w14:textId="4859B650" w:rsidR="00856A84" w:rsidRPr="00630BDE" w:rsidRDefault="00630BDE" w:rsidP="00630BDE">
      <w:pPr>
        <w:shd w:val="clear" w:color="auto" w:fill="D9D9D9"/>
        <w:spacing w:line="360" w:lineRule="auto"/>
        <w:rPr>
          <w:rFonts w:ascii="Calibri" w:eastAsia="Calibri" w:hAnsi="Calibri" w:cs="Arial"/>
          <w:b/>
        </w:rPr>
      </w:pPr>
      <w:r w:rsidRPr="00630BDE">
        <w:rPr>
          <w:rFonts w:ascii="Calibri" w:eastAsia="Calibri" w:hAnsi="Calibri" w:cs="Arial"/>
          <w:i/>
        </w:rPr>
        <w:t>“I mean I were brought up with you got antibiotics for pretty much anything. But I know nowadays they don't like it cos as you get older, not so much now, when you are older and you really do need them and you are quite vulnerable. If you have them too often you are eventually immune to it. They don't work anymore</w:t>
      </w:r>
      <w:r w:rsidRPr="00630BDE">
        <w:rPr>
          <w:rFonts w:ascii="Calibri" w:eastAsia="Calibri" w:hAnsi="Calibri" w:cs="Arial"/>
        </w:rPr>
        <w:t xml:space="preserve">.” </w:t>
      </w:r>
      <w:r w:rsidRPr="00630BDE">
        <w:rPr>
          <w:rFonts w:ascii="Calibri" w:eastAsia="Calibri" w:hAnsi="Calibri" w:cs="Arial"/>
          <w:b/>
          <w:bCs/>
        </w:rPr>
        <w:t>(Parent 12)</w:t>
      </w:r>
    </w:p>
    <w:p w14:paraId="1D3097D7" w14:textId="77777777" w:rsidR="00630BDE" w:rsidRPr="003C2300" w:rsidRDefault="00630BDE" w:rsidP="00F23DB1">
      <w:pPr>
        <w:spacing w:line="360" w:lineRule="auto"/>
      </w:pPr>
    </w:p>
    <w:p w14:paraId="0864A1FD" w14:textId="4CA5C55E" w:rsidR="00AA6003" w:rsidRDefault="00AA6003" w:rsidP="00284867">
      <w:pPr>
        <w:spacing w:after="160" w:line="360" w:lineRule="auto"/>
      </w:pPr>
      <w:r w:rsidRPr="003C2300">
        <w:t>All parents reported having seen or heard media campaigns challenging the use of inappropriate antibiotics and increasing awareness of the problem of antibiotic resistance. Many were influenced by these messages and said they took them into consideration when thinking about antibiotic prophylaxis.  Some parents however reported feeling in a state of conflict when reading these public health messages. They felt that in their child’s circumstance, antibiotics were actually necessary</w:t>
      </w:r>
      <w:r w:rsidR="00A12314">
        <w:t>.</w:t>
      </w:r>
    </w:p>
    <w:p w14:paraId="7E730290" w14:textId="77777777" w:rsidR="00630BDE" w:rsidRPr="00630BDE" w:rsidRDefault="00630BDE" w:rsidP="00630BDE">
      <w:pPr>
        <w:shd w:val="clear" w:color="auto" w:fill="D9D9D9"/>
        <w:spacing w:line="360" w:lineRule="auto"/>
        <w:rPr>
          <w:rFonts w:ascii="Calibri" w:eastAsia="Calibri" w:hAnsi="Calibri" w:cs="Arial"/>
          <w:i/>
        </w:rPr>
      </w:pPr>
      <w:r w:rsidRPr="00630BDE">
        <w:rPr>
          <w:rFonts w:ascii="Calibri" w:eastAsia="Calibri" w:hAnsi="Calibri" w:cs="Arial"/>
          <w:i/>
          <w:shd w:val="clear" w:color="auto" w:fill="D9D9D9"/>
        </w:rPr>
        <w:t xml:space="preserve">“It’s just a bit of scaremongering. It goes whichever way it wants to go, media in my opinion. I go with what the professionals say… They (the media) play it down a bit like antibiotics won't cure your cold and stuff. But for us it’s not a case of use. We're not abusing antibiotics. It’s quite clearly she’s dependent upon them at the moment so… We have to go with the specialists.” </w:t>
      </w:r>
      <w:r w:rsidRPr="00630BDE">
        <w:rPr>
          <w:rFonts w:ascii="Calibri" w:eastAsia="Calibri" w:hAnsi="Calibri" w:cs="Arial"/>
          <w:b/>
          <w:i/>
          <w:shd w:val="clear" w:color="auto" w:fill="D9D9D9"/>
        </w:rPr>
        <w:t>(Parent</w:t>
      </w:r>
      <w:r w:rsidRPr="00630BDE">
        <w:rPr>
          <w:rFonts w:ascii="Calibri" w:eastAsia="Calibri" w:hAnsi="Calibri" w:cs="Arial"/>
          <w:b/>
          <w:i/>
        </w:rPr>
        <w:t xml:space="preserve"> 2)</w:t>
      </w:r>
    </w:p>
    <w:p w14:paraId="0E917CF2" w14:textId="77777777" w:rsidR="00630BDE" w:rsidRPr="003C2300" w:rsidRDefault="00630BDE" w:rsidP="00AA6003">
      <w:pPr>
        <w:spacing w:line="360" w:lineRule="auto"/>
      </w:pPr>
    </w:p>
    <w:p w14:paraId="1A2289F8" w14:textId="112CB0E3" w:rsidR="00D17E6A" w:rsidRPr="00241369" w:rsidRDefault="00AA6003" w:rsidP="00AA6003">
      <w:pPr>
        <w:spacing w:line="360" w:lineRule="auto"/>
      </w:pPr>
      <w:r w:rsidRPr="003C2300">
        <w:t xml:space="preserve">The final </w:t>
      </w:r>
      <w:r w:rsidR="00FC59D5">
        <w:t xml:space="preserve">influencing </w:t>
      </w:r>
      <w:r w:rsidRPr="003C2300">
        <w:t>factor was that of side effects related to azithromycin. The majority of parents were unable to recall knowing about side effects other than resistance in relation to antibiotic use. Some reported they wanted to avoid knowing about potential side effects stating it would make them worry more. The majority felt more knowledge would enable them to observe for potential complications and reduce their worries</w:t>
      </w:r>
      <w:r w:rsidR="00C803FA">
        <w:t>.</w:t>
      </w:r>
    </w:p>
    <w:p w14:paraId="7F13EBFF" w14:textId="77777777" w:rsidR="00AA6003" w:rsidRPr="003C2300" w:rsidRDefault="00AA6003" w:rsidP="00D17E6A">
      <w:pPr>
        <w:spacing w:line="360" w:lineRule="auto"/>
      </w:pPr>
      <w:r w:rsidRPr="003C2300">
        <w:rPr>
          <w:b/>
          <w:i/>
        </w:rPr>
        <w:lastRenderedPageBreak/>
        <w:t>Balancing risk:</w:t>
      </w:r>
      <w:r w:rsidRPr="003C2300">
        <w:t xml:space="preserve"> </w:t>
      </w:r>
    </w:p>
    <w:p w14:paraId="3A519F21" w14:textId="704DBB27" w:rsidR="00AA6003" w:rsidRPr="003C2300" w:rsidRDefault="00FB1269" w:rsidP="00D17E6A">
      <w:pPr>
        <w:spacing w:line="360" w:lineRule="auto"/>
      </w:pPr>
      <w:r>
        <w:t>Most</w:t>
      </w:r>
      <w:r w:rsidR="00AA6003" w:rsidRPr="003C2300">
        <w:t xml:space="preserve"> parents reported that they felt all other treatment options had been exhausted and only the option of antibiotic prophylaxis was left. They voiced concerns that their children were always unwell and this was distressing for the whole family. Pressures relating to poor school attendance and competing demands from siblings and employers, due to multiple hospital admissions, contributed to their decision</w:t>
      </w:r>
      <w:r w:rsidR="00B31732">
        <w:t>-</w:t>
      </w:r>
      <w:r w:rsidR="00AA6003" w:rsidRPr="003C2300">
        <w:t xml:space="preserve">making process. </w:t>
      </w:r>
    </w:p>
    <w:p w14:paraId="68529AD0" w14:textId="74C7BF20" w:rsidR="00AA6003" w:rsidRPr="003C2300" w:rsidRDefault="00AA6003" w:rsidP="00284867">
      <w:pPr>
        <w:spacing w:after="160" w:line="360" w:lineRule="auto"/>
      </w:pPr>
      <w:r w:rsidRPr="003C2300">
        <w:t xml:space="preserve">The parents’ perceived severity of their child’s condition did not always match that of the doctor at both ends of the spectrum. Some parents did not see prophylaxis as necessary despite their child having significant bronchiectasis (where evidence exists for prophylaxis) whereas parents of children without bronchiectasis, but recurrent episodes of wet cough, occasionally </w:t>
      </w:r>
      <w:r w:rsidR="00B31732">
        <w:t xml:space="preserve">requested or </w:t>
      </w:r>
      <w:r w:rsidRPr="003C2300">
        <w:t xml:space="preserve">demanded prophylaxis. This was sometimes reported to create a source of tension between parents and health care professionals. </w:t>
      </w:r>
    </w:p>
    <w:p w14:paraId="440A17FF" w14:textId="42ADD059" w:rsidR="00AA6003" w:rsidRDefault="00AA6003" w:rsidP="00284867">
      <w:pPr>
        <w:spacing w:after="160" w:line="360" w:lineRule="auto"/>
      </w:pPr>
      <w:r w:rsidRPr="003C2300">
        <w:t>The majority of parents’ said their main concern was the antibiotics no longer working in the future and uncertainty about treatment options at that point. Parents did not report concerns about other potential side effects influencing their decisions. The desire for their child to be well and have a better quality of life at that moment in time was overwhelmingly the most significant factor when deciding whether to trial prophylactic antibiotics.</w:t>
      </w:r>
      <w:r w:rsidR="00926B54">
        <w:t xml:space="preserve"> Concerns about reducing the risk of long term lung damage was mentioned by one parent.</w:t>
      </w:r>
    </w:p>
    <w:p w14:paraId="6FCDA658" w14:textId="77777777" w:rsidR="00630BDE" w:rsidRPr="00630BDE" w:rsidRDefault="00630BDE" w:rsidP="00630BDE">
      <w:pPr>
        <w:shd w:val="clear" w:color="auto" w:fill="D9D9D9"/>
        <w:spacing w:line="360" w:lineRule="auto"/>
        <w:rPr>
          <w:rFonts w:ascii="Calibri" w:eastAsia="Calibri" w:hAnsi="Calibri" w:cs="Arial"/>
          <w:i/>
        </w:rPr>
      </w:pPr>
      <w:r w:rsidRPr="00630BDE">
        <w:rPr>
          <w:rFonts w:ascii="Calibri" w:eastAsia="Calibri" w:hAnsi="Calibri" w:cs="Arial"/>
          <w:i/>
        </w:rPr>
        <w:t xml:space="preserve">“I was a bit worried about how long is it going to be before they (prophylactic antibiotics) stop working. Because I know your body builds up a resistance towards them. But apart from that no… I just thought about him being well now. I mean in years to come there might be more antibiotics available or there might be something else out there. But here and now I just wanted him to be as well as he can be. Like he were only at school 50% of the time. So he were behind on school work and stuff like that. So I thought that it were the right thing to do to start him on the antibiotics now. Especially after last year. It were horrific how poorly he were.” </w:t>
      </w:r>
      <w:r w:rsidRPr="00630BDE">
        <w:rPr>
          <w:rFonts w:ascii="Calibri" w:eastAsia="Calibri" w:hAnsi="Calibri" w:cs="Arial"/>
          <w:b/>
          <w:i/>
        </w:rPr>
        <w:t>(Parent 13)</w:t>
      </w:r>
    </w:p>
    <w:p w14:paraId="524763D5" w14:textId="77777777" w:rsidR="00F23467" w:rsidRPr="003C2300" w:rsidRDefault="00F23467" w:rsidP="006B135A">
      <w:pPr>
        <w:spacing w:line="360" w:lineRule="auto"/>
      </w:pPr>
    </w:p>
    <w:p w14:paraId="4C38D0D1" w14:textId="13E5540E" w:rsidR="00AA6003" w:rsidRPr="006B135A" w:rsidRDefault="00AA6003" w:rsidP="006B135A">
      <w:pPr>
        <w:pStyle w:val="Heading4"/>
        <w:spacing w:before="0" w:line="360" w:lineRule="auto"/>
        <w:rPr>
          <w:i w:val="0"/>
          <w:iCs w:val="0"/>
          <w:sz w:val="24"/>
          <w:szCs w:val="24"/>
        </w:rPr>
      </w:pPr>
      <w:r w:rsidRPr="006A07AF">
        <w:rPr>
          <w:i w:val="0"/>
          <w:iCs w:val="0"/>
          <w:sz w:val="24"/>
          <w:szCs w:val="24"/>
        </w:rPr>
        <w:t>Theme 2: The context of prophylaxis within the family and their environment</w:t>
      </w:r>
    </w:p>
    <w:p w14:paraId="3AAFB04D" w14:textId="2993B1ED" w:rsidR="00AA6003" w:rsidRPr="003C2300" w:rsidRDefault="00AA6003" w:rsidP="006B135A">
      <w:pPr>
        <w:pStyle w:val="ListParagraph"/>
        <w:spacing w:after="0" w:line="360" w:lineRule="auto"/>
        <w:ind w:left="0"/>
        <w:rPr>
          <w:sz w:val="24"/>
          <w:szCs w:val="24"/>
        </w:rPr>
      </w:pPr>
      <w:r w:rsidRPr="003C2300">
        <w:rPr>
          <w:sz w:val="24"/>
          <w:szCs w:val="24"/>
        </w:rPr>
        <w:t xml:space="preserve">Parents described </w:t>
      </w:r>
      <w:r w:rsidR="00FB1269">
        <w:rPr>
          <w:sz w:val="24"/>
          <w:szCs w:val="24"/>
        </w:rPr>
        <w:t>various</w:t>
      </w:r>
      <w:r w:rsidRPr="003C2300">
        <w:rPr>
          <w:sz w:val="24"/>
          <w:szCs w:val="24"/>
        </w:rPr>
        <w:t xml:space="preserve"> ways in which they normalise</w:t>
      </w:r>
      <w:r w:rsidR="00FB1269">
        <w:rPr>
          <w:sz w:val="24"/>
          <w:szCs w:val="24"/>
        </w:rPr>
        <w:t>d</w:t>
      </w:r>
      <w:r w:rsidRPr="003C2300">
        <w:rPr>
          <w:sz w:val="24"/>
          <w:szCs w:val="24"/>
        </w:rPr>
        <w:t xml:space="preserve"> their lives incorporating their child’s antibiotic prophylaxis. They reported fears of forgetting to administer antibiotics and anxiety about attending crowded places and exposure to possible infective sources resulting in </w:t>
      </w:r>
      <w:r w:rsidRPr="003C2300">
        <w:rPr>
          <w:sz w:val="24"/>
          <w:szCs w:val="24"/>
        </w:rPr>
        <w:lastRenderedPageBreak/>
        <w:t>isolation. Others said they didn’t want their children to feel as though they were different. Combined with the opinion of most parents</w:t>
      </w:r>
      <w:r w:rsidR="00F60BE9">
        <w:rPr>
          <w:sz w:val="24"/>
          <w:szCs w:val="24"/>
        </w:rPr>
        <w:t>,</w:t>
      </w:r>
      <w:r w:rsidRPr="003C2300">
        <w:rPr>
          <w:sz w:val="24"/>
          <w:szCs w:val="24"/>
        </w:rPr>
        <w:t xml:space="preserve"> </w:t>
      </w:r>
      <w:r w:rsidR="00F60BE9">
        <w:rPr>
          <w:sz w:val="24"/>
          <w:szCs w:val="24"/>
        </w:rPr>
        <w:t xml:space="preserve">who </w:t>
      </w:r>
      <w:r w:rsidRPr="003C2300">
        <w:rPr>
          <w:sz w:val="24"/>
          <w:szCs w:val="24"/>
        </w:rPr>
        <w:t xml:space="preserve">thought prophylaxis was important and beneficial in reducing illnesses, these factors drove parents to strive for normality. </w:t>
      </w:r>
    </w:p>
    <w:p w14:paraId="010B53AA" w14:textId="77777777" w:rsidR="00AA6003" w:rsidRPr="003C2300" w:rsidRDefault="00AA6003" w:rsidP="00AA6003">
      <w:pPr>
        <w:pStyle w:val="ListParagraph"/>
        <w:spacing w:line="360" w:lineRule="auto"/>
        <w:ind w:left="0"/>
        <w:rPr>
          <w:sz w:val="24"/>
          <w:szCs w:val="24"/>
        </w:rPr>
      </w:pPr>
    </w:p>
    <w:p w14:paraId="2A95647F" w14:textId="77777777" w:rsidR="00AA6003" w:rsidRPr="003C2300" w:rsidRDefault="00AA6003" w:rsidP="00AA6003">
      <w:pPr>
        <w:pStyle w:val="ListParagraph"/>
        <w:spacing w:line="360" w:lineRule="auto"/>
        <w:ind w:left="0"/>
        <w:rPr>
          <w:sz w:val="24"/>
          <w:szCs w:val="24"/>
        </w:rPr>
      </w:pPr>
      <w:r w:rsidRPr="003C2300">
        <w:rPr>
          <w:b/>
          <w:i/>
          <w:sz w:val="24"/>
          <w:szCs w:val="24"/>
        </w:rPr>
        <w:t>Establishing a routine:</w:t>
      </w:r>
      <w:r w:rsidRPr="003C2300">
        <w:rPr>
          <w:sz w:val="24"/>
          <w:szCs w:val="24"/>
        </w:rPr>
        <w:t xml:space="preserve"> </w:t>
      </w:r>
    </w:p>
    <w:p w14:paraId="403D1768" w14:textId="6EA2E4C4" w:rsidR="00AA6003" w:rsidRDefault="00AA6003" w:rsidP="00AA6003">
      <w:pPr>
        <w:pStyle w:val="ListParagraph"/>
        <w:spacing w:line="360" w:lineRule="auto"/>
        <w:ind w:left="0"/>
        <w:rPr>
          <w:sz w:val="24"/>
          <w:szCs w:val="24"/>
        </w:rPr>
      </w:pPr>
      <w:r w:rsidRPr="003C2300">
        <w:rPr>
          <w:sz w:val="24"/>
          <w:szCs w:val="24"/>
        </w:rPr>
        <w:t>Establishing a routine was the main way of creating a sense of normality. This practice allayed negative emotions about forgetting medication and inadvertently putting their child’s health at risk. Visual cues with the use of diaries, position of antibiotic bottles and star charts were reported to be helpful by most with some parents incorporating an educational element into colour matching and timetable reading. Electronic devices were used as alarms but also audio cues from virtual assistants to remind family members at home when the main care</w:t>
      </w:r>
      <w:r w:rsidR="00401B54">
        <w:rPr>
          <w:sz w:val="24"/>
          <w:szCs w:val="24"/>
        </w:rPr>
        <w:t>-</w:t>
      </w:r>
      <w:r w:rsidRPr="003C2300">
        <w:rPr>
          <w:sz w:val="24"/>
          <w:szCs w:val="24"/>
        </w:rPr>
        <w:t xml:space="preserve">giver was not present. A number of barriers were cited that had to be overcome including remembering during school holidays when the established routine was interrupted, busy morning routines, ensuring timely collection of prescriptions and avoiding confusion between different care-givers as to whether medication had been given. </w:t>
      </w:r>
    </w:p>
    <w:p w14:paraId="000541EA" w14:textId="77777777" w:rsidR="00630BDE" w:rsidRPr="00630BDE" w:rsidRDefault="00630BDE" w:rsidP="00630BDE">
      <w:pPr>
        <w:shd w:val="clear" w:color="auto" w:fill="D9D9D9"/>
        <w:spacing w:line="360" w:lineRule="auto"/>
        <w:contextualSpacing/>
        <w:rPr>
          <w:rFonts w:ascii="Calibri" w:eastAsia="Calibri" w:hAnsi="Calibri" w:cs="Arial"/>
          <w:i/>
        </w:rPr>
      </w:pPr>
      <w:r w:rsidRPr="00630BDE">
        <w:rPr>
          <w:rFonts w:ascii="Calibri" w:eastAsia="Calibri" w:hAnsi="Calibri" w:cs="Arial"/>
          <w:i/>
        </w:rPr>
        <w:t xml:space="preserve">“I was given this bag of medicines and it was you need to give it to him Monday Wednesday Friday and it freaked me out to be honest... I were terrified of forgetting. What if I forget just one day? He’s going to get ill. If I don’t give it to him on time, what if I give them to him late, will that make any difference to him? Could he get an infection because I've given him his antibiotics in the afternoon and not the morning?” </w:t>
      </w:r>
      <w:r w:rsidRPr="00630BDE">
        <w:rPr>
          <w:rFonts w:ascii="Calibri" w:eastAsia="Calibri" w:hAnsi="Calibri" w:cs="Arial"/>
          <w:b/>
          <w:i/>
        </w:rPr>
        <w:t>(Parent 5)</w:t>
      </w:r>
    </w:p>
    <w:p w14:paraId="0FA3DC67" w14:textId="77777777" w:rsidR="00630BDE" w:rsidRPr="003C2300" w:rsidRDefault="00630BDE" w:rsidP="00AA6003">
      <w:pPr>
        <w:pStyle w:val="ListParagraph"/>
        <w:spacing w:line="360" w:lineRule="auto"/>
        <w:ind w:left="0"/>
        <w:rPr>
          <w:sz w:val="24"/>
          <w:szCs w:val="24"/>
        </w:rPr>
      </w:pPr>
    </w:p>
    <w:p w14:paraId="5FC3F8E2" w14:textId="77777777" w:rsidR="00AA6003" w:rsidRPr="003C2300" w:rsidRDefault="00AA6003" w:rsidP="00AA6003">
      <w:pPr>
        <w:pStyle w:val="ListParagraph"/>
        <w:spacing w:line="360" w:lineRule="auto"/>
        <w:ind w:left="0"/>
        <w:rPr>
          <w:b/>
          <w:sz w:val="24"/>
          <w:szCs w:val="24"/>
        </w:rPr>
      </w:pPr>
      <w:r w:rsidRPr="003C2300">
        <w:rPr>
          <w:b/>
          <w:i/>
          <w:sz w:val="24"/>
          <w:szCs w:val="24"/>
        </w:rPr>
        <w:t>Practicalities of medication, prescriptions and adherence:</w:t>
      </w:r>
      <w:r w:rsidRPr="003C2300">
        <w:rPr>
          <w:b/>
          <w:sz w:val="24"/>
          <w:szCs w:val="24"/>
        </w:rPr>
        <w:t xml:space="preserve"> </w:t>
      </w:r>
    </w:p>
    <w:p w14:paraId="7C2FD509" w14:textId="3FB04FB6" w:rsidR="00AA6003" w:rsidRDefault="00AA6003" w:rsidP="0098157F">
      <w:pPr>
        <w:pStyle w:val="ListParagraph"/>
        <w:spacing w:line="360" w:lineRule="auto"/>
        <w:ind w:left="0"/>
        <w:rPr>
          <w:sz w:val="24"/>
          <w:szCs w:val="24"/>
        </w:rPr>
      </w:pPr>
      <w:r w:rsidRPr="003C2300">
        <w:rPr>
          <w:sz w:val="24"/>
          <w:szCs w:val="24"/>
        </w:rPr>
        <w:t>The vast majority of parents managed to administer the antibiotics without causing their child much distress. Ways in which they had established this routine of medica</w:t>
      </w:r>
      <w:r w:rsidR="00B31732">
        <w:rPr>
          <w:sz w:val="24"/>
          <w:szCs w:val="24"/>
        </w:rPr>
        <w:t>ting</w:t>
      </w:r>
      <w:r w:rsidRPr="003C2300">
        <w:rPr>
          <w:sz w:val="24"/>
          <w:szCs w:val="24"/>
        </w:rPr>
        <w:t xml:space="preserve"> were through non-negotiable administration, bribes, changing antibiotic brand to one with an acceptable taste and with time,</w:t>
      </w:r>
      <w:r w:rsidR="00B31732">
        <w:rPr>
          <w:sz w:val="24"/>
          <w:szCs w:val="24"/>
        </w:rPr>
        <w:t xml:space="preserve"> and in almost all cases any</w:t>
      </w:r>
      <w:r w:rsidRPr="003C2300">
        <w:rPr>
          <w:sz w:val="24"/>
          <w:szCs w:val="24"/>
        </w:rPr>
        <w:t xml:space="preserve"> initial </w:t>
      </w:r>
      <w:r w:rsidR="00401B54" w:rsidRPr="003C2300">
        <w:rPr>
          <w:sz w:val="24"/>
          <w:szCs w:val="24"/>
        </w:rPr>
        <w:t>behavioural</w:t>
      </w:r>
      <w:r w:rsidRPr="003C2300">
        <w:rPr>
          <w:sz w:val="24"/>
          <w:szCs w:val="24"/>
        </w:rPr>
        <w:t xml:space="preserve"> issues resolved. A few parents admitted it was easy to forget to give the antibiotics due to the interrupt</w:t>
      </w:r>
      <w:r w:rsidR="006F6268">
        <w:rPr>
          <w:sz w:val="24"/>
          <w:szCs w:val="24"/>
        </w:rPr>
        <w:t>ed regimen of Monday, Wednesday and</w:t>
      </w:r>
      <w:r w:rsidRPr="003C2300">
        <w:rPr>
          <w:sz w:val="24"/>
          <w:szCs w:val="24"/>
        </w:rPr>
        <w:t xml:space="preserve"> Friday.  </w:t>
      </w:r>
      <w:r w:rsidR="0084144C">
        <w:rPr>
          <w:sz w:val="24"/>
          <w:szCs w:val="24"/>
        </w:rPr>
        <w:t xml:space="preserve">Adherence was reported to be extremely good in those who perceived the prophylaxis to be vital. If acute exacerbations became less frequent, complacency </w:t>
      </w:r>
      <w:r w:rsidR="00B31732">
        <w:rPr>
          <w:sz w:val="24"/>
          <w:szCs w:val="24"/>
        </w:rPr>
        <w:lastRenderedPageBreak/>
        <w:t xml:space="preserve">sometimes </w:t>
      </w:r>
      <w:r w:rsidR="0084144C">
        <w:rPr>
          <w:sz w:val="24"/>
          <w:szCs w:val="24"/>
        </w:rPr>
        <w:t xml:space="preserve">ensued. </w:t>
      </w:r>
      <w:r w:rsidRPr="003C2300">
        <w:rPr>
          <w:sz w:val="24"/>
          <w:szCs w:val="24"/>
        </w:rPr>
        <w:t xml:space="preserve">Hearing their child cough or wheeze and noticing lots of bottles of antibiotics in the cupboard prompted them to administer the prophylaxis more regularly. Most </w:t>
      </w:r>
      <w:r w:rsidR="001E34AA">
        <w:rPr>
          <w:sz w:val="24"/>
          <w:szCs w:val="24"/>
        </w:rPr>
        <w:t xml:space="preserve">parents </w:t>
      </w:r>
      <w:r w:rsidRPr="003C2300">
        <w:rPr>
          <w:sz w:val="24"/>
          <w:szCs w:val="24"/>
        </w:rPr>
        <w:t>however reported only missing a few doses</w:t>
      </w:r>
      <w:r w:rsidR="00C803FA">
        <w:rPr>
          <w:sz w:val="24"/>
          <w:szCs w:val="24"/>
        </w:rPr>
        <w:t>.</w:t>
      </w:r>
    </w:p>
    <w:p w14:paraId="4BD95708" w14:textId="57F74546" w:rsidR="00AA6003" w:rsidRDefault="00AA6003" w:rsidP="00AA6003">
      <w:pPr>
        <w:pStyle w:val="ListParagraph"/>
        <w:spacing w:line="360" w:lineRule="auto"/>
        <w:ind w:left="0"/>
        <w:rPr>
          <w:sz w:val="24"/>
          <w:szCs w:val="24"/>
        </w:rPr>
      </w:pPr>
      <w:r w:rsidRPr="003C2300">
        <w:rPr>
          <w:sz w:val="24"/>
          <w:szCs w:val="24"/>
        </w:rPr>
        <w:t>Azithromycin suspension is not stable beyond 7-10 days. For this reason, parents are asked to reconstitute the powdered antibiotic themselves at home. This negates the need to attend the pharmacy weekly for further bottles of suspension. Many parents were not expecting to reconstitute the antibiotics themselves at home and did not feel prepared for this. Some felt a demonstration would be better than written information to aid thi</w:t>
      </w:r>
      <w:r w:rsidR="006F6268">
        <w:rPr>
          <w:sz w:val="24"/>
          <w:szCs w:val="24"/>
        </w:rPr>
        <w:t>s process</w:t>
      </w:r>
      <w:r w:rsidR="00F30EFA">
        <w:rPr>
          <w:sz w:val="24"/>
          <w:szCs w:val="24"/>
        </w:rPr>
        <w:t>. This would</w:t>
      </w:r>
      <w:r w:rsidR="006F6268">
        <w:rPr>
          <w:sz w:val="24"/>
          <w:szCs w:val="24"/>
        </w:rPr>
        <w:t xml:space="preserve"> avoid poor mixing </w:t>
      </w:r>
      <w:r w:rsidRPr="003C2300">
        <w:rPr>
          <w:sz w:val="24"/>
          <w:szCs w:val="24"/>
        </w:rPr>
        <w:t>result</w:t>
      </w:r>
      <w:r w:rsidR="00F30EFA">
        <w:rPr>
          <w:sz w:val="24"/>
          <w:szCs w:val="24"/>
        </w:rPr>
        <w:t>ing</w:t>
      </w:r>
      <w:r w:rsidRPr="003C2300">
        <w:rPr>
          <w:sz w:val="24"/>
          <w:szCs w:val="24"/>
        </w:rPr>
        <w:t xml:space="preserve"> in unreliable dosing. Many parents had experienced difficulties with obtaining prescriptions in a timely fashion. They could not give the antibiotics if they were not available. During 2 interviews, guardians said that prescription difficulties influenced their decision to ask if the prophylaxis could be stopped. Many were concerned about the amount of antibiotic wasted as the bottles were never finished</w:t>
      </w:r>
      <w:r w:rsidR="00A12314">
        <w:rPr>
          <w:sz w:val="24"/>
          <w:szCs w:val="24"/>
        </w:rPr>
        <w:t>.</w:t>
      </w:r>
      <w:r w:rsidRPr="003C2300">
        <w:rPr>
          <w:sz w:val="24"/>
          <w:szCs w:val="24"/>
        </w:rPr>
        <w:t xml:space="preserve"> </w:t>
      </w:r>
      <w:r w:rsidR="00A12314">
        <w:rPr>
          <w:sz w:val="24"/>
          <w:szCs w:val="24"/>
        </w:rPr>
        <w:t>They</w:t>
      </w:r>
      <w:r w:rsidRPr="003C2300">
        <w:rPr>
          <w:sz w:val="24"/>
          <w:szCs w:val="24"/>
        </w:rPr>
        <w:t xml:space="preserve"> did not know how to dispose of unused antibiotics</w:t>
      </w:r>
      <w:r w:rsidR="00A12314">
        <w:rPr>
          <w:sz w:val="24"/>
          <w:szCs w:val="24"/>
        </w:rPr>
        <w:t xml:space="preserve"> with many pouring them </w:t>
      </w:r>
      <w:r w:rsidR="00B31732">
        <w:rPr>
          <w:sz w:val="24"/>
          <w:szCs w:val="24"/>
        </w:rPr>
        <w:t>down the sink or toilet</w:t>
      </w:r>
      <w:r w:rsidR="00A12314">
        <w:rPr>
          <w:sz w:val="24"/>
          <w:szCs w:val="24"/>
        </w:rPr>
        <w:t>.</w:t>
      </w:r>
      <w:r w:rsidRPr="003C2300">
        <w:rPr>
          <w:sz w:val="24"/>
          <w:szCs w:val="24"/>
        </w:rPr>
        <w:t xml:space="preserve"> </w:t>
      </w:r>
    </w:p>
    <w:p w14:paraId="24CD3982" w14:textId="77777777" w:rsidR="00630BDE" w:rsidRPr="00630BDE" w:rsidRDefault="00630BDE" w:rsidP="00630BDE">
      <w:pPr>
        <w:shd w:val="clear" w:color="auto" w:fill="D9D9D9"/>
        <w:spacing w:line="360" w:lineRule="auto"/>
        <w:contextualSpacing/>
        <w:rPr>
          <w:rFonts w:ascii="Calibri" w:eastAsia="Calibri" w:hAnsi="Calibri" w:cs="Arial"/>
          <w:i/>
        </w:rPr>
      </w:pPr>
      <w:r w:rsidRPr="00630BDE">
        <w:rPr>
          <w:rFonts w:ascii="Calibri" w:eastAsia="Calibri" w:hAnsi="Calibri" w:cs="Arial"/>
          <w:i/>
        </w:rPr>
        <w:t xml:space="preserve">“So sometimes it sounds horrible but it’s easy to forget it. I mean you go a week and actually no he’s not had it… Yeah we do find that he will start to be more unwell. Like we notice he just gets a bit more wheeze especially at night. Have we done it, have you done it? No, ahh that might be why. Whether It is the case of it being or not, but it has been we have forgotten to give it.” </w:t>
      </w:r>
      <w:r w:rsidRPr="00630BDE">
        <w:rPr>
          <w:rFonts w:ascii="Calibri" w:eastAsia="Calibri" w:hAnsi="Calibri" w:cs="Arial"/>
          <w:b/>
          <w:i/>
        </w:rPr>
        <w:t>(Parent 6)</w:t>
      </w:r>
    </w:p>
    <w:p w14:paraId="7024037D" w14:textId="77777777" w:rsidR="00630BDE" w:rsidRPr="00630BDE" w:rsidRDefault="00630BDE" w:rsidP="00630BDE">
      <w:pPr>
        <w:shd w:val="clear" w:color="auto" w:fill="FFFFFF"/>
        <w:rPr>
          <w:rFonts w:ascii="Calibri" w:hAnsi="Calibri"/>
          <w:color w:val="000000"/>
        </w:rPr>
      </w:pPr>
    </w:p>
    <w:p w14:paraId="30A6C32E" w14:textId="77777777" w:rsidR="00630BDE" w:rsidRPr="00630BDE" w:rsidRDefault="00630BDE" w:rsidP="00630BDE">
      <w:pPr>
        <w:shd w:val="clear" w:color="auto" w:fill="D9D9D9"/>
        <w:spacing w:line="360" w:lineRule="auto"/>
        <w:contextualSpacing/>
        <w:rPr>
          <w:rFonts w:ascii="Calibri" w:eastAsia="Calibri" w:hAnsi="Calibri" w:cs="Arial"/>
          <w:i/>
        </w:rPr>
      </w:pPr>
      <w:r w:rsidRPr="00630BDE">
        <w:rPr>
          <w:rFonts w:ascii="Calibri" w:eastAsia="Calibri" w:hAnsi="Calibri" w:cs="Arial"/>
          <w:i/>
        </w:rPr>
        <w:t xml:space="preserve">“The consultant explained it very well, what it was for, what they hoped it would do, and he would stop it, and what the results were of other children who are on it…. That was very good. It was literally I had no idea it was a powder and I had to make it so that was a bit of a surprise.” </w:t>
      </w:r>
      <w:r w:rsidRPr="00630BDE">
        <w:rPr>
          <w:rFonts w:ascii="Calibri" w:eastAsia="Calibri" w:hAnsi="Calibri" w:cs="Arial"/>
          <w:b/>
          <w:i/>
        </w:rPr>
        <w:t>(Parent 14)</w:t>
      </w:r>
    </w:p>
    <w:p w14:paraId="089A7D6D" w14:textId="77777777" w:rsidR="00630BDE" w:rsidRPr="00630BDE" w:rsidRDefault="00630BDE" w:rsidP="00630BDE">
      <w:pPr>
        <w:contextualSpacing/>
        <w:rPr>
          <w:rFonts w:ascii="Calibri" w:eastAsia="Calibri" w:hAnsi="Calibri" w:cs="Arial"/>
        </w:rPr>
      </w:pPr>
    </w:p>
    <w:p w14:paraId="29CA7D8A" w14:textId="77777777" w:rsidR="00630BDE" w:rsidRPr="00630BDE" w:rsidRDefault="00630BDE" w:rsidP="00630BDE">
      <w:pPr>
        <w:shd w:val="clear" w:color="auto" w:fill="D9D9D9"/>
        <w:spacing w:line="360" w:lineRule="auto"/>
        <w:contextualSpacing/>
        <w:rPr>
          <w:rFonts w:ascii="Calibri" w:eastAsia="Calibri" w:hAnsi="Calibri" w:cs="Arial"/>
          <w:b/>
          <w:i/>
        </w:rPr>
      </w:pPr>
      <w:r w:rsidRPr="00630BDE">
        <w:rPr>
          <w:rFonts w:ascii="Calibri" w:eastAsia="Calibri" w:hAnsi="Calibri" w:cs="Arial"/>
          <w:i/>
        </w:rPr>
        <w:t xml:space="preserve">“The new antibiotics only last 5 days. You have to discard whatever is left. Cos it is made up into 15 (ml) and obviously she has 3.5 (ml) so that is like 10.5 (ml). I'm wasting antibiotics every week, which ... That is NHS money… (Interviewer: What do you do with the antibiotics?) Well I just have to flush it away. We don't know how to dispose of it really.” </w:t>
      </w:r>
      <w:r w:rsidRPr="00630BDE">
        <w:rPr>
          <w:rFonts w:ascii="Calibri" w:eastAsia="Calibri" w:hAnsi="Calibri" w:cs="Arial"/>
          <w:b/>
          <w:i/>
        </w:rPr>
        <w:t>(Parent 15)</w:t>
      </w:r>
    </w:p>
    <w:p w14:paraId="6BECBD66" w14:textId="77777777" w:rsidR="00C803FA" w:rsidRPr="00241369" w:rsidRDefault="00C803FA" w:rsidP="00AA6003">
      <w:pPr>
        <w:pStyle w:val="ListParagraph"/>
        <w:spacing w:line="360" w:lineRule="auto"/>
        <w:ind w:left="0"/>
        <w:rPr>
          <w:sz w:val="24"/>
          <w:szCs w:val="24"/>
        </w:rPr>
      </w:pPr>
    </w:p>
    <w:p w14:paraId="742AD6AE" w14:textId="30961C30" w:rsidR="00AA6003" w:rsidRDefault="00AA6003" w:rsidP="00241369">
      <w:pPr>
        <w:pStyle w:val="ListParagraph"/>
        <w:spacing w:line="360" w:lineRule="auto"/>
        <w:ind w:left="0"/>
        <w:rPr>
          <w:sz w:val="24"/>
          <w:szCs w:val="24"/>
        </w:rPr>
      </w:pPr>
      <w:r w:rsidRPr="003C2300">
        <w:rPr>
          <w:sz w:val="24"/>
          <w:szCs w:val="24"/>
        </w:rPr>
        <w:lastRenderedPageBreak/>
        <w:t xml:space="preserve">Parents were split with regards to how the prescription of prophylactic antibiotics impacted on their child’s quality of life. Most however felt that they were beneficial in reducing either infections, hospital admissions or improved school/ nursery attendance. Some parents reported that they previously isolated their child from situations of potential infection risk such as supermarkets, public transport and exposure to other children whether at nursery, school or other activities. They viewed antibiotic prophylaxis as a protective measure which enabled their child to take part in more activities with less restrictions and more freedom. A few parents described prophylaxis as a reminder that their child was susceptible and needed to be isolated or their activities restricted </w:t>
      </w:r>
      <w:r w:rsidR="00401B54" w:rsidRPr="003C2300">
        <w:rPr>
          <w:sz w:val="24"/>
          <w:szCs w:val="24"/>
        </w:rPr>
        <w:t>i</w:t>
      </w:r>
      <w:r w:rsidR="00401B54">
        <w:rPr>
          <w:sz w:val="24"/>
          <w:szCs w:val="24"/>
        </w:rPr>
        <w:t>.</w:t>
      </w:r>
      <w:r w:rsidR="00401B54" w:rsidRPr="003C2300">
        <w:rPr>
          <w:sz w:val="24"/>
          <w:szCs w:val="24"/>
        </w:rPr>
        <w:t>e.</w:t>
      </w:r>
      <w:r w:rsidRPr="003C2300">
        <w:rPr>
          <w:sz w:val="24"/>
          <w:szCs w:val="24"/>
        </w:rPr>
        <w:t xml:space="preserve">, swimming and soft play. Others did not restrict their child whether they were taking prophylaxis or not. </w:t>
      </w:r>
    </w:p>
    <w:p w14:paraId="456A28E8" w14:textId="77777777" w:rsidR="00630BDE" w:rsidRPr="00630BDE" w:rsidRDefault="00630BDE" w:rsidP="00630BDE">
      <w:pPr>
        <w:shd w:val="clear" w:color="auto" w:fill="D9D9D9"/>
        <w:spacing w:line="360" w:lineRule="auto"/>
        <w:contextualSpacing/>
        <w:rPr>
          <w:rFonts w:ascii="Calibri" w:eastAsia="Calibri" w:hAnsi="Calibri" w:cs="Arial"/>
          <w:b/>
          <w:i/>
        </w:rPr>
      </w:pPr>
      <w:r w:rsidRPr="00630BDE">
        <w:rPr>
          <w:rFonts w:ascii="Calibri" w:eastAsia="Calibri" w:hAnsi="Calibri" w:cs="Arial"/>
          <w:i/>
        </w:rPr>
        <w:t>“On a personal side of things it were like, thank God we don't have to do that now (administer prophylaxis). It were that mental is it Monday, Wednesday when you are going through your daily check and things like that. It’s a case of that little bit of relief now.”</w:t>
      </w:r>
      <w:r w:rsidRPr="00630BDE">
        <w:rPr>
          <w:rFonts w:ascii="Calibri" w:eastAsia="Calibri" w:hAnsi="Calibri" w:cs="Arial"/>
          <w:b/>
          <w:i/>
        </w:rPr>
        <w:t>(Parent 10)</w:t>
      </w:r>
    </w:p>
    <w:p w14:paraId="14B0314A" w14:textId="77777777" w:rsidR="00630BDE" w:rsidRPr="00630BDE" w:rsidRDefault="00630BDE" w:rsidP="00630BDE">
      <w:pPr>
        <w:shd w:val="clear" w:color="auto" w:fill="FFFFFF"/>
        <w:rPr>
          <w:rFonts w:ascii="Calibri" w:hAnsi="Calibri"/>
          <w:color w:val="000000"/>
        </w:rPr>
      </w:pPr>
    </w:p>
    <w:p w14:paraId="465F91AA" w14:textId="77777777" w:rsidR="00630BDE" w:rsidRPr="00630BDE" w:rsidRDefault="00630BDE" w:rsidP="00630BDE">
      <w:pPr>
        <w:shd w:val="clear" w:color="auto" w:fill="D9D9D9"/>
        <w:spacing w:line="360" w:lineRule="auto"/>
        <w:contextualSpacing/>
        <w:rPr>
          <w:rFonts w:ascii="Calibri" w:eastAsia="Calibri" w:hAnsi="Calibri" w:cs="Arial"/>
          <w:b/>
          <w:i/>
        </w:rPr>
      </w:pPr>
      <w:r w:rsidRPr="00630BDE">
        <w:rPr>
          <w:rFonts w:ascii="Calibri" w:eastAsia="Calibri" w:hAnsi="Calibri" w:cs="Arial"/>
          <w:i/>
        </w:rPr>
        <w:t xml:space="preserve">“Like I said with the ball pools and things like that. If he wasn't on those antibiotics, he wouldn't set foot in the place. I'd be too scared of him picking something up and ending up in hospital for a fortnight. It’s just, while ever he's on these antibiotics, I’ve got that little peace of mind that they are protecting him. But if he came off them I’d think that would stop and the only place he'd go would be the garden. Confined to the garden again.” </w:t>
      </w:r>
      <w:r w:rsidRPr="00630BDE">
        <w:rPr>
          <w:rFonts w:ascii="Calibri" w:eastAsia="Calibri" w:hAnsi="Calibri" w:cs="Arial"/>
          <w:b/>
          <w:i/>
        </w:rPr>
        <w:t>(Parent 5)</w:t>
      </w:r>
    </w:p>
    <w:p w14:paraId="5B63FFEC" w14:textId="77777777" w:rsidR="00630BDE" w:rsidRPr="00630BDE" w:rsidRDefault="00630BDE" w:rsidP="00630BDE">
      <w:pPr>
        <w:spacing w:line="360" w:lineRule="auto"/>
        <w:contextualSpacing/>
        <w:rPr>
          <w:rFonts w:ascii="Calibri" w:eastAsia="Calibri" w:hAnsi="Calibri" w:cs="Arial"/>
          <w:b/>
          <w:i/>
        </w:rPr>
      </w:pPr>
    </w:p>
    <w:p w14:paraId="265DE06B" w14:textId="77777777" w:rsidR="00630BDE" w:rsidRPr="00630BDE" w:rsidRDefault="00630BDE" w:rsidP="00630BDE">
      <w:pPr>
        <w:shd w:val="clear" w:color="auto" w:fill="D9D9D9"/>
        <w:spacing w:line="360" w:lineRule="auto"/>
        <w:contextualSpacing/>
        <w:rPr>
          <w:rFonts w:ascii="Calibri" w:eastAsia="Calibri" w:hAnsi="Calibri" w:cs="Arial"/>
          <w:i/>
        </w:rPr>
      </w:pPr>
      <w:r w:rsidRPr="00630BDE">
        <w:rPr>
          <w:rFonts w:ascii="Calibri" w:eastAsia="Calibri" w:hAnsi="Calibri" w:cs="Arial"/>
          <w:i/>
        </w:rPr>
        <w:t xml:space="preserve">“She now does swimming lessons whereas I couldn't let her do that before because I'd be worried in case she picked more bugs up and that.” </w:t>
      </w:r>
      <w:r w:rsidRPr="00630BDE">
        <w:rPr>
          <w:rFonts w:ascii="Calibri" w:eastAsia="Calibri" w:hAnsi="Calibri" w:cs="Arial"/>
          <w:b/>
          <w:i/>
        </w:rPr>
        <w:t>Parent 3</w:t>
      </w:r>
    </w:p>
    <w:p w14:paraId="2699126E" w14:textId="77777777" w:rsidR="00630BDE" w:rsidRPr="00630BDE" w:rsidRDefault="00630BDE" w:rsidP="00630BDE">
      <w:pPr>
        <w:shd w:val="clear" w:color="auto" w:fill="D9D9D9"/>
        <w:spacing w:line="360" w:lineRule="auto"/>
        <w:contextualSpacing/>
        <w:rPr>
          <w:rFonts w:ascii="Calibri" w:eastAsia="Calibri" w:hAnsi="Calibri" w:cs="Arial"/>
        </w:rPr>
      </w:pPr>
      <w:r w:rsidRPr="00630BDE">
        <w:rPr>
          <w:rFonts w:ascii="Calibri" w:eastAsia="Calibri" w:hAnsi="Calibri" w:cs="Arial"/>
        </w:rPr>
        <w:t>“</w:t>
      </w:r>
      <w:r w:rsidRPr="00630BDE">
        <w:rPr>
          <w:rFonts w:ascii="Calibri" w:eastAsia="Calibri" w:hAnsi="Calibri" w:cs="Arial"/>
          <w:i/>
        </w:rPr>
        <w:t>No not at all. I throw her in at everything. When we are outside, she can do mucky play. We've got horses... I don't treat her any differently (being on prophylaxis)”</w:t>
      </w:r>
      <w:r w:rsidRPr="00630BDE">
        <w:rPr>
          <w:rFonts w:ascii="Calibri" w:eastAsia="Calibri" w:hAnsi="Calibri" w:cs="Arial"/>
        </w:rPr>
        <w:t xml:space="preserve"> </w:t>
      </w:r>
      <w:r w:rsidRPr="00630BDE">
        <w:rPr>
          <w:rFonts w:ascii="Calibri" w:eastAsia="Calibri" w:hAnsi="Calibri" w:cs="Arial"/>
          <w:b/>
        </w:rPr>
        <w:t>Parent 2</w:t>
      </w:r>
    </w:p>
    <w:p w14:paraId="09C4291E" w14:textId="77777777" w:rsidR="00630BDE" w:rsidRPr="003C2300" w:rsidRDefault="00630BDE" w:rsidP="00241369">
      <w:pPr>
        <w:pStyle w:val="ListParagraph"/>
        <w:spacing w:line="360" w:lineRule="auto"/>
        <w:ind w:left="0"/>
        <w:rPr>
          <w:sz w:val="24"/>
          <w:szCs w:val="24"/>
        </w:rPr>
      </w:pPr>
    </w:p>
    <w:p w14:paraId="2A7ACF51" w14:textId="145B7B55" w:rsidR="00AA6003" w:rsidRPr="006A07AF" w:rsidRDefault="00AA6003" w:rsidP="006B135A">
      <w:pPr>
        <w:pStyle w:val="Heading4"/>
        <w:spacing w:before="0" w:line="360" w:lineRule="auto"/>
        <w:rPr>
          <w:i w:val="0"/>
          <w:iCs w:val="0"/>
          <w:sz w:val="24"/>
          <w:szCs w:val="24"/>
        </w:rPr>
      </w:pPr>
      <w:r w:rsidRPr="006A07AF">
        <w:rPr>
          <w:i w:val="0"/>
          <w:iCs w:val="0"/>
          <w:sz w:val="24"/>
          <w:szCs w:val="24"/>
        </w:rPr>
        <w:t>Theme 3: Response to acute illness whilst on prophylaxis</w:t>
      </w:r>
    </w:p>
    <w:p w14:paraId="447024E0" w14:textId="77777777" w:rsidR="00AA6003" w:rsidRPr="003C2300" w:rsidRDefault="00AA6003" w:rsidP="006B135A">
      <w:pPr>
        <w:spacing w:line="360" w:lineRule="auto"/>
      </w:pPr>
      <w:r w:rsidRPr="003C2300">
        <w:t xml:space="preserve">Despite taking prophylactic azithromycin, almost all children had break through acute respiratory illnesses. Some of these were viral upper respiratory tract infections and required only supportive treatment. For other episodes, antibiotics were prescribed and occasionally children were </w:t>
      </w:r>
      <w:r w:rsidRPr="003C2300">
        <w:lastRenderedPageBreak/>
        <w:t xml:space="preserve">admitted to hospital. Discussions with parents relating to ways in which these episodes are assessed, diagnosed and managed by both parents and health care professionals uncovered practical difficulties and parental anxieties leading to a cycle of expectations. This cycle potentially influences the perceived necessity for prophylaxis by hospital physicians. </w:t>
      </w:r>
    </w:p>
    <w:p w14:paraId="41D78863" w14:textId="77777777" w:rsidR="00CC5175" w:rsidRDefault="00CC5175" w:rsidP="00AA6003">
      <w:pPr>
        <w:spacing w:line="360" w:lineRule="auto"/>
        <w:rPr>
          <w:b/>
          <w:i/>
        </w:rPr>
      </w:pPr>
    </w:p>
    <w:p w14:paraId="1D438609" w14:textId="4AF205DB" w:rsidR="00AA6003" w:rsidRPr="003C2300" w:rsidRDefault="00AA6003" w:rsidP="00AA6003">
      <w:pPr>
        <w:spacing w:line="360" w:lineRule="auto"/>
        <w:rPr>
          <w:b/>
          <w:i/>
        </w:rPr>
      </w:pPr>
      <w:r w:rsidRPr="003C2300">
        <w:rPr>
          <w:b/>
          <w:i/>
        </w:rPr>
        <w:t>Immediate response</w:t>
      </w:r>
    </w:p>
    <w:p w14:paraId="4279C6E2" w14:textId="77354820" w:rsidR="00AA6003" w:rsidRDefault="00AA6003" w:rsidP="00284867">
      <w:pPr>
        <w:spacing w:after="160" w:line="360" w:lineRule="auto"/>
      </w:pPr>
      <w:r w:rsidRPr="003C2300">
        <w:t xml:space="preserve">There was often an initial emotive response when parents heard their child starting to cough. This evoked fears that the illness was going to progress to a hospital admission again causing stresses for everyone. Previous experiences of severe episodes were recalled and there was a nervousness that the prophylactic antibiotics weren’t working anymore. The intensity of these feelings often waned the longer children were on prophylaxis especially if the duration between episodes increased the severity of the acute respiratory illnesses reduced. </w:t>
      </w:r>
    </w:p>
    <w:p w14:paraId="61B7FA5F" w14:textId="77777777" w:rsidR="00630BDE" w:rsidRPr="00630BDE" w:rsidRDefault="00630BDE" w:rsidP="00630BDE">
      <w:pPr>
        <w:shd w:val="clear" w:color="auto" w:fill="D9D9D9"/>
        <w:spacing w:line="360" w:lineRule="auto"/>
        <w:rPr>
          <w:rFonts w:ascii="Calibri" w:eastAsia="Calibri" w:hAnsi="Calibri" w:cs="Arial"/>
          <w:b/>
          <w:i/>
        </w:rPr>
      </w:pPr>
      <w:r w:rsidRPr="00630BDE">
        <w:rPr>
          <w:rFonts w:ascii="Calibri" w:eastAsia="Calibri" w:hAnsi="Calibri" w:cs="Arial"/>
          <w:i/>
          <w:shd w:val="clear" w:color="auto" w:fill="D9D9D9"/>
        </w:rPr>
        <w:t>“Back to chest infections and in and out of hospital. It’s a destruction of her life that she doesn't need. Erm.. so a common cold can quite easily, within a matter of days, turn into a severe chest infection... erm I don't know it is just stress. Stress for her, stress for me and progression from normal common colds to chest infections. It is just so drastic.”</w:t>
      </w:r>
      <w:r w:rsidRPr="00630BDE">
        <w:rPr>
          <w:rFonts w:ascii="Calibri" w:eastAsia="Calibri" w:hAnsi="Calibri" w:cs="Arial"/>
          <w:b/>
          <w:i/>
          <w:shd w:val="clear" w:color="auto" w:fill="D9D9D9"/>
        </w:rPr>
        <w:t xml:space="preserve"> (Parent 8</w:t>
      </w:r>
      <w:r w:rsidRPr="00630BDE">
        <w:rPr>
          <w:rFonts w:ascii="Calibri" w:eastAsia="Calibri" w:hAnsi="Calibri" w:cs="Arial"/>
          <w:b/>
          <w:i/>
        </w:rPr>
        <w:t>)</w:t>
      </w:r>
    </w:p>
    <w:p w14:paraId="6A0CEDAB" w14:textId="77777777" w:rsidR="00630BDE" w:rsidRPr="00630BDE" w:rsidRDefault="00630BDE" w:rsidP="00F964D4">
      <w:pPr>
        <w:rPr>
          <w:rFonts w:ascii="Calibri" w:eastAsia="Calibri" w:hAnsi="Calibri" w:cs="Arial"/>
          <w:i/>
        </w:rPr>
      </w:pPr>
    </w:p>
    <w:p w14:paraId="0D06AD30" w14:textId="77777777" w:rsidR="00630BDE" w:rsidRPr="00630BDE" w:rsidRDefault="00630BDE" w:rsidP="00630BDE">
      <w:pPr>
        <w:shd w:val="clear" w:color="auto" w:fill="D9D9D9"/>
        <w:spacing w:line="360" w:lineRule="auto"/>
        <w:rPr>
          <w:rFonts w:ascii="Calibri" w:eastAsia="Calibri" w:hAnsi="Calibri" w:cs="Arial"/>
          <w:b/>
          <w:i/>
        </w:rPr>
      </w:pPr>
      <w:r w:rsidRPr="00630BDE">
        <w:rPr>
          <w:rFonts w:ascii="Calibri" w:eastAsia="Calibri" w:hAnsi="Calibri" w:cs="Arial"/>
          <w:i/>
        </w:rPr>
        <w:t>“Even if he just does 2 coughs in his sleep, you go, here we go again. You know and I try and put it into perspective because I think well… We always get through it... So yeah when he starts with a cough, I’m just thinking.. right... sigh….</w:t>
      </w:r>
      <w:r w:rsidRPr="00630BDE">
        <w:rPr>
          <w:rFonts w:ascii="Calibri" w:eastAsia="Calibri" w:hAnsi="Calibri" w:cs="Arial"/>
        </w:rPr>
        <w:t xml:space="preserve"> </w:t>
      </w:r>
      <w:r w:rsidRPr="00630BDE">
        <w:rPr>
          <w:rFonts w:ascii="Calibri" w:eastAsia="Calibri" w:hAnsi="Calibri" w:cs="Arial"/>
          <w:i/>
        </w:rPr>
        <w:t>I always expect the worse. We'll end up in hospital he’ll go onto oxygen and then have a week or so in hospital…I feel sorry for him.”</w:t>
      </w:r>
      <w:r w:rsidRPr="00630BDE">
        <w:rPr>
          <w:rFonts w:ascii="Calibri" w:eastAsia="Calibri" w:hAnsi="Calibri" w:cs="Arial"/>
          <w:b/>
          <w:i/>
        </w:rPr>
        <w:t xml:space="preserve"> (Parent 1)</w:t>
      </w:r>
    </w:p>
    <w:p w14:paraId="521CFB8B" w14:textId="77777777" w:rsidR="00630BDE" w:rsidRPr="003C2300" w:rsidRDefault="00630BDE" w:rsidP="00AA6003">
      <w:pPr>
        <w:spacing w:line="360" w:lineRule="auto"/>
      </w:pPr>
    </w:p>
    <w:p w14:paraId="54CFAE1B" w14:textId="77777777" w:rsidR="00AA6003" w:rsidRPr="003C2300" w:rsidRDefault="00AA6003" w:rsidP="00AA6003">
      <w:pPr>
        <w:spacing w:line="360" w:lineRule="auto"/>
        <w:rPr>
          <w:b/>
        </w:rPr>
      </w:pPr>
      <w:r w:rsidRPr="003C2300">
        <w:rPr>
          <w:b/>
          <w:i/>
        </w:rPr>
        <w:t>Assessment and symptoms</w:t>
      </w:r>
      <w:r w:rsidRPr="003C2300">
        <w:rPr>
          <w:b/>
        </w:rPr>
        <w:t xml:space="preserve"> </w:t>
      </w:r>
    </w:p>
    <w:p w14:paraId="3E573220" w14:textId="2D802963" w:rsidR="00AA6003" w:rsidRPr="003C2300" w:rsidRDefault="00AA6003" w:rsidP="00AA6003">
      <w:pPr>
        <w:spacing w:line="360" w:lineRule="auto"/>
      </w:pPr>
      <w:r w:rsidRPr="003C2300">
        <w:t>Many parents described the following concerning symptoms that would lead them to get their child assessed: Fever, green sputum/ nasal discharge, uncontrolled crying with pain, signs of respiratory distress and pus on tonsils. Parents often described a feeling of helplessness and futility of self-help measures they tried such as</w:t>
      </w:r>
      <w:r w:rsidR="00B31732">
        <w:t xml:space="preserve"> over-the-counter</w:t>
      </w:r>
      <w:r w:rsidRPr="003C2300">
        <w:t xml:space="preserve"> analgesics and physio techniques. They felt that these factors and the fear of progression drove them to “take action” and </w:t>
      </w:r>
      <w:r w:rsidR="009C5ED2">
        <w:t xml:space="preserve">that </w:t>
      </w:r>
      <w:r w:rsidRPr="003C2300">
        <w:t xml:space="preserve">the symptoms </w:t>
      </w:r>
      <w:r w:rsidR="009C5ED2">
        <w:t xml:space="preserve">were </w:t>
      </w:r>
      <w:r w:rsidRPr="003C2300">
        <w:t xml:space="preserve">not just attributable to a common cold. Maternal instinct was also reported to be a key factor in deciding whether to consultant a health care professional. </w:t>
      </w:r>
    </w:p>
    <w:p w14:paraId="6CD4C14B" w14:textId="604A1DD1" w:rsidR="00022221" w:rsidRPr="00022221" w:rsidRDefault="00AA6003" w:rsidP="00022221">
      <w:pPr>
        <w:spacing w:line="360" w:lineRule="auto"/>
      </w:pPr>
      <w:r w:rsidRPr="003C2300">
        <w:lastRenderedPageBreak/>
        <w:t xml:space="preserve">A few parents had </w:t>
      </w:r>
      <w:r w:rsidR="00B31732">
        <w:t>different recollection,</w:t>
      </w:r>
      <w:r w:rsidRPr="003C2300">
        <w:t xml:space="preserve"> recounting how their children coughed but seemed well with no fevers and continued to run around. Combined with their health beliefs of trying to minimise antibiotic exposure they often waited longer to present to medical services. </w:t>
      </w:r>
      <w:r w:rsidR="00022221" w:rsidRPr="00726249">
        <w:t>The parental perce</w:t>
      </w:r>
      <w:r w:rsidR="009C5ED2">
        <w:t>ption of their child’s susceptibility to infection and severity of the underlying condition</w:t>
      </w:r>
      <w:r w:rsidR="00022221" w:rsidRPr="00726249">
        <w:t xml:space="preserve"> did not always </w:t>
      </w:r>
      <w:r w:rsidR="009C5ED2">
        <w:t>equate</w:t>
      </w:r>
      <w:r w:rsidR="00022221" w:rsidRPr="00726249">
        <w:t xml:space="preserve"> to that of the health care professional and underlying diagnosis. </w:t>
      </w:r>
    </w:p>
    <w:p w14:paraId="168E22E0" w14:textId="6CD8EC98" w:rsidR="00022221" w:rsidRDefault="00022221" w:rsidP="00284867">
      <w:pPr>
        <w:spacing w:after="160" w:line="360" w:lineRule="auto"/>
      </w:pPr>
      <w:r w:rsidRPr="00022221">
        <w:t>Parents of 2 children with bronchiectasis had higher thresholds for seeking medical attention and isolated their children less</w:t>
      </w:r>
      <w:r w:rsidR="00B31732">
        <w:t>,</w:t>
      </w:r>
      <w:r w:rsidRPr="00022221">
        <w:t xml:space="preserve"> despite </w:t>
      </w:r>
      <w:r w:rsidR="00B31732">
        <w:t>the</w:t>
      </w:r>
      <w:r w:rsidRPr="00022221">
        <w:t xml:space="preserve"> more severe underlying diagnosis. </w:t>
      </w:r>
    </w:p>
    <w:p w14:paraId="322ADA2E" w14:textId="6BEB8D35" w:rsidR="00AA6003" w:rsidRDefault="00AA6003" w:rsidP="00284867">
      <w:pPr>
        <w:spacing w:after="160" w:line="360" w:lineRule="auto"/>
      </w:pPr>
      <w:r w:rsidRPr="003C2300">
        <w:t>Deciding on the threshold for consulting a health care professional during an acute illness was found by many parents to be difficult</w:t>
      </w:r>
      <w:r w:rsidR="002338D5">
        <w:t xml:space="preserve"> and stressful</w:t>
      </w:r>
      <w:r w:rsidRPr="003C2300">
        <w:t xml:space="preserve">. As well as looking for clinical cues they also reported social norms and </w:t>
      </w:r>
      <w:r w:rsidR="000A1FF4">
        <w:t>logistical</w:t>
      </w:r>
      <w:r w:rsidRPr="003C2300">
        <w:t xml:space="preserve"> barriers to consulting. These included, “Not wanting to waste people’s time”, tackling the systems for making GP appointments as well changing their own schedules to make time for their child’s appointment. With </w:t>
      </w:r>
      <w:r w:rsidR="006F6268" w:rsidRPr="003C2300">
        <w:t>experience</w:t>
      </w:r>
      <w:r w:rsidRPr="003C2300">
        <w:t xml:space="preserve"> and in 2 cases the respiratory team telling parents to reduce their threshold for seeking help, these parents felt they were improving their ability to assess their child. </w:t>
      </w:r>
    </w:p>
    <w:p w14:paraId="09EE567D" w14:textId="77777777" w:rsidR="00630BDE" w:rsidRPr="00630BDE" w:rsidRDefault="00630BDE" w:rsidP="00630BDE">
      <w:pPr>
        <w:shd w:val="clear" w:color="auto" w:fill="D9D9D9"/>
        <w:spacing w:line="360" w:lineRule="auto"/>
        <w:rPr>
          <w:rFonts w:ascii="Calibri" w:eastAsia="Calibri" w:hAnsi="Calibri" w:cs="Arial"/>
          <w:i/>
        </w:rPr>
      </w:pPr>
      <w:r w:rsidRPr="00630BDE">
        <w:rPr>
          <w:rFonts w:ascii="Calibri" w:eastAsia="Calibri" w:hAnsi="Calibri" w:cs="Arial"/>
          <w:i/>
        </w:rPr>
        <w:t xml:space="preserve">“(giving acute courses of antibiotics) you feel like you are doing something. I mean when kids get poorly you feel pretty helpless. Cough syrups don’t' work. You can't give them decongestants. You can't give them cold remedies because there isn't any for kids. Not that age. So you can pretty much just give them paracetamol and hope it works.” </w:t>
      </w:r>
      <w:r w:rsidRPr="00630BDE">
        <w:rPr>
          <w:rFonts w:ascii="Calibri" w:eastAsia="Calibri" w:hAnsi="Calibri" w:cs="Arial"/>
          <w:b/>
          <w:i/>
        </w:rPr>
        <w:t>(Parent 12)</w:t>
      </w:r>
    </w:p>
    <w:p w14:paraId="1778B129" w14:textId="77777777" w:rsidR="00630BDE" w:rsidRPr="00630BDE" w:rsidRDefault="00630BDE" w:rsidP="00F964D4">
      <w:pPr>
        <w:rPr>
          <w:rFonts w:ascii="Calibri" w:eastAsia="Calibri" w:hAnsi="Calibri" w:cs="Arial"/>
          <w:i/>
        </w:rPr>
      </w:pPr>
    </w:p>
    <w:p w14:paraId="0C312AC5" w14:textId="77777777" w:rsidR="00630BDE" w:rsidRPr="00630BDE" w:rsidRDefault="00630BDE" w:rsidP="00630BDE">
      <w:pPr>
        <w:shd w:val="clear" w:color="auto" w:fill="D9D9D9"/>
        <w:spacing w:line="360" w:lineRule="auto"/>
        <w:rPr>
          <w:rFonts w:ascii="Calibri" w:eastAsia="Calibri" w:hAnsi="Calibri" w:cs="Arial"/>
          <w:i/>
        </w:rPr>
      </w:pPr>
      <w:r w:rsidRPr="00630BDE">
        <w:rPr>
          <w:rFonts w:ascii="Calibri" w:eastAsia="Calibri" w:hAnsi="Calibri" w:cs="Arial"/>
          <w:i/>
        </w:rPr>
        <w:t xml:space="preserve">“But a lot of the time it is viral and so there isn’t'.. And I know that antibiotics won't help but you feel like you are doing something. And I know that.. but as a parent you want to be doing something. And so sitting back and saying, oh yeah its bacterial (viral). But even when you're in hospital a lot of the time they start the course before they know.” </w:t>
      </w:r>
      <w:r w:rsidRPr="00630BDE">
        <w:rPr>
          <w:rFonts w:ascii="Calibri" w:eastAsia="Calibri" w:hAnsi="Calibri" w:cs="Arial"/>
          <w:b/>
          <w:i/>
        </w:rPr>
        <w:t>(Parent 1)</w:t>
      </w:r>
    </w:p>
    <w:p w14:paraId="554275DF" w14:textId="77777777" w:rsidR="00630BDE" w:rsidRPr="00630BDE" w:rsidRDefault="00630BDE" w:rsidP="00630BDE">
      <w:pPr>
        <w:rPr>
          <w:rFonts w:ascii="Calibri" w:eastAsia="Calibri" w:hAnsi="Calibri" w:cs="Arial"/>
          <w:i/>
        </w:rPr>
      </w:pPr>
    </w:p>
    <w:p w14:paraId="540DDDD9" w14:textId="508DC5A9" w:rsidR="00280FB4" w:rsidRDefault="00630BDE" w:rsidP="00B751E5">
      <w:pPr>
        <w:shd w:val="clear" w:color="auto" w:fill="D9D9D9"/>
        <w:spacing w:line="360" w:lineRule="auto"/>
        <w:rPr>
          <w:b/>
          <w:i/>
        </w:rPr>
      </w:pPr>
      <w:r w:rsidRPr="00630BDE">
        <w:rPr>
          <w:rFonts w:ascii="Calibri" w:eastAsia="Calibri" w:hAnsi="Calibri" w:cs="Arial"/>
          <w:i/>
        </w:rPr>
        <w:t xml:space="preserve">“Initially we were told, when she has a temperature that might be a sign that she has a worse infection so go and get her checked out. She gets temperatures less times than not. So that is not a very good gauge for us. And then we were told if her cough is lasting for a couple of weeks, go and get it checked out. And then we were told actually 2 weeks is too long to be waiting. So because of our not wanting her to be on antibiotics too much, coupled with her not getting high temperatures, we haven’t been going and getting extra antibiotics that much. So, I </w:t>
      </w:r>
      <w:r w:rsidRPr="00630BDE">
        <w:rPr>
          <w:rFonts w:ascii="Calibri" w:eastAsia="Calibri" w:hAnsi="Calibri" w:cs="Arial"/>
          <w:i/>
        </w:rPr>
        <w:lastRenderedPageBreak/>
        <w:t xml:space="preserve">think that is why we have been told, we need to lower our threshold… So I guess the more it happens, the more I’m getting to know when she might need to have some extra help and when not.” </w:t>
      </w:r>
      <w:r w:rsidRPr="00630BDE">
        <w:rPr>
          <w:rFonts w:ascii="Calibri" w:eastAsia="Calibri" w:hAnsi="Calibri" w:cs="Arial"/>
          <w:b/>
          <w:i/>
        </w:rPr>
        <w:t>(Parent 11</w:t>
      </w:r>
      <w:r w:rsidR="00022221">
        <w:rPr>
          <w:rFonts w:ascii="Calibri" w:eastAsia="Calibri" w:hAnsi="Calibri" w:cs="Arial"/>
          <w:b/>
          <w:i/>
        </w:rPr>
        <w:t>)</w:t>
      </w:r>
    </w:p>
    <w:p w14:paraId="5502FEC2" w14:textId="77777777" w:rsidR="00280FB4" w:rsidRDefault="00280FB4" w:rsidP="00AA6003">
      <w:pPr>
        <w:spacing w:line="360" w:lineRule="auto"/>
        <w:rPr>
          <w:b/>
          <w:i/>
        </w:rPr>
      </w:pPr>
    </w:p>
    <w:p w14:paraId="0ABA72AD" w14:textId="3304AA38" w:rsidR="00AA6003" w:rsidRPr="003C2300" w:rsidRDefault="00AA6003" w:rsidP="00AA6003">
      <w:pPr>
        <w:spacing w:line="360" w:lineRule="auto"/>
        <w:rPr>
          <w:b/>
        </w:rPr>
      </w:pPr>
      <w:r w:rsidRPr="003C2300">
        <w:rPr>
          <w:b/>
          <w:i/>
        </w:rPr>
        <w:t>Management of acute episodes</w:t>
      </w:r>
    </w:p>
    <w:p w14:paraId="4A0296DA" w14:textId="52D86CAF" w:rsidR="00C522F7" w:rsidRDefault="00AA6003" w:rsidP="00284867">
      <w:pPr>
        <w:spacing w:after="160" w:line="360" w:lineRule="auto"/>
      </w:pPr>
      <w:r w:rsidRPr="003C2300">
        <w:t>Parents described conflicting experiences in different health care settings which they thought were confusing and caused them significant distress and frustration. The cause of these conflicts often</w:t>
      </w:r>
      <w:r w:rsidR="003B2C63">
        <w:t xml:space="preserve"> related to</w:t>
      </w:r>
      <w:r w:rsidRPr="003C2300">
        <w:t xml:space="preserve"> when </w:t>
      </w:r>
      <w:r w:rsidR="003B2C63">
        <w:t xml:space="preserve">it was felt the </w:t>
      </w:r>
      <w:r w:rsidRPr="003C2300">
        <w:t xml:space="preserve">respiratory consultant plan was not followed </w:t>
      </w:r>
      <w:r w:rsidR="00C522F7">
        <w:t>and</w:t>
      </w:r>
      <w:r w:rsidRPr="003C2300">
        <w:t xml:space="preserve"> antibiotics not prescribed by other health care professionals. </w:t>
      </w:r>
    </w:p>
    <w:p w14:paraId="29BC91B9" w14:textId="197F1F7F" w:rsidR="00C522F7" w:rsidRDefault="00C522F7" w:rsidP="00284867">
      <w:pPr>
        <w:spacing w:after="160" w:line="360" w:lineRule="auto"/>
      </w:pPr>
      <w:r>
        <w:t xml:space="preserve">Parental understanding of science relating to antibiotics and infections played a role in determining their expectations for antibiotics to be prescribed during acute respiratory illnesses. </w:t>
      </w:r>
      <w:r w:rsidRPr="00726249">
        <w:t>All parents stated that antibiotics should not be used for the common cold. Despite some knowing viruses caused a common cold, the term “infection” was often misinterpreted as being severe and requiring antibiotics.</w:t>
      </w:r>
    </w:p>
    <w:p w14:paraId="73C40EBC" w14:textId="77777777" w:rsidR="00C522F7" w:rsidRPr="00630BDE" w:rsidRDefault="00C522F7" w:rsidP="00C522F7">
      <w:pPr>
        <w:shd w:val="clear" w:color="auto" w:fill="D9D9D9"/>
        <w:spacing w:line="360" w:lineRule="auto"/>
        <w:rPr>
          <w:rFonts w:ascii="Calibri" w:eastAsia="Calibri" w:hAnsi="Calibri" w:cs="Arial"/>
          <w:b/>
          <w:i/>
        </w:rPr>
      </w:pPr>
      <w:r w:rsidRPr="00630BDE">
        <w:rPr>
          <w:rFonts w:ascii="Calibri" w:eastAsia="Calibri" w:hAnsi="Calibri" w:cs="Arial"/>
          <w:i/>
        </w:rPr>
        <w:t xml:space="preserve">“You can get other bacterial infections like hand foot and mouth, that was going round school and I kept him at home. Not today, you can stop at home…They ask people not to take antibiotics for a cold and things like that because they don't work… there’s nothing you can do its </w:t>
      </w:r>
      <w:proofErr w:type="spellStart"/>
      <w:r w:rsidRPr="00630BDE">
        <w:rPr>
          <w:rFonts w:ascii="Calibri" w:eastAsia="Calibri" w:hAnsi="Calibri" w:cs="Arial"/>
          <w:i/>
        </w:rPr>
        <w:t>gonna</w:t>
      </w:r>
      <w:proofErr w:type="spellEnd"/>
      <w:r w:rsidRPr="00630BDE">
        <w:rPr>
          <w:rFonts w:ascii="Calibri" w:eastAsia="Calibri" w:hAnsi="Calibri" w:cs="Arial"/>
          <w:i/>
        </w:rPr>
        <w:t xml:space="preserve"> run its course unless it does change and you get an infection then you can have some antibiotics.” </w:t>
      </w:r>
      <w:r w:rsidRPr="00630BDE">
        <w:rPr>
          <w:rFonts w:ascii="Calibri" w:eastAsia="Calibri" w:hAnsi="Calibri" w:cs="Arial"/>
          <w:b/>
          <w:i/>
        </w:rPr>
        <w:t>(Parent 5)</w:t>
      </w:r>
    </w:p>
    <w:p w14:paraId="1E18A279" w14:textId="77777777" w:rsidR="00C522F7" w:rsidRPr="00630BDE" w:rsidRDefault="00C522F7" w:rsidP="00F964D4">
      <w:pPr>
        <w:rPr>
          <w:rFonts w:ascii="Calibri" w:eastAsia="Calibri" w:hAnsi="Calibri" w:cs="Arial"/>
          <w:i/>
        </w:rPr>
      </w:pPr>
    </w:p>
    <w:p w14:paraId="6D1CAA2E" w14:textId="34B406E3" w:rsidR="00856A84" w:rsidRPr="00630BDE" w:rsidRDefault="00C522F7" w:rsidP="00C522F7">
      <w:pPr>
        <w:shd w:val="clear" w:color="auto" w:fill="D9D9D9"/>
        <w:spacing w:line="360" w:lineRule="auto"/>
        <w:rPr>
          <w:rFonts w:ascii="Calibri" w:eastAsia="Calibri" w:hAnsi="Calibri" w:cs="Arial"/>
          <w:b/>
          <w:i/>
        </w:rPr>
      </w:pPr>
      <w:r w:rsidRPr="00630BDE">
        <w:rPr>
          <w:rFonts w:ascii="Calibri" w:eastAsia="Calibri" w:hAnsi="Calibri" w:cs="Arial"/>
          <w:i/>
        </w:rPr>
        <w:t xml:space="preserve">“There’s quite a few bugs out there like viruses and stuff that can be beaten by the human body but obviously when it’s an infection it needs treating by antibiotics.” </w:t>
      </w:r>
      <w:r w:rsidRPr="00630BDE">
        <w:rPr>
          <w:rFonts w:ascii="Calibri" w:eastAsia="Calibri" w:hAnsi="Calibri" w:cs="Arial"/>
          <w:b/>
          <w:i/>
        </w:rPr>
        <w:t>(Parent 2)</w:t>
      </w:r>
    </w:p>
    <w:p w14:paraId="18A4A74D" w14:textId="77777777" w:rsidR="00C522F7" w:rsidRDefault="00C522F7">
      <w:pPr>
        <w:spacing w:line="360" w:lineRule="auto"/>
      </w:pPr>
    </w:p>
    <w:p w14:paraId="0BFA64F7" w14:textId="00010295" w:rsidR="00C522F7" w:rsidRPr="00C522F7" w:rsidRDefault="00C522F7" w:rsidP="00C522F7">
      <w:pPr>
        <w:spacing w:line="360" w:lineRule="auto"/>
      </w:pPr>
      <w:r w:rsidRPr="00C522F7">
        <w:t xml:space="preserve">Confusion unsurprisingly arose when they were told by health care professionals their child had a virus but were </w:t>
      </w:r>
      <w:r w:rsidR="003B2C63">
        <w:t xml:space="preserve">then </w:t>
      </w:r>
      <w:r w:rsidRPr="00C522F7">
        <w:t xml:space="preserve">given antibiotics for the viral infection.  Inconsistent messages and management led to future confusion and expectations related to antibiotic prescribing. </w:t>
      </w:r>
    </w:p>
    <w:p w14:paraId="4BB77311" w14:textId="77777777" w:rsidR="00022221" w:rsidRDefault="00AA6003" w:rsidP="00AA6003">
      <w:pPr>
        <w:spacing w:line="360" w:lineRule="auto"/>
      </w:pPr>
      <w:r w:rsidRPr="003C2300">
        <w:t xml:space="preserve">Some parents </w:t>
      </w:r>
      <w:r w:rsidR="00022221">
        <w:t>reported</w:t>
      </w:r>
      <w:r w:rsidRPr="003C2300">
        <w:t xml:space="preserve"> antibiotics were started despite diagnosing a viral infection due to the child’s background history. When antibiotics were prescribed “just in case”, this reinforced the severity of the situation and </w:t>
      </w:r>
      <w:r w:rsidR="00022221">
        <w:t xml:space="preserve">again </w:t>
      </w:r>
      <w:r w:rsidRPr="003C2300">
        <w:t xml:space="preserve">started a cycle of expectations for further courses to be prescribed with future episodes. </w:t>
      </w:r>
    </w:p>
    <w:p w14:paraId="65BA832B" w14:textId="036FC52F" w:rsidR="00F23467" w:rsidRDefault="00022221" w:rsidP="00A64EDA">
      <w:pPr>
        <w:spacing w:line="360" w:lineRule="auto"/>
      </w:pPr>
      <w:r>
        <w:lastRenderedPageBreak/>
        <w:t xml:space="preserve">In some cases, especially if antibiotics were not prescribed, parents </w:t>
      </w:r>
      <w:r w:rsidR="00AA6003" w:rsidRPr="003C2300">
        <w:t xml:space="preserve">felt they had either wasted the doctor’s time and been unable to assess their own child properly or became frustrated that the perceived consultant plan for antibiotics was not followed. These issues led to feelings of </w:t>
      </w:r>
      <w:r>
        <w:t xml:space="preserve">inadequacy, poor parenting </w:t>
      </w:r>
      <w:r w:rsidR="00AA6003" w:rsidRPr="003C2300">
        <w:t xml:space="preserve">or anger directed at the assessing doctor or at the seemingly poor communication between teams. Only 1 parent stated they would demand antibiotics and seek advice elsewhere if antibiotics were not prescribed. </w:t>
      </w:r>
    </w:p>
    <w:p w14:paraId="71EC55B1" w14:textId="77777777" w:rsidR="006A07AF" w:rsidRPr="00241369" w:rsidRDefault="006A07AF" w:rsidP="00A64EDA">
      <w:pPr>
        <w:spacing w:line="360" w:lineRule="auto"/>
      </w:pPr>
    </w:p>
    <w:p w14:paraId="3F47035B" w14:textId="736215F1" w:rsidR="00313CB1" w:rsidRPr="00DD46F9" w:rsidRDefault="00313CB1" w:rsidP="004F3338">
      <w:pPr>
        <w:pStyle w:val="Heading2"/>
      </w:pPr>
      <w:bookmarkStart w:id="150" w:name="_Toc117765961"/>
      <w:r w:rsidRPr="00DD46F9">
        <w:t>Discussion</w:t>
      </w:r>
      <w:bookmarkEnd w:id="150"/>
    </w:p>
    <w:p w14:paraId="225881C4" w14:textId="4FC23A1C" w:rsidR="00313CB1" w:rsidRPr="00241369" w:rsidRDefault="00313CB1" w:rsidP="006B135A">
      <w:pPr>
        <w:pStyle w:val="Heading3"/>
        <w:spacing w:before="0" w:line="360" w:lineRule="auto"/>
      </w:pPr>
      <w:bookmarkStart w:id="151" w:name="_Toc117765962"/>
      <w:r w:rsidRPr="00241369">
        <w:t>Main findings</w:t>
      </w:r>
      <w:bookmarkEnd w:id="151"/>
    </w:p>
    <w:p w14:paraId="38770F86" w14:textId="685827CC" w:rsidR="00313CB1" w:rsidRPr="00241369" w:rsidRDefault="00FB1269" w:rsidP="00284867">
      <w:pPr>
        <w:spacing w:after="160" w:line="360" w:lineRule="auto"/>
      </w:pPr>
      <w:r>
        <w:t>T</w:t>
      </w:r>
      <w:r w:rsidR="00313CB1" w:rsidRPr="00241369">
        <w:t xml:space="preserve">he overriding factor </w:t>
      </w:r>
      <w:r>
        <w:t>influencing parental decisions about the uptake of antibiotic prophylaxis</w:t>
      </w:r>
      <w:r w:rsidR="00BB4E5E">
        <w:t xml:space="preserve">, </w:t>
      </w:r>
      <w:r w:rsidR="00313CB1" w:rsidRPr="00241369">
        <w:t>is wanting their child to be well now. Factors such as quality of life, social circumstances and health literacy contribute to this decision</w:t>
      </w:r>
      <w:r w:rsidR="003B2C63">
        <w:t>-</w:t>
      </w:r>
      <w:r w:rsidR="00313CB1" w:rsidRPr="00241369">
        <w:t xml:space="preserve">making process. The main concern </w:t>
      </w:r>
      <w:r w:rsidR="00BB4E5E">
        <w:t>voiced by</w:t>
      </w:r>
      <w:r w:rsidR="00313CB1" w:rsidRPr="00241369">
        <w:t xml:space="preserve"> most parents is that of antibiotic resistance. They accept that their children are at risk due to their high antibiotic usage</w:t>
      </w:r>
      <w:r w:rsidR="003B2C63">
        <w:t xml:space="preserve"> but </w:t>
      </w:r>
      <w:r w:rsidR="00313CB1" w:rsidRPr="00241369">
        <w:t xml:space="preserve">antibiotic resistance is </w:t>
      </w:r>
      <w:r w:rsidR="003B2C63">
        <w:t xml:space="preserve">usually </w:t>
      </w:r>
      <w:r w:rsidR="00313CB1" w:rsidRPr="00241369">
        <w:t xml:space="preserve">seen to be a problem of the future not the present. </w:t>
      </w:r>
    </w:p>
    <w:p w14:paraId="22E0F34F" w14:textId="0978A5EA" w:rsidR="00E55790" w:rsidRDefault="00313CB1" w:rsidP="00284867">
      <w:pPr>
        <w:spacing w:after="160" w:line="360" w:lineRule="auto"/>
        <w:rPr>
          <w:lang w:val="en-US"/>
        </w:rPr>
      </w:pPr>
      <w:r w:rsidRPr="00241369">
        <w:t>B</w:t>
      </w:r>
      <w:r w:rsidR="0028782E">
        <w:t xml:space="preserve">y reflecting on </w:t>
      </w:r>
      <w:r w:rsidRPr="00241369">
        <w:t xml:space="preserve">the main themes and subthemes that </w:t>
      </w:r>
      <w:r w:rsidR="0028782E">
        <w:t xml:space="preserve">emerged </w:t>
      </w:r>
      <w:r w:rsidRPr="00241369">
        <w:t xml:space="preserve">from the interviews, I </w:t>
      </w:r>
      <w:r w:rsidR="0028782E">
        <w:t>was able to further condense these into key</w:t>
      </w:r>
      <w:r w:rsidR="00380F76">
        <w:t xml:space="preserve"> concepts to describe </w:t>
      </w:r>
      <w:r w:rsidRPr="00241369">
        <w:t>the parental experience of having a child prescribed prophylactic antibiotics.</w:t>
      </w:r>
      <w:r w:rsidR="0028782E">
        <w:t xml:space="preserve"> I incorporated the concepts into a diagram through consideration of how they linked to each other. </w:t>
      </w:r>
      <w:r w:rsidR="00890C83">
        <w:t xml:space="preserve">Through an iterative process and in discussion with </w:t>
      </w:r>
      <w:r w:rsidR="003B2C63" w:rsidRPr="003B2C63">
        <w:t>Andrew Lee (Professor of Public Health, School of Health and Related R</w:t>
      </w:r>
      <w:r w:rsidR="00D453FB">
        <w:t>e</w:t>
      </w:r>
      <w:r w:rsidR="003B2C63" w:rsidRPr="003B2C63">
        <w:t xml:space="preserve">search, University of Sheffield), who has a particular interest in qualitative research, </w:t>
      </w:r>
      <w:r w:rsidR="00380F76">
        <w:t>my initial linear model developed into a cycle of phases given the fact that many children are prescribed long-term prophylactic antibiotics for 6</w:t>
      </w:r>
      <w:r w:rsidR="00897C81">
        <w:t>-</w:t>
      </w:r>
      <w:r w:rsidR="00380F76">
        <w:t xml:space="preserve">months of every year. I then developed key words to represent the underlying </w:t>
      </w:r>
      <w:r w:rsidR="0031447C">
        <w:t>concepts</w:t>
      </w:r>
      <w:r w:rsidR="00380F76">
        <w:t xml:space="preserve"> in discussion with Andrew Lee. </w:t>
      </w:r>
      <w:r w:rsidRPr="00241369">
        <w:t xml:space="preserve">We propose the following behavioural model </w:t>
      </w:r>
      <w:r w:rsidR="00380F76">
        <w:t xml:space="preserve">to </w:t>
      </w:r>
      <w:r w:rsidR="00BB4E5E">
        <w:t>describ</w:t>
      </w:r>
      <w:r w:rsidR="00380F76">
        <w:t>e</w:t>
      </w:r>
      <w:r w:rsidR="00BB4E5E">
        <w:t xml:space="preserve"> phases parents cycle through once their child </w:t>
      </w:r>
      <w:r w:rsidRPr="00241369">
        <w:t>is prescribed ant</w:t>
      </w:r>
      <w:r w:rsidR="008367DC">
        <w:t>ibiotic prophylaxis (</w:t>
      </w:r>
      <w:r w:rsidR="00161001" w:rsidRPr="00161001">
        <w:fldChar w:fldCharType="begin"/>
      </w:r>
      <w:r w:rsidR="00161001" w:rsidRPr="00161001">
        <w:instrText xml:space="preserve"> REF _Ref105446148 \h  \* MERGEFORMAT </w:instrText>
      </w:r>
      <w:r w:rsidR="00161001" w:rsidRPr="00161001">
        <w:fldChar w:fldCharType="separate"/>
      </w:r>
      <w:r w:rsidR="00161001" w:rsidRPr="00161001">
        <w:rPr>
          <w:color w:val="000000" w:themeColor="text1"/>
        </w:rPr>
        <w:t xml:space="preserve">Figure </w:t>
      </w:r>
      <w:r w:rsidR="00161001" w:rsidRPr="00161001">
        <w:rPr>
          <w:noProof/>
          <w:color w:val="000000" w:themeColor="text1"/>
        </w:rPr>
        <w:t>3</w:t>
      </w:r>
      <w:r w:rsidR="00161001" w:rsidRPr="00161001">
        <w:rPr>
          <w:color w:val="000000" w:themeColor="text1"/>
        </w:rPr>
        <w:noBreakHyphen/>
      </w:r>
      <w:r w:rsidR="00161001" w:rsidRPr="00161001">
        <w:rPr>
          <w:noProof/>
          <w:color w:val="000000" w:themeColor="text1"/>
        </w:rPr>
        <w:t>2</w:t>
      </w:r>
      <w:r w:rsidR="00161001" w:rsidRPr="00161001">
        <w:fldChar w:fldCharType="end"/>
      </w:r>
      <w:r w:rsidR="008367DC" w:rsidRPr="00161001">
        <w:t>)</w:t>
      </w:r>
      <w:r w:rsidR="008367DC">
        <w:t>.</w:t>
      </w:r>
      <w:r w:rsidR="00E55790">
        <w:t xml:space="preserve"> </w:t>
      </w:r>
      <w:r w:rsidR="00E55790" w:rsidRPr="00E55790">
        <w:rPr>
          <w:lang w:val="en-US"/>
        </w:rPr>
        <w:t>The model illustrates how the key themes inter-relate</w:t>
      </w:r>
      <w:r w:rsidR="00E55790">
        <w:rPr>
          <w:lang w:val="en-US"/>
        </w:rPr>
        <w:t xml:space="preserve">. </w:t>
      </w:r>
      <w:r w:rsidR="00E55790" w:rsidRPr="00E55790">
        <w:rPr>
          <w:lang w:val="en-US"/>
        </w:rPr>
        <w:t>An awareness of this cycle may help clinicians prepare families for prophylaxis, pre-empt potential difficulties and focus on areas to improve the family’s experience</w:t>
      </w:r>
      <w:r w:rsidR="00265C01">
        <w:rPr>
          <w:lang w:val="en-US"/>
        </w:rPr>
        <w:t xml:space="preserve"> (se</w:t>
      </w:r>
      <w:r w:rsidR="00265C01" w:rsidRPr="006B135A">
        <w:rPr>
          <w:lang w:val="en-US"/>
        </w:rPr>
        <w:t xml:space="preserve">e appendix </w:t>
      </w:r>
      <w:r w:rsidR="00940BDB">
        <w:rPr>
          <w:lang w:val="en-US"/>
        </w:rPr>
        <w:t>6</w:t>
      </w:r>
      <w:r w:rsidR="00265C01" w:rsidRPr="006B135A">
        <w:rPr>
          <w:lang w:val="en-US"/>
        </w:rPr>
        <w:t xml:space="preserve"> for further explanation of the phases in the model)</w:t>
      </w:r>
      <w:r w:rsidR="00E55790" w:rsidRPr="006B135A">
        <w:rPr>
          <w:lang w:val="en-US"/>
        </w:rPr>
        <w:t>.</w:t>
      </w:r>
    </w:p>
    <w:p w14:paraId="5ECD7639" w14:textId="77777777" w:rsidR="00D17E6A" w:rsidRDefault="00D17E6A" w:rsidP="00386BD8">
      <w:pPr>
        <w:spacing w:line="360" w:lineRule="auto"/>
        <w:rPr>
          <w:lang w:val="en-US"/>
        </w:rPr>
      </w:pPr>
    </w:p>
    <w:p w14:paraId="2D098314" w14:textId="77777777" w:rsidR="00D17E6A" w:rsidRDefault="00D17E6A" w:rsidP="00386BD8">
      <w:pPr>
        <w:spacing w:line="360" w:lineRule="auto"/>
        <w:rPr>
          <w:lang w:val="en-US"/>
        </w:rPr>
      </w:pPr>
    </w:p>
    <w:p w14:paraId="0FCB1F5A" w14:textId="043CD6CF" w:rsidR="0098157F" w:rsidRDefault="0098157F" w:rsidP="00386BD8">
      <w:pPr>
        <w:spacing w:line="360" w:lineRule="auto"/>
        <w:rPr>
          <w:lang w:val="en-US"/>
        </w:rPr>
      </w:pPr>
      <w:r>
        <w:rPr>
          <w:noProof/>
        </w:rPr>
        <mc:AlternateContent>
          <mc:Choice Requires="wps">
            <w:drawing>
              <wp:anchor distT="0" distB="0" distL="114300" distR="114300" simplePos="0" relativeHeight="251726336" behindDoc="0" locked="0" layoutInCell="1" allowOverlap="1" wp14:anchorId="24368174" wp14:editId="7857248F">
                <wp:simplePos x="0" y="0"/>
                <wp:positionH relativeFrom="column">
                  <wp:posOffset>1724660</wp:posOffset>
                </wp:positionH>
                <wp:positionV relativeFrom="paragraph">
                  <wp:posOffset>44450</wp:posOffset>
                </wp:positionV>
                <wp:extent cx="2324100" cy="885825"/>
                <wp:effectExtent l="0" t="0" r="0" b="9525"/>
                <wp:wrapNone/>
                <wp:docPr id="66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85825"/>
                        </a:xfrm>
                        <a:prstGeom prst="rect">
                          <a:avLst/>
                        </a:prstGeom>
                        <a:solidFill>
                          <a:srgbClr val="FFFFFF"/>
                        </a:solidFill>
                        <a:ln w="9525">
                          <a:solidFill>
                            <a:srgbClr val="000000"/>
                          </a:solidFill>
                          <a:miter lim="800000"/>
                          <a:headEnd/>
                          <a:tailEnd/>
                        </a:ln>
                      </wps:spPr>
                      <wps:txbx>
                        <w:txbxContent>
                          <w:p w14:paraId="6A02A2A3"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 xml:space="preserve">Assessment threshold reflection </w:t>
                            </w:r>
                          </w:p>
                          <w:p w14:paraId="02262ED8"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Consider parenting response</w:t>
                            </w:r>
                          </w:p>
                          <w:p w14:paraId="0DDFCFF7"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 xml:space="preserve">Adherence: Reinforced </w:t>
                            </w:r>
                          </w:p>
                          <w:p w14:paraId="5E39F2C0" w14:textId="77777777" w:rsidR="00600985" w:rsidRDefault="00600985">
                            <w:pPr>
                              <w:pStyle w:val="ListParagraph"/>
                              <w:numPr>
                                <w:ilvl w:val="0"/>
                                <w:numId w:val="20"/>
                              </w:numPr>
                              <w:spacing w:after="0" w:line="256" w:lineRule="auto"/>
                              <w:rPr>
                                <w:rFonts w:eastAsia="Times New Roman"/>
                              </w:rPr>
                            </w:pPr>
                            <w:proofErr w:type="spellStart"/>
                            <w:r>
                              <w:rPr>
                                <w:rFonts w:ascii="Calibri" w:eastAsia="Calibri" w:hAnsi="Calibri"/>
                                <w:color w:val="000000"/>
                                <w:lang w:val="en-US"/>
                              </w:rPr>
                              <w:t>Rationalise</w:t>
                            </w:r>
                            <w:proofErr w:type="spellEnd"/>
                            <w:r>
                              <w:rPr>
                                <w:rFonts w:ascii="Calibri" w:eastAsia="Calibri" w:hAnsi="Calibri"/>
                                <w:color w:val="000000"/>
                                <w:lang w:val="en-US"/>
                              </w:rPr>
                              <w:t xml:space="preserve"> fears and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68174" id="Text Box 668" o:spid="_x0000_s1048" type="#_x0000_t202" style="position:absolute;margin-left:135.8pt;margin-top:3.5pt;width:183pt;height:69.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">
                <v:textbox>
                  <w:txbxContent>
                    <w:p w14:paraId="6A02A2A3"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 xml:space="preserve">Assessment threshold reflection </w:t>
                      </w:r>
                    </w:p>
                    <w:p w14:paraId="02262ED8"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Consider parenting response</w:t>
                      </w:r>
                    </w:p>
                    <w:p w14:paraId="0DDFCFF7" w14:textId="77777777" w:rsidR="00600985" w:rsidRDefault="00600985">
                      <w:pPr>
                        <w:pStyle w:val="ListParagraph"/>
                        <w:numPr>
                          <w:ilvl w:val="0"/>
                          <w:numId w:val="20"/>
                        </w:numPr>
                        <w:spacing w:after="0" w:line="256" w:lineRule="auto"/>
                        <w:rPr>
                          <w:rFonts w:eastAsia="Times New Roman"/>
                        </w:rPr>
                      </w:pPr>
                      <w:r>
                        <w:rPr>
                          <w:rFonts w:ascii="Calibri" w:eastAsia="Calibri" w:hAnsi="Calibri"/>
                          <w:color w:val="000000"/>
                          <w:lang w:val="en-US"/>
                        </w:rPr>
                        <w:t xml:space="preserve">Adherence: Reinforced </w:t>
                      </w:r>
                    </w:p>
                    <w:p w14:paraId="5E39F2C0" w14:textId="77777777" w:rsidR="00600985" w:rsidRDefault="00600985">
                      <w:pPr>
                        <w:pStyle w:val="ListParagraph"/>
                        <w:numPr>
                          <w:ilvl w:val="0"/>
                          <w:numId w:val="20"/>
                        </w:numPr>
                        <w:spacing w:after="0" w:line="256" w:lineRule="auto"/>
                        <w:rPr>
                          <w:rFonts w:eastAsia="Times New Roman"/>
                        </w:rPr>
                      </w:pPr>
                      <w:proofErr w:type="spellStart"/>
                      <w:r>
                        <w:rPr>
                          <w:rFonts w:ascii="Calibri" w:eastAsia="Calibri" w:hAnsi="Calibri"/>
                          <w:color w:val="000000"/>
                          <w:lang w:val="en-US"/>
                        </w:rPr>
                        <w:t>Rationalise</w:t>
                      </w:r>
                      <w:proofErr w:type="spellEnd"/>
                      <w:r>
                        <w:rPr>
                          <w:rFonts w:ascii="Calibri" w:eastAsia="Calibri" w:hAnsi="Calibri"/>
                          <w:color w:val="000000"/>
                          <w:lang w:val="en-US"/>
                        </w:rPr>
                        <w:t xml:space="preserve"> fears and concerns</w:t>
                      </w:r>
                    </w:p>
                  </w:txbxContent>
                </v:textbox>
              </v:shape>
            </w:pict>
          </mc:Fallback>
        </mc:AlternateContent>
      </w:r>
    </w:p>
    <w:p w14:paraId="6EE4F90C" w14:textId="3B8DB6AC" w:rsidR="00ED22C7" w:rsidRDefault="00ED22C7" w:rsidP="00386BD8">
      <w:pPr>
        <w:spacing w:line="360" w:lineRule="auto"/>
      </w:pPr>
    </w:p>
    <w:p w14:paraId="613333B3" w14:textId="2DCF03AD" w:rsidR="00ED22C7" w:rsidRDefault="003A2F05" w:rsidP="00386BD8">
      <w:pPr>
        <w:spacing w:line="360" w:lineRule="auto"/>
      </w:pPr>
      <w:r>
        <w:rPr>
          <w:noProof/>
        </w:rPr>
        <mc:AlternateContent>
          <mc:Choice Requires="wps">
            <w:drawing>
              <wp:anchor distT="0" distB="0" distL="114300" distR="114300" simplePos="0" relativeHeight="251737600" behindDoc="0" locked="0" layoutInCell="1" allowOverlap="1" wp14:anchorId="136C9DC1" wp14:editId="2EBCE03A">
                <wp:simplePos x="0" y="0"/>
                <wp:positionH relativeFrom="column">
                  <wp:posOffset>4200525</wp:posOffset>
                </wp:positionH>
                <wp:positionV relativeFrom="paragraph">
                  <wp:posOffset>11430</wp:posOffset>
                </wp:positionV>
                <wp:extent cx="1494790" cy="734695"/>
                <wp:effectExtent l="0" t="0" r="10160" b="27305"/>
                <wp:wrapNone/>
                <wp:docPr id="66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734695"/>
                        </a:xfrm>
                        <a:prstGeom prst="rect">
                          <a:avLst/>
                        </a:prstGeom>
                        <a:solidFill>
                          <a:srgbClr val="FFFF00"/>
                        </a:solidFill>
                        <a:ln w="9525">
                          <a:solidFill>
                            <a:srgbClr val="000000"/>
                          </a:solidFill>
                          <a:miter lim="800000"/>
                          <a:headEnd/>
                          <a:tailEnd/>
                        </a:ln>
                      </wps:spPr>
                      <wps:txbx>
                        <w:txbxContent>
                          <w:p w14:paraId="70228D2F" w14:textId="77777777" w:rsidR="00600985" w:rsidRDefault="00600985" w:rsidP="00386BD8">
                            <w:pPr>
                              <w:spacing w:line="256" w:lineRule="auto"/>
                              <w:jc w:val="center"/>
                            </w:pPr>
                            <w:r>
                              <w:rPr>
                                <w:rFonts w:ascii="Calibri" w:eastAsia="Calibri" w:hAnsi="Calibri"/>
                                <w:b/>
                                <w:bCs/>
                                <w:color w:val="000000"/>
                                <w:lang w:val="en-US"/>
                              </w:rPr>
                              <w:t>Antibiotic prophylaxis discussed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6C9DC1" id="Text Box 667" o:spid="_x0000_s1049" type="#_x0000_t202" style="position:absolute;margin-left:330.75pt;margin-top:.9pt;width:117.7pt;height:57.8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" fillcolor="yellow">
                <v:textbox>
                  <w:txbxContent>
                    <w:p w14:paraId="70228D2F" w14:textId="77777777" w:rsidR="00600985" w:rsidRDefault="00600985" w:rsidP="00386BD8">
                      <w:pPr>
                        <w:spacing w:line="256" w:lineRule="auto"/>
                        <w:jc w:val="center"/>
                      </w:pPr>
                      <w:r>
                        <w:rPr>
                          <w:rFonts w:ascii="Calibri" w:eastAsia="Calibri" w:hAnsi="Calibri"/>
                          <w:b/>
                          <w:bCs/>
                          <w:color w:val="000000"/>
                          <w:lang w:val="en-US"/>
                        </w:rPr>
                        <w:t>Antibiotic prophylaxis discussed</w:t>
                      </w:r>
                    </w:p>
                  </w:txbxContent>
                </v:textbox>
              </v:shape>
            </w:pict>
          </mc:Fallback>
        </mc:AlternateContent>
      </w:r>
    </w:p>
    <w:p w14:paraId="04533AEA" w14:textId="2CA41539" w:rsidR="00ED22C7" w:rsidRPr="00386BD8" w:rsidRDefault="00ED22C7" w:rsidP="00386BD8">
      <w:pPr>
        <w:spacing w:line="360" w:lineRule="auto"/>
      </w:pPr>
    </w:p>
    <w:p w14:paraId="2E277664" w14:textId="78FE3458" w:rsidR="00386BD8" w:rsidRPr="00386BD8" w:rsidRDefault="00D17E6A" w:rsidP="00D17E6A">
      <w:pPr>
        <w:spacing w:line="360" w:lineRule="auto"/>
        <w:jc w:val="center"/>
        <w:rPr>
          <w:b/>
        </w:rPr>
      </w:pPr>
      <w:r>
        <w:rPr>
          <w:noProof/>
        </w:rPr>
        <mc:AlternateContent>
          <mc:Choice Requires="wps">
            <w:drawing>
              <wp:anchor distT="0" distB="0" distL="114300" distR="114300" simplePos="0" relativeHeight="251727360" behindDoc="0" locked="0" layoutInCell="1" allowOverlap="1" wp14:anchorId="348F3ECC" wp14:editId="44BDD7EA">
                <wp:simplePos x="0" y="0"/>
                <wp:positionH relativeFrom="column">
                  <wp:posOffset>4933950</wp:posOffset>
                </wp:positionH>
                <wp:positionV relativeFrom="paragraph">
                  <wp:posOffset>1133475</wp:posOffset>
                </wp:positionV>
                <wp:extent cx="1295400" cy="1085850"/>
                <wp:effectExtent l="0" t="0" r="19050" b="1905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85850"/>
                        </a:xfrm>
                        <a:prstGeom prst="rect">
                          <a:avLst/>
                        </a:prstGeom>
                        <a:solidFill>
                          <a:srgbClr val="FFFFFF"/>
                        </a:solidFill>
                        <a:ln w="9525">
                          <a:solidFill>
                            <a:srgbClr val="000000"/>
                          </a:solidFill>
                          <a:miter lim="800000"/>
                          <a:headEnd/>
                          <a:tailEnd/>
                        </a:ln>
                      </wps:spPr>
                      <wps:txbx>
                        <w:txbxContent>
                          <w:p w14:paraId="6E0DCF9A"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lang w:val="en-US"/>
                              </w:rPr>
                              <w:t>Balances risks and benefits</w:t>
                            </w:r>
                          </w:p>
                          <w:p w14:paraId="22E22E59"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rPr>
                              <w:t>Acceptance of outcome</w:t>
                            </w:r>
                          </w:p>
                          <w:p w14:paraId="5A18D948"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lang w:val="en-US"/>
                              </w:rPr>
                              <w:t>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348F3ECC" id="Text Box 666" o:spid="_x0000_s1050" type="#_x0000_t202" style="position:absolute;left:0;text-align:left;margin-left:388.5pt;margin-top:89.25pt;width:102pt;height:8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">
                <v:textbox>
                  <w:txbxContent>
                    <w:p w14:paraId="6E0DCF9A"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lang w:val="en-US"/>
                        </w:rPr>
                        <w:t>Balances risks and benefits</w:t>
                      </w:r>
                    </w:p>
                    <w:p w14:paraId="22E22E59"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rPr>
                        <w:t>Acceptance of outcome</w:t>
                      </w:r>
                    </w:p>
                    <w:p w14:paraId="5A18D948" w14:textId="77777777" w:rsidR="00600985" w:rsidRDefault="00600985">
                      <w:pPr>
                        <w:pStyle w:val="ListParagraph"/>
                        <w:numPr>
                          <w:ilvl w:val="0"/>
                          <w:numId w:val="21"/>
                        </w:numPr>
                        <w:spacing w:after="0" w:line="256" w:lineRule="auto"/>
                        <w:rPr>
                          <w:rFonts w:eastAsia="Times New Roman"/>
                        </w:rPr>
                      </w:pPr>
                      <w:r>
                        <w:rPr>
                          <w:rFonts w:ascii="Calibri" w:eastAsia="Calibri" w:hAnsi="Calibri"/>
                          <w:color w:val="000000"/>
                          <w:lang w:val="en-US"/>
                        </w:rPr>
                        <w:t>Preparation</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6275DBD3" wp14:editId="1F3331D3">
                <wp:simplePos x="0" y="0"/>
                <wp:positionH relativeFrom="column">
                  <wp:posOffset>-542925</wp:posOffset>
                </wp:positionH>
                <wp:positionV relativeFrom="paragraph">
                  <wp:posOffset>1151255</wp:posOffset>
                </wp:positionV>
                <wp:extent cx="1609725" cy="1019175"/>
                <wp:effectExtent l="0" t="0" r="9525" b="9525"/>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019175"/>
                        </a:xfrm>
                        <a:prstGeom prst="rect">
                          <a:avLst/>
                        </a:prstGeom>
                        <a:solidFill>
                          <a:srgbClr val="FFFFFF"/>
                        </a:solidFill>
                        <a:ln w="9525">
                          <a:solidFill>
                            <a:srgbClr val="000000"/>
                          </a:solidFill>
                          <a:miter lim="800000"/>
                          <a:headEnd/>
                          <a:tailEnd/>
                        </a:ln>
                      </wps:spPr>
                      <wps:txbx>
                        <w:txbxContent>
                          <w:p w14:paraId="2863EA56" w14:textId="77777777" w:rsidR="00600985" w:rsidRPr="00282176" w:rsidRDefault="00600985">
                            <w:pPr>
                              <w:pStyle w:val="ListParagraph"/>
                              <w:numPr>
                                <w:ilvl w:val="0"/>
                                <w:numId w:val="25"/>
                              </w:numPr>
                              <w:spacing w:after="0" w:line="256" w:lineRule="auto"/>
                              <w:rPr>
                                <w:rFonts w:eastAsia="Times New Roman"/>
                              </w:rPr>
                            </w:pPr>
                            <w:r w:rsidRPr="00282176">
                              <w:rPr>
                                <w:rFonts w:ascii="Calibri" w:eastAsia="Calibri" w:hAnsi="Calibri"/>
                                <w:color w:val="000000"/>
                              </w:rPr>
                              <w:t xml:space="preserve">Emotive </w:t>
                            </w:r>
                            <w:r>
                              <w:rPr>
                                <w:rFonts w:hAnsi="Wingdings"/>
                              </w:rPr>
                              <w:sym w:font="Wingdings" w:char="F0E0"/>
                            </w:r>
                            <w:r w:rsidRPr="00282176">
                              <w:rPr>
                                <w:rFonts w:ascii="Calibri" w:eastAsia="Calibri" w:hAnsi="Calibri"/>
                                <w:color w:val="000000"/>
                              </w:rPr>
                              <w:t>Objective</w:t>
                            </w:r>
                          </w:p>
                          <w:p w14:paraId="1C21AD1A" w14:textId="77777777" w:rsidR="00600985" w:rsidRDefault="00600985">
                            <w:pPr>
                              <w:pStyle w:val="ListParagraph"/>
                              <w:numPr>
                                <w:ilvl w:val="0"/>
                                <w:numId w:val="19"/>
                              </w:numPr>
                              <w:spacing w:after="0" w:line="256" w:lineRule="auto"/>
                              <w:rPr>
                                <w:rFonts w:eastAsia="Times New Roman"/>
                              </w:rPr>
                            </w:pPr>
                            <w:r>
                              <w:rPr>
                                <w:rFonts w:ascii="Calibri" w:eastAsia="Calibri" w:hAnsi="Calibri"/>
                                <w:color w:val="000000"/>
                              </w:rPr>
                              <w:t>Overcome barriers: Practical and social norms</w:t>
                            </w:r>
                          </w:p>
                          <w:p w14:paraId="52FA7957" w14:textId="77777777" w:rsidR="00600985" w:rsidRDefault="00600985">
                            <w:pPr>
                              <w:pStyle w:val="ListParagraph"/>
                              <w:numPr>
                                <w:ilvl w:val="0"/>
                                <w:numId w:val="19"/>
                              </w:numPr>
                              <w:spacing w:after="0" w:line="256" w:lineRule="auto"/>
                              <w:rPr>
                                <w:rFonts w:eastAsia="Times New Roman"/>
                              </w:rPr>
                            </w:pPr>
                            <w:r>
                              <w:rPr>
                                <w:rFonts w:ascii="Calibri" w:eastAsia="Calibri" w:hAnsi="Calibri"/>
                                <w:color w:val="000000"/>
                              </w:rPr>
                              <w:t>Drive to take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5DBD3" id="Text Box 665" o:spid="_x0000_s1051" type="#_x0000_t202" style="position:absolute;left:0;text-align:left;margin-left:-42.75pt;margin-top:90.65pt;width:126.75pt;height:8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">
                <v:textbox>
                  <w:txbxContent>
                    <w:p w14:paraId="2863EA56" w14:textId="77777777" w:rsidR="00600985" w:rsidRPr="00282176" w:rsidRDefault="00600985">
                      <w:pPr>
                        <w:pStyle w:val="ListParagraph"/>
                        <w:numPr>
                          <w:ilvl w:val="0"/>
                          <w:numId w:val="25"/>
                        </w:numPr>
                        <w:spacing w:after="0" w:line="256" w:lineRule="auto"/>
                        <w:rPr>
                          <w:rFonts w:eastAsia="Times New Roman"/>
                        </w:rPr>
                      </w:pPr>
                      <w:r w:rsidRPr="00282176">
                        <w:rPr>
                          <w:rFonts w:ascii="Calibri" w:eastAsia="Calibri" w:hAnsi="Calibri"/>
                          <w:color w:val="000000"/>
                        </w:rPr>
                        <w:t xml:space="preserve">Emotive </w:t>
                      </w:r>
                      <w:r>
                        <w:rPr>
                          <w:rFonts w:hAnsi="Wingdings"/>
                        </w:rPr>
                        <w:sym w:font="Wingdings" w:char="F0E0"/>
                      </w:r>
                      <w:r w:rsidRPr="00282176">
                        <w:rPr>
                          <w:rFonts w:ascii="Calibri" w:eastAsia="Calibri" w:hAnsi="Calibri"/>
                          <w:color w:val="000000"/>
                        </w:rPr>
                        <w:t>Objective</w:t>
                      </w:r>
                    </w:p>
                    <w:p w14:paraId="1C21AD1A" w14:textId="77777777" w:rsidR="00600985" w:rsidRDefault="00600985">
                      <w:pPr>
                        <w:pStyle w:val="ListParagraph"/>
                        <w:numPr>
                          <w:ilvl w:val="0"/>
                          <w:numId w:val="19"/>
                        </w:numPr>
                        <w:spacing w:after="0" w:line="256" w:lineRule="auto"/>
                        <w:rPr>
                          <w:rFonts w:eastAsia="Times New Roman"/>
                        </w:rPr>
                      </w:pPr>
                      <w:r>
                        <w:rPr>
                          <w:rFonts w:ascii="Calibri" w:eastAsia="Calibri" w:hAnsi="Calibri"/>
                          <w:color w:val="000000"/>
                        </w:rPr>
                        <w:t>Overcome barriers: Practical and social norms</w:t>
                      </w:r>
                    </w:p>
                    <w:p w14:paraId="52FA7957" w14:textId="77777777" w:rsidR="00600985" w:rsidRDefault="00600985">
                      <w:pPr>
                        <w:pStyle w:val="ListParagraph"/>
                        <w:numPr>
                          <w:ilvl w:val="0"/>
                          <w:numId w:val="19"/>
                        </w:numPr>
                        <w:spacing w:after="0" w:line="256" w:lineRule="auto"/>
                        <w:rPr>
                          <w:rFonts w:eastAsia="Times New Roman"/>
                        </w:rPr>
                      </w:pPr>
                      <w:r>
                        <w:rPr>
                          <w:rFonts w:ascii="Calibri" w:eastAsia="Calibri" w:hAnsi="Calibri"/>
                          <w:color w:val="000000"/>
                        </w:rPr>
                        <w:t>Drive to take action</w:t>
                      </w:r>
                    </w:p>
                  </w:txbxContent>
                </v:textbox>
              </v:shape>
            </w:pict>
          </mc:Fallback>
        </mc:AlternateContent>
      </w:r>
      <w:r w:rsidR="00EB0610">
        <w:rPr>
          <w:noProof/>
        </w:rPr>
        <mc:AlternateContent>
          <mc:Choice Requires="wps">
            <w:drawing>
              <wp:anchor distT="0" distB="0" distL="114300" distR="114300" simplePos="0" relativeHeight="251738624" behindDoc="0" locked="0" layoutInCell="1" allowOverlap="1" wp14:anchorId="16D12B98" wp14:editId="7D7A5AD4">
                <wp:simplePos x="0" y="0"/>
                <wp:positionH relativeFrom="column">
                  <wp:posOffset>4048125</wp:posOffset>
                </wp:positionH>
                <wp:positionV relativeFrom="paragraph">
                  <wp:posOffset>246380</wp:posOffset>
                </wp:positionV>
                <wp:extent cx="790575" cy="752475"/>
                <wp:effectExtent l="38100" t="19050" r="9525" b="28575"/>
                <wp:wrapNone/>
                <wp:docPr id="664" name="Straight Arrow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0575" cy="7524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09C678" id="Straight Arrow Connector 664" o:spid="_x0000_s1026" type="#_x0000_t32" style="position:absolute;margin-left:318.75pt;margin-top:19.4pt;width:62.25pt;height:59.2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" strokecolor="black [3213]" strokeweight="3pt">
                <v:stroke endarrow="open" joinstyle="miter"/>
                <o:lock v:ext="edit" shapetype="f"/>
              </v:shape>
            </w:pict>
          </mc:Fallback>
        </mc:AlternateContent>
      </w:r>
      <w:r w:rsidR="00ED22C7">
        <w:rPr>
          <w:noProof/>
        </w:rPr>
        <w:drawing>
          <wp:inline distT="0" distB="0" distL="0" distR="0" wp14:anchorId="4CFB6DF5" wp14:editId="055CFA22">
            <wp:extent cx="5305425" cy="3181350"/>
            <wp:effectExtent l="0" t="95250" r="0" b="114300"/>
            <wp:docPr id="325" name="Diagram 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AF5A9D4" w14:textId="4B2B0170" w:rsidR="00386BD8" w:rsidRDefault="00D17E6A" w:rsidP="00386BD8">
      <w:pPr>
        <w:spacing w:line="360" w:lineRule="auto"/>
        <w:rPr>
          <w:b/>
        </w:rPr>
      </w:pPr>
      <w:r>
        <w:rPr>
          <w:noProof/>
        </w:rPr>
        <mc:AlternateContent>
          <mc:Choice Requires="wps">
            <w:drawing>
              <wp:anchor distT="0" distB="0" distL="114300" distR="114300" simplePos="0" relativeHeight="251728384" behindDoc="0" locked="0" layoutInCell="1" allowOverlap="1" wp14:anchorId="6E3BFF3B" wp14:editId="3F8EF4C4">
                <wp:simplePos x="0" y="0"/>
                <wp:positionH relativeFrom="column">
                  <wp:posOffset>1352550</wp:posOffset>
                </wp:positionH>
                <wp:positionV relativeFrom="paragraph">
                  <wp:posOffset>67310</wp:posOffset>
                </wp:positionV>
                <wp:extent cx="3259455" cy="87630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5" cy="876300"/>
                        </a:xfrm>
                        <a:prstGeom prst="rect">
                          <a:avLst/>
                        </a:prstGeom>
                        <a:solidFill>
                          <a:sysClr val="window" lastClr="FFFFFF"/>
                        </a:solidFill>
                        <a:ln w="6350">
                          <a:solidFill>
                            <a:prstClr val="black"/>
                          </a:solidFill>
                        </a:ln>
                      </wps:spPr>
                      <wps:txbx>
                        <w:txbxContent>
                          <w:p w14:paraId="3AB33927" w14:textId="77777777" w:rsidR="00600985" w:rsidRDefault="00600985">
                            <w:pPr>
                              <w:pStyle w:val="ListParagraph"/>
                              <w:numPr>
                                <w:ilvl w:val="0"/>
                                <w:numId w:val="22"/>
                              </w:numPr>
                              <w:spacing w:after="0" w:line="256" w:lineRule="auto"/>
                              <w:rPr>
                                <w:rFonts w:eastAsia="Times New Roman"/>
                              </w:rPr>
                            </w:pPr>
                            <w:proofErr w:type="spellStart"/>
                            <w:r>
                              <w:rPr>
                                <w:rFonts w:ascii="Calibri" w:eastAsia="Calibri" w:hAnsi="Calibri"/>
                                <w:color w:val="000000"/>
                                <w:lang w:val="en-US"/>
                              </w:rPr>
                              <w:t>Normalisation</w:t>
                            </w:r>
                            <w:proofErr w:type="spellEnd"/>
                            <w:r>
                              <w:rPr>
                                <w:rFonts w:ascii="Calibri" w:eastAsia="Calibri" w:hAnsi="Calibri"/>
                                <w:color w:val="000000"/>
                                <w:lang w:val="en-US"/>
                              </w:rPr>
                              <w:t xml:space="preserve"> through routine </w:t>
                            </w:r>
                          </w:p>
                          <w:p w14:paraId="08A467D6"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lang w:val="en-US"/>
                              </w:rPr>
                              <w:t xml:space="preserve">Security </w:t>
                            </w:r>
                            <w:r>
                              <w:rPr>
                                <w:rFonts w:hAnsi="Wingdings"/>
                                <w:lang w:val="en-US"/>
                              </w:rPr>
                              <w:sym w:font="Wingdings" w:char="F0E0"/>
                            </w:r>
                            <w:r>
                              <w:rPr>
                                <w:rFonts w:ascii="Calibri" w:eastAsia="Calibri" w:hAnsi="Calibri"/>
                                <w:color w:val="000000"/>
                                <w:lang w:val="en-US"/>
                              </w:rPr>
                              <w:t xml:space="preserve"> Reassess life-style restrictions</w:t>
                            </w:r>
                          </w:p>
                          <w:p w14:paraId="263027FA"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lang w:val="en-US"/>
                              </w:rPr>
                              <w:t>Adherence promotes importance or complacency</w:t>
                            </w:r>
                          </w:p>
                          <w:p w14:paraId="207A743E"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rPr>
                              <w:t>Rationalisation – Increases expectations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3BFF3B" id="Text Box 663" o:spid="_x0000_s1052" type="#_x0000_t202" style="position:absolute;margin-left:106.5pt;margin-top:5.3pt;width:256.65pt;height:6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" fillcolor="window" strokeweight=".5pt">
                <v:path arrowok="t"/>
                <v:textbox>
                  <w:txbxContent>
                    <w:p w14:paraId="3AB33927" w14:textId="77777777" w:rsidR="00600985" w:rsidRDefault="00600985">
                      <w:pPr>
                        <w:pStyle w:val="ListParagraph"/>
                        <w:numPr>
                          <w:ilvl w:val="0"/>
                          <w:numId w:val="22"/>
                        </w:numPr>
                        <w:spacing w:after="0" w:line="256" w:lineRule="auto"/>
                        <w:rPr>
                          <w:rFonts w:eastAsia="Times New Roman"/>
                        </w:rPr>
                      </w:pPr>
                      <w:proofErr w:type="spellStart"/>
                      <w:r>
                        <w:rPr>
                          <w:rFonts w:ascii="Calibri" w:eastAsia="Calibri" w:hAnsi="Calibri"/>
                          <w:color w:val="000000"/>
                          <w:lang w:val="en-US"/>
                        </w:rPr>
                        <w:t>Normalisation</w:t>
                      </w:r>
                      <w:proofErr w:type="spellEnd"/>
                      <w:r>
                        <w:rPr>
                          <w:rFonts w:ascii="Calibri" w:eastAsia="Calibri" w:hAnsi="Calibri"/>
                          <w:color w:val="000000"/>
                          <w:lang w:val="en-US"/>
                        </w:rPr>
                        <w:t xml:space="preserve"> through routine </w:t>
                      </w:r>
                    </w:p>
                    <w:p w14:paraId="08A467D6"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lang w:val="en-US"/>
                        </w:rPr>
                        <w:t xml:space="preserve">Security </w:t>
                      </w:r>
                      <w:r>
                        <w:rPr>
                          <w:rFonts w:hAnsi="Wingdings"/>
                          <w:lang w:val="en-US"/>
                        </w:rPr>
                        <w:sym w:font="Wingdings" w:char="F0E0"/>
                      </w:r>
                      <w:r>
                        <w:rPr>
                          <w:rFonts w:ascii="Calibri" w:eastAsia="Calibri" w:hAnsi="Calibri"/>
                          <w:color w:val="000000"/>
                          <w:lang w:val="en-US"/>
                        </w:rPr>
                        <w:t xml:space="preserve"> Reassess life-style restrictions</w:t>
                      </w:r>
                    </w:p>
                    <w:p w14:paraId="263027FA"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lang w:val="en-US"/>
                        </w:rPr>
                        <w:t>Adherence promotes importance or complacency</w:t>
                      </w:r>
                    </w:p>
                    <w:p w14:paraId="207A743E" w14:textId="77777777" w:rsidR="00600985" w:rsidRDefault="00600985">
                      <w:pPr>
                        <w:pStyle w:val="ListParagraph"/>
                        <w:numPr>
                          <w:ilvl w:val="0"/>
                          <w:numId w:val="22"/>
                        </w:numPr>
                        <w:spacing w:after="0" w:line="256" w:lineRule="auto"/>
                        <w:rPr>
                          <w:rFonts w:eastAsia="Times New Roman"/>
                        </w:rPr>
                      </w:pPr>
                      <w:r>
                        <w:rPr>
                          <w:rFonts w:ascii="Calibri" w:eastAsia="Calibri" w:hAnsi="Calibri"/>
                          <w:color w:val="000000"/>
                        </w:rPr>
                        <w:t>Rationalisation – Increases expectations</w:t>
                      </w:r>
                    </w:p>
                  </w:txbxContent>
                </v:textbox>
              </v:shape>
            </w:pict>
          </mc:Fallback>
        </mc:AlternateContent>
      </w:r>
    </w:p>
    <w:p w14:paraId="5CF07D7B" w14:textId="68C44E92" w:rsidR="00ED22C7" w:rsidRDefault="00ED22C7" w:rsidP="00386BD8">
      <w:pPr>
        <w:spacing w:line="360" w:lineRule="auto"/>
        <w:rPr>
          <w:b/>
        </w:rPr>
      </w:pPr>
    </w:p>
    <w:p w14:paraId="110ACFB9" w14:textId="13535091" w:rsidR="00ED22C7" w:rsidRDefault="00ED22C7" w:rsidP="00386BD8">
      <w:pPr>
        <w:spacing w:line="360" w:lineRule="auto"/>
        <w:rPr>
          <w:b/>
        </w:rPr>
      </w:pPr>
    </w:p>
    <w:p w14:paraId="1C5A7B11" w14:textId="2E20D3A9" w:rsidR="0098157F" w:rsidRDefault="0098157F" w:rsidP="00386BD8">
      <w:pPr>
        <w:spacing w:line="360" w:lineRule="auto"/>
        <w:rPr>
          <w:b/>
        </w:rPr>
      </w:pPr>
    </w:p>
    <w:p w14:paraId="3C64C9AB" w14:textId="77777777" w:rsidR="0029431B" w:rsidRDefault="0029431B" w:rsidP="00386BD8">
      <w:pPr>
        <w:spacing w:line="360" w:lineRule="auto"/>
        <w:rPr>
          <w:b/>
        </w:rPr>
      </w:pPr>
    </w:p>
    <w:p w14:paraId="295B6D82" w14:textId="77777777" w:rsidR="0098157F" w:rsidRDefault="0098157F" w:rsidP="00386BD8">
      <w:pPr>
        <w:spacing w:line="360" w:lineRule="auto"/>
      </w:pPr>
    </w:p>
    <w:p w14:paraId="3ADA1A2A" w14:textId="17E35194" w:rsidR="00282176" w:rsidRPr="00E26C49" w:rsidRDefault="00E26C49" w:rsidP="00B54053">
      <w:pPr>
        <w:pStyle w:val="Caption"/>
        <w:spacing w:after="0" w:line="360" w:lineRule="auto"/>
        <w:rPr>
          <w:i w:val="0"/>
          <w:iCs w:val="0"/>
          <w:noProof/>
          <w:color w:val="000000" w:themeColor="text1"/>
          <w:sz w:val="24"/>
          <w:szCs w:val="24"/>
        </w:rPr>
      </w:pPr>
      <w:bookmarkStart w:id="152" w:name="_Ref105446148"/>
      <w:bookmarkStart w:id="153" w:name="_Toc117780217"/>
      <w:r w:rsidRPr="00E26C49">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3</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2</w:t>
      </w:r>
      <w:r w:rsidR="00F42C6F">
        <w:rPr>
          <w:b/>
          <w:bCs/>
          <w:i w:val="0"/>
          <w:iCs w:val="0"/>
          <w:color w:val="000000" w:themeColor="text1"/>
          <w:sz w:val="24"/>
          <w:szCs w:val="24"/>
        </w:rPr>
        <w:fldChar w:fldCharType="end"/>
      </w:r>
      <w:bookmarkEnd w:id="152"/>
      <w:r w:rsidRPr="00E26C49">
        <w:rPr>
          <w:b/>
          <w:bCs/>
          <w:i w:val="0"/>
          <w:iCs w:val="0"/>
          <w:color w:val="000000" w:themeColor="text1"/>
          <w:sz w:val="24"/>
          <w:szCs w:val="24"/>
        </w:rPr>
        <w:t>:</w:t>
      </w:r>
      <w:r w:rsidRPr="00E26C49">
        <w:rPr>
          <w:i w:val="0"/>
          <w:iCs w:val="0"/>
          <w:color w:val="000000" w:themeColor="text1"/>
          <w:sz w:val="24"/>
          <w:szCs w:val="24"/>
        </w:rPr>
        <w:t xml:space="preserve"> A proposed behavioural model to explain the cycle of phases parents experience when their child is prescribed prophylactic antibiotics.</w:t>
      </w:r>
      <w:r w:rsidR="00DD1FC0">
        <w:rPr>
          <w:i w:val="0"/>
          <w:iCs w:val="0"/>
          <w:color w:val="000000" w:themeColor="text1"/>
          <w:sz w:val="24"/>
          <w:szCs w:val="24"/>
        </w:rPr>
        <w:t xml:space="preserve"> Adapted from </w:t>
      </w:r>
      <w:r w:rsidR="0049623E">
        <w:rPr>
          <w:i w:val="0"/>
          <w:iCs w:val="0"/>
          <w:color w:val="000000" w:themeColor="text1"/>
          <w:sz w:val="24"/>
          <w:szCs w:val="24"/>
        </w:rPr>
        <w:fldChar w:fldCharType="begin">
          <w:fldData xml:space="preserve">PEVuZE5vdGU+PENpdGU+PEF1dGhvcj5IYXJkbWFuPC9BdXRob3I+PFllYXI+MjAyMTwvWWVhcj48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</w:fldData>
        </w:fldChar>
      </w:r>
      <w:r w:rsidR="00EE22EB">
        <w:rPr>
          <w:i w:val="0"/>
          <w:iCs w:val="0"/>
          <w:color w:val="000000" w:themeColor="text1"/>
          <w:sz w:val="24"/>
          <w:szCs w:val="24"/>
        </w:rPr>
        <w:instrText xml:space="preserve"> ADDIN EN.CITE </w:instrText>
      </w:r>
      <w:r w:rsidR="00EE22EB">
        <w:rPr>
          <w:i w:val="0"/>
          <w:iCs w:val="0"/>
          <w:color w:val="000000" w:themeColor="text1"/>
          <w:sz w:val="24"/>
          <w:szCs w:val="24"/>
        </w:rPr>
        <w:fldChar w:fldCharType="begin">
          <w:fldData xml:space="preserve">PEVuZE5vdGU+PENpdGU+PEF1dGhvcj5IYXJkbWFuPC9BdXRob3I+PFllYXI+MjAyMTwvWWVhcj48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</w:fldData>
        </w:fldChar>
      </w:r>
      <w:r w:rsidR="00EE22EB">
        <w:rPr>
          <w:i w:val="0"/>
          <w:iCs w:val="0"/>
          <w:color w:val="000000" w:themeColor="text1"/>
          <w:sz w:val="24"/>
          <w:szCs w:val="24"/>
        </w:rPr>
        <w:instrText xml:space="preserve"> ADDIN EN.CITE.DATA </w:instrText>
      </w:r>
      <w:r w:rsidR="00EE22EB">
        <w:rPr>
          <w:i w:val="0"/>
          <w:iCs w:val="0"/>
          <w:color w:val="000000" w:themeColor="text1"/>
          <w:sz w:val="24"/>
          <w:szCs w:val="24"/>
        </w:rPr>
      </w:r>
      <w:r w:rsidR="00EE22EB">
        <w:rPr>
          <w:i w:val="0"/>
          <w:iCs w:val="0"/>
          <w:color w:val="000000" w:themeColor="text1"/>
          <w:sz w:val="24"/>
          <w:szCs w:val="24"/>
        </w:rPr>
        <w:fldChar w:fldCharType="end"/>
      </w:r>
      <w:r w:rsidR="0049623E">
        <w:rPr>
          <w:i w:val="0"/>
          <w:iCs w:val="0"/>
          <w:color w:val="000000" w:themeColor="text1"/>
          <w:sz w:val="24"/>
          <w:szCs w:val="24"/>
        </w:rPr>
      </w:r>
      <w:r w:rsidR="0049623E">
        <w:rPr>
          <w:i w:val="0"/>
          <w:iCs w:val="0"/>
          <w:color w:val="000000" w:themeColor="text1"/>
          <w:sz w:val="24"/>
          <w:szCs w:val="24"/>
        </w:rPr>
        <w:fldChar w:fldCharType="separate"/>
      </w:r>
      <w:r w:rsidR="00EE22EB">
        <w:rPr>
          <w:i w:val="0"/>
          <w:iCs w:val="0"/>
          <w:noProof/>
          <w:color w:val="000000" w:themeColor="text1"/>
          <w:sz w:val="24"/>
          <w:szCs w:val="24"/>
        </w:rPr>
        <w:t>(Hardman et al., 2021)</w:t>
      </w:r>
      <w:bookmarkEnd w:id="153"/>
      <w:r w:rsidR="0049623E">
        <w:rPr>
          <w:i w:val="0"/>
          <w:iCs w:val="0"/>
          <w:color w:val="000000" w:themeColor="text1"/>
          <w:sz w:val="24"/>
          <w:szCs w:val="24"/>
        </w:rPr>
        <w:fldChar w:fldCharType="end"/>
      </w:r>
    </w:p>
    <w:p w14:paraId="2A51209D" w14:textId="008FA1A0" w:rsidR="00D17E6A" w:rsidRDefault="00D17E6A" w:rsidP="00B54053">
      <w:pPr>
        <w:spacing w:line="360" w:lineRule="auto"/>
        <w:rPr>
          <w:bCs/>
          <w:i/>
          <w:iCs/>
        </w:rPr>
      </w:pPr>
    </w:p>
    <w:p w14:paraId="21383458" w14:textId="3B893E53" w:rsidR="00D17E6A" w:rsidRDefault="00D17E6A" w:rsidP="00B54053">
      <w:pPr>
        <w:spacing w:line="360" w:lineRule="auto"/>
        <w:rPr>
          <w:bCs/>
          <w:i/>
          <w:iCs/>
        </w:rPr>
      </w:pPr>
    </w:p>
    <w:p w14:paraId="1B28C368" w14:textId="77777777" w:rsidR="002D04C8" w:rsidRDefault="002D04C8" w:rsidP="00B54053">
      <w:pPr>
        <w:spacing w:line="360" w:lineRule="auto"/>
        <w:rPr>
          <w:bCs/>
          <w:i/>
          <w:iCs/>
        </w:rPr>
      </w:pPr>
    </w:p>
    <w:p w14:paraId="40FD02F4" w14:textId="0F938B3B" w:rsidR="00686563" w:rsidRPr="00E26C49" w:rsidRDefault="00936C0C" w:rsidP="00B54053">
      <w:pPr>
        <w:spacing w:line="360" w:lineRule="auto"/>
        <w:rPr>
          <w:bCs/>
          <w:i/>
          <w:iCs/>
        </w:rPr>
      </w:pPr>
      <w:r>
        <w:rPr>
          <w:bCs/>
          <w:i/>
          <w:iCs/>
        </w:rPr>
        <w:lastRenderedPageBreak/>
        <w:t>P</w:t>
      </w:r>
      <w:r w:rsidR="00386BD8" w:rsidRPr="00E26C49">
        <w:rPr>
          <w:bCs/>
          <w:i/>
          <w:iCs/>
        </w:rPr>
        <w:t>ropose</w:t>
      </w:r>
      <w:r>
        <w:rPr>
          <w:bCs/>
          <w:i/>
          <w:iCs/>
        </w:rPr>
        <w:t>d</w:t>
      </w:r>
      <w:r w:rsidR="00386BD8" w:rsidRPr="00E26C49">
        <w:rPr>
          <w:bCs/>
          <w:i/>
          <w:iCs/>
        </w:rPr>
        <w:t xml:space="preserve"> behavioural model to explain the cycle of phases parents experience when their child is prescribed prophylactic antibiotics to prevent recurrent respiratory tract infections or progression of bronchiectasis. </w:t>
      </w:r>
    </w:p>
    <w:p w14:paraId="57BAB097" w14:textId="19A4DE2F" w:rsidR="00686563" w:rsidRPr="00E26C49" w:rsidRDefault="00686563">
      <w:pPr>
        <w:pStyle w:val="ListParagraph"/>
        <w:numPr>
          <w:ilvl w:val="0"/>
          <w:numId w:val="24"/>
        </w:numPr>
        <w:spacing w:after="0" w:line="360" w:lineRule="auto"/>
        <w:rPr>
          <w:i/>
          <w:iCs/>
          <w:sz w:val="24"/>
          <w:szCs w:val="24"/>
        </w:rPr>
      </w:pPr>
      <w:r w:rsidRPr="00E26C49">
        <w:rPr>
          <w:bCs/>
          <w:i/>
          <w:iCs/>
          <w:sz w:val="24"/>
          <w:szCs w:val="24"/>
          <w:shd w:val="clear" w:color="auto" w:fill="C5E0B3" w:themeFill="accent6" w:themeFillTint="66"/>
        </w:rPr>
        <w:t>Phase 1:</w:t>
      </w:r>
      <w:r w:rsidRPr="00E26C49">
        <w:rPr>
          <w:bCs/>
          <w:i/>
          <w:iCs/>
          <w:sz w:val="24"/>
          <w:szCs w:val="24"/>
        </w:rPr>
        <w:t xml:space="preserve"> Parents go through a decision making process to commence prophylaxis and prepare for long-term antibiotics. </w:t>
      </w:r>
    </w:p>
    <w:p w14:paraId="39B727C3" w14:textId="05D13D90" w:rsidR="001C7E5C" w:rsidRPr="00E26C49" w:rsidRDefault="00686563">
      <w:pPr>
        <w:pStyle w:val="ListParagraph"/>
        <w:numPr>
          <w:ilvl w:val="0"/>
          <w:numId w:val="24"/>
        </w:numPr>
        <w:spacing w:after="0" w:line="360" w:lineRule="auto"/>
        <w:rPr>
          <w:i/>
          <w:iCs/>
          <w:sz w:val="24"/>
          <w:szCs w:val="24"/>
        </w:rPr>
      </w:pPr>
      <w:r w:rsidRPr="00E26C49">
        <w:rPr>
          <w:bCs/>
          <w:i/>
          <w:iCs/>
          <w:sz w:val="24"/>
          <w:szCs w:val="24"/>
          <w:shd w:val="clear" w:color="auto" w:fill="BDD6EE" w:themeFill="accent1" w:themeFillTint="66"/>
        </w:rPr>
        <w:t>Phase 2:</w:t>
      </w:r>
      <w:r w:rsidRPr="00E26C49">
        <w:rPr>
          <w:bCs/>
          <w:i/>
          <w:iCs/>
          <w:sz w:val="24"/>
          <w:szCs w:val="24"/>
        </w:rPr>
        <w:t xml:space="preserve"> A new normality is created incorporating pro</w:t>
      </w:r>
      <w:r w:rsidR="001C7E5C" w:rsidRPr="00E26C49">
        <w:rPr>
          <w:bCs/>
          <w:i/>
          <w:iCs/>
          <w:sz w:val="24"/>
          <w:szCs w:val="24"/>
        </w:rPr>
        <w:t xml:space="preserve">phylactic antibiotics into </w:t>
      </w:r>
      <w:r w:rsidR="000302D6" w:rsidRPr="00E26C49">
        <w:rPr>
          <w:bCs/>
          <w:i/>
          <w:iCs/>
          <w:sz w:val="24"/>
          <w:szCs w:val="24"/>
        </w:rPr>
        <w:t xml:space="preserve">the </w:t>
      </w:r>
      <w:r w:rsidR="001C7E5C" w:rsidRPr="00E26C49">
        <w:rPr>
          <w:bCs/>
          <w:i/>
          <w:iCs/>
          <w:sz w:val="24"/>
          <w:szCs w:val="24"/>
        </w:rPr>
        <w:t>family</w:t>
      </w:r>
      <w:r w:rsidR="000302D6" w:rsidRPr="00E26C49">
        <w:rPr>
          <w:bCs/>
          <w:i/>
          <w:iCs/>
          <w:sz w:val="24"/>
          <w:szCs w:val="24"/>
        </w:rPr>
        <w:t xml:space="preserve"> routine</w:t>
      </w:r>
      <w:r w:rsidRPr="00E26C49">
        <w:rPr>
          <w:bCs/>
          <w:i/>
          <w:iCs/>
          <w:sz w:val="24"/>
          <w:szCs w:val="24"/>
        </w:rPr>
        <w:t xml:space="preserve">. </w:t>
      </w:r>
      <w:r w:rsidR="000302D6" w:rsidRPr="00E26C49">
        <w:rPr>
          <w:bCs/>
          <w:i/>
          <w:iCs/>
          <w:sz w:val="24"/>
          <w:szCs w:val="24"/>
        </w:rPr>
        <w:t xml:space="preserve">The outcome of which varies with regards to restricting or promoting childhood activities and medication adherence. </w:t>
      </w:r>
    </w:p>
    <w:p w14:paraId="599D0EEB" w14:textId="7982EF0E" w:rsidR="001C7E5C" w:rsidRPr="00E26C49" w:rsidRDefault="001C7E5C">
      <w:pPr>
        <w:pStyle w:val="ListParagraph"/>
        <w:numPr>
          <w:ilvl w:val="0"/>
          <w:numId w:val="24"/>
        </w:numPr>
        <w:spacing w:after="0" w:line="360" w:lineRule="auto"/>
        <w:rPr>
          <w:i/>
          <w:iCs/>
          <w:sz w:val="24"/>
          <w:szCs w:val="24"/>
        </w:rPr>
      </w:pPr>
      <w:r w:rsidRPr="00E26C49">
        <w:rPr>
          <w:i/>
          <w:iCs/>
          <w:sz w:val="24"/>
          <w:szCs w:val="24"/>
          <w:shd w:val="clear" w:color="auto" w:fill="FF5353"/>
        </w:rPr>
        <w:t>Phase 3:</w:t>
      </w:r>
      <w:r w:rsidRPr="00E26C49">
        <w:rPr>
          <w:i/>
          <w:iCs/>
          <w:sz w:val="24"/>
          <w:szCs w:val="24"/>
        </w:rPr>
        <w:t xml:space="preserve"> Most </w:t>
      </w:r>
      <w:r w:rsidR="000302D6" w:rsidRPr="00E26C49">
        <w:rPr>
          <w:i/>
          <w:iCs/>
          <w:sz w:val="24"/>
          <w:szCs w:val="24"/>
        </w:rPr>
        <w:t>families</w:t>
      </w:r>
      <w:r w:rsidRPr="00E26C49">
        <w:rPr>
          <w:i/>
          <w:iCs/>
          <w:sz w:val="24"/>
          <w:szCs w:val="24"/>
        </w:rPr>
        <w:t xml:space="preserve"> cycle through a disruptive stage of acute illness. </w:t>
      </w:r>
      <w:r w:rsidR="000302D6" w:rsidRPr="00E26C49">
        <w:rPr>
          <w:i/>
          <w:iCs/>
          <w:sz w:val="24"/>
          <w:szCs w:val="24"/>
        </w:rPr>
        <w:t xml:space="preserve">Parent must assess their child and decide when the threshold has been met to seek medical attention. </w:t>
      </w:r>
    </w:p>
    <w:p w14:paraId="68F2E744" w14:textId="4B004612" w:rsidR="00282176" w:rsidRPr="00D17E6A" w:rsidRDefault="000302D6">
      <w:pPr>
        <w:pStyle w:val="ListParagraph"/>
        <w:numPr>
          <w:ilvl w:val="0"/>
          <w:numId w:val="24"/>
        </w:numPr>
        <w:spacing w:after="0" w:line="360" w:lineRule="auto"/>
        <w:rPr>
          <w:i/>
          <w:iCs/>
          <w:sz w:val="24"/>
          <w:szCs w:val="24"/>
        </w:rPr>
      </w:pPr>
      <w:r w:rsidRPr="00E26C49">
        <w:rPr>
          <w:bCs/>
          <w:i/>
          <w:iCs/>
          <w:sz w:val="24"/>
          <w:szCs w:val="24"/>
          <w:shd w:val="clear" w:color="auto" w:fill="FFC000"/>
        </w:rPr>
        <w:t>Phase 4:</w:t>
      </w:r>
      <w:r w:rsidR="00386BD8" w:rsidRPr="00E26C49">
        <w:rPr>
          <w:bCs/>
          <w:i/>
          <w:iCs/>
          <w:sz w:val="24"/>
          <w:szCs w:val="24"/>
        </w:rPr>
        <w:t xml:space="preserve"> After </w:t>
      </w:r>
      <w:r w:rsidRPr="00E26C49">
        <w:rPr>
          <w:bCs/>
          <w:i/>
          <w:iCs/>
          <w:sz w:val="24"/>
          <w:szCs w:val="24"/>
        </w:rPr>
        <w:t xml:space="preserve">an </w:t>
      </w:r>
      <w:r w:rsidR="00386BD8" w:rsidRPr="00E26C49">
        <w:rPr>
          <w:bCs/>
          <w:i/>
          <w:iCs/>
          <w:sz w:val="24"/>
          <w:szCs w:val="24"/>
        </w:rPr>
        <w:t xml:space="preserve">acute illness, parents reflect on their parenting response and outcome of the </w:t>
      </w:r>
      <w:r w:rsidRPr="00E26C49">
        <w:rPr>
          <w:bCs/>
          <w:i/>
          <w:iCs/>
          <w:sz w:val="24"/>
          <w:szCs w:val="24"/>
        </w:rPr>
        <w:t xml:space="preserve">healthcare </w:t>
      </w:r>
      <w:r w:rsidR="00386BD8" w:rsidRPr="00E26C49">
        <w:rPr>
          <w:bCs/>
          <w:i/>
          <w:iCs/>
          <w:sz w:val="24"/>
          <w:szCs w:val="24"/>
        </w:rPr>
        <w:t>assessment</w:t>
      </w:r>
      <w:r w:rsidRPr="00E26C49">
        <w:rPr>
          <w:bCs/>
          <w:i/>
          <w:iCs/>
          <w:sz w:val="24"/>
          <w:szCs w:val="24"/>
        </w:rPr>
        <w:t xml:space="preserve">s. These experiences may influence their assessment and expectation of future illnesses as well as reflecting on the efficacy of antibiotic prophylaxis. Parents re-evaluate their decisions. </w:t>
      </w:r>
      <w:r w:rsidR="00386BD8" w:rsidRPr="00E26C49">
        <w:rPr>
          <w:bCs/>
          <w:i/>
          <w:iCs/>
          <w:sz w:val="24"/>
          <w:szCs w:val="24"/>
        </w:rPr>
        <w:t xml:space="preserve"> </w:t>
      </w:r>
    </w:p>
    <w:p w14:paraId="79AB2966" w14:textId="77777777" w:rsidR="0029431B" w:rsidRPr="00E26C49" w:rsidRDefault="0029431B" w:rsidP="00D17E6A">
      <w:pPr>
        <w:pStyle w:val="ListParagraph"/>
        <w:spacing w:after="0" w:line="360" w:lineRule="auto"/>
        <w:ind w:left="360"/>
        <w:rPr>
          <w:i/>
          <w:iCs/>
          <w:sz w:val="24"/>
          <w:szCs w:val="24"/>
        </w:rPr>
      </w:pPr>
    </w:p>
    <w:p w14:paraId="18275713" w14:textId="1602A73A" w:rsidR="0098157F" w:rsidRDefault="00D17E6A" w:rsidP="00B54053">
      <w:pPr>
        <w:spacing w:line="360" w:lineRule="auto"/>
        <w:rPr>
          <w:lang w:val="en-US"/>
        </w:rPr>
      </w:pPr>
      <w:r w:rsidRPr="000302D6">
        <w:rPr>
          <w:lang w:val="en-US"/>
        </w:rPr>
        <w:t xml:space="preserve">The </w:t>
      </w:r>
      <w:r>
        <w:rPr>
          <w:lang w:val="en-US"/>
        </w:rPr>
        <w:t xml:space="preserve">proposed </w:t>
      </w:r>
      <w:proofErr w:type="spellStart"/>
      <w:r>
        <w:rPr>
          <w:lang w:val="en-US"/>
        </w:rPr>
        <w:t>behavioural</w:t>
      </w:r>
      <w:proofErr w:type="spellEnd"/>
      <w:r>
        <w:rPr>
          <w:lang w:val="en-US"/>
        </w:rPr>
        <w:t xml:space="preserve"> model was</w:t>
      </w:r>
      <w:r w:rsidRPr="000302D6">
        <w:rPr>
          <w:lang w:val="en-US"/>
        </w:rPr>
        <w:t xml:space="preserve"> presented to 5 parents whose children have been prescribed prophylactic azithromycin to prevent respiratory exacerbations of PBB. Only one of these parents took part in the original study. Informal feedback from these parents was that the model represented their experiences </w:t>
      </w:r>
      <w:r>
        <w:rPr>
          <w:lang w:val="en-US"/>
        </w:rPr>
        <w:t xml:space="preserve">accurately </w:t>
      </w:r>
      <w:r w:rsidRPr="000302D6">
        <w:rPr>
          <w:lang w:val="en-US"/>
        </w:rPr>
        <w:t xml:space="preserve">and they were interested and relieved to know that other parents were experiencing </w:t>
      </w:r>
      <w:r>
        <w:rPr>
          <w:lang w:val="en-US"/>
        </w:rPr>
        <w:t>similar</w:t>
      </w:r>
      <w:r w:rsidRPr="000302D6">
        <w:rPr>
          <w:lang w:val="en-US"/>
        </w:rPr>
        <w:t xml:space="preserve"> things. Their focus was predominantly on concerns around </w:t>
      </w:r>
      <w:r>
        <w:rPr>
          <w:lang w:val="en-US"/>
        </w:rPr>
        <w:t xml:space="preserve">wanting their child to </w:t>
      </w:r>
      <w:r w:rsidR="0044000D">
        <w:rPr>
          <w:lang w:val="en-US"/>
        </w:rPr>
        <w:t xml:space="preserve">be </w:t>
      </w:r>
      <w:r>
        <w:rPr>
          <w:lang w:val="en-US"/>
        </w:rPr>
        <w:t xml:space="preserve">well now, </w:t>
      </w:r>
      <w:r w:rsidRPr="000302D6">
        <w:rPr>
          <w:lang w:val="en-US"/>
        </w:rPr>
        <w:t>antibiotics not working in the future, anxieties about hearing their children cough, limited self-help measures and the difficulties in determining the threshold to get their child assessed by a medical professional during episodes of acute illness.</w:t>
      </w:r>
    </w:p>
    <w:p w14:paraId="69D7710A" w14:textId="77777777" w:rsidR="009E1898" w:rsidRDefault="009E1898" w:rsidP="009E1898">
      <w:pPr>
        <w:rPr>
          <w:lang w:val="en-US"/>
        </w:rPr>
      </w:pPr>
    </w:p>
    <w:p w14:paraId="1E5B4FA5" w14:textId="731D8C2A" w:rsidR="00B97C85" w:rsidRPr="006A07AF" w:rsidRDefault="005506E5" w:rsidP="006B135A">
      <w:pPr>
        <w:pStyle w:val="Heading3"/>
        <w:spacing w:before="0" w:line="360" w:lineRule="auto"/>
        <w:rPr>
          <w:lang w:val="en-US"/>
        </w:rPr>
      </w:pPr>
      <w:bookmarkStart w:id="154" w:name="_Toc117765963"/>
      <w:r>
        <w:rPr>
          <w:lang w:val="en-US"/>
        </w:rPr>
        <w:t>Findings of the</w:t>
      </w:r>
      <w:r w:rsidR="008A3C2D">
        <w:rPr>
          <w:lang w:val="en-US"/>
        </w:rPr>
        <w:t xml:space="preserve"> parental experience</w:t>
      </w:r>
      <w:r w:rsidR="00855848">
        <w:rPr>
          <w:lang w:val="en-US"/>
        </w:rPr>
        <w:t xml:space="preserve"> in relation to curre</w:t>
      </w:r>
      <w:r w:rsidR="00B6072A">
        <w:rPr>
          <w:lang w:val="en-US"/>
        </w:rPr>
        <w:t>nt</w:t>
      </w:r>
      <w:r w:rsidR="00855848">
        <w:rPr>
          <w:lang w:val="en-US"/>
        </w:rPr>
        <w:t xml:space="preserve"> literature</w:t>
      </w:r>
      <w:bookmarkEnd w:id="154"/>
    </w:p>
    <w:p w14:paraId="01AF210E" w14:textId="0FEE6A12" w:rsidR="00281C96" w:rsidRDefault="007D4075" w:rsidP="00284867">
      <w:pPr>
        <w:spacing w:after="160" w:line="360" w:lineRule="auto"/>
      </w:pPr>
      <w:r w:rsidRPr="007D4075">
        <w:rPr>
          <w:lang w:val="en-US"/>
        </w:rPr>
        <w:t>Parents have the responsibility of making medical decisions on behalf of their children,</w:t>
      </w:r>
      <w:r w:rsidRPr="007D4075">
        <w:t xml:space="preserve"> </w:t>
      </w:r>
      <w:r w:rsidRPr="007D4075">
        <w:rPr>
          <w:lang w:val="en-US"/>
        </w:rPr>
        <w:t>provided the treatment is in the interests of the child; competent children can input these decisions</w:t>
      </w:r>
      <w:r w:rsidR="00281C96">
        <w:rPr>
          <w:lang w:val="en-US"/>
        </w:rPr>
        <w:t>.</w:t>
      </w:r>
      <w:r w:rsidR="00281C96" w:rsidRPr="00281C96">
        <w:t xml:space="preserve"> </w:t>
      </w:r>
      <w:r w:rsidR="00281C96">
        <w:t>Those p</w:t>
      </w:r>
      <w:r w:rsidR="00281C96" w:rsidRPr="00281C96">
        <w:t xml:space="preserve">arents actively participating in decisions are reported to have a feeling of security, be convinced that the treatment prescribed is correct and have a sense of control over the situation </w:t>
      </w:r>
      <w:r w:rsidR="00281C96" w:rsidRPr="00281C96">
        <w:fldChar w:fldCharType="begin"/>
      </w:r>
      <w:r w:rsidR="00EE22EB">
        <w:instrText xml:space="preserve"> ADDIN EN.CITE &lt;EndNote&gt;&lt;Cite&gt;&lt;Author&gt;Aarthun&lt;/Author&gt;&lt;Year&gt;2018&lt;/Year&gt;&lt;RecNum&gt;270&lt;/RecNum&gt;&lt;DisplayText&gt;(Aarthun et al., 2018)&lt;/DisplayText&gt;&lt;record&gt;&lt;rec-number&gt;270&lt;/rec-number&gt;&lt;foreign-keys&gt;&lt;key app="EN" db-id="pr9rwt2w8padxcerwx6prd0a9wtda2w5fw2t" timestamp="1629731697"&gt;270&lt;/key&gt;&lt;/foreign-keys&gt;&lt;ref-type name="Journal Article"&gt;17&lt;/ref-type&gt;&lt;contributors&gt;&lt;authors&gt;&lt;author&gt;Aarthun, Antje&lt;/author&gt;&lt;author&gt;Øymar, Knut A.&lt;/author&gt;&lt;author&gt;Akerjordet, Kristin&lt;/author&gt;&lt;/authors&gt;&lt;/contributors&gt;&lt;titles&gt;&lt;title&gt;Parental involvement in decision-making about their child&amp;apos;s health care at the hospital&lt;/title&gt;&lt;secondary-title&gt;Nursing open&lt;/secondary-title&gt;&lt;alt-title&gt;Nurs Open&lt;/alt-title&gt;&lt;/titles&gt;&lt;periodical&gt;&lt;full-title&gt;Nursing open&lt;/full-title&gt;&lt;abbr-1&gt;Nurs Open&lt;/abbr-1&gt;&lt;/periodical&gt;&lt;alt-periodical&gt;&lt;full-title&gt;Nursing open&lt;/full-title&gt;&lt;abbr-1&gt;Nurs Open&lt;/abbr-1&gt;&lt;/alt-periodical&gt;&lt;pages&gt;50-58&lt;/pages&gt;&lt;volume&gt;6&lt;/volume&gt;&lt;number&gt;1&lt;/number&gt;&lt;keywords&gt;&lt;keyword&gt;coping&lt;/keyword&gt;&lt;keyword&gt;decision‐making&lt;/keyword&gt;&lt;keyword&gt;health promotion&lt;/keyword&gt;&lt;keyword&gt;paediatric&lt;/keyword&gt;&lt;keyword&gt;parent involvement&lt;/keyword&gt;&lt;keyword&gt;parent role&lt;/keyword&gt;&lt;/keywords&gt;&lt;dates&gt;&lt;year&gt;2018&lt;/year&gt;&lt;/dates&gt;&lt;publisher&gt;John Wiley and Sons Inc.&lt;/publisher&gt;&lt;isbn&gt;2054-1058&lt;/isbn&gt;&lt;accession-num&gt;30534394&lt;/accession-num&gt;&lt;urls&gt;&lt;related-urls&gt;&lt;url&gt;https://www.ncbi.nlm.nih.gov/pubmed/30534394&lt;/url&gt;&lt;url&gt;https://www.ncbi.nlm.nih.gov/pmc/articles/PMC6279730/&lt;/url&gt;&lt;/related-urls&gt;&lt;/urls&gt;&lt;electronic-resource-num&gt;10.1002/nop2.180&lt;/electronic-resource-num&gt;&lt;remote-database-name&gt;PubMed&lt;/remote-database-name&gt;&lt;language&gt;eng&lt;/language&gt;&lt;/record&gt;&lt;/Cite&gt;&lt;/EndNote&gt;</w:instrText>
      </w:r>
      <w:r w:rsidR="00281C96" w:rsidRPr="00281C96">
        <w:fldChar w:fldCharType="separate"/>
      </w:r>
      <w:r w:rsidR="00EE22EB">
        <w:rPr>
          <w:noProof/>
        </w:rPr>
        <w:t>(Aarthun et al., 2018)</w:t>
      </w:r>
      <w:r w:rsidR="00281C96" w:rsidRPr="00281C96">
        <w:rPr>
          <w:lang w:val="en-US"/>
        </w:rPr>
        <w:fldChar w:fldCharType="end"/>
      </w:r>
      <w:r w:rsidR="00281C96" w:rsidRPr="00281C96">
        <w:t xml:space="preserve">. In comparison, those passively taking part in decisions are noted to have post consultation decisional conflict and feel powerless and insecure </w:t>
      </w:r>
      <w:r w:rsidR="00281C96" w:rsidRPr="00281C96">
        <w:fldChar w:fldCharType="begin"/>
      </w:r>
      <w:r w:rsidR="00EE22EB">
        <w:instrText xml:space="preserve"> ADDIN EN.CITE &lt;EndNote&gt;&lt;Cite&gt;&lt;Author&gt;Boland&lt;/Author&gt;&lt;Year&gt;2017&lt;/Year&gt;&lt;RecNum&gt;140&lt;/RecNum&gt;&lt;DisplayText&gt;(Boland et al., 2017)&lt;/DisplayText&gt;&lt;record&gt;&lt;rec-number&gt;140&lt;/rec-number&gt;&lt;foreign-keys&gt;&lt;key app="EN" db-id="z50rresss5e5vfe0s2qpewtuxsprsrse5fff" timestamp="1580122070"&gt;140&lt;/key&gt;&lt;/foreign-keys&gt;&lt;ref-type name="Journal Article"&gt;17&lt;/ref-type&gt;&lt;contributors&gt;&lt;authors&gt;&lt;author&gt;Boland, Laura&lt;/author&gt;&lt;author&gt;Kryworuchko, Jennifer&lt;/author&gt;&lt;author&gt;Saarimaki, Anton&lt;/author&gt;&lt;author&gt;Lawson, Margaret L.&lt;/author&gt;&lt;/authors&gt;&lt;/contributors&gt;&lt;titles&gt;&lt;title&gt;Parental decision making involvement and decisional conflict: a descriptive study&lt;/title&gt;&lt;secondary-title&gt;BMC Pediatrics&lt;/secondary-title&gt;&lt;/titles&gt;&lt;periodical&gt;&lt;full-title&gt;BMC pediatrics&lt;/full-title&gt;&lt;abbr-1&gt;BMC Pediatr&lt;/abbr-1&gt;&lt;/periodical&gt;&lt;pages&gt;146&lt;/pages&gt;&lt;volume&gt;17&lt;/volume&gt;&lt;number&gt;1&lt;/number&gt;&lt;dates&gt;&lt;year&gt;2017&lt;/year&gt;&lt;pub-dates&gt;&lt;date&gt;2017/06/13&lt;/date&gt;&lt;/pub-dates&gt;&lt;/dates&gt;&lt;isbn&gt;1471-2431&lt;/isbn&gt;&lt;urls&gt;&lt;related-urls&gt;&lt;url&gt;https://doi.org/10.1186/s12887-017-0899-4&lt;/url&gt;&lt;/related-urls&gt;&lt;/urls&gt;&lt;electronic-resource-num&gt;10.1186/s12887-017-0899-4&lt;/electronic-resource-num&gt;&lt;/record&gt;&lt;/Cite&gt;&lt;/EndNote&gt;</w:instrText>
      </w:r>
      <w:r w:rsidR="00281C96" w:rsidRPr="00281C96">
        <w:fldChar w:fldCharType="separate"/>
      </w:r>
      <w:r w:rsidR="00EE22EB">
        <w:rPr>
          <w:noProof/>
        </w:rPr>
        <w:t>(Boland et al., 2017)</w:t>
      </w:r>
      <w:r w:rsidR="00281C96" w:rsidRPr="00281C96">
        <w:rPr>
          <w:lang w:val="en-US"/>
        </w:rPr>
        <w:fldChar w:fldCharType="end"/>
      </w:r>
      <w:r w:rsidR="00281C96" w:rsidRPr="00281C96">
        <w:t xml:space="preserve">. </w:t>
      </w:r>
      <w:r w:rsidR="00281C96" w:rsidRPr="00281C96">
        <w:rPr>
          <w:lang w:val="en-US"/>
        </w:rPr>
        <w:t xml:space="preserve">Such </w:t>
      </w:r>
      <w:r w:rsidR="00281C96" w:rsidRPr="00281C96">
        <w:rPr>
          <w:lang w:val="en-US"/>
        </w:rPr>
        <w:lastRenderedPageBreak/>
        <w:t xml:space="preserve">feelings were experienced by parents in our cohort </w:t>
      </w:r>
      <w:r w:rsidR="00281C96">
        <w:rPr>
          <w:lang w:val="en-US"/>
        </w:rPr>
        <w:t xml:space="preserve">when describing their </w:t>
      </w:r>
      <w:r w:rsidR="00281C96" w:rsidRPr="00281C96">
        <w:rPr>
          <w:lang w:val="en-US"/>
        </w:rPr>
        <w:t>involvement in consultations</w:t>
      </w:r>
      <w:r w:rsidR="00281C96">
        <w:rPr>
          <w:lang w:val="en-US"/>
        </w:rPr>
        <w:t xml:space="preserve">. </w:t>
      </w:r>
      <w:r w:rsidR="00281C96" w:rsidRPr="00281C96">
        <w:t xml:space="preserve">Parents may not always want to be actively involved in decisions with regards to their child’s health. Their desire to be involved may change with time, their knowledge and understanding, the </w:t>
      </w:r>
      <w:r>
        <w:t xml:space="preserve">importance </w:t>
      </w:r>
      <w:r w:rsidR="00281C96" w:rsidRPr="00281C96">
        <w:t xml:space="preserve">of the decision being made and their emotional response </w:t>
      </w:r>
      <w:r w:rsidR="00281C96" w:rsidRPr="00281C96">
        <w:fldChar w:fldCharType="begin"/>
      </w:r>
      <w:r w:rsidR="00EE22EB">
        <w:instrText xml:space="preserve"> ADDIN EN.CITE &lt;EndNote&gt;&lt;Cite&gt;&lt;Author&gt;Boland&lt;/Author&gt;&lt;Year&gt;2017&lt;/Year&gt;&lt;RecNum&gt;141&lt;/RecNum&gt;&lt;DisplayText&gt;(Boland et al., 2017)&lt;/DisplayText&gt;&lt;record&gt;&lt;rec-number&gt;141&lt;/rec-number&gt;&lt;foreign-keys&gt;&lt;key app="EN" db-id="z50rresss5e5vfe0s2qpewtuxsprsrse5fff" timestamp="1580122118"&gt;141&lt;/key&gt;&lt;/foreign-keys&gt;&lt;ref-type name="Journal Article"&gt;17&lt;/ref-type&gt;&lt;contributors&gt;&lt;authors&gt;&lt;author&gt;Boland, Laura&lt;/author&gt;&lt;author&gt;Kryworuchko, Jennifer&lt;/author&gt;&lt;author&gt;Saarimaki, Anton&lt;/author&gt;&lt;author&gt;Lawson, Margaret L.&lt;/author&gt;&lt;/authors&gt;&lt;/contributors&gt;&lt;titles&gt;&lt;title&gt;Parental decision making involvement and decisional conflict: a descriptive study&lt;/title&gt;&lt;secondary-title&gt;BMC Pediatrics&lt;/secondary-title&gt;&lt;/titles&gt;&lt;periodical&gt;&lt;full-title&gt;BMC pediatrics&lt;/full-title&gt;&lt;abbr-1&gt;BMC Pediatr&lt;/abbr-1&gt;&lt;/periodical&gt;&lt;pages&gt;146&lt;/pages&gt;&lt;volume&gt;17&lt;/volume&gt;&lt;number&gt;1&lt;/number&gt;&lt;dates&gt;&lt;year&gt;2017&lt;/year&gt;&lt;pub-dates&gt;&lt;date&gt;2017/06/13&lt;/date&gt;&lt;/pub-dates&gt;&lt;/dates&gt;&lt;isbn&gt;1471-2431&lt;/isbn&gt;&lt;urls&gt;&lt;related-urls&gt;&lt;url&gt;https://doi.org/10.1186/s12887-017-0899-4&lt;/url&gt;&lt;/related-urls&gt;&lt;/urls&gt;&lt;electronic-resource-num&gt;10.1186/s12887-017-0899-4&lt;/electronic-resource-num&gt;&lt;/record&gt;&lt;/Cite&gt;&lt;/EndNote&gt;</w:instrText>
      </w:r>
      <w:r w:rsidR="00281C96" w:rsidRPr="00281C96">
        <w:fldChar w:fldCharType="separate"/>
      </w:r>
      <w:r w:rsidR="00EE22EB">
        <w:rPr>
          <w:noProof/>
        </w:rPr>
        <w:t>(Boland et al., 2017)</w:t>
      </w:r>
      <w:r w:rsidR="00281C96" w:rsidRPr="00281C96">
        <w:rPr>
          <w:lang w:val="en-US"/>
        </w:rPr>
        <w:fldChar w:fldCharType="end"/>
      </w:r>
      <w:r w:rsidR="00281C96" w:rsidRPr="00281C96">
        <w:t xml:space="preserve">. </w:t>
      </w:r>
      <w:r>
        <w:t>Actively involved</w:t>
      </w:r>
      <w:r w:rsidR="00281C96" w:rsidRPr="00281C96">
        <w:t xml:space="preserve"> parents</w:t>
      </w:r>
      <w:r w:rsidR="00281C96">
        <w:t xml:space="preserve">, </w:t>
      </w:r>
      <w:r w:rsidR="00281C96" w:rsidRPr="00281C96">
        <w:t>supported by health care professionals</w:t>
      </w:r>
      <w:r w:rsidR="00281C96">
        <w:t xml:space="preserve"> who acknowledge</w:t>
      </w:r>
      <w:r w:rsidR="00281C96" w:rsidRPr="00281C96">
        <w:t xml:space="preserve"> importance of their contributions</w:t>
      </w:r>
      <w:r w:rsidR="00281C96">
        <w:t xml:space="preserve">, </w:t>
      </w:r>
      <w:r w:rsidR="00281C96" w:rsidRPr="00281C96">
        <w:t>have a positive experience</w:t>
      </w:r>
      <w:r w:rsidR="00281C96">
        <w:t xml:space="preserve"> and are more likely to become involved in future decisions </w:t>
      </w:r>
      <w:r w:rsidR="00281C96" w:rsidRPr="00281C96">
        <w:fldChar w:fldCharType="begin"/>
      </w:r>
      <w:r w:rsidR="00EE22EB">
        <w:instrText xml:space="preserve"> ADDIN EN.CITE &lt;EndNote&gt;&lt;Cite&gt;&lt;Author&gt;Aarthun&lt;/Author&gt;&lt;Year&gt;2018&lt;/Year&gt;&lt;RecNum&gt;270&lt;/RecNum&gt;&lt;DisplayText&gt;(Aarthun et al., 2018)&lt;/DisplayText&gt;&lt;record&gt;&lt;rec-number&gt;270&lt;/rec-number&gt;&lt;foreign-keys&gt;&lt;key app="EN" db-id="pr9rwt2w8padxcerwx6prd0a9wtda2w5fw2t" timestamp="1629731697"&gt;270&lt;/key&gt;&lt;/foreign-keys&gt;&lt;ref-type name="Journal Article"&gt;17&lt;/ref-type&gt;&lt;contributors&gt;&lt;authors&gt;&lt;author&gt;Aarthun, Antje&lt;/author&gt;&lt;author&gt;Øymar, Knut A.&lt;/author&gt;&lt;author&gt;Akerjordet, Kristin&lt;/author&gt;&lt;/authors&gt;&lt;/contributors&gt;&lt;titles&gt;&lt;title&gt;Parental involvement in decision-making about their child&amp;apos;s health care at the hospital&lt;/title&gt;&lt;secondary-title&gt;Nursing open&lt;/secondary-title&gt;&lt;alt-title&gt;Nurs Open&lt;/alt-title&gt;&lt;/titles&gt;&lt;periodical&gt;&lt;full-title&gt;Nursing open&lt;/full-title&gt;&lt;abbr-1&gt;Nurs Open&lt;/abbr-1&gt;&lt;/periodical&gt;&lt;alt-periodical&gt;&lt;full-title&gt;Nursing open&lt;/full-title&gt;&lt;abbr-1&gt;Nurs Open&lt;/abbr-1&gt;&lt;/alt-periodical&gt;&lt;pages&gt;50-58&lt;/pages&gt;&lt;volume&gt;6&lt;/volume&gt;&lt;number&gt;1&lt;/number&gt;&lt;keywords&gt;&lt;keyword&gt;coping&lt;/keyword&gt;&lt;keyword&gt;decision‐making&lt;/keyword&gt;&lt;keyword&gt;health promotion&lt;/keyword&gt;&lt;keyword&gt;paediatric&lt;/keyword&gt;&lt;keyword&gt;parent involvement&lt;/keyword&gt;&lt;keyword&gt;parent role&lt;/keyword&gt;&lt;/keywords&gt;&lt;dates&gt;&lt;year&gt;2018&lt;/year&gt;&lt;/dates&gt;&lt;publisher&gt;John Wiley and Sons Inc.&lt;/publisher&gt;&lt;isbn&gt;2054-1058&lt;/isbn&gt;&lt;accession-num&gt;30534394&lt;/accession-num&gt;&lt;urls&gt;&lt;related-urls&gt;&lt;url&gt;https://www.ncbi.nlm.nih.gov/pubmed/30534394&lt;/url&gt;&lt;url&gt;https://www.ncbi.nlm.nih.gov/pmc/articles/PMC6279730/&lt;/url&gt;&lt;/related-urls&gt;&lt;/urls&gt;&lt;electronic-resource-num&gt;10.1002/nop2.180&lt;/electronic-resource-num&gt;&lt;remote-database-name&gt;PubMed&lt;/remote-database-name&gt;&lt;language&gt;eng&lt;/language&gt;&lt;/record&gt;&lt;/Cite&gt;&lt;/EndNote&gt;</w:instrText>
      </w:r>
      <w:r w:rsidR="00281C96" w:rsidRPr="00281C96">
        <w:fldChar w:fldCharType="separate"/>
      </w:r>
      <w:r w:rsidR="00EE22EB">
        <w:rPr>
          <w:noProof/>
        </w:rPr>
        <w:t>(Aarthun et al., 2018)</w:t>
      </w:r>
      <w:r w:rsidR="00281C96" w:rsidRPr="00281C96">
        <w:rPr>
          <w:lang w:val="en-US"/>
        </w:rPr>
        <w:fldChar w:fldCharType="end"/>
      </w:r>
      <w:r w:rsidR="00281C96" w:rsidRPr="00281C96">
        <w:t xml:space="preserve">. </w:t>
      </w:r>
    </w:p>
    <w:p w14:paraId="55C85EB5" w14:textId="3179727A" w:rsidR="001D63B0" w:rsidRDefault="005D7BBE" w:rsidP="00284867">
      <w:pPr>
        <w:spacing w:after="160" w:line="360" w:lineRule="auto"/>
      </w:pPr>
      <w:r w:rsidRPr="005D7BBE">
        <w:t>Some parents did not feel fully prepared</w:t>
      </w:r>
      <w:r w:rsidR="007D4075">
        <w:t xml:space="preserve"> in practical terms</w:t>
      </w:r>
      <w:r w:rsidRPr="005D7BBE">
        <w:t xml:space="preserve"> for undertaking long</w:t>
      </w:r>
      <w:r w:rsidR="006B135A">
        <w:t>-</w:t>
      </w:r>
      <w:r w:rsidRPr="005D7BBE">
        <w:t xml:space="preserve">term antibiotic prophylaxis. Key </w:t>
      </w:r>
      <w:r w:rsidR="007D4075">
        <w:t>problems</w:t>
      </w:r>
      <w:r w:rsidRPr="005D7BBE">
        <w:t xml:space="preserve"> identified related to reconstituting antibiotics, obtaining prescriptions and antibiotic disposal. </w:t>
      </w:r>
      <w:r w:rsidRPr="005D7BBE">
        <w:rPr>
          <w:lang w:val="en-US"/>
        </w:rPr>
        <w:t>Ensuring parents are prepared for prophylaxis is important. This requires that the practical aspects of medication are covered</w:t>
      </w:r>
      <w:r w:rsidR="00C90CF3">
        <w:rPr>
          <w:lang w:val="en-US"/>
        </w:rPr>
        <w:t>,</w:t>
      </w:r>
      <w:r w:rsidRPr="005D7BBE">
        <w:rPr>
          <w:lang w:val="en-US"/>
        </w:rPr>
        <w:t xml:space="preserve"> and ways of medication </w:t>
      </w:r>
      <w:proofErr w:type="spellStart"/>
      <w:r w:rsidRPr="005D7BBE">
        <w:rPr>
          <w:lang w:val="en-US"/>
        </w:rPr>
        <w:t>normalisation</w:t>
      </w:r>
      <w:proofErr w:type="spellEnd"/>
      <w:r w:rsidRPr="005D7BBE">
        <w:rPr>
          <w:lang w:val="en-US"/>
        </w:rPr>
        <w:t xml:space="preserve"> are discussed. The aims are to facilitate adherence, acceptance and reduce anxiety. Unintentional effects of prophylaxis should be considered. Paradoxically, parental anxiety may increase with prophylaxis promoting a sense of susceptibility to infections resulting in childhood activities being further restricted. Preparatory counseling could be undertaken by a variety of health care professional including pharmacists. </w:t>
      </w:r>
    </w:p>
    <w:p w14:paraId="56F2091D" w14:textId="30B50994" w:rsidR="00B26E46" w:rsidRPr="001D63B0" w:rsidRDefault="001D63B0" w:rsidP="00284867">
      <w:pPr>
        <w:spacing w:after="160" w:line="360" w:lineRule="auto"/>
      </w:pPr>
      <w:r w:rsidRPr="001D63B0">
        <w:t xml:space="preserve">Many parents poured the surplus antibiotics into the wastewater systems. This problem likely relates in part to the short shelf-life of the reconstituted liquid medication, and the fact that the formulation is tailored to adults who usually require a larger dose than young children.  Safe medication disposal is important to reduce environmental contamination as well as reducing the risk of inappropriate ingestion. It is however reported that there is a lack of awareness amongst health care professionals and patients with regards to proper medication disposal </w:t>
      </w:r>
      <w:r w:rsidRPr="001D63B0">
        <w:fldChar w:fldCharType="begin">
          <w:fldData xml:space="preserve">PEVuZE5vdGU+PENpdGU+PEF1dGhvcj5LaW5yeXM8L0F1dGhvcj48WWVhcj4yMDE4PC9ZZWFyPjxS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</w:fldData>
        </w:fldChar>
      </w:r>
      <w:r w:rsidR="00EE22EB">
        <w:instrText xml:space="preserve"> ADDIN EN.CITE </w:instrText>
      </w:r>
      <w:r w:rsidR="00EE22EB">
        <w:fldChar w:fldCharType="begin">
          <w:fldData xml:space="preserve">PEVuZE5vdGU+PENpdGU+PEF1dGhvcj5LaW5yeXM8L0F1dGhvcj48WWVhcj4yMDE4PC9ZZWFyPjxS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</w:fldData>
        </w:fldChar>
      </w:r>
      <w:r w:rsidR="00EE22EB">
        <w:instrText xml:space="preserve"> ADDIN EN.CITE.DATA </w:instrText>
      </w:r>
      <w:r w:rsidR="00EE22EB">
        <w:fldChar w:fldCharType="end"/>
      </w:r>
      <w:r w:rsidRPr="001D63B0">
        <w:fldChar w:fldCharType="separate"/>
      </w:r>
      <w:r w:rsidR="00EE22EB">
        <w:rPr>
          <w:noProof/>
        </w:rPr>
        <w:t>(Kinrys et al., 2018)</w:t>
      </w:r>
      <w:r w:rsidRPr="001D63B0">
        <w:fldChar w:fldCharType="end"/>
      </w:r>
      <w:r w:rsidRPr="001D63B0">
        <w:t xml:space="preserve">. Urban wastewater plants have previously been found to be potential hotspots for the dissemination of antibiotic resistant bacteria and genes </w:t>
      </w:r>
      <w:r w:rsidRPr="001D63B0">
        <w:fldChar w:fldCharType="begin"/>
      </w:r>
      <w:r w:rsidR="00EE22EB">
        <w:instrText xml:space="preserve"> ADDIN EN.CITE &lt;EndNote&gt;&lt;Cite&gt;&lt;Author&gt;Rizzo&lt;/Author&gt;&lt;Year&gt;2013&lt;/Year&gt;&lt;RecNum&gt;198&lt;/RecNum&gt;&lt;DisplayText&gt;(Rizzo et al., 2013)&lt;/DisplayText&gt;&lt;record&gt;&lt;rec-number&gt;198&lt;/rec-number&gt;&lt;foreign-keys&gt;&lt;key app="EN" db-id="pr9rwt2w8padxcerwx6prd0a9wtda2w5fw2t" timestamp="1629731697"&gt;198&lt;/key&gt;&lt;/foreign-keys&gt;&lt;ref-type name="Journal Article"&gt;17&lt;/ref-type&gt;&lt;contributors&gt;&lt;authors&gt;&lt;author&gt;Rizzo, L.&lt;/author&gt;&lt;author&gt;Manaia, C.&lt;/author&gt;&lt;author&gt;Merlin, C.&lt;/author&gt;&lt;author&gt;Schwartz, T.&lt;/author&gt;&lt;author&gt;Dagot, C.&lt;/author&gt;&lt;author&gt;Ploy, M. C.&lt;/author&gt;&lt;author&gt;Michael, I.&lt;/author&gt;&lt;author&gt;Fatta-Kassinos, D.&lt;/author&gt;&lt;/authors&gt;&lt;/contributors&gt;&lt;auth-address&gt;Department of Civil Engineering, University of Salerno, 84084, Fisciano (SA), Italy. l.rizzo@unisa.it&lt;/auth-address&gt;&lt;titles&gt;&lt;title&gt;Urban wastewater treatment plants as hotspots for antibiotic resistant bacteria and genes spread into the environment: a review&lt;/title&gt;&lt;secondary-title&gt;Sci Total Environ&lt;/secondary-title&gt;&lt;/titles&gt;&lt;periodical&gt;&lt;full-title&gt;Sci Total Environ&lt;/full-title&gt;&lt;/periodical&gt;&lt;pages&gt;345-60&lt;/pages&gt;&lt;volume&gt;447&lt;/volume&gt;&lt;edition&gt;2013/02/12&lt;/edition&gt;&lt;keywords&gt;&lt;keyword&gt;Animals&lt;/keyword&gt;&lt;keyword&gt;Bacteria/*drug effects/*genetics&lt;/keyword&gt;&lt;keyword&gt;Disinfection/methods&lt;/keyword&gt;&lt;keyword&gt;Drug Resistance, Bacterial/*genetics&lt;/keyword&gt;&lt;keyword&gt;Drug Resistance, Microbial/*genetics&lt;/keyword&gt;&lt;keyword&gt;Environment&lt;/keyword&gt;&lt;keyword&gt;Environmental Monitoring&lt;/keyword&gt;&lt;keyword&gt;Gene Transfer, Horizontal&lt;/keyword&gt;&lt;keyword&gt;*Genes, Bacterial/drug effects&lt;/keyword&gt;&lt;keyword&gt;Humans&lt;/keyword&gt;&lt;keyword&gt;Risk Factors&lt;/keyword&gt;&lt;keyword&gt;Urbanization&lt;/keyword&gt;&lt;keyword&gt;Waste Disposal, Fluid/*methods&lt;/keyword&gt;&lt;keyword&gt;Waste Water/*microbiology&lt;/keyword&gt;&lt;/keywords&gt;&lt;dates&gt;&lt;year&gt;2013&lt;/year&gt;&lt;pub-dates&gt;&lt;date&gt;Mar 1&lt;/date&gt;&lt;/pub-dates&gt;&lt;/dates&gt;&lt;isbn&gt;0048-9697&lt;/isbn&gt;&lt;accession-num&gt;23396083&lt;/accession-num&gt;&lt;urls&gt;&lt;/urls&gt;&lt;electronic-resource-num&gt;10.1016/j.scitotenv.2013.01.032&lt;/electronic-resource-num&gt;&lt;remote-database-provider&gt;NLM&lt;/remote-database-provider&gt;&lt;language&gt;eng&lt;/language&gt;&lt;/record&gt;&lt;/Cite&gt;&lt;/EndNote&gt;</w:instrText>
      </w:r>
      <w:r w:rsidRPr="001D63B0">
        <w:fldChar w:fldCharType="separate"/>
      </w:r>
      <w:r w:rsidR="00EE22EB">
        <w:rPr>
          <w:noProof/>
        </w:rPr>
        <w:t>(Rizzo et al., 2013)</w:t>
      </w:r>
      <w:r w:rsidRPr="001D63B0">
        <w:fldChar w:fldCharType="end"/>
      </w:r>
      <w:r w:rsidRPr="001D63B0">
        <w:t xml:space="preserve">. Antibiotic resistance patterns in European wastewater treatment plants are reported to mirror that seen in clinics </w:t>
      </w:r>
      <w:r w:rsidRPr="001D63B0">
        <w:fldChar w:fldCharType="begin"/>
      </w:r>
      <w:r w:rsidR="00EE22EB">
        <w:instrText xml:space="preserve"> ADDIN EN.CITE &lt;EndNote&gt;&lt;Cite&gt;&lt;Author&gt;Pärnänen&lt;/Author&gt;&lt;Year&gt;2019&lt;/Year&gt;&lt;RecNum&gt;197&lt;/RecNum&gt;&lt;DisplayText&gt;(Pärnänen et al., 2019)&lt;/DisplayText&gt;&lt;record&gt;&lt;rec-number&gt;197&lt;/rec-number&gt;&lt;foreign-keys&gt;&lt;key app="EN" db-id="pr9rwt2w8padxcerwx6prd0a9wtda2w5fw2t" timestamp="1629731697"&gt;197&lt;/key&gt;&lt;/foreign-keys&gt;&lt;ref-type name="Journal Article"&gt;17&lt;/ref-type&gt;&lt;contributors&gt;&lt;authors&gt;&lt;author&gt;Pärnänen, Katariina M. M.&lt;/author&gt;&lt;author&gt;Narciso-da-Rocha, Carlos&lt;/author&gt;&lt;author&gt;Kneis, David&lt;/author&gt;&lt;author&gt;Berendonk, Thomas U.&lt;/author&gt;&lt;author&gt;Cacace, Damiano&lt;/author&gt;&lt;author&gt;Do, Thi Thuy&lt;/author&gt;&lt;author&gt;Elpers, Christian&lt;/author&gt;&lt;author&gt;Fatta-Kassinos, Despo&lt;/author&gt;&lt;author&gt;Henriques, Isabel&lt;/author&gt;&lt;author&gt;Jaeger, Thomas&lt;/author&gt;&lt;author&gt;Karkman, Antti&lt;/author&gt;&lt;author&gt;Martinez, Jose Luis&lt;/author&gt;&lt;author&gt;Michael, Stella G.&lt;/author&gt;&lt;author&gt;Michael-Kordatou, Irene&lt;/author&gt;&lt;author&gt;O’Sullivan, Kristin&lt;/author&gt;&lt;author&gt;Rodriguez-Mozaz, Sara&lt;/author&gt;&lt;author&gt;Schwartz, Thomas&lt;/author&gt;&lt;author&gt;Sheng, Hongjie&lt;/author&gt;&lt;author&gt;Sørum, Henning&lt;/author&gt;&lt;author&gt;Stedtfeld, Robert D.&lt;/author&gt;&lt;author&gt;Tiedje, James M.&lt;/author&gt;&lt;author&gt;Giustina, Saulo Varela Della&lt;/author&gt;&lt;author&gt;Walsh, Fiona&lt;/author&gt;&lt;author&gt;Vaz-Moreira, Ivone&lt;/author&gt;&lt;author&gt;Virta, Marko&lt;/author&gt;&lt;author&gt;Manaia, Célia M.&lt;/author&gt;&lt;/authors&gt;&lt;/contributors&gt;&lt;titles&gt;&lt;title&gt;Antibiotic resistance in European wastewater treatment plants mirrors the pattern of clinical antibiotic resistance prevalence&lt;/title&gt;&lt;secondary-title&gt;Science Advances&lt;/secondary-title&gt;&lt;/titles&gt;&lt;periodical&gt;&lt;full-title&gt;Science Advances&lt;/full-title&gt;&lt;/periodical&gt;&lt;pages&gt;eaau9124&lt;/pages&gt;&lt;volume&gt;5&lt;/volume&gt;&lt;number&gt;3&lt;/number&gt;&lt;dates&gt;&lt;year&gt;2019&lt;/year&gt;&lt;/dates&gt;&lt;urls&gt;&lt;related-urls&gt;&lt;url&gt;http://advances.sciencemag.org/content/5/3/eaau9124.abstract&lt;/url&gt;&lt;/related-urls&gt;&lt;/urls&gt;&lt;electronic-resource-num&gt;10.1126/sciadv.aau9124&lt;/electronic-resource-num&gt;&lt;/record&gt;&lt;/Cite&gt;&lt;/EndNote&gt;</w:instrText>
      </w:r>
      <w:r w:rsidRPr="001D63B0">
        <w:fldChar w:fldCharType="separate"/>
      </w:r>
      <w:r w:rsidR="00EE22EB">
        <w:rPr>
          <w:noProof/>
        </w:rPr>
        <w:t>(Pärnänen et al., 2019)</w:t>
      </w:r>
      <w:r w:rsidRPr="001D63B0">
        <w:fldChar w:fldCharType="end"/>
      </w:r>
      <w:r w:rsidRPr="001D63B0">
        <w:t xml:space="preserve">. Although azithromycin is incompletely absorbed resulting in faecal excretion, safe disposal practices and return of unused antibiotics to pharmacies should be recommended. </w:t>
      </w:r>
    </w:p>
    <w:p w14:paraId="5522702D" w14:textId="409234F7" w:rsidR="001D63B0" w:rsidRDefault="001D63B0" w:rsidP="00284867">
      <w:pPr>
        <w:spacing w:after="160" w:line="360" w:lineRule="auto"/>
      </w:pPr>
      <w:r w:rsidRPr="001D63B0">
        <w:t xml:space="preserve">In the setting of chronic illness, normalisation involves the efforts family members make to create a normal family life, incorporating how they perceive the consequences of these efforts </w:t>
      </w:r>
      <w:r w:rsidRPr="001D63B0">
        <w:lastRenderedPageBreak/>
        <w:t xml:space="preserve">and the meaning(s) they attribute to them. In a study of children with chronic genetic disease, </w:t>
      </w:r>
      <w:proofErr w:type="spellStart"/>
      <w:r w:rsidRPr="001D63B0">
        <w:t>Knaf</w:t>
      </w:r>
      <w:r w:rsidR="00BE765A">
        <w:t>l</w:t>
      </w:r>
      <w:proofErr w:type="spellEnd"/>
      <w:r w:rsidRPr="001D63B0">
        <w:t xml:space="preserve"> et al. assigned parents to 2 separate groups: Normalisation Present (NP) or Normalisation Absent (NA).  Parents in the NP group regarded normalisation as an important achievement, indicating that their family was doing a good job of adapting to the child's condition. In contrast, the absence of normalisation was associated with the perception that family life was disrupted or difficult and was associated with feelings of parental inadequacy </w:t>
      </w:r>
      <w:r w:rsidR="00BE765A">
        <w:fldChar w:fldCharType="begin">
          <w:fldData xml:space="preserve">PEVuZE5vdGU+PENpdGU+PEF1dGhvcj5LbmFmbDwvQXV0aG9yPjxZZWFyPjIwMTA8L1llYXI+PFJl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=
</w:fldData>
        </w:fldChar>
      </w:r>
      <w:r w:rsidR="00EE22EB">
        <w:instrText xml:space="preserve"> ADDIN EN.CITE </w:instrText>
      </w:r>
      <w:r w:rsidR="00EE22EB">
        <w:fldChar w:fldCharType="begin">
          <w:fldData xml:space="preserve">PEVuZE5vdGU+PENpdGU+PEF1dGhvcj5LbmFmbDwvQXV0aG9yPjxZZWFyPjIwMTA8L1llYXI+PFJl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=
</w:fldData>
        </w:fldChar>
      </w:r>
      <w:r w:rsidR="00EE22EB">
        <w:instrText xml:space="preserve"> ADDIN EN.CITE.DATA </w:instrText>
      </w:r>
      <w:r w:rsidR="00EE22EB">
        <w:fldChar w:fldCharType="end"/>
      </w:r>
      <w:r w:rsidR="00BE765A">
        <w:fldChar w:fldCharType="separate"/>
      </w:r>
      <w:r w:rsidR="00EE22EB">
        <w:rPr>
          <w:noProof/>
        </w:rPr>
        <w:t>(Knafl et al., 2010)</w:t>
      </w:r>
      <w:r w:rsidR="00BE765A">
        <w:fldChar w:fldCharType="end"/>
      </w:r>
      <w:r w:rsidRPr="001D63B0">
        <w:t xml:space="preserve">. In our study, establishing a routine of antibiotic administration within the family life was the main way of normalising prophylaxis. Families used a variety of different cues and reminders to facilitate this with most parents managing to administer the medication more easily once this normality had been achieved.  In agreement with </w:t>
      </w:r>
      <w:proofErr w:type="spellStart"/>
      <w:r w:rsidRPr="001D63B0">
        <w:t>Knafi</w:t>
      </w:r>
      <w:proofErr w:type="spellEnd"/>
      <w:r w:rsidRPr="001D63B0">
        <w:t xml:space="preserve"> et al., normalising prophylaxis was important for parents, and they did not want their children to feel different. A sense of security and reassurance did follow this process with the majority of parents feeling that the prophylaxis was beneficial. Most parents said they no longer needed to isolate their child or restrict their activities due to the perceived protection of antibiotic prophylaxis. </w:t>
      </w:r>
    </w:p>
    <w:p w14:paraId="671CFFD5" w14:textId="4B7A4D60" w:rsidR="005D7BBE" w:rsidRPr="005D7BBE" w:rsidRDefault="00BE765A" w:rsidP="00284867">
      <w:pPr>
        <w:spacing w:after="160" w:line="360" w:lineRule="auto"/>
      </w:pPr>
      <w:r w:rsidRPr="00BE765A">
        <w:t xml:space="preserve">Adherence to a medication regimen is generally defined as the degree to which the medications taken reflect the prescriber’s intention. Treatment adherence is challenging and a complex balancing act between competing concerns including parental beliefs, child resistance, preserving family relationships and promoting ”normal life” for the family </w:t>
      </w:r>
      <w:r w:rsidRPr="00BE765A">
        <w:fldChar w:fldCharType="begin"/>
      </w:r>
      <w:r w:rsidR="00EE22EB">
        <w:instrText xml:space="preserve"> ADDIN EN.CITE &lt;EndNote&gt;&lt;Cite&gt;&lt;Author&gt;Santer&lt;/Author&gt;&lt;Year&gt;2014&lt;/Year&gt;&lt;RecNum&gt;200&lt;/RecNum&gt;&lt;DisplayText&gt;(Santer et al., 2014)&lt;/DisplayText&gt;&lt;record&gt;&lt;rec-number&gt;200&lt;/rec-number&gt;&lt;foreign-keys&gt;&lt;key app="EN" db-id="pr9rwt2w8padxcerwx6prd0a9wtda2w5fw2t" timestamp="1629731697"&gt;200&lt;/key&gt;&lt;/foreign-keys&gt;&lt;ref-type name="Journal Article"&gt;17&lt;/ref-type&gt;&lt;contributors&gt;&lt;authors&gt;&lt;author&gt;Santer, Miriam&lt;/author&gt;&lt;author&gt;Ring, Nicola&lt;/author&gt;&lt;author&gt;Yardley, Lucy&lt;/author&gt;&lt;author&gt;Geraghty, Adam W. A.&lt;/author&gt;&lt;author&gt;Wyke, Sally&lt;/author&gt;&lt;/authors&gt;&lt;/contributors&gt;&lt;titles&gt;&lt;title&gt;Treatment non-adherence in pediatric long-term medical conditions: systematic review and synthesis of qualitative studies of caregivers&amp;apos; views&lt;/title&gt;&lt;secondary-title&gt;BMC pediatrics&lt;/secondary-title&gt;&lt;alt-title&gt;BMC Pediatr&lt;/alt-title&gt;&lt;/titles&gt;&lt;alt-periodical&gt;&lt;full-title&gt;BMC pediatrics&lt;/full-title&gt;&lt;abbr-1&gt;BMC Pediatr&lt;/abbr-1&gt;&lt;/alt-periodical&gt;&lt;pages&gt;63-63&lt;/pages&gt;&lt;volume&gt;14&lt;/volume&gt;&lt;keywords&gt;&lt;keyword&gt;*Caregivers&lt;/keyword&gt;&lt;keyword&gt;Child&lt;/keyword&gt;&lt;keyword&gt;Humans&lt;/keyword&gt;&lt;keyword&gt;*Medication Adherence&lt;/keyword&gt;&lt;keyword&gt;*Pediatrics&lt;/keyword&gt;&lt;keyword&gt;Qualitative Research&lt;/keyword&gt;&lt;keyword&gt;Time Factors&lt;/keyword&gt;&lt;/keywords&gt;&lt;dates&gt;&lt;year&gt;2014&lt;/year&gt;&lt;/dates&gt;&lt;publisher&gt;BioMed Central&lt;/publisher&gt;&lt;isbn&gt;1471-2431&lt;/isbn&gt;&lt;accession-num&gt;24593304&lt;/accession-num&gt;&lt;urls&gt;&lt;related-urls&gt;&lt;url&gt;https://www.ncbi.nlm.nih.gov/pubmed/24593304&lt;/url&gt;&lt;url&gt;https://www.ncbi.nlm.nih.gov/pmc/articles/PMC3984727/&lt;/url&gt;&lt;/related-urls&gt;&lt;/urls&gt;&lt;electronic-resource-num&gt;10.1186/1471-2431-14-63&lt;/electronic-resource-num&gt;&lt;remote-database-name&gt;PubMed&lt;/remote-database-name&gt;&lt;language&gt;eng&lt;/language&gt;&lt;/record&gt;&lt;/Cite&gt;&lt;/EndNote&gt;</w:instrText>
      </w:r>
      <w:r w:rsidRPr="00BE765A">
        <w:fldChar w:fldCharType="separate"/>
      </w:r>
      <w:r w:rsidR="00EE22EB">
        <w:rPr>
          <w:noProof/>
        </w:rPr>
        <w:t>(Santer et al., 2014)</w:t>
      </w:r>
      <w:r w:rsidRPr="00BE765A">
        <w:fldChar w:fldCharType="end"/>
      </w:r>
      <w:r w:rsidRPr="00BE765A">
        <w:t xml:space="preserve">. Poor adherence to medication regimens is known to be challenging for those with chronic diseases. Remembering to give medication has been reported to be one of the biggest challenges </w:t>
      </w:r>
      <w:r>
        <w:fldChar w:fldCharType="begin"/>
      </w:r>
      <w:r w:rsidR="00EE22EB">
        <w:instrText xml:space="preserve"> ADDIN EN.CITE &lt;EndNote&gt;&lt;Cite&gt;&lt;Author&gt;Aston&lt;/Author&gt;&lt;Year&gt;2019&lt;/Year&gt;&lt;RecNum&gt;269&lt;/RecNum&gt;&lt;DisplayText&gt;(Aston et al., 2019)&lt;/DisplayText&gt;&lt;record&gt;&lt;rec-number&gt;269&lt;/rec-number&gt;&lt;foreign-keys&gt;&lt;key app="EN" db-id="pr9rwt2w8padxcerwx6prd0a9wtda2w5fw2t" timestamp="1629731697"&gt;269&lt;/key&gt;&lt;/foreign-keys&gt;&lt;ref-type name="Journal Article"&gt;17&lt;/ref-type&gt;&lt;contributors&gt;&lt;authors&gt;&lt;author&gt;Aston, Jeff&lt;/author&gt;&lt;author&gt;Wilson, Keith A.&lt;/author&gt;&lt;author&gt;Terry, David R. P.&lt;/author&gt;&lt;/authors&gt;&lt;/contributors&gt;&lt;titles&gt;&lt;title&gt;The treatment-related experiences of parents, children and young people with regular prescribed medication&lt;/title&gt;&lt;secondary-title&gt;International Journal of Clinical Pharmacy&lt;/secondary-title&gt;&lt;/titles&gt;&lt;periodical&gt;&lt;full-title&gt;International Journal of Clinical Pharmacy&lt;/full-title&gt;&lt;/periodical&gt;&lt;pages&gt;113-121&lt;/pages&gt;&lt;volume&gt;41&lt;/volume&gt;&lt;number&gt;1&lt;/number&gt;&lt;dates&gt;&lt;year&gt;2019&lt;/year&gt;&lt;pub-dates&gt;&lt;date&gt;2019/02/01&lt;/date&gt;&lt;/pub-dates&gt;&lt;/dates&gt;&lt;isbn&gt;2210-7711&lt;/isbn&gt;&lt;urls&gt;&lt;related-urls&gt;&lt;url&gt;https://doi.org/10.1007/s11096-018-0756-z&lt;/url&gt;&lt;/related-urls&gt;&lt;/urls&gt;&lt;electronic-resource-num&gt;10.1007/s11096-018-0756-z&lt;/electronic-resource-num&gt;&lt;/record&gt;&lt;/Cite&gt;&lt;/EndNote&gt;</w:instrText>
      </w:r>
      <w:r>
        <w:fldChar w:fldCharType="separate"/>
      </w:r>
      <w:r w:rsidR="00EE22EB">
        <w:rPr>
          <w:noProof/>
        </w:rPr>
        <w:t>(Aston et al., 2019)</w:t>
      </w:r>
      <w:r>
        <w:fldChar w:fldCharType="end"/>
      </w:r>
      <w:r w:rsidR="0044000D">
        <w:t>, something that was mentioned by</w:t>
      </w:r>
      <w:r>
        <w:t xml:space="preserve"> </w:t>
      </w:r>
      <w:r w:rsidRPr="00BE765A">
        <w:t xml:space="preserve">our cohort of patients.  </w:t>
      </w:r>
      <w:r w:rsidR="005506E5">
        <w:t>The thrice weekly regimen was not thought by most parents</w:t>
      </w:r>
      <w:r w:rsidR="00DE7251">
        <w:t>,</w:t>
      </w:r>
      <w:r w:rsidR="005506E5">
        <w:t xml:space="preserve"> to </w:t>
      </w:r>
      <w:r w:rsidR="00DE7251">
        <w:t>contribute to difficulties in remembering to give medication</w:t>
      </w:r>
      <w:r w:rsidR="005506E5">
        <w:t xml:space="preserve"> once a routine had been established. </w:t>
      </w:r>
      <w:r w:rsidRPr="00BE765A">
        <w:t xml:space="preserve">Similar factors influenced adherence of older children including adolescents with preventative inhalers for asthma, including remembering to take the medication (establishing a routine), as well as difficulty obtaining prescriptions in a timely manner </w:t>
      </w:r>
      <w:r w:rsidR="00BD4E18">
        <w:fldChar w:fldCharType="begin">
          <w:fldData xml:space="preserve">PEVuZE5vdGU+PENpdGU+PEF1dGhvcj5EZSBTaW1vbmk8L0F1dGhvcj48WWVhcj4yMDE3PC9ZZWFy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</w:fldData>
        </w:fldChar>
      </w:r>
      <w:r w:rsidR="00EE22EB">
        <w:instrText xml:space="preserve"> ADDIN EN.CITE </w:instrText>
      </w:r>
      <w:r w:rsidR="00EE22EB">
        <w:fldChar w:fldCharType="begin">
          <w:fldData xml:space="preserve">PEVuZE5vdGU+PENpdGU+PEF1dGhvcj5EZSBTaW1vbmk8L0F1dGhvcj48WWVhcj4yMDE3PC9ZZWFy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</w:fldData>
        </w:fldChar>
      </w:r>
      <w:r w:rsidR="00EE22EB">
        <w:instrText xml:space="preserve"> ADDIN EN.CITE.DATA </w:instrText>
      </w:r>
      <w:r w:rsidR="00EE22EB">
        <w:fldChar w:fldCharType="end"/>
      </w:r>
      <w:r w:rsidR="00BD4E18">
        <w:fldChar w:fldCharType="separate"/>
      </w:r>
      <w:r w:rsidR="00EE22EB">
        <w:rPr>
          <w:noProof/>
        </w:rPr>
        <w:t>(De Simoni et al., 2017)</w:t>
      </w:r>
      <w:r w:rsidR="00BD4E18">
        <w:fldChar w:fldCharType="end"/>
      </w:r>
      <w:r w:rsidR="00BD4E18">
        <w:t>.</w:t>
      </w:r>
      <w:r w:rsidRPr="00BE765A">
        <w:t xml:space="preserve"> Non-adherence with antibiotic prophylaxis in childhood respiratory disease may risk unnecessary treatment changes for presumed antibiotic failure, additional ‘rescue’ antibiotics, worsening of the underlying condition due to acute and ongoing chronic infections and emergence of resistant organisms, hence understanding the complex interplay of factors that determine adherence in this setting warrants further study.</w:t>
      </w:r>
    </w:p>
    <w:p w14:paraId="63D1E8D8" w14:textId="562BD2E8" w:rsidR="009E0408" w:rsidRPr="009E0408" w:rsidRDefault="005D7BBE" w:rsidP="00284867">
      <w:pPr>
        <w:spacing w:after="160" w:line="360" w:lineRule="auto"/>
        <w:rPr>
          <w:lang w:val="en-US"/>
        </w:rPr>
      </w:pPr>
      <w:bookmarkStart w:id="155" w:name="_Hlk107429671"/>
      <w:r w:rsidRPr="005D7BBE">
        <w:lastRenderedPageBreak/>
        <w:t xml:space="preserve">As with other studies, we found the parental perception of threat from an acute respiratory illness to their child was influenced by perceived illness severity, child’s susceptibility and illness information as reported by Ingram et al. They found parents felt uncertain about identifying and interpreting their child’s symptoms and that it was safer to consult especially if sanctioned by friends or family </w:t>
      </w:r>
      <w:r w:rsidRPr="005D7BBE">
        <w:fldChar w:fldCharType="begin"/>
      </w:r>
      <w:r w:rsidR="00EE22EB">
        <w:instrText xml:space="preserve"> ADDIN EN.CITE &lt;EndNote&gt;&lt;Cite&gt;&lt;Author&gt;Ingram&lt;/Author&gt;&lt;Year&gt;2013&lt;/Year&gt;&lt;RecNum&gt;264&lt;/RecNum&gt;&lt;DisplayText&gt;(Ingram et al., 2013)&lt;/DisplayText&gt;&lt;record&gt;&lt;rec-number&gt;264&lt;/rec-number&gt;&lt;foreign-keys&gt;&lt;key app="EN" db-id="pr9rwt2w8padxcerwx6prd0a9wtda2w5fw2t" timestamp="1629731697"&gt;264&lt;/key&gt;&lt;/foreign-keys&gt;&lt;ref-type name="Journal Article"&gt;17&lt;/ref-type&gt;&lt;contributors&gt;&lt;authors&gt;&lt;author&gt;Ingram, Jenny&lt;/author&gt;&lt;author&gt;Cabral, Christie&lt;/author&gt;&lt;author&gt;Hay, Alastair D.&lt;/author&gt;&lt;author&gt;Lucas, Patricia J.&lt;/author&gt;&lt;author&gt;Horwood, Jeremy&lt;/author&gt;&lt;author&gt;Target team&lt;/author&gt;&lt;/authors&gt;&lt;/contributors&gt;&lt;titles&gt;&lt;title&gt;Parents’ information needs, self-efficacy and influences on consulting for childhood respiratory tract infections: a qualitative study&lt;/title&gt;&lt;secondary-title&gt;BMC Family Practice&lt;/secondary-title&gt;&lt;/titles&gt;&lt;periodical&gt;&lt;full-title&gt;BMC Family Practice&lt;/full-title&gt;&lt;/periodical&gt;&lt;pages&gt;106&lt;/pages&gt;&lt;volume&gt;14&lt;/volume&gt;&lt;number&gt;1&lt;/number&gt;&lt;dates&gt;&lt;year&gt;2013&lt;/year&gt;&lt;pub-dates&gt;&lt;date&gt;2013/07/28&lt;/date&gt;&lt;/pub-dates&gt;&lt;/dates&gt;&lt;isbn&gt;1471-2296&lt;/isbn&gt;&lt;urls&gt;&lt;related-urls&gt;&lt;url&gt;https://doi.org/10.1186/1471-2296-14-106&lt;/url&gt;&lt;/related-urls&gt;&lt;/urls&gt;&lt;electronic-resource-num&gt;10.1186/1471-2296-14-106&lt;/electronic-resource-num&gt;&lt;/record&gt;&lt;/Cite&gt;&lt;/EndNote&gt;</w:instrText>
      </w:r>
      <w:r w:rsidRPr="005D7BBE">
        <w:fldChar w:fldCharType="separate"/>
      </w:r>
      <w:r w:rsidR="00EE22EB">
        <w:rPr>
          <w:noProof/>
        </w:rPr>
        <w:t>(Ingram et al., 2013)</w:t>
      </w:r>
      <w:r w:rsidRPr="005D7BBE">
        <w:rPr>
          <w:lang w:val="en-US"/>
        </w:rPr>
        <w:fldChar w:fldCharType="end"/>
      </w:r>
      <w:r w:rsidRPr="005D7BBE">
        <w:t xml:space="preserve">.  </w:t>
      </w:r>
      <w:r w:rsidR="009E0408" w:rsidRPr="009E0408">
        <w:rPr>
          <w:lang w:val="en-US"/>
        </w:rPr>
        <w:t xml:space="preserve">Parental knowledge, understanding of their child’s condition and the healthcare system significantly impacts on decision-making </w:t>
      </w:r>
      <w:r w:rsidR="009E0408" w:rsidRPr="009E0408">
        <w:rPr>
          <w:lang w:val="en-US"/>
        </w:rPr>
        <w:fldChar w:fldCharType="begin"/>
      </w:r>
      <w:r w:rsidR="00EE22EB">
        <w:rPr>
          <w:lang w:val="en-US"/>
        </w:rPr>
        <w:instrText xml:space="preserve"> ADDIN EN.CITE &lt;EndNote&gt;&lt;Cite&gt;&lt;Author&gt;Boland&lt;/Author&gt;&lt;Year&gt;2017&lt;/Year&gt;&lt;RecNum&gt;140&lt;/RecNum&gt;&lt;DisplayText&gt;(Boland et al., 2017)&lt;/DisplayText&gt;&lt;record&gt;&lt;rec-number&gt;140&lt;/rec-number&gt;&lt;foreign-keys&gt;&lt;key app="EN" db-id="z50rresss5e5vfe0s2qpewtuxsprsrse5fff" timestamp="1580122070"&gt;140&lt;/key&gt;&lt;/foreign-keys&gt;&lt;ref-type name="Journal Article"&gt;17&lt;/ref-type&gt;&lt;contributors&gt;&lt;authors&gt;&lt;author&gt;Boland, Laura&lt;/author&gt;&lt;author&gt;Kryworuchko, Jennifer&lt;/author&gt;&lt;author&gt;Saarimaki, Anton&lt;/author&gt;&lt;author&gt;Lawson, Margaret L.&lt;/author&gt;&lt;/authors&gt;&lt;/contributors&gt;&lt;titles&gt;&lt;title&gt;Parental decision making involvement and decisional conflict: a descriptive study&lt;/title&gt;&lt;secondary-title&gt;BMC Pediatrics&lt;/secondary-title&gt;&lt;/titles&gt;&lt;periodical&gt;&lt;full-title&gt;BMC pediatrics&lt;/full-title&gt;&lt;abbr-1&gt;BMC Pediatr&lt;/abbr-1&gt;&lt;/periodical&gt;&lt;pages&gt;146&lt;/pages&gt;&lt;volume&gt;17&lt;/volume&gt;&lt;number&gt;1&lt;/number&gt;&lt;dates&gt;&lt;year&gt;2017&lt;/year&gt;&lt;pub-dates&gt;&lt;date&gt;2017/06/13&lt;/date&gt;&lt;/pub-dates&gt;&lt;/dates&gt;&lt;isbn&gt;1471-2431&lt;/isbn&gt;&lt;urls&gt;&lt;related-urls&gt;&lt;url&gt;https://doi.org/10.1186/s12887-017-0899-4&lt;/url&gt;&lt;/related-urls&gt;&lt;/urls&gt;&lt;electronic-resource-num&gt;10.1186/s12887-017-0899-4&lt;/electronic-resource-num&gt;&lt;/record&gt;&lt;/Cite&gt;&lt;/EndNote&gt;</w:instrText>
      </w:r>
      <w:r w:rsidR="009E0408" w:rsidRPr="009E0408">
        <w:rPr>
          <w:lang w:val="en-US"/>
        </w:rPr>
        <w:fldChar w:fldCharType="separate"/>
      </w:r>
      <w:r w:rsidR="00EE22EB">
        <w:rPr>
          <w:noProof/>
          <w:lang w:val="en-US"/>
        </w:rPr>
        <w:t>(Boland et al., 2017)</w:t>
      </w:r>
      <w:r w:rsidR="009E0408" w:rsidRPr="009E0408">
        <w:fldChar w:fldCharType="end"/>
      </w:r>
      <w:r w:rsidR="009E0408" w:rsidRPr="009E0408">
        <w:rPr>
          <w:lang w:val="en-US"/>
        </w:rPr>
        <w:t xml:space="preserve">. </w:t>
      </w:r>
      <w:r w:rsidR="009E0408" w:rsidRPr="009E0408">
        <w:t xml:space="preserve">A recent household survey found that the majority (83% (1404/1691) of respondents) of the public recognised antibiotics kill or treat bacterial infections, however a significant minority (35% (592/1691) thought that antibiotics kill or treat viruses </w:t>
      </w:r>
      <w:r w:rsidR="009E0408" w:rsidRPr="009E0408">
        <w:fldChar w:fldCharType="begin"/>
      </w:r>
      <w:r w:rsidR="00EE22EB">
        <w:instrText xml:space="preserve"> ADDIN EN.CITE &lt;EndNote&gt;&lt;Cite&gt;&lt;Author&gt;McNulty&lt;/Author&gt;&lt;Year&gt;2019&lt;/Year&gt;&lt;RecNum&gt;135&lt;/RecNum&gt;&lt;DisplayText&gt;(McNulty et al., 2019)&lt;/DisplayText&gt;&lt;record&gt;&lt;rec-number&gt;135&lt;/rec-number&gt;&lt;foreign-keys&gt;&lt;key app="EN" db-id="z50rresss5e5vfe0s2qpewtuxsprsrse5fff" timestamp="1580121728"&gt;135&lt;/key&gt;&lt;/foreign-keys&gt;&lt;ref-type name="Journal Article"&gt;17&lt;/ref-type&gt;&lt;contributors&gt;&lt;authors&gt;&lt;author&gt;McNulty, Cliodna A. M.&lt;/author&gt;&lt;author&gt;Collin, Simon M.&lt;/author&gt;&lt;author&gt;Cooper, Emily&lt;/author&gt;&lt;author&gt;Lecky, Donna M.&lt;/author&gt;&lt;author&gt;Butler, Chris C.&lt;/author&gt;&lt;/authors&gt;&lt;/contributors&gt;&lt;titles&gt;&lt;title&gt;Public understanding and use of antibiotics in England: findings from a household survey in 2017&lt;/title&gt;&lt;secondary-title&gt;BMJ Open&lt;/secondary-title&gt;&lt;/titles&gt;&lt;periodical&gt;&lt;full-title&gt;BMJ Open&lt;/full-title&gt;&lt;/periodical&gt;&lt;pages&gt;e030845&lt;/pages&gt;&lt;volume&gt;9&lt;/volume&gt;&lt;number&gt;10&lt;/number&gt;&lt;dates&gt;&lt;year&gt;2019&lt;/year&gt;&lt;/dates&gt;&lt;urls&gt;&lt;related-urls&gt;&lt;url&gt;http://bmjopen.bmj.com/content/9/10/e030845.abstract&lt;/url&gt;&lt;/related-urls&gt;&lt;/urls&gt;&lt;electronic-resource-num&gt;10.1136/bmjopen-2019-030845&lt;/electronic-resource-num&gt;&lt;/record&gt;&lt;/Cite&gt;&lt;/EndNote&gt;</w:instrText>
      </w:r>
      <w:r w:rsidR="009E0408" w:rsidRPr="009E0408">
        <w:fldChar w:fldCharType="separate"/>
      </w:r>
      <w:r w:rsidR="00EE22EB">
        <w:rPr>
          <w:noProof/>
        </w:rPr>
        <w:t>(McNulty et al., 2019)</w:t>
      </w:r>
      <w:r w:rsidR="009E0408" w:rsidRPr="009E0408">
        <w:fldChar w:fldCharType="end"/>
      </w:r>
      <w:r w:rsidR="009E0408" w:rsidRPr="009E0408">
        <w:t xml:space="preserve">. McNulty and colleagues also noted that more knowledge did not necessarily translate into better antibiotic practices. Clearer explanations about antibiotic indications in terms of signs and symptoms and clarification of the severity of bacterial and viral infections have been suggested would help reduce misconceptions about when antibiotics are required and not </w:t>
      </w:r>
      <w:r w:rsidR="009E0408" w:rsidRPr="009E0408">
        <w:fldChar w:fldCharType="begin">
          <w:fldData xml:space="preserve">PEVuZE5vdGU+PENpdGU+PEF1dGhvcj5DYWJyYWw8L0F1dGhvcj48WWVhcj4yMDE2PC9ZZWFyPjxS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</w:fldData>
        </w:fldChar>
      </w:r>
      <w:r w:rsidR="00EE22EB">
        <w:instrText xml:space="preserve"> ADDIN EN.CITE </w:instrText>
      </w:r>
      <w:r w:rsidR="00EE22EB">
        <w:fldChar w:fldCharType="begin">
          <w:fldData xml:space="preserve">PEVuZE5vdGU+PENpdGU+PEF1dGhvcj5DYWJyYWw8L0F1dGhvcj48WWVhcj4yMDE2PC9ZZWFyPjxS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</w:fldData>
        </w:fldChar>
      </w:r>
      <w:r w:rsidR="00EE22EB">
        <w:instrText xml:space="preserve"> ADDIN EN.CITE.DATA </w:instrText>
      </w:r>
      <w:r w:rsidR="00EE22EB">
        <w:fldChar w:fldCharType="end"/>
      </w:r>
      <w:r w:rsidR="009E0408" w:rsidRPr="009E0408">
        <w:fldChar w:fldCharType="separate"/>
      </w:r>
      <w:r w:rsidR="00EE22EB">
        <w:rPr>
          <w:noProof/>
        </w:rPr>
        <w:t>(Cabral et al., 2016)</w:t>
      </w:r>
      <w:r w:rsidR="009E0408" w:rsidRPr="009E0408">
        <w:fldChar w:fldCharType="end"/>
      </w:r>
      <w:r w:rsidR="009E0408" w:rsidRPr="009E0408">
        <w:t xml:space="preserve">. </w:t>
      </w:r>
      <w:r w:rsidR="009E0408" w:rsidRPr="009E0408">
        <w:rPr>
          <w:lang w:val="en-US"/>
        </w:rPr>
        <w:t>Our finding of a parental misconception of the word “infection” corroborates this literature.</w:t>
      </w:r>
    </w:p>
    <w:bookmarkEnd w:id="155"/>
    <w:p w14:paraId="75F22F62" w14:textId="4219DFCB" w:rsidR="00B97C85" w:rsidRDefault="00E55790" w:rsidP="00284867">
      <w:pPr>
        <w:spacing w:after="160" w:line="360" w:lineRule="auto"/>
        <w:rPr>
          <w:lang w:val="en-US"/>
        </w:rPr>
      </w:pPr>
      <w:r w:rsidRPr="00E55790">
        <w:rPr>
          <w:lang w:val="en-US"/>
        </w:rPr>
        <w:t>Our study echoes findings previously reported of ongoing misconceptions relating to resistance, i.e. the body rather than t</w:t>
      </w:r>
      <w:r w:rsidR="00090AC5">
        <w:rPr>
          <w:lang w:val="en-US"/>
        </w:rPr>
        <w:t xml:space="preserve">he pathogen becoming resistant </w:t>
      </w:r>
      <w:r w:rsidR="000432F7">
        <w:rPr>
          <w:lang w:val="en-US"/>
        </w:rPr>
        <w:fldChar w:fldCharType="begin"/>
      </w:r>
      <w:r w:rsidR="00EE22EB">
        <w:rPr>
          <w:lang w:val="en-US"/>
        </w:rPr>
        <w:instrText xml:space="preserve"> ADDIN EN.CITE &lt;EndNote&gt;&lt;Cite&gt;&lt;Author&gt;Van Hecke&lt;/Author&gt;&lt;Year&gt;2019&lt;/Year&gt;&lt;RecNum&gt;203&lt;/RecNum&gt;&lt;DisplayText&gt;(Van Hecke et al., 2019)&lt;/DisplayText&gt;&lt;record&gt;&lt;rec-number&gt;203&lt;/rec-number&gt;&lt;foreign-keys&gt;&lt;key app="EN" db-id="pr9rwt2w8padxcerwx6prd0a9wtda2w5fw2t" timestamp="1629731697"&gt;203&lt;/key&gt;&lt;/foreign-keys&gt;&lt;ref-type name="Journal Article"&gt;17&lt;/ref-type&gt;&lt;contributors&gt;&lt;authors&gt;&lt;author&gt;Van Hecke, O.&lt;/author&gt;&lt;author&gt;Butler, C. C.&lt;/author&gt;&lt;author&gt;Wang, K.&lt;/author&gt;&lt;author&gt;Tonkin-Crine, S.&lt;/author&gt;&lt;/authors&gt;&lt;/contributors&gt;&lt;auth-address&gt;Nuffield Department of Primary Health Care Sciences, University of Oxford, Oxford, UK.&lt;/auth-address&gt;&lt;titles&gt;&lt;title&gt;Parents&amp;apos; perceptions of antibiotic use and antibiotic resistance (PAUSE): a qualitative interview study&lt;/title&gt;&lt;secondary-title&gt;J Antimicrob Chemother&lt;/secondary-title&gt;&lt;/titles&gt;&lt;periodical&gt;&lt;full-title&gt;J Antimicrob Chemother&lt;/full-title&gt;&lt;/periodical&gt;&lt;pages&gt;1741-1747&lt;/pages&gt;&lt;volume&gt;74&lt;/volume&gt;&lt;number&gt;6&lt;/number&gt;&lt;edition&gt;2019/03/18&lt;/edition&gt;&lt;dates&gt;&lt;year&gt;2019&lt;/year&gt;&lt;pub-dates&gt;&lt;date&gt;Jun 1&lt;/date&gt;&lt;/pub-dates&gt;&lt;/dates&gt;&lt;isbn&gt;0305-7453&lt;/isbn&gt;&lt;accession-num&gt;30879040&lt;/accession-num&gt;&lt;urls&gt;&lt;/urls&gt;&lt;custom2&gt;PMC6524473&lt;/custom2&gt;&lt;electronic-resource-num&gt;10.1093/jac/dkz091&lt;/electronic-resource-num&gt;&lt;remote-database-provider&gt;NLM&lt;/remote-database-provider&gt;&lt;language&gt;eng&lt;/language&gt;&lt;/record&gt;&lt;/Cite&gt;&lt;/EndNote&gt;</w:instrText>
      </w:r>
      <w:r w:rsidR="000432F7">
        <w:rPr>
          <w:lang w:val="en-US"/>
        </w:rPr>
        <w:fldChar w:fldCharType="separate"/>
      </w:r>
      <w:r w:rsidR="00EE22EB">
        <w:rPr>
          <w:noProof/>
          <w:lang w:val="en-US"/>
        </w:rPr>
        <w:t>(Van Hecke et al., 2019)</w:t>
      </w:r>
      <w:r w:rsidR="000432F7">
        <w:rPr>
          <w:lang w:val="en-US"/>
        </w:rPr>
        <w:fldChar w:fldCharType="end"/>
      </w:r>
      <w:r w:rsidR="00090AC5">
        <w:rPr>
          <w:lang w:val="en-US"/>
        </w:rPr>
        <w:t xml:space="preserve"> </w:t>
      </w:r>
      <w:r w:rsidRPr="00E55790">
        <w:rPr>
          <w:lang w:val="en-US"/>
        </w:rPr>
        <w:t xml:space="preserve">and confusion between viral and bacterial infections and hence </w:t>
      </w:r>
      <w:r w:rsidR="00090AC5">
        <w:rPr>
          <w:lang w:val="en-US"/>
        </w:rPr>
        <w:t xml:space="preserve">the need for antibiotics </w:t>
      </w:r>
      <w:r w:rsidR="000432F7">
        <w:rPr>
          <w:lang w:val="en-US"/>
        </w:rPr>
        <w:fldChar w:fldCharType="begin">
          <w:fldData xml:space="preserve">PEVuZE5vdGU+PENpdGU+PEF1dGhvcj5IYWxsczwvQXV0aG9yPjxZZWFyPjIwMTc8L1llYXI+PFJl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</w:fldData>
        </w:fldChar>
      </w:r>
      <w:r w:rsidR="00CD2C33">
        <w:rPr>
          <w:lang w:val="en-US"/>
        </w:rPr>
        <w:instrText xml:space="preserve"> ADDIN EN.CITE </w:instrText>
      </w:r>
      <w:r w:rsidR="00CD2C33">
        <w:rPr>
          <w:lang w:val="en-US"/>
        </w:rPr>
        <w:fldChar w:fldCharType="begin">
          <w:fldData xml:space="preserve">PEVuZE5vdGU+PENpdGU+PEF1dGhvcj5IYWxsczwvQXV0aG9yPjxZZWFyPjIwMTc8L1llYXI+PFJl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</w:fldData>
        </w:fldChar>
      </w:r>
      <w:r w:rsidR="00CD2C33">
        <w:rPr>
          <w:lang w:val="en-US"/>
        </w:rPr>
        <w:instrText xml:space="preserve"> ADDIN EN.CITE.DATA </w:instrText>
      </w:r>
      <w:r w:rsidR="00CD2C33">
        <w:rPr>
          <w:lang w:val="en-US"/>
        </w:rPr>
      </w:r>
      <w:r w:rsidR="00CD2C33">
        <w:rPr>
          <w:lang w:val="en-US"/>
        </w:rPr>
        <w:fldChar w:fldCharType="end"/>
      </w:r>
      <w:r w:rsidR="000432F7">
        <w:rPr>
          <w:lang w:val="en-US"/>
        </w:rPr>
      </w:r>
      <w:r w:rsidR="000432F7">
        <w:rPr>
          <w:lang w:val="en-US"/>
        </w:rPr>
        <w:fldChar w:fldCharType="separate"/>
      </w:r>
      <w:r w:rsidR="00CD2C33">
        <w:rPr>
          <w:noProof/>
          <w:lang w:val="en-US"/>
        </w:rPr>
        <w:t>(Cabral et al., 2016; Halls et al., 2017)</w:t>
      </w:r>
      <w:r w:rsidR="000432F7">
        <w:rPr>
          <w:lang w:val="en-US"/>
        </w:rPr>
        <w:fldChar w:fldCharType="end"/>
      </w:r>
      <w:r w:rsidR="00090AC5">
        <w:rPr>
          <w:lang w:val="en-US"/>
        </w:rPr>
        <w:t>.</w:t>
      </w:r>
      <w:r w:rsidRPr="00E55790">
        <w:rPr>
          <w:lang w:val="en-US"/>
        </w:rPr>
        <w:t xml:space="preserve"> Previous reports suggest parents perceiving their children as low antibiotic users do not see antibiotic resistance as a</w:t>
      </w:r>
      <w:r w:rsidR="00090AC5">
        <w:rPr>
          <w:lang w:val="en-US"/>
        </w:rPr>
        <w:t>n issue for their children</w:t>
      </w:r>
      <w:r w:rsidR="000432F7">
        <w:rPr>
          <w:lang w:val="en-US"/>
        </w:rPr>
        <w:t xml:space="preserve"> </w:t>
      </w:r>
      <w:r w:rsidR="000432F7">
        <w:rPr>
          <w:lang w:val="en-US"/>
        </w:rPr>
        <w:fldChar w:fldCharType="begin"/>
      </w:r>
      <w:r w:rsidR="00EE22EB">
        <w:rPr>
          <w:lang w:val="en-US"/>
        </w:rPr>
        <w:instrText xml:space="preserve"> ADDIN EN.CITE &lt;EndNote&gt;&lt;Cite&gt;&lt;Author&gt;Van Hecke&lt;/Author&gt;&lt;Year&gt;2019&lt;/Year&gt;&lt;RecNum&gt;203&lt;/RecNum&gt;&lt;DisplayText&gt;(Van Hecke et al., 2019)&lt;/DisplayText&gt;&lt;record&gt;&lt;rec-number&gt;203&lt;/rec-number&gt;&lt;foreign-keys&gt;&lt;key app="EN" db-id="pr9rwt2w8padxcerwx6prd0a9wtda2w5fw2t" timestamp="1629731697"&gt;203&lt;/key&gt;&lt;/foreign-keys&gt;&lt;ref-type name="Journal Article"&gt;17&lt;/ref-type&gt;&lt;contributors&gt;&lt;authors&gt;&lt;author&gt;Van Hecke, O.&lt;/author&gt;&lt;author&gt;Butler, C. C.&lt;/author&gt;&lt;author&gt;Wang, K.&lt;/author&gt;&lt;author&gt;Tonkin-Crine, S.&lt;/author&gt;&lt;/authors&gt;&lt;/contributors&gt;&lt;auth-address&gt;Nuffield Department of Primary Health Care Sciences, University of Oxford, Oxford, UK.&lt;/auth-address&gt;&lt;titles&gt;&lt;title&gt;Parents&amp;apos; perceptions of antibiotic use and antibiotic resistance (PAUSE): a qualitative interview study&lt;/title&gt;&lt;secondary-title&gt;J Antimicrob Chemother&lt;/secondary-title&gt;&lt;/titles&gt;&lt;periodical&gt;&lt;full-title&gt;J Antimicrob Chemother&lt;/full-title&gt;&lt;/periodical&gt;&lt;pages&gt;1741-1747&lt;/pages&gt;&lt;volume&gt;74&lt;/volume&gt;&lt;number&gt;6&lt;/number&gt;&lt;edition&gt;2019/03/18&lt;/edition&gt;&lt;dates&gt;&lt;year&gt;2019&lt;/year&gt;&lt;pub-dates&gt;&lt;date&gt;Jun 1&lt;/date&gt;&lt;/pub-dates&gt;&lt;/dates&gt;&lt;isbn&gt;0305-7453&lt;/isbn&gt;&lt;accession-num&gt;30879040&lt;/accession-num&gt;&lt;urls&gt;&lt;/urls&gt;&lt;custom2&gt;PMC6524473&lt;/custom2&gt;&lt;electronic-resource-num&gt;10.1093/jac/dkz091&lt;/electronic-resource-num&gt;&lt;remote-database-provider&gt;NLM&lt;/remote-database-provider&gt;&lt;language&gt;eng&lt;/language&gt;&lt;/record&gt;&lt;/Cite&gt;&lt;/EndNote&gt;</w:instrText>
      </w:r>
      <w:r w:rsidR="000432F7">
        <w:rPr>
          <w:lang w:val="en-US"/>
        </w:rPr>
        <w:fldChar w:fldCharType="separate"/>
      </w:r>
      <w:r w:rsidR="00EE22EB">
        <w:rPr>
          <w:noProof/>
          <w:lang w:val="en-US"/>
        </w:rPr>
        <w:t>(Van Hecke et al., 2019)</w:t>
      </w:r>
      <w:r w:rsidR="000432F7">
        <w:rPr>
          <w:lang w:val="en-US"/>
        </w:rPr>
        <w:fldChar w:fldCharType="end"/>
      </w:r>
      <w:r w:rsidR="000432F7">
        <w:rPr>
          <w:lang w:val="en-US"/>
        </w:rPr>
        <w:t>.</w:t>
      </w:r>
      <w:r w:rsidRPr="00E55790">
        <w:rPr>
          <w:lang w:val="en-US"/>
        </w:rPr>
        <w:t xml:space="preserve"> However, parents in our cohort see their children as high users of antibiotics, who are at risk of resistance (albeit in the future) and weighed this factor when making decisions about prophylaxis. This was not reported in the only previous study looking at perceptions of parents on an oncology unit </w:t>
      </w:r>
      <w:r w:rsidR="00076661">
        <w:rPr>
          <w:lang w:val="en-US"/>
        </w:rPr>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rPr>
          <w:lang w:val="en-US"/>
        </w:rPr>
        <w:instrText xml:space="preserve"> ADDIN EN.CITE </w:instrText>
      </w:r>
      <w:r w:rsidR="00EE22EB">
        <w:rPr>
          <w:lang w:val="en-US"/>
        </w:rPr>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EE22EB">
        <w:rPr>
          <w:lang w:val="en-US"/>
        </w:rPr>
        <w:instrText xml:space="preserve"> ADDIN EN.CITE.DATA </w:instrText>
      </w:r>
      <w:r w:rsidR="00EE22EB">
        <w:rPr>
          <w:lang w:val="en-US"/>
        </w:rPr>
      </w:r>
      <w:r w:rsidR="00EE22EB">
        <w:rPr>
          <w:lang w:val="en-US"/>
        </w:rPr>
        <w:fldChar w:fldCharType="end"/>
      </w:r>
      <w:r w:rsidR="00076661">
        <w:rPr>
          <w:lang w:val="en-US"/>
        </w:rPr>
      </w:r>
      <w:r w:rsidR="00076661">
        <w:rPr>
          <w:lang w:val="en-US"/>
        </w:rPr>
        <w:fldChar w:fldCharType="separate"/>
      </w:r>
      <w:r w:rsidR="00EE22EB">
        <w:rPr>
          <w:noProof/>
          <w:lang w:val="en-US"/>
        </w:rPr>
        <w:t>(Diorio et al., 2012)</w:t>
      </w:r>
      <w:r w:rsidR="00076661">
        <w:rPr>
          <w:lang w:val="en-US"/>
        </w:rPr>
        <w:fldChar w:fldCharType="end"/>
      </w:r>
      <w:r w:rsidRPr="00E55790">
        <w:rPr>
          <w:lang w:val="en-US"/>
        </w:rPr>
        <w:t xml:space="preserve"> and is a novel observation.</w:t>
      </w:r>
    </w:p>
    <w:p w14:paraId="567081CF" w14:textId="5EE2959D" w:rsidR="00F40FB7" w:rsidRPr="00F40FB7" w:rsidRDefault="00F40FB7" w:rsidP="00F40FB7">
      <w:pPr>
        <w:spacing w:line="360" w:lineRule="auto"/>
      </w:pPr>
      <w:r w:rsidRPr="00F40FB7">
        <w:t>It is hoped that the proposed behavioural model will give health care professionals a better understanding of the challenges parents experience and allow help them to support families through the cycle of different phases outlined. Of note it has been developed specifically in the context of prophylaxis for respiratory infection, and further studies would be needed to see if it could be adapted for other settings in which antibiotic prophylaxis may be required (examples in</w:t>
      </w:r>
      <w:r>
        <w:t xml:space="preserve"> </w:t>
      </w:r>
      <w:r w:rsidRPr="00F40FB7">
        <w:fldChar w:fldCharType="begin"/>
      </w:r>
      <w:r w:rsidRPr="00F40FB7">
        <w:instrText xml:space="preserve"> REF _Ref105513017 \h  \* MERGEFORMAT </w:instrText>
      </w:r>
      <w:r w:rsidRPr="00F40FB7">
        <w:fldChar w:fldCharType="separate"/>
      </w:r>
      <w:r w:rsidRPr="00F40FB7">
        <w:rPr>
          <w:color w:val="000000" w:themeColor="text1"/>
        </w:rPr>
        <w:t>Table</w:t>
      </w:r>
      <w:r>
        <w:rPr>
          <w:color w:val="000000" w:themeColor="text1"/>
        </w:rPr>
        <w:t>s</w:t>
      </w:r>
      <w:r w:rsidRPr="00F40FB7">
        <w:rPr>
          <w:color w:val="000000" w:themeColor="text1"/>
        </w:rPr>
        <w:t xml:space="preserve"> </w:t>
      </w:r>
      <w:r w:rsidRPr="00F40FB7">
        <w:rPr>
          <w:noProof/>
          <w:color w:val="000000" w:themeColor="text1"/>
        </w:rPr>
        <w:t>1</w:t>
      </w:r>
      <w:r w:rsidRPr="00F40FB7">
        <w:fldChar w:fldCharType="end"/>
      </w:r>
      <w:r w:rsidRPr="00F40FB7">
        <w:t>-3).</w:t>
      </w:r>
    </w:p>
    <w:p w14:paraId="60B910AD" w14:textId="77777777" w:rsidR="00F40FB7" w:rsidRPr="00281C96" w:rsidRDefault="00F40FB7" w:rsidP="00281C96">
      <w:pPr>
        <w:spacing w:line="360" w:lineRule="auto"/>
        <w:rPr>
          <w:lang w:val="en-US"/>
        </w:rPr>
      </w:pPr>
    </w:p>
    <w:p w14:paraId="4848350F" w14:textId="4135D7D3" w:rsidR="00313CB1" w:rsidRPr="00241369" w:rsidRDefault="00313CB1" w:rsidP="00EF11A2">
      <w:pPr>
        <w:pStyle w:val="Heading3"/>
        <w:spacing w:before="0" w:line="360" w:lineRule="auto"/>
      </w:pPr>
      <w:bookmarkStart w:id="156" w:name="_Toc117765964"/>
      <w:r w:rsidRPr="00241369">
        <w:lastRenderedPageBreak/>
        <w:t>Implications for clinical practice</w:t>
      </w:r>
      <w:bookmarkEnd w:id="156"/>
    </w:p>
    <w:p w14:paraId="52D58D97" w14:textId="77777777" w:rsidR="00810D3D" w:rsidRPr="00C558E8" w:rsidRDefault="00810D3D" w:rsidP="00284867">
      <w:pPr>
        <w:spacing w:after="160" w:line="360" w:lineRule="auto"/>
        <w:rPr>
          <w:lang w:val="en-US"/>
        </w:rPr>
      </w:pPr>
      <w:r>
        <w:t xml:space="preserve">It is important to consider the potential practical applications of the above findings. </w:t>
      </w:r>
      <w:r w:rsidRPr="00241369">
        <w:t>When making decisions regarding prophylaxis</w:t>
      </w:r>
      <w:r>
        <w:t>,</w:t>
      </w:r>
      <w:r w:rsidRPr="00241369">
        <w:t xml:space="preserve"> clinicians should be mindful of passive parents</w:t>
      </w:r>
      <w:r>
        <w:t xml:space="preserve"> with p</w:t>
      </w:r>
      <w:r w:rsidRPr="00C558E8">
        <w:t xml:space="preserve">otentially unvoiced concerns. </w:t>
      </w:r>
      <w:r w:rsidRPr="00C558E8">
        <w:rPr>
          <w:lang w:val="en-US"/>
        </w:rPr>
        <w:t xml:space="preserve">Breaking down barriers that dissuade parents’ participation may help a transition to more active involvement. This includes acknowledging parents as experts in their own right, irrespective of heath literacy, focusing eye contact on parents rather than computer screens, providing adequate information </w:t>
      </w:r>
      <w:r>
        <w:rPr>
          <w:lang w:val="en-US"/>
        </w:rPr>
        <w:t xml:space="preserve">including practical aspects such as antibiotic reconstitution and disposal, </w:t>
      </w:r>
      <w:r w:rsidRPr="00C558E8">
        <w:rPr>
          <w:lang w:val="en-US"/>
        </w:rPr>
        <w:t>and addressing social norms.</w:t>
      </w:r>
      <w:r w:rsidRPr="0045284B">
        <w:rPr>
          <w:lang w:val="en-US"/>
        </w:rPr>
        <w:t xml:space="preserve"> </w:t>
      </w:r>
      <w:r w:rsidRPr="00241369">
        <w:t>This preparation and counselling could be undertaken by a variety of health care professionals such as pharmacists when dispensing medication and facilitated through written material</w:t>
      </w:r>
      <w:r>
        <w:t>. D</w:t>
      </w:r>
      <w:r w:rsidRPr="00241369">
        <w:t>iscussing normalisation and the importance of routine may mean stability is achieved sooner.</w:t>
      </w:r>
      <w:r>
        <w:t xml:space="preserve"> Additional</w:t>
      </w:r>
      <w:r w:rsidRPr="00241369">
        <w:t xml:space="preserve"> advantages of active involvement </w:t>
      </w:r>
      <w:r>
        <w:t xml:space="preserve">are </w:t>
      </w:r>
      <w:r w:rsidRPr="00241369">
        <w:t xml:space="preserve">feelings of control, security and confidence in the treatment.  </w:t>
      </w:r>
      <w:r>
        <w:t>However, n</w:t>
      </w:r>
      <w:r w:rsidRPr="00241369">
        <w:t xml:space="preserve">ot all parents will want to actively take part in </w:t>
      </w:r>
      <w:r>
        <w:t xml:space="preserve">all </w:t>
      </w:r>
      <w:r w:rsidRPr="00241369">
        <w:t>decision</w:t>
      </w:r>
      <w:r>
        <w:t>s and this must also be respected.</w:t>
      </w:r>
    </w:p>
    <w:p w14:paraId="65A5B6EA" w14:textId="77777777" w:rsidR="00810D3D" w:rsidRPr="00241369" w:rsidRDefault="00810D3D" w:rsidP="00284867">
      <w:pPr>
        <w:spacing w:after="160" w:line="360" w:lineRule="auto"/>
      </w:pPr>
      <w:r w:rsidRPr="00241369">
        <w:t xml:space="preserve">During </w:t>
      </w:r>
      <w:r>
        <w:t xml:space="preserve">the stability </w:t>
      </w:r>
      <w:r w:rsidRPr="00241369">
        <w:t>phase</w:t>
      </w:r>
      <w:r>
        <w:t>,</w:t>
      </w:r>
      <w:r w:rsidRPr="00241369">
        <w:t xml:space="preserve"> clinicians should be mindful that adherence may decline if the number of respiratory tract infections reduces. Addressing this when collecting repeat prescriptions might be possible as well as during consultations. The efficacy of prophylaxis may need to be considered not only in terms of the number of clinical exacerbations. If prophylaxis is seen as a protective barrier, the threshold for seeking medical attention for symptoms may be raised. This potentially influences the need for ongoing prophylaxis. </w:t>
      </w:r>
    </w:p>
    <w:p w14:paraId="21671FC7" w14:textId="77777777" w:rsidR="00810D3D" w:rsidRPr="00241369" w:rsidRDefault="00810D3D" w:rsidP="00810D3D">
      <w:pPr>
        <w:spacing w:line="360" w:lineRule="auto"/>
      </w:pPr>
      <w:r w:rsidRPr="00241369">
        <w:t>Discussing a threshold for seeking medical assessment during acute illnesses would be helpful for parents. By doing so, it will enable parents to feel they are seeking assessment at an appropriate time, alleviate anxieties and through good communication with GPs, raise awareness of suggested management plans. Discussing thresholds before the event may mean a cycle of expectations for further antibiotics, based on previous experiences, can be addressed.</w:t>
      </w:r>
    </w:p>
    <w:p w14:paraId="3BC07CA6" w14:textId="1A7EDAF7" w:rsidR="00810D3D" w:rsidRDefault="00810D3D" w:rsidP="00810D3D">
      <w:pPr>
        <w:spacing w:line="360" w:lineRule="auto"/>
      </w:pPr>
      <w:r w:rsidRPr="00241369">
        <w:t>The interviews showed parents often had a misunderstanding of the term infection implying the need for antibiotics. Clear and consistent messages from health care professionals may help reduce any confusion.</w:t>
      </w:r>
    </w:p>
    <w:p w14:paraId="1B8625D0" w14:textId="77777777" w:rsidR="00810D3D" w:rsidRDefault="00810D3D" w:rsidP="00EF11A2">
      <w:pPr>
        <w:spacing w:line="360" w:lineRule="auto"/>
      </w:pPr>
    </w:p>
    <w:p w14:paraId="2BC4E33B" w14:textId="49A58D46" w:rsidR="00313CB1" w:rsidRPr="00241369" w:rsidRDefault="00313CB1" w:rsidP="00EF11A2">
      <w:pPr>
        <w:pStyle w:val="Heading3"/>
        <w:spacing w:before="0" w:line="360" w:lineRule="auto"/>
      </w:pPr>
      <w:bookmarkStart w:id="157" w:name="_Toc117765965"/>
      <w:r w:rsidRPr="00241369">
        <w:lastRenderedPageBreak/>
        <w:t>Limitations and strengths</w:t>
      </w:r>
      <w:bookmarkEnd w:id="157"/>
    </w:p>
    <w:p w14:paraId="24130592" w14:textId="77777777" w:rsidR="00BC6727" w:rsidRDefault="00BC6727" w:rsidP="00284867">
      <w:pPr>
        <w:spacing w:after="160" w:line="360" w:lineRule="auto"/>
      </w:pPr>
      <w:r w:rsidRPr="00241369">
        <w:t xml:space="preserve">Using interpretive phenomenology has the strengths of providing detailed insight into participants’ experiences and allowing them to freely explain this. This methodology has </w:t>
      </w:r>
      <w:r>
        <w:t xml:space="preserve">however </w:t>
      </w:r>
      <w:r w:rsidRPr="00241369">
        <w:t xml:space="preserve">been </w:t>
      </w:r>
      <w:r w:rsidRPr="008F33C8">
        <w:t>criticised</w:t>
      </w:r>
      <w:r w:rsidRPr="00241369">
        <w:t xml:space="preserve"> as the experiences explored are not witnessed by the researcher but rely on accounts from the participant being interviewed. It has been questioned whether the participant and researcher have the necessary communication and language skills to communicate the nuances of the experiences</w:t>
      </w:r>
      <w:r>
        <w:t xml:space="preserve"> </w:t>
      </w:r>
      <w:r>
        <w:fldChar w:fldCharType="begin"/>
      </w:r>
      <w:r>
        <w:instrText xml:space="preserve"> ADDIN EN.CITE &lt;EndNote&gt;&lt;Cite&gt;&lt;Author&gt;Tuffour&lt;/Author&gt;&lt;Year&gt;2017&lt;/Year&gt;&lt;RecNum&gt;212&lt;/RecNum&gt;&lt;DisplayText&gt;(Tuffour, 2017)&lt;/DisplayText&gt;&lt;record&gt;&lt;rec-number&gt;212&lt;/rec-number&gt;&lt;foreign-keys&gt;&lt;key app="EN" db-id="pr9rwt2w8padxcerwx6prd0a9wtda2w5fw2t" timestamp="1629731697"&gt;212&lt;/key&gt;&lt;/foreign-keys&gt;&lt;ref-type name="Journal Article"&gt;17&lt;/ref-type&gt;&lt;contributors&gt;&lt;authors&gt;&lt;author&gt;Tuffour, Isaac&lt;/author&gt;&lt;/authors&gt;&lt;/contributors&gt;&lt;titles&gt;&lt;title&gt;A Critical Overview of Interpretative Phenomenological Analysis: A Contemporary Qualitative Research Approach&lt;/title&gt;&lt;secondary-title&gt;Journal of Healthcare Communications&lt;/secondary-title&gt;&lt;/titles&gt;&lt;periodical&gt;&lt;full-title&gt;Journal of Healthcare Communications&lt;/full-title&gt;&lt;/periodical&gt;&lt;volume&gt;2&lt;/volume&gt;&lt;number&gt;4&lt;/number&gt;&lt;dates&gt;&lt;year&gt;2017&lt;/year&gt;&lt;/dates&gt;&lt;accession-num&gt;pub.1092858461&lt;/accession-num&gt;&lt;urls&gt;&lt;related-urls&gt;&lt;url&gt;https://app.dimensions.ai/details/publication/pub.1092858461&lt;/url&gt;&lt;url&gt;http://healthcare-communications.imedpub.com/a-critical-overview-of-interpretative-phenomenological-analysis-a-contemporary-qualitative-research-approach.pdf&lt;/url&gt;&lt;/related-urls&gt;&lt;/urls&gt;&lt;electronic-resource-num&gt;10.4172/2472-1654.100093&lt;/electronic-resource-num&gt;&lt;access-date&gt;2020/01/06&lt;/access-date&gt;&lt;/record&gt;&lt;/Cite&gt;&lt;/EndNote&gt;</w:instrText>
      </w:r>
      <w:r>
        <w:fldChar w:fldCharType="separate"/>
      </w:r>
      <w:r>
        <w:rPr>
          <w:noProof/>
        </w:rPr>
        <w:t>(Tuffour, 2017)</w:t>
      </w:r>
      <w:r>
        <w:fldChar w:fldCharType="end"/>
      </w:r>
      <w:r w:rsidRPr="00241369">
        <w:t>.</w:t>
      </w:r>
      <w:r>
        <w:t xml:space="preserve"> </w:t>
      </w:r>
      <w:r w:rsidRPr="001C5859">
        <w:t>All parents</w:t>
      </w:r>
      <w:r>
        <w:t xml:space="preserve"> in the study</w:t>
      </w:r>
      <w:r w:rsidRPr="001C5859">
        <w:t xml:space="preserve"> had had a lot of contact with health care professionals having had children referred to hospital services and been prescribed prophylactic antibiotics. Knowing I was a doctor may have influenced how they </w:t>
      </w:r>
      <w:r>
        <w:t>responded.</w:t>
      </w:r>
      <w:r w:rsidRPr="001C5859">
        <w:t xml:space="preserve"> This could have been in terms of the aspects they thought I would deem important</w:t>
      </w:r>
      <w:r>
        <w:t>,</w:t>
      </w:r>
      <w:r w:rsidRPr="001C5859">
        <w:t xml:space="preserve"> or they themselves slipping into a medicalised role that they use when discussing issues with health care professionals. </w:t>
      </w:r>
      <w:r w:rsidRPr="007E38C8">
        <w:t>A non-medical interviewer may have focussed and guided the interviews in</w:t>
      </w:r>
      <w:r>
        <w:t>to other areas of their lives. Additionally,  the</w:t>
      </w:r>
      <w:r w:rsidRPr="00452BD8">
        <w:t xml:space="preserve"> site of the interview could have influenced how comfortable parents felt talking to me.  Those interviewed at home in their kitchen or front room with a cup of tea seemed more relaxed. The hospital locations were more formal. Although only rooms in non-clinical areas were used, this environment may have reinforced feelings of a doctor parent interview rather than an informal conversation.</w:t>
      </w:r>
    </w:p>
    <w:p w14:paraId="08C96CA3" w14:textId="08BDBDB0" w:rsidR="00BC6727" w:rsidRDefault="00BC6727" w:rsidP="00BC6727">
      <w:pPr>
        <w:spacing w:line="360" w:lineRule="auto"/>
      </w:pPr>
      <w:r w:rsidRPr="001C5859">
        <w:t xml:space="preserve">My training to carry out the interviews </w:t>
      </w:r>
      <w:r w:rsidR="00BD71B7">
        <w:t xml:space="preserve">was </w:t>
      </w:r>
      <w:r>
        <w:t>undertaken by</w:t>
      </w:r>
      <w:r w:rsidRPr="001C5859">
        <w:t xml:space="preserve"> Dr </w:t>
      </w:r>
      <w:r>
        <w:t xml:space="preserve">Andrew </w:t>
      </w:r>
      <w:r w:rsidRPr="001C5859">
        <w:t>Lee, an expert in qualitative research</w:t>
      </w:r>
      <w:r w:rsidR="00BD71B7">
        <w:t xml:space="preserve">. I </w:t>
      </w:r>
      <w:r>
        <w:t xml:space="preserve">did not have prior experience </w:t>
      </w:r>
      <w:r w:rsidR="00BD71B7">
        <w:t xml:space="preserve">of interviewing apart from </w:t>
      </w:r>
      <w:r>
        <w:t>my clinical</w:t>
      </w:r>
      <w:r w:rsidR="00BD71B7">
        <w:t xml:space="preserve"> medical consultation</w:t>
      </w:r>
      <w:r>
        <w:t xml:space="preserve"> skills. </w:t>
      </w:r>
      <w:r w:rsidR="005241F8">
        <w:t xml:space="preserve">Through the use of open questions I allowed parents to tell me about important factors for them. These I followed up in further detail with more closed questions. </w:t>
      </w:r>
      <w:r>
        <w:t>It is likely that my competence increased during the study, allowing me to</w:t>
      </w:r>
      <w:r w:rsidRPr="001C5859">
        <w:t xml:space="preserve"> gather richer</w:t>
      </w:r>
      <w:r>
        <w:t xml:space="preserve"> and</w:t>
      </w:r>
      <w:r w:rsidRPr="001C5859">
        <w:t xml:space="preserve"> more balanced views with regards to factors influencing parents’ behaviour.</w:t>
      </w:r>
      <w:r w:rsidRPr="002F301E">
        <w:t xml:space="preserve"> </w:t>
      </w:r>
      <w:r>
        <w:t>Despite this, the use of a single rather than multiple interviewers enhanced the consistency of the interviews and was helpful in harmonising the outcomes. T</w:t>
      </w:r>
      <w:r w:rsidRPr="00241369">
        <w:t xml:space="preserve">he ability to run interviews </w:t>
      </w:r>
      <w:r>
        <w:t>flexibly in terms of location timing may have helped recruitment and the interview duration (</w:t>
      </w:r>
      <w:r w:rsidRPr="00241369">
        <w:t>average of 45 minutes</w:t>
      </w:r>
      <w:r>
        <w:t xml:space="preserve">) was </w:t>
      </w:r>
      <w:r w:rsidR="00642C9A">
        <w:t>flexible</w:t>
      </w:r>
      <w:r>
        <w:t>, giving p</w:t>
      </w:r>
      <w:r w:rsidRPr="00241369">
        <w:t xml:space="preserve">arents enough time to </w:t>
      </w:r>
      <w:r>
        <w:t xml:space="preserve">consider and </w:t>
      </w:r>
      <w:r w:rsidRPr="00241369">
        <w:t xml:space="preserve">describe their experiences. </w:t>
      </w:r>
    </w:p>
    <w:p w14:paraId="29850121" w14:textId="59293599" w:rsidR="00BC6727" w:rsidRDefault="00BC6727" w:rsidP="00B751E5">
      <w:pPr>
        <w:spacing w:after="160" w:line="360" w:lineRule="auto"/>
      </w:pPr>
      <w:r>
        <w:t>Finally, I</w:t>
      </w:r>
      <w:r w:rsidRPr="007E38C8">
        <w:t>nterpretation of the interview</w:t>
      </w:r>
      <w:r>
        <w:t xml:space="preserve"> could also have</w:t>
      </w:r>
      <w:r w:rsidRPr="007E38C8">
        <w:t xml:space="preserve"> been influenced by my medical background</w:t>
      </w:r>
      <w:r>
        <w:t>, particularly as</w:t>
      </w:r>
      <w:r w:rsidRPr="007E38C8">
        <w:t xml:space="preserve"> I aimed to disseminate my findings to the medical community. As such, the terminology I have used for coding and developing the themes is </w:t>
      </w:r>
      <w:r>
        <w:t>quite ‘</w:t>
      </w:r>
      <w:r w:rsidRPr="007E38C8">
        <w:t>medical</w:t>
      </w:r>
      <w:r>
        <w:t>’</w:t>
      </w:r>
      <w:r w:rsidRPr="007E38C8">
        <w:t xml:space="preserve">. </w:t>
      </w:r>
      <w:r>
        <w:t>Choosing</w:t>
      </w:r>
      <w:r w:rsidRPr="007E38C8">
        <w:t xml:space="preserve"> words used by the parents may have better reflected their expressions</w:t>
      </w:r>
      <w:r>
        <w:t>,</w:t>
      </w:r>
      <w:r w:rsidRPr="007E38C8">
        <w:t xml:space="preserve"> however it is </w:t>
      </w:r>
      <w:r w:rsidRPr="007E38C8">
        <w:lastRenderedPageBreak/>
        <w:t>harder to be concise</w:t>
      </w:r>
      <w:r>
        <w:t xml:space="preserve"> and the terms to describe similar concepts differed widely between parents</w:t>
      </w:r>
      <w:r w:rsidRPr="007E38C8">
        <w:t xml:space="preserve">. Terms such as </w:t>
      </w:r>
      <w:r>
        <w:t>‘</w:t>
      </w:r>
      <w:r w:rsidRPr="007E38C8">
        <w:t>health literacy</w:t>
      </w:r>
      <w:r>
        <w:t>’</w:t>
      </w:r>
      <w:r w:rsidRPr="007E38C8">
        <w:t xml:space="preserve"> and </w:t>
      </w:r>
      <w:r>
        <w:t>‘</w:t>
      </w:r>
      <w:r w:rsidRPr="007E38C8">
        <w:t>understanding of science</w:t>
      </w:r>
      <w:r>
        <w:t>’ may</w:t>
      </w:r>
      <w:r w:rsidRPr="007E38C8">
        <w:t xml:space="preserve"> indicate that I have made a judgement on the basis of my medial gaze. I have not used any objective criteria to assess the health literacy of a parent but instead have used my medical experience. This may have biased </w:t>
      </w:r>
      <w:r>
        <w:t>my</w:t>
      </w:r>
      <w:r w:rsidRPr="007E38C8">
        <w:t xml:space="preserve"> interpretation of how they described events. Again I have interpreted a parents understanding of science from a position of specialist knowledge</w:t>
      </w:r>
      <w:r>
        <w:t>,</w:t>
      </w:r>
      <w:r w:rsidRPr="007E38C8">
        <w:t xml:space="preserve"> without objective measures to determine how much understanding they have other than my opinion. </w:t>
      </w:r>
    </w:p>
    <w:p w14:paraId="6E891A70" w14:textId="026C0F54" w:rsidR="00BC6727" w:rsidRPr="005216B3" w:rsidRDefault="00BC6727" w:rsidP="00B751E5">
      <w:pPr>
        <w:spacing w:after="160" w:line="360" w:lineRule="auto"/>
        <w:rPr>
          <w:lang w:val="en-US"/>
        </w:rPr>
      </w:pPr>
      <w:r>
        <w:rPr>
          <w:lang w:val="en-US"/>
        </w:rPr>
        <w:t>It is important to consider the sample size -  h</w:t>
      </w:r>
      <w:r w:rsidRPr="00CD3EEA">
        <w:rPr>
          <w:lang w:val="en-US"/>
        </w:rPr>
        <w:t>ow many qualitative interviews are enough</w:t>
      </w:r>
      <w:r>
        <w:rPr>
          <w:lang w:val="en-US"/>
        </w:rPr>
        <w:t xml:space="preserve"> to answer the research question</w:t>
      </w:r>
      <w:r w:rsidRPr="00CD3EEA">
        <w:rPr>
          <w:lang w:val="en-US"/>
        </w:rPr>
        <w:t xml:space="preserve">? </w:t>
      </w:r>
      <w:r>
        <w:rPr>
          <w:lang w:val="en-US"/>
        </w:rPr>
        <w:t>This is somewhat empirical, but in the literature, it is usually addressed using the concept of</w:t>
      </w:r>
      <w:r w:rsidRPr="00CD3EEA">
        <w:rPr>
          <w:lang w:val="en-US"/>
        </w:rPr>
        <w:t xml:space="preserve"> </w:t>
      </w:r>
      <w:r>
        <w:rPr>
          <w:lang w:val="en-US"/>
        </w:rPr>
        <w:t xml:space="preserve">‘data </w:t>
      </w:r>
      <w:r w:rsidRPr="00CD3EEA">
        <w:rPr>
          <w:lang w:val="en-US"/>
        </w:rPr>
        <w:t>saturation</w:t>
      </w:r>
      <w:r>
        <w:rPr>
          <w:lang w:val="en-US"/>
        </w:rPr>
        <w:t>’</w:t>
      </w:r>
      <w:r w:rsidRPr="00EB2273">
        <w:t xml:space="preserve"> </w:t>
      </w:r>
      <w:r>
        <w:t xml:space="preserve">- </w:t>
      </w:r>
      <w:r w:rsidRPr="00EB2273">
        <w:rPr>
          <w:lang w:val="en-US"/>
        </w:rPr>
        <w:t>the point in data collection</w:t>
      </w:r>
      <w:r>
        <w:rPr>
          <w:lang w:val="en-US"/>
        </w:rPr>
        <w:t>/</w:t>
      </w:r>
      <w:r w:rsidRPr="00EB2273">
        <w:rPr>
          <w:lang w:val="en-US"/>
        </w:rPr>
        <w:t>analysis when little or no new information</w:t>
      </w:r>
      <w:r>
        <w:rPr>
          <w:lang w:val="en-US"/>
        </w:rPr>
        <w:t xml:space="preserve"> is added by additional interviews or other data collection methods </w:t>
      </w:r>
      <w:r w:rsidR="00B5476D">
        <w:rPr>
          <w:lang w:val="en-US"/>
        </w:rPr>
        <w:fldChar w:fldCharType="begin"/>
      </w:r>
      <w:r w:rsidR="00EE22EB">
        <w:rPr>
          <w:lang w:val="en-US"/>
        </w:rPr>
        <w:instrText xml:space="preserve"> ADDIN EN.CITE &lt;EndNote&gt;&lt;Cite&gt;&lt;Author&gt;Guest&lt;/Author&gt;&lt;Year&gt;2006&lt;/Year&gt;&lt;RecNum&gt;206&lt;/RecNum&gt;&lt;DisplayText&gt;(Guest et al., 2006)&lt;/DisplayText&gt;&lt;record&gt;&lt;rec-number&gt;206&lt;/rec-number&gt;&lt;foreign-keys&gt;&lt;key app="EN" db-id="pr9rwt2w8padxcerwx6prd0a9wtda2w5fw2t" timestamp="1629731697"&gt;206&lt;/key&gt;&lt;/foreign-keys&gt;&lt;ref-type name="Journal Article"&gt;17&lt;/ref-type&gt;&lt;contributors&gt;&lt;authors&gt;&lt;author&gt;Guest, Greg&lt;/author&gt;&lt;author&gt;Bunce, Arwen&lt;/author&gt;&lt;author&gt;Johnson, Laura&lt;/author&gt;&lt;/authors&gt;&lt;/contributors&gt;&lt;titles&gt;&lt;title&gt;How Many Interviews Are Enough?: An Experiment with Data Saturation and Variability&lt;/title&gt;&lt;secondary-title&gt;Field Methods&lt;/secondary-title&gt;&lt;/titles&gt;&lt;periodical&gt;&lt;full-title&gt;Field Methods&lt;/full-title&gt;&lt;/periodical&gt;&lt;pages&gt;59-82&lt;/pages&gt;&lt;volume&gt;18&lt;/volume&gt;&lt;number&gt;1&lt;/number&gt;&lt;dates&gt;&lt;year&gt;2006&lt;/year&gt;&lt;pub-dates&gt;&lt;date&gt;2006/02/01&lt;/date&gt;&lt;/pub-dates&gt;&lt;/dates&gt;&lt;publisher&gt;SAGE Publications Inc&lt;/publisher&gt;&lt;isbn&gt;1525-822X&lt;/isbn&gt;&lt;urls&gt;&lt;related-urls&gt;&lt;url&gt;https://doi.org/10.1177/1525822X05279903&lt;/url&gt;&lt;/related-urls&gt;&lt;/urls&gt;&lt;electronic-resource-num&gt;10.1177/1525822X05279903&lt;/electronic-resource-num&gt;&lt;access-date&gt;2020/01/02&lt;/access-date&gt;&lt;/record&gt;&lt;/Cite&gt;&lt;/EndNote&gt;</w:instrText>
      </w:r>
      <w:r w:rsidR="00B5476D">
        <w:rPr>
          <w:lang w:val="en-US"/>
        </w:rPr>
        <w:fldChar w:fldCharType="separate"/>
      </w:r>
      <w:r w:rsidR="00EE22EB">
        <w:rPr>
          <w:noProof/>
          <w:lang w:val="en-US"/>
        </w:rPr>
        <w:t>(Guest et al., 2006)</w:t>
      </w:r>
      <w:r w:rsidR="00B5476D">
        <w:rPr>
          <w:lang w:val="en-US"/>
        </w:rPr>
        <w:fldChar w:fldCharType="end"/>
      </w:r>
      <w:r w:rsidR="00642C9A">
        <w:rPr>
          <w:lang w:val="en-US"/>
        </w:rPr>
        <w:t>.</w:t>
      </w:r>
      <w:r>
        <w:rPr>
          <w:lang w:val="en-US"/>
        </w:rPr>
        <w:t xml:space="preserve"> These researchers </w:t>
      </w:r>
      <w:r w:rsidRPr="00EB2273">
        <w:rPr>
          <w:lang w:val="en-US"/>
        </w:rPr>
        <w:t xml:space="preserve">conducted a stepwise analysis of 60 interviews </w:t>
      </w:r>
      <w:r>
        <w:rPr>
          <w:lang w:val="en-US"/>
        </w:rPr>
        <w:t xml:space="preserve">of </w:t>
      </w:r>
      <w:r w:rsidRPr="00EB2273">
        <w:rPr>
          <w:lang w:val="en-US"/>
        </w:rPr>
        <w:t>female sex workers in West Africa and discovered that 70% of all 114 identified themes turned up in the first six interviews, and 92% were identified within the first 12 interviews.</w:t>
      </w:r>
      <w:r>
        <w:rPr>
          <w:lang w:val="en-US"/>
        </w:rPr>
        <w:t xml:space="preserve"> Other researchers reported similar findings (for example, </w:t>
      </w:r>
      <w:r w:rsidR="00B5476D">
        <w:rPr>
          <w:lang w:val="en-US"/>
        </w:rPr>
        <w:fldChar w:fldCharType="begin">
          <w:fldData xml:space="preserve">PEVuZE5vdGU+PENpdGU+PEF1dGhvcj5GcmFuY2lzPC9BdXRob3I+PFllYXI+MjAxMDwvWWVhcj48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</w:fldData>
        </w:fldChar>
      </w:r>
      <w:r w:rsidR="00CD2C33">
        <w:rPr>
          <w:lang w:val="en-US"/>
        </w:rPr>
        <w:instrText xml:space="preserve"> ADDIN EN.CITE </w:instrText>
      </w:r>
      <w:r w:rsidR="00CD2C33">
        <w:rPr>
          <w:lang w:val="en-US"/>
        </w:rPr>
        <w:fldChar w:fldCharType="begin">
          <w:fldData xml:space="preserve">PEVuZE5vdGU+PENpdGU+PEF1dGhvcj5GcmFuY2lzPC9BdXRob3I+PFllYXI+MjAxMDwvWWVhcj48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</w:fldData>
        </w:fldChar>
      </w:r>
      <w:r w:rsidR="00CD2C33">
        <w:rPr>
          <w:lang w:val="en-US"/>
        </w:rPr>
        <w:instrText xml:space="preserve"> ADDIN EN.CITE.DATA </w:instrText>
      </w:r>
      <w:r w:rsidR="00CD2C33">
        <w:rPr>
          <w:lang w:val="en-US"/>
        </w:rPr>
      </w:r>
      <w:r w:rsidR="00CD2C33">
        <w:rPr>
          <w:lang w:val="en-US"/>
        </w:rPr>
        <w:fldChar w:fldCharType="end"/>
      </w:r>
      <w:r w:rsidR="00B5476D">
        <w:rPr>
          <w:lang w:val="en-US"/>
        </w:rPr>
      </w:r>
      <w:r w:rsidR="00B5476D">
        <w:rPr>
          <w:lang w:val="en-US"/>
        </w:rPr>
        <w:fldChar w:fldCharType="separate"/>
      </w:r>
      <w:r w:rsidR="00CD2C33">
        <w:rPr>
          <w:noProof/>
          <w:lang w:val="en-US"/>
        </w:rPr>
        <w:t>(Francis et al., 2010; Namey et al., 2016)</w:t>
      </w:r>
      <w:r w:rsidR="00B5476D">
        <w:rPr>
          <w:lang w:val="en-US"/>
        </w:rPr>
        <w:fldChar w:fldCharType="end"/>
      </w:r>
      <w:r w:rsidR="004D792F">
        <w:rPr>
          <w:lang w:val="en-US"/>
        </w:rPr>
        <w:t>.</w:t>
      </w:r>
      <w:r>
        <w:rPr>
          <w:lang w:val="en-US"/>
        </w:rPr>
        <w:t xml:space="preserve"> However, such </w:t>
      </w:r>
      <w:proofErr w:type="spellStart"/>
      <w:r>
        <w:rPr>
          <w:lang w:val="en-US"/>
        </w:rPr>
        <w:t>generalisations</w:t>
      </w:r>
      <w:proofErr w:type="spellEnd"/>
      <w:r>
        <w:rPr>
          <w:lang w:val="en-US"/>
        </w:rPr>
        <w:t xml:space="preserve"> have been challenged and a number of mathematical models developed and published for estimating required sample sizes for qualitative research (for example</w:t>
      </w:r>
      <w:r w:rsidR="004D792F">
        <w:rPr>
          <w:lang w:val="en-US"/>
        </w:rPr>
        <w:t xml:space="preserve"> </w:t>
      </w:r>
      <w:r w:rsidR="00B5476D">
        <w:rPr>
          <w:lang w:val="en-US"/>
        </w:rPr>
        <w:fldChar w:fldCharType="begin">
          <w:fldData xml:space="preserve">PEVuZE5vdGU+PENpdGU+PEF1dGhvcj5UcmFuPC9BdXRob3I+PFllYXI+MjAxNzwvWWVhcj48UmVj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</w:fldData>
        </w:fldChar>
      </w:r>
      <w:r w:rsidR="00EE22EB">
        <w:rPr>
          <w:lang w:val="en-US"/>
        </w:rPr>
        <w:instrText xml:space="preserve"> ADDIN EN.CITE </w:instrText>
      </w:r>
      <w:r w:rsidR="00EE22EB">
        <w:rPr>
          <w:lang w:val="en-US"/>
        </w:rPr>
        <w:fldChar w:fldCharType="begin">
          <w:fldData xml:space="preserve">PEVuZE5vdGU+PENpdGU+PEF1dGhvcj5UcmFuPC9BdXRob3I+PFllYXI+MjAxNzwvWWVhcj48UmVj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</w:fldData>
        </w:fldChar>
      </w:r>
      <w:r w:rsidR="00EE22EB">
        <w:rPr>
          <w:lang w:val="en-US"/>
        </w:rPr>
        <w:instrText xml:space="preserve"> ADDIN EN.CITE.DATA </w:instrText>
      </w:r>
      <w:r w:rsidR="00EE22EB">
        <w:rPr>
          <w:lang w:val="en-US"/>
        </w:rPr>
      </w:r>
      <w:r w:rsidR="00EE22EB">
        <w:rPr>
          <w:lang w:val="en-US"/>
        </w:rPr>
        <w:fldChar w:fldCharType="end"/>
      </w:r>
      <w:r w:rsidR="00B5476D">
        <w:rPr>
          <w:lang w:val="en-US"/>
        </w:rPr>
      </w:r>
      <w:r w:rsidR="00B5476D">
        <w:rPr>
          <w:lang w:val="en-US"/>
        </w:rPr>
        <w:fldChar w:fldCharType="separate"/>
      </w:r>
      <w:r w:rsidR="00EE22EB">
        <w:rPr>
          <w:noProof/>
          <w:lang w:val="en-US"/>
        </w:rPr>
        <w:t>(Tran et al., 2017)</w:t>
      </w:r>
      <w:r w:rsidR="00B5476D">
        <w:rPr>
          <w:lang w:val="en-US"/>
        </w:rPr>
        <w:fldChar w:fldCharType="end"/>
      </w:r>
      <w:r w:rsidR="00B5476D">
        <w:rPr>
          <w:lang w:val="en-US"/>
        </w:rPr>
        <w:t>;</w:t>
      </w:r>
      <w:r>
        <w:rPr>
          <w:lang w:val="en-US"/>
        </w:rPr>
        <w:t xml:space="preserve"> however on pragmatic grounds I recruited to a sample size of </w:t>
      </w:r>
      <w:r w:rsidR="001E2B1A">
        <w:rPr>
          <w:lang w:val="en-US"/>
        </w:rPr>
        <w:t>18</w:t>
      </w:r>
      <w:r>
        <w:rPr>
          <w:lang w:val="en-US"/>
        </w:rPr>
        <w:t xml:space="preserve"> and this enable</w:t>
      </w:r>
      <w:r w:rsidR="00DB1746">
        <w:rPr>
          <w:lang w:val="en-US"/>
        </w:rPr>
        <w:t>d</w:t>
      </w:r>
      <w:r>
        <w:rPr>
          <w:lang w:val="en-US"/>
        </w:rPr>
        <w:t xml:space="preserve"> 15 interviews to occur. In keeping with the above conceptual framework, no new themes emerged after the first </w:t>
      </w:r>
      <w:r w:rsidR="00D34699">
        <w:rPr>
          <w:lang w:val="en-US"/>
        </w:rPr>
        <w:t>12-13</w:t>
      </w:r>
      <w:r>
        <w:rPr>
          <w:lang w:val="en-US"/>
        </w:rPr>
        <w:t xml:space="preserve"> interview</w:t>
      </w:r>
      <w:r w:rsidR="00D34699">
        <w:rPr>
          <w:lang w:val="en-US"/>
        </w:rPr>
        <w:t>s</w:t>
      </w:r>
      <w:r>
        <w:rPr>
          <w:lang w:val="en-US"/>
        </w:rPr>
        <w:t xml:space="preserve">. </w:t>
      </w:r>
    </w:p>
    <w:p w14:paraId="1CC83785" w14:textId="77777777" w:rsidR="00BC6727" w:rsidRPr="00F22101" w:rsidRDefault="00BC6727" w:rsidP="00B751E5">
      <w:pPr>
        <w:spacing w:after="160" w:line="360" w:lineRule="auto"/>
        <w:rPr>
          <w:iCs/>
          <w:lang w:val="en-US"/>
        </w:rPr>
      </w:pPr>
      <w:r w:rsidRPr="00241369">
        <w:t>The cohort of parents interviewed in this study does not fully represent the diversity of families that are seen in the children’s outpatient department</w:t>
      </w:r>
      <w:r>
        <w:t xml:space="preserve"> (the majority were Caucasian). They do however represent the total group of parents approached to take part in the interviews.  </w:t>
      </w:r>
      <w:r w:rsidRPr="00241369">
        <w:t xml:space="preserve">Only </w:t>
      </w:r>
      <w:r>
        <w:t>three</w:t>
      </w:r>
      <w:r w:rsidRPr="00241369">
        <w:t xml:space="preserve"> male parents and one non-white British family were interviewed. </w:t>
      </w:r>
      <w:r>
        <w:t xml:space="preserve">There was inadequate funding to use interpretation services and hence only families who spoke English were approached. This will have reduced the ethnic diversity of the potential participants who could enrol in the study. </w:t>
      </w:r>
      <w:r w:rsidRPr="00241369">
        <w:t>Further research is needed to explore the ethnic and cultural dimensions that may influence the parent’s experience.</w:t>
      </w:r>
      <w:r>
        <w:t xml:space="preserve"> Widening the cultural diversity might have had implications for the required sample size, but this would be important for future studies.</w:t>
      </w:r>
      <w:r w:rsidRPr="00241369">
        <w:t xml:space="preserve"> </w:t>
      </w:r>
      <w:r w:rsidRPr="00C34DBC">
        <w:rPr>
          <w:iCs/>
          <w:lang w:val="en-US"/>
        </w:rPr>
        <w:t xml:space="preserve">The parental experience may also differ where antibiotics are prescribed with multiple other </w:t>
      </w:r>
      <w:r w:rsidRPr="00C34DBC">
        <w:rPr>
          <w:iCs/>
          <w:lang w:val="en-US"/>
        </w:rPr>
        <w:lastRenderedPageBreak/>
        <w:t>medications, for example, as occurs in patients with cystic fibrosis</w:t>
      </w:r>
      <w:r>
        <w:rPr>
          <w:iCs/>
          <w:lang w:val="en-US"/>
        </w:rPr>
        <w:t>; again, widening participation might require a larger total sample size to ensure saturation.</w:t>
      </w:r>
    </w:p>
    <w:p w14:paraId="4806B478" w14:textId="7A4C9087" w:rsidR="00BC6727" w:rsidRDefault="00BC6727" w:rsidP="00B751E5">
      <w:pPr>
        <w:spacing w:after="160" w:line="360" w:lineRule="auto"/>
      </w:pPr>
      <w:r w:rsidRPr="00241369">
        <w:t xml:space="preserve">The parents we interviewed may also be a self-selecting group who chose to take part for specific reasons such as voicing concerns or opinions. Parents who did not want to participate may </w:t>
      </w:r>
      <w:r>
        <w:t xml:space="preserve">potentially </w:t>
      </w:r>
      <w:r w:rsidRPr="00241369">
        <w:t xml:space="preserve">be different and have other diverse experiences. Other possible bias includes parental recall of non-recent consultations and under or over-reporting of experiences to either please the interviewer or for fear of being judged. </w:t>
      </w:r>
      <w:r>
        <w:t>A further factor is that p</w:t>
      </w:r>
      <w:r w:rsidRPr="00241369">
        <w:t xml:space="preserve">urposive sampling has inherent risks of introducing bias and open to poor judgment from the researcher </w:t>
      </w:r>
      <w:r>
        <w:fldChar w:fldCharType="begin"/>
      </w:r>
      <w:r w:rsidR="009E183B">
        <w:instrText xml:space="preserve"> ADDIN EN.CITE &lt;EndNote&gt;&lt;Cite&gt;&lt;Author&gt;Peat&lt;/Author&gt;&lt;Year&gt;2018&lt;/Year&gt;&lt;RecNum&gt;273&lt;/RecNum&gt;&lt;DisplayText&gt;(Peat, 2018)&lt;/DisplayText&gt;&lt;record&gt;&lt;rec-number&gt;273&lt;/rec-number&gt;&lt;foreign-keys&gt;&lt;key app="EN" db-id="pr9rwt2w8padxcerwx6prd0a9wtda2w5fw2t" timestamp="1629731697"&gt;273&lt;/key&gt;&lt;/foreign-keys&gt;&lt;ref-type name="Journal Article"&gt;17&lt;/ref-type&gt;&lt;contributors&gt;&lt;authors&gt;&lt;author&gt;Peat, G. Rodriguez, A. Smith J.&lt;/author&gt;&lt;/authors&gt;&lt;/contributors&gt;&lt;titles&gt;&lt;title&gt;Interpretive phenomenolgical analysis applied to healthcare research&lt;/title&gt;&lt;secondary-title&gt;Evidence based Nursing&lt;/secondary-title&gt;&lt;/titles&gt;&lt;periodical&gt;&lt;full-title&gt;Evidence based Nursing&lt;/full-title&gt;&lt;/periodical&gt;&lt;pages&gt;7-9&lt;/pages&gt;&lt;volume&gt;22&lt;/volume&gt;&lt;number&gt;1&lt;/number&gt;&lt;dates&gt;&lt;year&gt;2018&lt;/year&gt;&lt;/dates&gt;&lt;urls&gt;&lt;/urls&gt;&lt;/record&gt;&lt;/Cite&gt;&lt;/EndNote&gt;</w:instrText>
      </w:r>
      <w:r>
        <w:fldChar w:fldCharType="separate"/>
      </w:r>
      <w:r w:rsidR="009E183B">
        <w:rPr>
          <w:noProof/>
        </w:rPr>
        <w:t>(Peat, 2018)</w:t>
      </w:r>
      <w:r>
        <w:fldChar w:fldCharType="end"/>
      </w:r>
      <w:r w:rsidRPr="00241369">
        <w:rPr>
          <w:b/>
          <w:bCs/>
        </w:rPr>
        <w:t>.</w:t>
      </w:r>
      <w:r w:rsidRPr="00241369">
        <w:t xml:space="preserve"> </w:t>
      </w:r>
      <w:r w:rsidR="00E25D8B">
        <w:t>In order to mitigate this potential bias</w:t>
      </w:r>
      <w:r w:rsidR="007A2751">
        <w:t>,</w:t>
      </w:r>
      <w:r w:rsidR="00E25D8B">
        <w:t xml:space="preserve"> parent</w:t>
      </w:r>
      <w:r w:rsidR="007A2751">
        <w:t>s</w:t>
      </w:r>
      <w:r w:rsidR="00E25D8B">
        <w:t xml:space="preserve"> of all children sequentially attending 4 </w:t>
      </w:r>
      <w:r w:rsidR="007A2751">
        <w:t>respiratory</w:t>
      </w:r>
      <w:r w:rsidR="00E25D8B">
        <w:t xml:space="preserve"> </w:t>
      </w:r>
      <w:r w:rsidR="007A2751">
        <w:t xml:space="preserve">outpatient clinics were invited by the respiratory nurses to participate. Thus my judgement did not eliminate any potential participants. </w:t>
      </w:r>
    </w:p>
    <w:p w14:paraId="29E48931" w14:textId="364609C1" w:rsidR="00452BD8" w:rsidRDefault="00F9573C" w:rsidP="00F9573C">
      <w:pPr>
        <w:spacing w:line="360" w:lineRule="auto"/>
      </w:pPr>
      <w:r w:rsidRPr="00F9573C">
        <w:t xml:space="preserve">Throughout this chapter I have described parental perceptions towards prophylactic antibiotics, factors that influence the decisions they make and the potential impact it has on their child’s wellbeing. These attitudes may affect uptake and adherence of medication with inappropriate use potentially contributing to the development or antibiotic resistance. PBB was the most common reason for being prescribed long-term azithromycin and hence the subsequent studies have focussed on this condition. </w:t>
      </w:r>
      <w:r w:rsidR="002243CA">
        <w:t>The results of this work have been published in full in the Archives of Disease in Children, BMJ group (</w:t>
      </w:r>
      <w:proofErr w:type="spellStart"/>
      <w:r w:rsidR="002243CA">
        <w:t>Hardman,</w:t>
      </w:r>
      <w:proofErr w:type="spellEnd"/>
      <w:r w:rsidR="002243CA">
        <w:t xml:space="preserve"> 2021), see appendix</w:t>
      </w:r>
      <w:r w:rsidR="00940BDB">
        <w:t xml:space="preserve"> 7</w:t>
      </w:r>
      <w:r w:rsidR="002243CA">
        <w:t>.</w:t>
      </w:r>
    </w:p>
    <w:p w14:paraId="5D131FEA" w14:textId="77777777" w:rsidR="00D8109B" w:rsidRDefault="00D8109B" w:rsidP="00452BD8">
      <w:pPr>
        <w:spacing w:line="360" w:lineRule="auto"/>
      </w:pPr>
    </w:p>
    <w:p w14:paraId="37005A58" w14:textId="77777777" w:rsidR="007E38C8" w:rsidRDefault="007E38C8" w:rsidP="00241369">
      <w:pPr>
        <w:spacing w:line="360" w:lineRule="auto"/>
      </w:pPr>
    </w:p>
    <w:p w14:paraId="7B081B15" w14:textId="77777777" w:rsidR="00E55790" w:rsidRDefault="00E55790" w:rsidP="00241369">
      <w:pPr>
        <w:spacing w:line="360" w:lineRule="auto"/>
      </w:pPr>
    </w:p>
    <w:p w14:paraId="60D789A2" w14:textId="77777777" w:rsidR="00320AF6" w:rsidRDefault="00320AF6">
      <w:r>
        <w:br w:type="page"/>
      </w:r>
    </w:p>
    <w:p w14:paraId="47C805E9" w14:textId="283CECC4" w:rsidR="00F61782" w:rsidRDefault="00313CB1" w:rsidP="00313CB1">
      <w:pPr>
        <w:pStyle w:val="Heading1"/>
        <w:rPr>
          <w:b/>
          <w:bCs/>
        </w:rPr>
      </w:pPr>
      <w:bookmarkStart w:id="158" w:name="_Toc117765966"/>
      <w:r w:rsidRPr="00241369">
        <w:rPr>
          <w:b/>
          <w:bCs/>
        </w:rPr>
        <w:lastRenderedPageBreak/>
        <w:t>Chapter 4</w:t>
      </w:r>
      <w:r w:rsidR="00CB07C2">
        <w:rPr>
          <w:b/>
          <w:bCs/>
        </w:rPr>
        <w:t>.</w:t>
      </w:r>
      <w:r w:rsidR="00335973">
        <w:rPr>
          <w:b/>
          <w:bCs/>
        </w:rPr>
        <w:t xml:space="preserve"> Bacterial isolates and antibacterial resistance in protracted bacterial bronchitis.</w:t>
      </w:r>
      <w:bookmarkEnd w:id="158"/>
      <w:r w:rsidR="00335973">
        <w:rPr>
          <w:b/>
          <w:bCs/>
        </w:rPr>
        <w:t xml:space="preserve"> </w:t>
      </w:r>
      <w:r w:rsidRPr="00241369">
        <w:rPr>
          <w:b/>
          <w:bCs/>
        </w:rPr>
        <w:t xml:space="preserve"> </w:t>
      </w:r>
    </w:p>
    <w:p w14:paraId="44507B79" w14:textId="77777777" w:rsidR="000F4748" w:rsidRPr="005709B6" w:rsidRDefault="000F4748" w:rsidP="001D04B2"/>
    <w:p w14:paraId="390F0146" w14:textId="6B5CA9B8" w:rsidR="001926E2" w:rsidRPr="001D04B2" w:rsidRDefault="000F4748" w:rsidP="004F3338">
      <w:pPr>
        <w:pStyle w:val="Heading2"/>
      </w:pPr>
      <w:bookmarkStart w:id="159" w:name="_Toc117765967"/>
      <w:r w:rsidRPr="00DD46F9">
        <w:t>Introduction</w:t>
      </w:r>
      <w:bookmarkEnd w:id="159"/>
    </w:p>
    <w:p w14:paraId="53E39DCA" w14:textId="589876BF" w:rsidR="005F0BCC" w:rsidRDefault="005F0BCC" w:rsidP="00284867">
      <w:pPr>
        <w:spacing w:after="160" w:line="360" w:lineRule="auto"/>
      </w:pPr>
      <w:r w:rsidRPr="005F0BCC">
        <w:t xml:space="preserve">Protracted bacterial bronchitis (PBB), as described in section 1.2, is a common diagnose made in pre-school children being assessed for a chronic wet cough. There is increasing use of prophylactic azithromycin to prevent exacerbations </w:t>
      </w:r>
      <w:r>
        <w:t xml:space="preserve">of PBB </w:t>
      </w:r>
      <w:r w:rsidRPr="005F0BCC">
        <w:t>with limited supporting evidence. The impact of frequent or continuous antibiotics on the paediatric airway microbial flora is largely unknown.</w:t>
      </w:r>
    </w:p>
    <w:p w14:paraId="306E3360" w14:textId="7895692F" w:rsidR="00D251B2" w:rsidRDefault="001B1147" w:rsidP="00284867">
      <w:pPr>
        <w:spacing w:after="160" w:line="360" w:lineRule="auto"/>
      </w:pPr>
      <w:r>
        <w:t xml:space="preserve">Engagement with parents of children with PBB </w:t>
      </w:r>
      <w:r w:rsidR="00E05318">
        <w:t xml:space="preserve">(Section 3.3.1) </w:t>
      </w:r>
      <w:r>
        <w:t xml:space="preserve">and with the medical teams caring for them indicated </w:t>
      </w:r>
      <w:r w:rsidR="00E05318">
        <w:t xml:space="preserve">that </w:t>
      </w:r>
      <w:r>
        <w:t>randomising patients to azithromycin (which would not be in accordance with our local guidelines</w:t>
      </w:r>
      <w:r w:rsidR="0004425C">
        <w:t xml:space="preserve"> recommending prophylaxis for children </w:t>
      </w:r>
      <w:r w:rsidR="00D251B2">
        <w:t xml:space="preserve">experiencing </w:t>
      </w:r>
      <w:r w:rsidR="0004425C" w:rsidRPr="008F33C8">
        <w:t xml:space="preserve">more than 3 </w:t>
      </w:r>
      <w:r w:rsidR="00D251B2">
        <w:t xml:space="preserve">episodes </w:t>
      </w:r>
      <w:r w:rsidR="0004425C" w:rsidRPr="008F33C8">
        <w:t>in 12 months</w:t>
      </w:r>
      <w:r>
        <w:t xml:space="preserve">, </w:t>
      </w:r>
      <w:r w:rsidR="00D251B2">
        <w:t xml:space="preserve">see </w:t>
      </w:r>
      <w:r w:rsidR="00800891">
        <w:t>a</w:t>
      </w:r>
      <w:r>
        <w:t xml:space="preserve">ppendix </w:t>
      </w:r>
      <w:r w:rsidR="0004425C">
        <w:t>2</w:t>
      </w:r>
      <w:r>
        <w:t xml:space="preserve">) would not be acceptable. </w:t>
      </w:r>
      <w:r w:rsidR="00102739" w:rsidRPr="002D1840">
        <w:t>Given</w:t>
      </w:r>
      <w:r w:rsidR="00D251B2">
        <w:t xml:space="preserve"> this and</w:t>
      </w:r>
      <w:r w:rsidR="00102739" w:rsidRPr="002D1840">
        <w:t xml:space="preserve"> th</w:t>
      </w:r>
      <w:r w:rsidR="00834495" w:rsidRPr="002D1840">
        <w:t>e</w:t>
      </w:r>
      <w:r w:rsidR="00102739" w:rsidRPr="002D1840">
        <w:t xml:space="preserve"> limited evidence</w:t>
      </w:r>
      <w:r w:rsidR="00D251B2">
        <w:t xml:space="preserve"> base</w:t>
      </w:r>
      <w:r w:rsidR="00D25067" w:rsidRPr="002D1840">
        <w:t xml:space="preserve"> in children with PBB, </w:t>
      </w:r>
      <w:r w:rsidR="00567D72">
        <w:t>I</w:t>
      </w:r>
      <w:r w:rsidR="00567D72" w:rsidRPr="002D1840">
        <w:t xml:space="preserve"> </w:t>
      </w:r>
      <w:r w:rsidR="00567D72">
        <w:t>undertook</w:t>
      </w:r>
      <w:r w:rsidR="00102739" w:rsidRPr="002D1840">
        <w:t xml:space="preserve"> observational studies to gather data that </w:t>
      </w:r>
      <w:r w:rsidR="00102739" w:rsidRPr="00F43166">
        <w:t xml:space="preserve">may support a future RCT to investigate </w:t>
      </w:r>
      <w:r w:rsidR="001926E2" w:rsidRPr="00F43166">
        <w:t xml:space="preserve">the use of </w:t>
      </w:r>
      <w:r w:rsidR="00F41E8A" w:rsidRPr="00F43166">
        <w:t>long-term</w:t>
      </w:r>
      <w:r w:rsidR="001926E2" w:rsidRPr="00F43166">
        <w:t xml:space="preserve"> azithromycin in PBB</w:t>
      </w:r>
      <w:r w:rsidRPr="00F43166">
        <w:t xml:space="preserve">. In these studies, the decision to treat with prophylactic antibiotic or not was determined by clinical need in accordance with the </w:t>
      </w:r>
      <w:r w:rsidR="00D251B2" w:rsidRPr="00F43166">
        <w:t xml:space="preserve">local </w:t>
      </w:r>
      <w:r w:rsidRPr="00F43166">
        <w:t>guideline</w:t>
      </w:r>
      <w:r w:rsidR="00102739" w:rsidRPr="00F43166">
        <w:t>.</w:t>
      </w:r>
      <w:r w:rsidR="001926E2" w:rsidRPr="00F43166">
        <w:t xml:space="preserve"> The overall study </w:t>
      </w:r>
      <w:r w:rsidR="00AC1804">
        <w:t>aimed</w:t>
      </w:r>
      <w:r w:rsidR="00F23397" w:rsidRPr="00F43166">
        <w:t xml:space="preserve"> to</w:t>
      </w:r>
      <w:r w:rsidR="00AC1804">
        <w:t xml:space="preserve"> test the hypothesis that</w:t>
      </w:r>
      <w:r w:rsidR="00D251B2" w:rsidRPr="00F43166">
        <w:t>:</w:t>
      </w:r>
    </w:p>
    <w:p w14:paraId="2B779790" w14:textId="77777777" w:rsidR="00AC1804" w:rsidRPr="00AC1804" w:rsidRDefault="00AC1804" w:rsidP="00AC1804">
      <w:pPr>
        <w:spacing w:after="160" w:line="360" w:lineRule="auto"/>
      </w:pPr>
      <w:r w:rsidRPr="00AC1804">
        <w:t xml:space="preserve">Children with protracted bacterial bronchitis exposed to long-term prophylactic azithromycin will develop macrolide-resistant airway flora. </w:t>
      </w:r>
    </w:p>
    <w:p w14:paraId="1B5DBC00" w14:textId="1E22C19D" w:rsidR="00AC1804" w:rsidRPr="00AC1804" w:rsidRDefault="00AC1804" w:rsidP="00284867">
      <w:pPr>
        <w:spacing w:after="160" w:line="360" w:lineRule="auto"/>
      </w:pPr>
      <w:r w:rsidRPr="00AC1804">
        <w:t xml:space="preserve">The specific </w:t>
      </w:r>
      <w:r w:rsidR="00012C41">
        <w:t>objectives were</w:t>
      </w:r>
      <w:r w:rsidRPr="00AC1804">
        <w:t>:</w:t>
      </w:r>
    </w:p>
    <w:p w14:paraId="6525FFDB" w14:textId="50513446" w:rsidR="00AC1804" w:rsidRDefault="00AC1804" w:rsidP="00AC1804">
      <w:pPr>
        <w:pStyle w:val="ListParagraph"/>
        <w:numPr>
          <w:ilvl w:val="0"/>
          <w:numId w:val="57"/>
        </w:numPr>
        <w:spacing w:line="360" w:lineRule="auto"/>
        <w:rPr>
          <w:rFonts w:ascii="Times New Roman" w:hAnsi="Times New Roman" w:cs="Times New Roman"/>
          <w:sz w:val="24"/>
          <w:szCs w:val="24"/>
        </w:rPr>
      </w:pPr>
      <w:r w:rsidRPr="00752DA8">
        <w:rPr>
          <w:rFonts w:ascii="Times New Roman" w:hAnsi="Times New Roman" w:cs="Times New Roman"/>
          <w:sz w:val="24"/>
          <w:szCs w:val="24"/>
        </w:rPr>
        <w:t>To conduct a pilot study comparing macrolide resistance patterns in the nasal flora of children with PBB exposed or not to long-term prophylactic azithromycin (PBB study 1).</w:t>
      </w:r>
    </w:p>
    <w:p w14:paraId="564F5365" w14:textId="5CBA6AE8" w:rsidR="00012C41" w:rsidRPr="00752DA8" w:rsidRDefault="00012C41" w:rsidP="00AC1804">
      <w:pPr>
        <w:pStyle w:val="ListParagraph"/>
        <w:numPr>
          <w:ilvl w:val="0"/>
          <w:numId w:val="57"/>
        </w:numPr>
        <w:spacing w:line="360" w:lineRule="auto"/>
        <w:rPr>
          <w:rFonts w:ascii="Times New Roman" w:hAnsi="Times New Roman" w:cs="Times New Roman"/>
          <w:sz w:val="24"/>
          <w:szCs w:val="24"/>
        </w:rPr>
      </w:pPr>
      <w:r>
        <w:rPr>
          <w:rFonts w:ascii="Times New Roman" w:hAnsi="Times New Roman" w:cs="Times New Roman"/>
          <w:sz w:val="24"/>
          <w:szCs w:val="24"/>
        </w:rPr>
        <w:t>To optimise the recruitment strategy and sampling methodology for future studies.</w:t>
      </w:r>
    </w:p>
    <w:p w14:paraId="71756847" w14:textId="0D3B6C26" w:rsidR="00AC1804" w:rsidRPr="00752DA8" w:rsidRDefault="00AC1804" w:rsidP="00AC1804">
      <w:pPr>
        <w:pStyle w:val="ListParagraph"/>
        <w:numPr>
          <w:ilvl w:val="0"/>
          <w:numId w:val="57"/>
        </w:numPr>
        <w:spacing w:line="360" w:lineRule="auto"/>
        <w:rPr>
          <w:rFonts w:ascii="Times New Roman" w:hAnsi="Times New Roman" w:cs="Times New Roman"/>
          <w:sz w:val="24"/>
          <w:szCs w:val="24"/>
        </w:rPr>
      </w:pPr>
      <w:r w:rsidRPr="00752DA8">
        <w:rPr>
          <w:rFonts w:ascii="Times New Roman" w:hAnsi="Times New Roman" w:cs="Times New Roman"/>
          <w:sz w:val="24"/>
          <w:szCs w:val="24"/>
        </w:rPr>
        <w:t>To validate the results of the pilot study through an extension of the pilot study with regards to patterns of azithromycin resistant nasopharyngeal bacteria and antibiotic exposure between children with PBB exposed or not to long-term prophylactic azithromycin (PBB study 2).</w:t>
      </w:r>
    </w:p>
    <w:p w14:paraId="3BB0A8D9" w14:textId="11ED9D51" w:rsidR="00AC1804" w:rsidRDefault="00AC1804" w:rsidP="00AC1804">
      <w:pPr>
        <w:pStyle w:val="ListParagraph"/>
        <w:numPr>
          <w:ilvl w:val="0"/>
          <w:numId w:val="57"/>
        </w:numPr>
        <w:spacing w:line="360" w:lineRule="auto"/>
        <w:rPr>
          <w:rFonts w:ascii="Times New Roman" w:hAnsi="Times New Roman" w:cs="Times New Roman"/>
          <w:sz w:val="24"/>
          <w:szCs w:val="24"/>
        </w:rPr>
      </w:pPr>
      <w:r w:rsidRPr="00752DA8">
        <w:rPr>
          <w:rFonts w:ascii="Times New Roman" w:hAnsi="Times New Roman" w:cs="Times New Roman"/>
          <w:sz w:val="24"/>
          <w:szCs w:val="24"/>
        </w:rPr>
        <w:t>To investigate phenotypic and genotypic antibiotic resistance profiles of nasopharyngeal bacterial flora in children with PBB exposed or not to long-term prophylactic azithromycin</w:t>
      </w:r>
      <w:r w:rsidR="00012C41">
        <w:rPr>
          <w:rFonts w:ascii="Times New Roman" w:hAnsi="Times New Roman" w:cs="Times New Roman"/>
          <w:sz w:val="24"/>
          <w:szCs w:val="24"/>
        </w:rPr>
        <w:t xml:space="preserve"> (PBB studies 1 and 2)</w:t>
      </w:r>
    </w:p>
    <w:p w14:paraId="51D9FF05" w14:textId="028966DD" w:rsidR="00012C41" w:rsidRPr="00752DA8" w:rsidRDefault="00012C41" w:rsidP="00AC1804">
      <w:pPr>
        <w:pStyle w:val="ListParagraph"/>
        <w:numPr>
          <w:ilvl w:val="0"/>
          <w:numId w:val="5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To determine the frequency of viruses associated with exacerbations of PBB (PBB study 2)</w:t>
      </w:r>
    </w:p>
    <w:p w14:paraId="4A642FAE" w14:textId="77777777" w:rsidR="00AC1804" w:rsidRPr="00F43166" w:rsidRDefault="00AC1804" w:rsidP="00752DA8">
      <w:pPr>
        <w:pStyle w:val="ListParagraph"/>
        <w:spacing w:line="360" w:lineRule="auto"/>
      </w:pPr>
    </w:p>
    <w:p w14:paraId="2745D623" w14:textId="0A4ABC99" w:rsidR="00F23397" w:rsidRPr="002D1840" w:rsidRDefault="00F23397" w:rsidP="00284867">
      <w:pPr>
        <w:spacing w:after="160" w:line="360" w:lineRule="auto"/>
      </w:pPr>
      <w:r w:rsidRPr="00F43166">
        <w:t xml:space="preserve">We </w:t>
      </w:r>
      <w:r w:rsidR="00102739" w:rsidRPr="00F43166">
        <w:t xml:space="preserve">initially </w:t>
      </w:r>
      <w:r w:rsidRPr="00F43166">
        <w:t xml:space="preserve">conducted </w:t>
      </w:r>
      <w:r w:rsidR="00102739" w:rsidRPr="00F43166">
        <w:t xml:space="preserve">a </w:t>
      </w:r>
      <w:r w:rsidRPr="00F43166">
        <w:t xml:space="preserve">pilot study </w:t>
      </w:r>
      <w:r w:rsidR="00102739" w:rsidRPr="00F43166">
        <w:t xml:space="preserve">(PBB study 1) </w:t>
      </w:r>
      <w:r w:rsidR="00AC1804">
        <w:t xml:space="preserve">to </w:t>
      </w:r>
      <w:r w:rsidR="00D251B2" w:rsidRPr="00F43166">
        <w:t>optimise</w:t>
      </w:r>
      <w:r w:rsidR="001B3459">
        <w:t xml:space="preserve"> the</w:t>
      </w:r>
      <w:r w:rsidR="00D251B2" w:rsidRPr="00F43166">
        <w:t xml:space="preserve"> </w:t>
      </w:r>
      <w:r w:rsidR="001B3459">
        <w:t xml:space="preserve">participant </w:t>
      </w:r>
      <w:r w:rsidR="00D251B2" w:rsidRPr="00F43166">
        <w:t>recruitment</w:t>
      </w:r>
      <w:r w:rsidR="001B3459">
        <w:t xml:space="preserve"> process</w:t>
      </w:r>
      <w:r w:rsidR="00D251B2" w:rsidRPr="00F43166">
        <w:t xml:space="preserve">, </w:t>
      </w:r>
      <w:r w:rsidRPr="00F43166">
        <w:t>scope the feasibility of using DNPS in this cohort of children</w:t>
      </w:r>
      <w:r w:rsidR="00102739" w:rsidRPr="00F43166">
        <w:t>, collect preliminary microbiological data on the</w:t>
      </w:r>
      <w:r w:rsidR="00102739" w:rsidRPr="002D1840">
        <w:t xml:space="preserve"> numbers of potential respiratory pathogens residing in the nasopharynx</w:t>
      </w:r>
      <w:r w:rsidR="00834495" w:rsidRPr="002D1840">
        <w:t xml:space="preserve">, document the patterns of azithromycin susceptibility and explore whether the use of </w:t>
      </w:r>
      <w:r w:rsidR="00B02BBA" w:rsidRPr="00B02BBA">
        <w:t>long-term</w:t>
      </w:r>
      <w:r w:rsidR="00834495" w:rsidRPr="002D1840">
        <w:t xml:space="preserve"> azithromycin affected the need for rescue courses of antibiotics to treat breakthrough pulmonary exacerbations</w:t>
      </w:r>
      <w:r w:rsidRPr="002D1840">
        <w:t>.</w:t>
      </w:r>
      <w:r w:rsidR="00102739" w:rsidRPr="002D1840">
        <w:t xml:space="preserve"> </w:t>
      </w:r>
      <w:r w:rsidR="00D251B2">
        <w:t xml:space="preserve">The decision to </w:t>
      </w:r>
      <w:r w:rsidR="008147E4">
        <w:t>utilise</w:t>
      </w:r>
      <w:r w:rsidR="00D251B2">
        <w:t xml:space="preserve"> </w:t>
      </w:r>
      <w:r w:rsidR="00D251B2" w:rsidRPr="002D1840">
        <w:t xml:space="preserve">DNPS was </w:t>
      </w:r>
      <w:r w:rsidR="00D251B2">
        <w:t>based on</w:t>
      </w:r>
      <w:r w:rsidR="00D251B2" w:rsidRPr="002D1840">
        <w:t xml:space="preserve"> the fact preschool children do not expectorate on demand </w:t>
      </w:r>
      <w:r w:rsidR="00D251B2">
        <w:t xml:space="preserve">and that </w:t>
      </w:r>
      <w:r w:rsidRPr="002D1840">
        <w:t xml:space="preserve">obtaining </w:t>
      </w:r>
      <w:r w:rsidR="00D251B2">
        <w:t xml:space="preserve">sequential </w:t>
      </w:r>
      <w:r w:rsidRPr="002D1840">
        <w:t xml:space="preserve">samples from the lower airways via bronchoalveolar lavage/ brushings or sputum would not </w:t>
      </w:r>
      <w:r w:rsidR="00D251B2">
        <w:t xml:space="preserve">be safe or feasible in a paediatric setting. </w:t>
      </w:r>
      <w:r w:rsidRPr="002D1840">
        <w:t xml:space="preserve"> </w:t>
      </w:r>
    </w:p>
    <w:p w14:paraId="6D043F10" w14:textId="05DD3AE7" w:rsidR="00834495" w:rsidRPr="002D1840" w:rsidRDefault="00D251B2" w:rsidP="002D1840">
      <w:pPr>
        <w:spacing w:line="360" w:lineRule="auto"/>
      </w:pPr>
      <w:r>
        <w:t>After completion of PBB study 1, w</w:t>
      </w:r>
      <w:r w:rsidRPr="002D1840">
        <w:t xml:space="preserve">e </w:t>
      </w:r>
      <w:r w:rsidR="00834495" w:rsidRPr="002D1840">
        <w:t>carried out a second observation</w:t>
      </w:r>
      <w:r>
        <w:t>al</w:t>
      </w:r>
      <w:r w:rsidR="00834495" w:rsidRPr="002D1840">
        <w:t xml:space="preserve"> study (PBB study 2)</w:t>
      </w:r>
      <w:r>
        <w:t>,</w:t>
      </w:r>
      <w:r w:rsidR="00834495" w:rsidRPr="002D1840">
        <w:t xml:space="preserve"> </w:t>
      </w:r>
      <w:r>
        <w:t xml:space="preserve">making minor </w:t>
      </w:r>
      <w:r w:rsidRPr="002D1840">
        <w:t>refine</w:t>
      </w:r>
      <w:r>
        <w:t>ment to</w:t>
      </w:r>
      <w:r w:rsidRPr="002D1840">
        <w:t xml:space="preserve"> </w:t>
      </w:r>
      <w:r w:rsidR="00834495" w:rsidRPr="002D1840">
        <w:t xml:space="preserve">the </w:t>
      </w:r>
      <w:r w:rsidRPr="002D1840">
        <w:t xml:space="preserve">initial pilot </w:t>
      </w:r>
      <w:r w:rsidR="00834495" w:rsidRPr="002D1840">
        <w:t>study design</w:t>
      </w:r>
      <w:r>
        <w:t xml:space="preserve">. This enabled an </w:t>
      </w:r>
      <w:r w:rsidR="00834495" w:rsidRPr="002D1840">
        <w:t>increased participant sample size</w:t>
      </w:r>
      <w:r w:rsidR="001926E2" w:rsidRPr="002D1840">
        <w:t xml:space="preserve"> to validate the preliminary findings </w:t>
      </w:r>
      <w:r w:rsidR="00542207">
        <w:t xml:space="preserve">from the first study of higher than expected azithromycin resistance across both groups, </w:t>
      </w:r>
      <w:r w:rsidR="001926E2" w:rsidRPr="002D1840">
        <w:t xml:space="preserve">and to gather further microbiological samples for more </w:t>
      </w:r>
      <w:r w:rsidR="006F3C39" w:rsidRPr="002D1840">
        <w:t>in-depth</w:t>
      </w:r>
      <w:r w:rsidR="001926E2" w:rsidRPr="002D1840">
        <w:t xml:space="preserve"> analysis</w:t>
      </w:r>
      <w:r>
        <w:t>,</w:t>
      </w:r>
      <w:r w:rsidR="002D1840">
        <w:t xml:space="preserve"> including </w:t>
      </w:r>
      <w:r w:rsidR="0085275D">
        <w:t xml:space="preserve">subsequent </w:t>
      </w:r>
      <w:r w:rsidR="002D1840">
        <w:t>16s sequencing</w:t>
      </w:r>
      <w:r w:rsidR="0085275D">
        <w:t xml:space="preserve"> (see Chapter </w:t>
      </w:r>
      <w:r w:rsidR="005C7344">
        <w:t>5)</w:t>
      </w:r>
      <w:r w:rsidR="002D1840">
        <w:t>.</w:t>
      </w:r>
      <w:r>
        <w:t xml:space="preserve"> </w:t>
      </w:r>
      <w:r w:rsidR="00834495" w:rsidRPr="002D1840">
        <w:t>PBB study</w:t>
      </w:r>
      <w:r>
        <w:t xml:space="preserve"> </w:t>
      </w:r>
      <w:r w:rsidRPr="002D1840">
        <w:t xml:space="preserve">3 </w:t>
      </w:r>
      <w:r>
        <w:t>was undertaken to</w:t>
      </w:r>
      <w:r w:rsidR="00834495" w:rsidRPr="002D1840">
        <w:t xml:space="preserve"> analyse the stored bacterial isolates from the first 2 PBB studies</w:t>
      </w:r>
      <w:r>
        <w:t>,</w:t>
      </w:r>
      <w:r w:rsidR="00834495" w:rsidRPr="002D1840">
        <w:t xml:space="preserve"> to further investigate the antimicrobial resistance patterns found.</w:t>
      </w:r>
      <w:r>
        <w:t xml:space="preserve"> </w:t>
      </w:r>
      <w:r w:rsidR="00834495" w:rsidRPr="002D1840">
        <w:t xml:space="preserve"> </w:t>
      </w:r>
      <w:r w:rsidR="00834495" w:rsidRPr="00B02BBA">
        <w:t>This led to the sequencing of a selection of the S</w:t>
      </w:r>
      <w:r w:rsidR="00834495" w:rsidRPr="008147E4">
        <w:rPr>
          <w:i/>
          <w:iCs/>
        </w:rPr>
        <w:t>. pneumoniae</w:t>
      </w:r>
      <w:r w:rsidR="00834495" w:rsidRPr="00B02BBA">
        <w:t xml:space="preserve"> isolates in order to characterise the genotypic resistance alongside the phenotypic data already obtained.  </w:t>
      </w:r>
    </w:p>
    <w:p w14:paraId="4D788087" w14:textId="57893119" w:rsidR="000F4748" w:rsidRDefault="000F4748" w:rsidP="000F4748"/>
    <w:p w14:paraId="54B06ED5" w14:textId="227F92EE" w:rsidR="00313CB1" w:rsidRPr="00241369" w:rsidRDefault="00313CB1" w:rsidP="004F3338">
      <w:pPr>
        <w:pStyle w:val="Heading2"/>
      </w:pPr>
      <w:bookmarkStart w:id="160" w:name="_Toc117765968"/>
      <w:r w:rsidRPr="00DD46F9">
        <w:t>P</w:t>
      </w:r>
      <w:r w:rsidR="00246484" w:rsidRPr="00DD46F9">
        <w:t>rotracted Bacterial Bronchitis (PBB)</w:t>
      </w:r>
      <w:r w:rsidRPr="00DD46F9">
        <w:t xml:space="preserve"> </w:t>
      </w:r>
      <w:r w:rsidR="00246484" w:rsidRPr="00DD46F9">
        <w:t>S</w:t>
      </w:r>
      <w:r w:rsidRPr="00DD46F9">
        <w:t>tudy 1</w:t>
      </w:r>
      <w:r w:rsidR="00246484" w:rsidRPr="00DD46F9">
        <w:t xml:space="preserve"> (Pilot/</w:t>
      </w:r>
      <w:r w:rsidR="00335973" w:rsidRPr="00DD46F9">
        <w:t>Feasibility</w:t>
      </w:r>
      <w:r w:rsidR="00246484" w:rsidRPr="00DD46F9">
        <w:t xml:space="preserve"> Study)</w:t>
      </w:r>
      <w:bookmarkEnd w:id="160"/>
    </w:p>
    <w:p w14:paraId="0F98B740" w14:textId="5BF3BA7F" w:rsidR="00E82735" w:rsidRPr="008F33C8" w:rsidRDefault="00E82735" w:rsidP="00284867">
      <w:pPr>
        <w:spacing w:after="160" w:line="360" w:lineRule="auto"/>
      </w:pPr>
      <w:r w:rsidRPr="008F33C8">
        <w:t>This was a single centre, prospective, observational feasibility study carried out at</w:t>
      </w:r>
      <w:r w:rsidR="002613B8">
        <w:t xml:space="preserve"> </w:t>
      </w:r>
      <w:r w:rsidR="00427BB3">
        <w:t>S</w:t>
      </w:r>
      <w:r w:rsidR="00331463">
        <w:t xml:space="preserve">heffield </w:t>
      </w:r>
      <w:r w:rsidR="00427BB3">
        <w:t>C</w:t>
      </w:r>
      <w:r w:rsidR="00331463">
        <w:t xml:space="preserve">hildren’s </w:t>
      </w:r>
      <w:r w:rsidR="00427BB3">
        <w:t>H</w:t>
      </w:r>
      <w:r w:rsidR="00331463">
        <w:t>ospital</w:t>
      </w:r>
      <w:r w:rsidRPr="008F33C8">
        <w:t>. All pa</w:t>
      </w:r>
      <w:r w:rsidR="00B860EF">
        <w:t>rticipants</w:t>
      </w:r>
      <w:r w:rsidRPr="008F33C8">
        <w:t xml:space="preserve"> had been referred to the paediatric outpatient respiratory service</w:t>
      </w:r>
      <w:r w:rsidR="00B860EF">
        <w:t>s</w:t>
      </w:r>
      <w:r w:rsidRPr="008F33C8">
        <w:t xml:space="preserve"> and had a diagnosis of PBB made by a paediatric consultant</w:t>
      </w:r>
      <w:r w:rsidR="00D251B2">
        <w:t xml:space="preserve"> physician</w:t>
      </w:r>
      <w:r w:rsidRPr="008F33C8">
        <w:t xml:space="preserve">. Four paediatric respiratory consultants and 2 general paediatric consultants with an interest in respiratory medicine hold outpatient clinics where children with PBB are seen. </w:t>
      </w:r>
    </w:p>
    <w:p w14:paraId="70BACBDE" w14:textId="19DC0F7F" w:rsidR="00E82735" w:rsidRDefault="00E82735" w:rsidP="00E82735">
      <w:pPr>
        <w:spacing w:line="360" w:lineRule="auto"/>
      </w:pPr>
      <w:r w:rsidRPr="008F33C8">
        <w:t xml:space="preserve">The comparator groups were 10 children </w:t>
      </w:r>
      <w:r w:rsidR="0023043A">
        <w:t xml:space="preserve">with PBB </w:t>
      </w:r>
      <w:r w:rsidRPr="008F33C8">
        <w:t xml:space="preserve">prescribed </w:t>
      </w:r>
      <w:r w:rsidR="005709B6">
        <w:t>long term</w:t>
      </w:r>
      <w:r w:rsidR="005709B6" w:rsidRPr="008F33C8">
        <w:t xml:space="preserve"> </w:t>
      </w:r>
      <w:r w:rsidRPr="008F33C8">
        <w:t xml:space="preserve">azithromycin over the winter months as part of standard clinical care, versus 10 children </w:t>
      </w:r>
      <w:r w:rsidR="00331463">
        <w:t xml:space="preserve">likewise </w:t>
      </w:r>
      <w:r w:rsidRPr="008F33C8">
        <w:t xml:space="preserve">with a diagnosis of </w:t>
      </w:r>
      <w:r w:rsidRPr="008F33C8">
        <w:lastRenderedPageBreak/>
        <w:t xml:space="preserve">PBB </w:t>
      </w:r>
      <w:r w:rsidR="00331463">
        <w:t xml:space="preserve">but </w:t>
      </w:r>
      <w:r w:rsidRPr="008F33C8">
        <w:t>who were not anticipated to require prophylactic azithromycin</w:t>
      </w:r>
      <w:r w:rsidR="00AE0C5E">
        <w:t xml:space="preserve"> because they had not had 3 recurrences of PBB over the last 12 months </w:t>
      </w:r>
      <w:r w:rsidR="0023043A">
        <w:t>(see section 2.2.</w:t>
      </w:r>
      <w:r w:rsidR="006411A3">
        <w:t>3</w:t>
      </w:r>
      <w:r w:rsidR="00AE0C5E">
        <w:t xml:space="preserve"> for participant inclusion criteria</w:t>
      </w:r>
      <w:r w:rsidR="0023043A">
        <w:t>).</w:t>
      </w:r>
      <w:r w:rsidRPr="008F33C8">
        <w:t xml:space="preserve"> </w:t>
      </w:r>
    </w:p>
    <w:p w14:paraId="66949CDD" w14:textId="77777777" w:rsidR="00AE0C5E" w:rsidRDefault="00AE0C5E" w:rsidP="00E82735">
      <w:pPr>
        <w:spacing w:line="360" w:lineRule="auto"/>
      </w:pPr>
    </w:p>
    <w:p w14:paraId="0ACD0834" w14:textId="29A50BDB" w:rsidR="00591E29" w:rsidRDefault="00591E29" w:rsidP="00284867">
      <w:pPr>
        <w:spacing w:after="160" w:line="360" w:lineRule="auto"/>
      </w:pPr>
      <w:bookmarkStart w:id="161" w:name="_Hlk116893965"/>
      <w:r>
        <w:t xml:space="preserve">In PBB study 1, </w:t>
      </w:r>
      <w:r w:rsidR="006F3C39">
        <w:rPr>
          <w:b/>
          <w:bCs/>
        </w:rPr>
        <w:t>I</w:t>
      </w:r>
      <w:r w:rsidR="006F3C39" w:rsidRPr="008147E4">
        <w:rPr>
          <w:b/>
          <w:bCs/>
        </w:rPr>
        <w:t xml:space="preserve"> </w:t>
      </w:r>
      <w:r w:rsidRPr="008147E4">
        <w:rPr>
          <w:b/>
          <w:bCs/>
        </w:rPr>
        <w:t xml:space="preserve">hypothesised that children with PBB </w:t>
      </w:r>
      <w:r w:rsidR="00B250E7" w:rsidRPr="008147E4">
        <w:rPr>
          <w:b/>
          <w:bCs/>
        </w:rPr>
        <w:t>receiving</w:t>
      </w:r>
      <w:r w:rsidRPr="008147E4">
        <w:rPr>
          <w:b/>
          <w:bCs/>
        </w:rPr>
        <w:t xml:space="preserve"> prophylactic azithromycin would acquire respiratory flora with </w:t>
      </w:r>
      <w:r w:rsidR="00E05318">
        <w:rPr>
          <w:b/>
          <w:bCs/>
        </w:rPr>
        <w:t xml:space="preserve">increased rates of </w:t>
      </w:r>
      <w:r w:rsidRPr="008147E4">
        <w:rPr>
          <w:b/>
          <w:bCs/>
        </w:rPr>
        <w:t>azithromycin resistance.</w:t>
      </w:r>
    </w:p>
    <w:p w14:paraId="1EF32445" w14:textId="77777777" w:rsidR="0029431B" w:rsidRDefault="0029431B" w:rsidP="00591E29">
      <w:pPr>
        <w:spacing w:line="360" w:lineRule="auto"/>
      </w:pPr>
    </w:p>
    <w:p w14:paraId="76C0713A" w14:textId="2A4B2E2A" w:rsidR="00591E29" w:rsidRPr="008F33C8" w:rsidRDefault="0023043A" w:rsidP="0029431B">
      <w:pPr>
        <w:spacing w:after="160" w:line="360" w:lineRule="auto"/>
      </w:pPr>
      <w:r>
        <w:t xml:space="preserve">To investigate this, I carried out a single centre observational pilot study with the following </w:t>
      </w:r>
      <w:r w:rsidR="007A76E2">
        <w:t>research approach</w:t>
      </w:r>
      <w:r>
        <w:t xml:space="preserve">: </w:t>
      </w:r>
    </w:p>
    <w:p w14:paraId="4A7C4CE6" w14:textId="77777777" w:rsidR="00591E29" w:rsidRPr="00F62BD3" w:rsidRDefault="00591E29" w:rsidP="0029431B">
      <w:pPr>
        <w:spacing w:line="360" w:lineRule="auto"/>
        <w:ind w:left="720" w:hanging="720"/>
      </w:pPr>
      <w:r w:rsidRPr="00F62BD3">
        <w:t>1.</w:t>
      </w:r>
      <w:r w:rsidRPr="00F62BD3">
        <w:tab/>
        <w:t>To collect serial nasopharyngeal swabs from children with PBB for bacterial culture and test bacterial isolates for azithromycin resistance.</w:t>
      </w:r>
    </w:p>
    <w:p w14:paraId="76B819D5" w14:textId="1C0F2A61" w:rsidR="00591E29" w:rsidRDefault="00591E29" w:rsidP="00752DA8">
      <w:pPr>
        <w:spacing w:line="360" w:lineRule="auto"/>
        <w:ind w:left="720" w:hanging="720"/>
      </w:pPr>
      <w:r w:rsidRPr="00F62BD3">
        <w:t>2.</w:t>
      </w:r>
      <w:r w:rsidRPr="00F62BD3">
        <w:tab/>
        <w:t xml:space="preserve">To compare azithromycin resistance patterns in children with PBB </w:t>
      </w:r>
      <w:r w:rsidR="0023043A">
        <w:t xml:space="preserve">exposed or not to </w:t>
      </w:r>
      <w:r w:rsidRPr="00F62BD3">
        <w:t>long</w:t>
      </w:r>
      <w:r w:rsidR="00B934B6">
        <w:t>-</w:t>
      </w:r>
      <w:r w:rsidRPr="00F62BD3">
        <w:t xml:space="preserve">term </w:t>
      </w:r>
      <w:r w:rsidR="0023043A">
        <w:t xml:space="preserve">prophylactic </w:t>
      </w:r>
      <w:r w:rsidRPr="00F62BD3">
        <w:t xml:space="preserve">azithromycin </w:t>
      </w:r>
    </w:p>
    <w:p w14:paraId="0096C9E1" w14:textId="7E9465D6" w:rsidR="00591E29" w:rsidRPr="00F62BD3" w:rsidRDefault="0023043A" w:rsidP="00591E29">
      <w:pPr>
        <w:spacing w:line="360" w:lineRule="auto"/>
      </w:pPr>
      <w:r>
        <w:t>3.</w:t>
      </w:r>
      <w:r>
        <w:tab/>
      </w:r>
      <w:r w:rsidRPr="00F62BD3">
        <w:t>To optimise recruitment strategy and sampling methodology for future studies.</w:t>
      </w:r>
    </w:p>
    <w:bookmarkEnd w:id="161"/>
    <w:p w14:paraId="4CFF0413" w14:textId="77777777" w:rsidR="00E82735" w:rsidRPr="00241369" w:rsidRDefault="00E82735" w:rsidP="00E82735">
      <w:pPr>
        <w:spacing w:line="360" w:lineRule="auto"/>
      </w:pPr>
    </w:p>
    <w:p w14:paraId="6E4C2F5B" w14:textId="5620F494" w:rsidR="00E82735" w:rsidRPr="008F33C8" w:rsidRDefault="00E82735" w:rsidP="00B934B6">
      <w:pPr>
        <w:pStyle w:val="Heading3"/>
        <w:spacing w:before="0" w:line="360" w:lineRule="auto"/>
      </w:pPr>
      <w:bookmarkStart w:id="162" w:name="_Toc117765969"/>
      <w:r w:rsidRPr="008F33C8">
        <w:t>Recruitment</w:t>
      </w:r>
      <w:r w:rsidR="0059043E">
        <w:t xml:space="preserve"> and retention</w:t>
      </w:r>
      <w:bookmarkEnd w:id="162"/>
    </w:p>
    <w:p w14:paraId="5141974C" w14:textId="23AF4123" w:rsidR="009F39D2" w:rsidRPr="002D393F" w:rsidRDefault="00E82735" w:rsidP="00B934B6">
      <w:pPr>
        <w:spacing w:line="360" w:lineRule="auto"/>
      </w:pPr>
      <w:r w:rsidRPr="00241369">
        <w:t xml:space="preserve">As planned, a total of 20 children were recruited.  Of these, 10 started prophylactic azithromycin </w:t>
      </w:r>
      <w:r w:rsidR="00B250E7">
        <w:t xml:space="preserve">(azithromycin group) </w:t>
      </w:r>
      <w:r w:rsidRPr="00241369">
        <w:t>over the winter and 10 did not</w:t>
      </w:r>
      <w:r w:rsidR="00B250E7">
        <w:t xml:space="preserve"> (</w:t>
      </w:r>
      <w:r w:rsidR="00BA2314">
        <w:t>comparison</w:t>
      </w:r>
      <w:r w:rsidR="00B250E7">
        <w:t xml:space="preserve"> group)</w:t>
      </w:r>
      <w:r w:rsidR="00F47930" w:rsidRPr="00241369">
        <w:t xml:space="preserve">. The consort diagram </w:t>
      </w:r>
      <w:r w:rsidR="00F47930" w:rsidRPr="001F4213">
        <w:t xml:space="preserve">in </w:t>
      </w:r>
      <w:r w:rsidR="001F4213" w:rsidRPr="001F4213">
        <w:fldChar w:fldCharType="begin"/>
      </w:r>
      <w:r w:rsidR="001F4213" w:rsidRPr="001F4213">
        <w:instrText xml:space="preserve"> REF _Ref105446291 \h  \* MERGEFORMAT </w:instrText>
      </w:r>
      <w:r w:rsidR="001F4213" w:rsidRPr="001F4213">
        <w:fldChar w:fldCharType="separate"/>
      </w:r>
      <w:r w:rsidR="001F4213" w:rsidRPr="001F4213">
        <w:rPr>
          <w:color w:val="000000" w:themeColor="text1"/>
        </w:rPr>
        <w:t xml:space="preserve">Figure </w:t>
      </w:r>
      <w:r w:rsidR="001F4213" w:rsidRPr="001F4213">
        <w:rPr>
          <w:noProof/>
          <w:color w:val="000000" w:themeColor="text1"/>
        </w:rPr>
        <w:t>4</w:t>
      </w:r>
      <w:r w:rsidR="001F4213" w:rsidRPr="001F4213">
        <w:rPr>
          <w:color w:val="000000" w:themeColor="text1"/>
        </w:rPr>
        <w:noBreakHyphen/>
      </w:r>
      <w:r w:rsidR="001F4213" w:rsidRPr="001F4213">
        <w:rPr>
          <w:noProof/>
          <w:color w:val="000000" w:themeColor="text1"/>
        </w:rPr>
        <w:t>1</w:t>
      </w:r>
      <w:r w:rsidR="001F4213" w:rsidRPr="001F4213">
        <w:fldChar w:fldCharType="end"/>
      </w:r>
      <w:r w:rsidR="001F4213">
        <w:t xml:space="preserve"> </w:t>
      </w:r>
      <w:r w:rsidRPr="00241369">
        <w:t>shows the process of recruitment.  Although the study information was given to 70 families who fu</w:t>
      </w:r>
      <w:r w:rsidR="002B7D0F" w:rsidRPr="00241369">
        <w:t xml:space="preserve">lfilled the inclusion criteria, 44 out of 70 (63%) did not reply to the text message sent to </w:t>
      </w:r>
      <w:r w:rsidR="009210BD" w:rsidRPr="00241369">
        <w:t>ask if they would like to participate in the study</w:t>
      </w:r>
      <w:r w:rsidR="006411A3">
        <w:t xml:space="preserve"> (appendix 3.2)</w:t>
      </w:r>
      <w:r w:rsidR="009210BD" w:rsidRPr="00241369">
        <w:t xml:space="preserve">. </w:t>
      </w:r>
      <w:r w:rsidR="00AE0C5E">
        <w:t>Two</w:t>
      </w:r>
      <w:r w:rsidR="0059043E">
        <w:t xml:space="preserve"> pa</w:t>
      </w:r>
      <w:r w:rsidR="00AE0C5E">
        <w:t>rticipants</w:t>
      </w:r>
      <w:r w:rsidR="0059043E">
        <w:t xml:space="preserve"> left the study, </w:t>
      </w:r>
      <w:r w:rsidR="00AE0C5E">
        <w:t>one</w:t>
      </w:r>
      <w:r w:rsidR="0059043E">
        <w:t xml:space="preserve"> due to parental health issues and 1 due to the burden of the sample collection, both in the azithromycin group. The median duration of long</w:t>
      </w:r>
      <w:r w:rsidR="00324B80">
        <w:t>-</w:t>
      </w:r>
      <w:r w:rsidR="0059043E">
        <w:t xml:space="preserve">term </w:t>
      </w:r>
      <w:r w:rsidR="003B17A1">
        <w:t>azithromycin</w:t>
      </w:r>
      <w:r w:rsidR="0059043E">
        <w:t xml:space="preserve"> in the </w:t>
      </w:r>
      <w:r w:rsidR="003B17A1">
        <w:t>azithromycin</w:t>
      </w:r>
      <w:r w:rsidR="0059043E">
        <w:t xml:space="preserve"> group was 5 months with a minimum of 3 days and a maximum of 8 months.</w:t>
      </w:r>
      <w:r w:rsidR="00E70551">
        <w:t xml:space="preserve"> One participant stopped taking azithromycin after 3 </w:t>
      </w:r>
      <w:r w:rsidR="00105FF9">
        <w:t xml:space="preserve">doses </w:t>
      </w:r>
      <w:r w:rsidR="00E70551">
        <w:t>due to concerns that it was causing constipation.</w:t>
      </w:r>
      <w:r w:rsidR="00CB73BA" w:rsidRPr="00CB73BA">
        <w:t xml:space="preserve"> </w:t>
      </w:r>
      <w:r w:rsidR="003A6E85">
        <w:t>All analysis was by intention to treat.</w:t>
      </w:r>
    </w:p>
    <w:p w14:paraId="71DD1871" w14:textId="77777777" w:rsidR="009F39D2" w:rsidRDefault="009F39D2" w:rsidP="00F2544F">
      <w:pPr>
        <w:spacing w:line="360" w:lineRule="auto"/>
        <w:ind w:left="2160" w:hanging="2160"/>
        <w:rPr>
          <w:highlight w:val="yellow"/>
        </w:rPr>
      </w:pPr>
    </w:p>
    <w:p w14:paraId="6D7B947B" w14:textId="77777777" w:rsidR="009F39D2" w:rsidRDefault="009F39D2" w:rsidP="00F2544F">
      <w:pPr>
        <w:spacing w:line="360" w:lineRule="auto"/>
        <w:ind w:left="2160" w:hanging="2160"/>
        <w:rPr>
          <w:highlight w:val="yellow"/>
        </w:rPr>
      </w:pPr>
    </w:p>
    <w:p w14:paraId="386264AA" w14:textId="2B420B85" w:rsidR="00F47930" w:rsidRPr="00241369" w:rsidRDefault="00F47930" w:rsidP="00E82735">
      <w:pPr>
        <w:spacing w:line="360" w:lineRule="auto"/>
        <w:rPr>
          <w:b/>
        </w:rPr>
      </w:pPr>
    </w:p>
    <w:p w14:paraId="31BC9504" w14:textId="5C3F8887" w:rsidR="00F47930" w:rsidRPr="00241369" w:rsidRDefault="00F47930" w:rsidP="00E82735">
      <w:pPr>
        <w:spacing w:line="360" w:lineRule="auto"/>
        <w:rPr>
          <w:b/>
        </w:rPr>
      </w:pPr>
    </w:p>
    <w:p w14:paraId="2AAD8A54" w14:textId="0269FF44" w:rsidR="00F47930" w:rsidRPr="00241369" w:rsidRDefault="006D51AD" w:rsidP="00E82735">
      <w:pPr>
        <w:spacing w:line="360" w:lineRule="auto"/>
        <w:rPr>
          <w:b/>
        </w:rPr>
      </w:pPr>
      <w:r>
        <w:rPr>
          <w:noProof/>
        </w:rPr>
        <w:lastRenderedPageBreak/>
        <mc:AlternateContent>
          <mc:Choice Requires="wps">
            <w:drawing>
              <wp:anchor distT="45720" distB="45720" distL="114300" distR="114300" simplePos="0" relativeHeight="251653632" behindDoc="0" locked="0" layoutInCell="1" allowOverlap="1" wp14:anchorId="5C5B2CCE" wp14:editId="03256499">
                <wp:simplePos x="0" y="0"/>
                <wp:positionH relativeFrom="column">
                  <wp:posOffset>1782445</wp:posOffset>
                </wp:positionH>
                <wp:positionV relativeFrom="paragraph">
                  <wp:posOffset>0</wp:posOffset>
                </wp:positionV>
                <wp:extent cx="2358390" cy="953770"/>
                <wp:effectExtent l="0" t="0" r="3810" b="0"/>
                <wp:wrapSquare wrapText="bothSides"/>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953770"/>
                        </a:xfrm>
                        <a:prstGeom prst="rect">
                          <a:avLst/>
                        </a:prstGeom>
                        <a:solidFill>
                          <a:srgbClr val="FFFFFF"/>
                        </a:solidFill>
                        <a:ln w="9525">
                          <a:solidFill>
                            <a:srgbClr val="000000"/>
                          </a:solidFill>
                          <a:miter lim="800000"/>
                          <a:headEnd/>
                          <a:tailEnd/>
                        </a:ln>
                      </wps:spPr>
                      <wps:txbx>
                        <w:txbxContent>
                          <w:p w14:paraId="367AE1CE" w14:textId="77777777" w:rsidR="00600985" w:rsidRDefault="00600985" w:rsidP="00F47930">
                            <w:pPr>
                              <w:jc w:val="center"/>
                              <w:rPr>
                                <w:lang w:val="en-US"/>
                              </w:rPr>
                            </w:pPr>
                            <w:r>
                              <w:rPr>
                                <w:lang w:val="en-US"/>
                              </w:rPr>
                              <w:t>Number of families that received study information:</w:t>
                            </w:r>
                          </w:p>
                          <w:p w14:paraId="23357920" w14:textId="77777777" w:rsidR="00600985" w:rsidRDefault="00600985" w:rsidP="00F47930">
                            <w:pPr>
                              <w:jc w:val="center"/>
                              <w:rPr>
                                <w:lang w:val="en-US"/>
                              </w:rPr>
                            </w:pPr>
                            <w:r>
                              <w:rPr>
                                <w:lang w:val="en-US"/>
                              </w:rPr>
                              <w:t>N=70</w:t>
                            </w:r>
                          </w:p>
                          <w:p w14:paraId="55747992" w14:textId="59A1BE07" w:rsidR="00600985" w:rsidRDefault="00600985" w:rsidP="00F47930">
                            <w:pPr>
                              <w:jc w:val="center"/>
                              <w:rPr>
                                <w:lang w:val="en-US"/>
                              </w:rPr>
                            </w:pPr>
                            <w:r>
                              <w:rPr>
                                <w:lang w:val="en-US"/>
                              </w:rPr>
                              <w:t>Potential co</w:t>
                            </w:r>
                            <w:r w:rsidR="0087354C">
                              <w:rPr>
                                <w:lang w:val="en-US"/>
                              </w:rPr>
                              <w:t>mparators</w:t>
                            </w:r>
                            <w:r>
                              <w:rPr>
                                <w:lang w:val="en-US"/>
                              </w:rPr>
                              <w:t xml:space="preserve"> = 53</w:t>
                            </w:r>
                          </w:p>
                          <w:p w14:paraId="7068B1AC" w14:textId="77777777" w:rsidR="00600985" w:rsidRPr="00F47930" w:rsidRDefault="00600985" w:rsidP="00F47930">
                            <w:pPr>
                              <w:jc w:val="center"/>
                              <w:rPr>
                                <w:lang w:val="en-US"/>
                              </w:rPr>
                            </w:pPr>
                            <w:r>
                              <w:rPr>
                                <w:lang w:val="en-US"/>
                              </w:rPr>
                              <w:t>Azithromycin = 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B2CCE" id="Text Box 662" o:spid="_x0000_s1053" type="#_x0000_t202" style="position:absolute;margin-left:140.35pt;margin-top:0;width:185.7pt;height:75.1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">
                <v:textbox style="mso-fit-shape-to-text:t">
                  <w:txbxContent>
                    <w:p w14:paraId="367AE1CE" w14:textId="77777777" w:rsidR="00600985" w:rsidRDefault="00600985" w:rsidP="00F47930">
                      <w:pPr>
                        <w:jc w:val="center"/>
                        <w:rPr>
                          <w:lang w:val="en-US"/>
                        </w:rPr>
                      </w:pPr>
                      <w:r>
                        <w:rPr>
                          <w:lang w:val="en-US"/>
                        </w:rPr>
                        <w:t>Number of families that received study information:</w:t>
                      </w:r>
                    </w:p>
                    <w:p w14:paraId="23357920" w14:textId="77777777" w:rsidR="00600985" w:rsidRDefault="00600985" w:rsidP="00F47930">
                      <w:pPr>
                        <w:jc w:val="center"/>
                        <w:rPr>
                          <w:lang w:val="en-US"/>
                        </w:rPr>
                      </w:pPr>
                      <w:r>
                        <w:rPr>
                          <w:lang w:val="en-US"/>
                        </w:rPr>
                        <w:t>N=70</w:t>
                      </w:r>
                    </w:p>
                    <w:p w14:paraId="55747992" w14:textId="59A1BE07" w:rsidR="00600985" w:rsidRDefault="00600985" w:rsidP="00F47930">
                      <w:pPr>
                        <w:jc w:val="center"/>
                        <w:rPr>
                          <w:lang w:val="en-US"/>
                        </w:rPr>
                      </w:pPr>
                      <w:r>
                        <w:rPr>
                          <w:lang w:val="en-US"/>
                        </w:rPr>
                        <w:t>Potential co</w:t>
                      </w:r>
                      <w:r w:rsidR="0087354C">
                        <w:rPr>
                          <w:lang w:val="en-US"/>
                        </w:rPr>
                        <w:t>mparators</w:t>
                      </w:r>
                      <w:r>
                        <w:rPr>
                          <w:lang w:val="en-US"/>
                        </w:rPr>
                        <w:t xml:space="preserve"> = 53</w:t>
                      </w:r>
                    </w:p>
                    <w:p w14:paraId="7068B1AC" w14:textId="77777777" w:rsidR="00600985" w:rsidRPr="00F47930" w:rsidRDefault="00600985" w:rsidP="00F47930">
                      <w:pPr>
                        <w:jc w:val="center"/>
                        <w:rPr>
                          <w:lang w:val="en-US"/>
                        </w:rPr>
                      </w:pPr>
                      <w:r>
                        <w:rPr>
                          <w:lang w:val="en-US"/>
                        </w:rPr>
                        <w:t>Azithromycin = 17</w:t>
                      </w:r>
                    </w:p>
                  </w:txbxContent>
                </v:textbox>
                <w10:wrap type="square"/>
              </v:shape>
            </w:pict>
          </mc:Fallback>
        </mc:AlternateContent>
      </w:r>
    </w:p>
    <w:p w14:paraId="5EA0841E" w14:textId="2661F11D" w:rsidR="00F47930" w:rsidRPr="00241369" w:rsidRDefault="00F47930" w:rsidP="00E82735">
      <w:pPr>
        <w:spacing w:line="360" w:lineRule="auto"/>
        <w:rPr>
          <w:b/>
        </w:rPr>
      </w:pPr>
    </w:p>
    <w:p w14:paraId="4EF9574D" w14:textId="0AC56647" w:rsidR="00F47930" w:rsidRPr="00241369" w:rsidRDefault="00F47930" w:rsidP="00E82735">
      <w:pPr>
        <w:spacing w:line="360" w:lineRule="auto"/>
        <w:rPr>
          <w:b/>
        </w:rPr>
      </w:pPr>
    </w:p>
    <w:p w14:paraId="4E970E19" w14:textId="39EC1CC8" w:rsidR="00F47930" w:rsidRPr="00241369" w:rsidRDefault="00F47930" w:rsidP="00E82735">
      <w:pPr>
        <w:spacing w:line="360" w:lineRule="auto"/>
        <w:rPr>
          <w:b/>
        </w:rPr>
      </w:pPr>
    </w:p>
    <w:p w14:paraId="770FE443" w14:textId="7FB804F1" w:rsidR="001F4213" w:rsidRDefault="006D51AD" w:rsidP="00E82735">
      <w:pPr>
        <w:spacing w:line="360" w:lineRule="auto"/>
        <w:rPr>
          <w:b/>
        </w:rPr>
      </w:pPr>
      <w:r>
        <w:rPr>
          <w:noProof/>
        </w:rPr>
        <mc:AlternateContent>
          <mc:Choice Requires="wps">
            <w:drawing>
              <wp:anchor distT="45720" distB="45720" distL="114300" distR="114300" simplePos="0" relativeHeight="251656704" behindDoc="0" locked="0" layoutInCell="1" allowOverlap="1" wp14:anchorId="0893ACA2" wp14:editId="622C288D">
                <wp:simplePos x="0" y="0"/>
                <wp:positionH relativeFrom="column">
                  <wp:posOffset>-600075</wp:posOffset>
                </wp:positionH>
                <wp:positionV relativeFrom="paragraph">
                  <wp:posOffset>257175</wp:posOffset>
                </wp:positionV>
                <wp:extent cx="2358390" cy="1309370"/>
                <wp:effectExtent l="0" t="0" r="3810" b="5715"/>
                <wp:wrapSquare wrapText="bothSides"/>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309370"/>
                        </a:xfrm>
                        <a:prstGeom prst="rect">
                          <a:avLst/>
                        </a:prstGeom>
                        <a:solidFill>
                          <a:srgbClr val="FFFFFF"/>
                        </a:solidFill>
                        <a:ln w="9525">
                          <a:solidFill>
                            <a:srgbClr val="000000"/>
                          </a:solidFill>
                          <a:miter lim="800000"/>
                          <a:headEnd/>
                          <a:tailEnd/>
                        </a:ln>
                      </wps:spPr>
                      <wps:txbx>
                        <w:txbxContent>
                          <w:p w14:paraId="5658AF0F" w14:textId="77777777" w:rsidR="00600985" w:rsidRPr="00752DA8" w:rsidRDefault="00600985">
                            <w:pPr>
                              <w:pStyle w:val="ListParagraph"/>
                              <w:numPr>
                                <w:ilvl w:val="0"/>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3 declined the offer to take part</w:t>
                            </w:r>
                          </w:p>
                          <w:p w14:paraId="2340B7AE"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Too busy </w:t>
                            </w:r>
                          </w:p>
                          <w:p w14:paraId="04D350E7"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Child too young and swabs unpleasant</w:t>
                            </w:r>
                          </w:p>
                          <w:p w14:paraId="39D3545B"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Child too unwell</w:t>
                            </w:r>
                          </w:p>
                          <w:p w14:paraId="7B5807DD" w14:textId="77777777" w:rsidR="00600985" w:rsidRPr="00752DA8" w:rsidRDefault="00600985">
                            <w:pPr>
                              <w:pStyle w:val="ListParagraph"/>
                              <w:numPr>
                                <w:ilvl w:val="0"/>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40 did not reply to the text message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93ACA2" id="Text Box 659" o:spid="_x0000_s1054" type="#_x0000_t202" style="position:absolute;margin-left:-47.25pt;margin-top:20.25pt;width:185.7pt;height:103.1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">
                <v:textbox style="mso-fit-shape-to-text:t">
                  <w:txbxContent>
                    <w:p w14:paraId="5658AF0F" w14:textId="77777777" w:rsidR="00600985" w:rsidRPr="00752DA8" w:rsidRDefault="00600985">
                      <w:pPr>
                        <w:pStyle w:val="ListParagraph"/>
                        <w:numPr>
                          <w:ilvl w:val="0"/>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3 declined the offer to take part</w:t>
                      </w:r>
                    </w:p>
                    <w:p w14:paraId="2340B7AE"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Too busy </w:t>
                      </w:r>
                    </w:p>
                    <w:p w14:paraId="04D350E7"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Child too young and swabs unpleasant</w:t>
                      </w:r>
                    </w:p>
                    <w:p w14:paraId="39D3545B" w14:textId="77777777" w:rsidR="00600985" w:rsidRPr="00752DA8" w:rsidRDefault="00600985">
                      <w:pPr>
                        <w:pStyle w:val="ListParagraph"/>
                        <w:numPr>
                          <w:ilvl w:val="1"/>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Child too unwell</w:t>
                      </w:r>
                    </w:p>
                    <w:p w14:paraId="7B5807DD" w14:textId="77777777" w:rsidR="00600985" w:rsidRPr="00752DA8" w:rsidRDefault="00600985">
                      <w:pPr>
                        <w:pStyle w:val="ListParagraph"/>
                        <w:numPr>
                          <w:ilvl w:val="0"/>
                          <w:numId w:val="15"/>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40 did not reply to the text message</w:t>
                      </w:r>
                    </w:p>
                  </w:txbxContent>
                </v:textbox>
                <w10:wrap type="square"/>
              </v:shape>
            </w:pict>
          </mc:Fallback>
        </mc:AlternateContent>
      </w:r>
      <w:r>
        <w:rPr>
          <w:noProof/>
        </w:rPr>
        <mc:AlternateContent>
          <mc:Choice Requires="wps">
            <w:drawing>
              <wp:anchor distT="0" distB="0" distL="114300" distR="114300" simplePos="0" relativeHeight="251695616" behindDoc="0" locked="0" layoutInCell="1" allowOverlap="1" wp14:anchorId="02B18A74" wp14:editId="39523A41">
                <wp:simplePos x="0" y="0"/>
                <wp:positionH relativeFrom="column">
                  <wp:posOffset>3457575</wp:posOffset>
                </wp:positionH>
                <wp:positionV relativeFrom="paragraph">
                  <wp:posOffset>100330</wp:posOffset>
                </wp:positionV>
                <wp:extent cx="9525" cy="1931035"/>
                <wp:effectExtent l="57150" t="19050" r="47625" b="31115"/>
                <wp:wrapNone/>
                <wp:docPr id="660"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31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347D4E" id="Straight Arrow Connector 660" o:spid="_x0000_s1026" type="#_x0000_t32" style="position:absolute;margin-left:272.25pt;margin-top:7.9pt;width:.75pt;height:152.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" strokecolor="black [3200]" strokeweight="2.25pt">
                <v:stroke endarrow="block" joinstyle="miter"/>
                <o:lock v:ext="edit" shapetype="f"/>
              </v:shape>
            </w:pict>
          </mc:Fallback>
        </mc:AlternateContent>
      </w:r>
      <w:r>
        <w:rPr>
          <w:noProof/>
        </w:rPr>
        <mc:AlternateContent>
          <mc:Choice Requires="wps">
            <w:drawing>
              <wp:anchor distT="0" distB="0" distL="114300" distR="114300" simplePos="0" relativeHeight="251696640" behindDoc="0" locked="0" layoutInCell="1" allowOverlap="1" wp14:anchorId="5D3F5514" wp14:editId="1763DDE6">
                <wp:simplePos x="0" y="0"/>
                <wp:positionH relativeFrom="column">
                  <wp:posOffset>2454910</wp:posOffset>
                </wp:positionH>
                <wp:positionV relativeFrom="paragraph">
                  <wp:posOffset>100330</wp:posOffset>
                </wp:positionV>
                <wp:extent cx="9525" cy="1931035"/>
                <wp:effectExtent l="57150" t="19050" r="47625" b="31115"/>
                <wp:wrapNone/>
                <wp:docPr id="66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31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11A56D" id="Straight Arrow Connector 661" o:spid="_x0000_s1026" type="#_x0000_t32" style="position:absolute;margin-left:193.3pt;margin-top:7.9pt;width:.75pt;height:152.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" strokecolor="black [3200]" strokeweight="2.25pt">
                <v:stroke endarrow="block" joinstyle="miter"/>
                <o:lock v:ext="edit" shapetype="f"/>
              </v:shape>
            </w:pict>
          </mc:Fallback>
        </mc:AlternateContent>
      </w:r>
    </w:p>
    <w:p w14:paraId="690941FE" w14:textId="51F166FE" w:rsidR="00B54053" w:rsidRDefault="006D51AD" w:rsidP="00E82735">
      <w:pPr>
        <w:spacing w:line="360" w:lineRule="auto"/>
        <w:rPr>
          <w:b/>
        </w:rPr>
      </w:pPr>
      <w:r>
        <w:rPr>
          <w:noProof/>
        </w:rPr>
        <mc:AlternateContent>
          <mc:Choice Requires="wps">
            <w:drawing>
              <wp:anchor distT="0" distB="0" distL="114300" distR="114300" simplePos="0" relativeHeight="251657728" behindDoc="0" locked="0" layoutInCell="1" allowOverlap="1" wp14:anchorId="25F5F1C3" wp14:editId="152C46C3">
                <wp:simplePos x="0" y="0"/>
                <wp:positionH relativeFrom="column">
                  <wp:posOffset>4229100</wp:posOffset>
                </wp:positionH>
                <wp:positionV relativeFrom="paragraph">
                  <wp:posOffset>179070</wp:posOffset>
                </wp:positionV>
                <wp:extent cx="2372360" cy="1200785"/>
                <wp:effectExtent l="0" t="0" r="27940" b="18415"/>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360" cy="1200785"/>
                        </a:xfrm>
                        <a:prstGeom prst="rect">
                          <a:avLst/>
                        </a:prstGeom>
                        <a:solidFill>
                          <a:schemeClr val="lt1"/>
                        </a:solidFill>
                        <a:ln w="6350">
                          <a:solidFill>
                            <a:prstClr val="black"/>
                          </a:solidFill>
                        </a:ln>
                      </wps:spPr>
                      <wps:txbx>
                        <w:txbxContent>
                          <w:p w14:paraId="5FC5875D" w14:textId="77777777" w:rsidR="00600985" w:rsidRPr="00752DA8" w:rsidRDefault="00600985">
                            <w:pPr>
                              <w:pStyle w:val="ListParagraph"/>
                              <w:numPr>
                                <w:ilvl w:val="0"/>
                                <w:numId w:val="16"/>
                              </w:numPr>
                              <w:spacing w:after="0" w:line="240" w:lineRule="auto"/>
                              <w:rPr>
                                <w:sz w:val="24"/>
                                <w:szCs w:val="24"/>
                                <w:lang w:val="en-US"/>
                              </w:rPr>
                            </w:pPr>
                            <w:r w:rsidRPr="00752DA8">
                              <w:rPr>
                                <w:sz w:val="24"/>
                                <w:szCs w:val="24"/>
                                <w:lang w:val="en-US"/>
                              </w:rPr>
                              <w:t>3 wanted to participate but had already started azithromycin</w:t>
                            </w:r>
                          </w:p>
                          <w:p w14:paraId="37E6F2E5" w14:textId="77777777" w:rsidR="00600985" w:rsidRPr="00752DA8" w:rsidRDefault="00600985">
                            <w:pPr>
                              <w:pStyle w:val="ListParagraph"/>
                              <w:numPr>
                                <w:ilvl w:val="0"/>
                                <w:numId w:val="16"/>
                              </w:numPr>
                              <w:spacing w:after="0" w:line="240" w:lineRule="auto"/>
                              <w:rPr>
                                <w:sz w:val="24"/>
                                <w:szCs w:val="24"/>
                                <w:lang w:val="en-US"/>
                              </w:rPr>
                            </w:pPr>
                            <w:r w:rsidRPr="00752DA8">
                              <w:rPr>
                                <w:sz w:val="24"/>
                                <w:szCs w:val="24"/>
                                <w:lang w:val="en-US"/>
                              </w:rPr>
                              <w:t xml:space="preserve">4 did not reply to the text message </w:t>
                            </w:r>
                          </w:p>
                          <w:p w14:paraId="32011B8D" w14:textId="77777777" w:rsidR="00600985" w:rsidRPr="00F47930" w:rsidRDefault="00600985" w:rsidP="00191F9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F5F1C3" id="Text Box 656" o:spid="_x0000_s1055" type="#_x0000_t202" style="position:absolute;margin-left:333pt;margin-top:14.1pt;width:186.8pt;height:9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" fillcolor="white [3201]" strokeweight=".5pt">
                <v:path arrowok="t"/>
                <v:textbox>
                  <w:txbxContent>
                    <w:p w14:paraId="5FC5875D" w14:textId="77777777" w:rsidR="00600985" w:rsidRPr="00752DA8" w:rsidRDefault="00600985">
                      <w:pPr>
                        <w:pStyle w:val="ListParagraph"/>
                        <w:numPr>
                          <w:ilvl w:val="0"/>
                          <w:numId w:val="16"/>
                        </w:numPr>
                        <w:spacing w:after="0" w:line="240" w:lineRule="auto"/>
                        <w:rPr>
                          <w:sz w:val="24"/>
                          <w:szCs w:val="24"/>
                          <w:lang w:val="en-US"/>
                        </w:rPr>
                      </w:pPr>
                      <w:r w:rsidRPr="00752DA8">
                        <w:rPr>
                          <w:sz w:val="24"/>
                          <w:szCs w:val="24"/>
                          <w:lang w:val="en-US"/>
                        </w:rPr>
                        <w:t>3 wanted to participate but had already started azithromycin</w:t>
                      </w:r>
                    </w:p>
                    <w:p w14:paraId="37E6F2E5" w14:textId="77777777" w:rsidR="00600985" w:rsidRPr="00752DA8" w:rsidRDefault="00600985">
                      <w:pPr>
                        <w:pStyle w:val="ListParagraph"/>
                        <w:numPr>
                          <w:ilvl w:val="0"/>
                          <w:numId w:val="16"/>
                        </w:numPr>
                        <w:spacing w:after="0" w:line="240" w:lineRule="auto"/>
                        <w:rPr>
                          <w:sz w:val="24"/>
                          <w:szCs w:val="24"/>
                          <w:lang w:val="en-US"/>
                        </w:rPr>
                      </w:pPr>
                      <w:r w:rsidRPr="00752DA8">
                        <w:rPr>
                          <w:sz w:val="24"/>
                          <w:szCs w:val="24"/>
                          <w:lang w:val="en-US"/>
                        </w:rPr>
                        <w:t xml:space="preserve">4 did not reply to the text message </w:t>
                      </w:r>
                    </w:p>
                    <w:p w14:paraId="32011B8D" w14:textId="77777777" w:rsidR="00600985" w:rsidRPr="00F47930" w:rsidRDefault="00600985" w:rsidP="00191F95">
                      <w:pPr>
                        <w:rPr>
                          <w:lang w:val="en-US"/>
                        </w:rPr>
                      </w:pPr>
                    </w:p>
                  </w:txbxContent>
                </v:textbox>
              </v:shape>
            </w:pict>
          </mc:Fallback>
        </mc:AlternateContent>
      </w:r>
    </w:p>
    <w:p w14:paraId="5AEB8E68" w14:textId="2EBEFB49" w:rsidR="00B54053" w:rsidRDefault="00B54053" w:rsidP="00E82735">
      <w:pPr>
        <w:spacing w:line="360" w:lineRule="auto"/>
        <w:rPr>
          <w:b/>
        </w:rPr>
      </w:pPr>
    </w:p>
    <w:p w14:paraId="6E1C83FE" w14:textId="49E59DC5" w:rsidR="00B54053" w:rsidRDefault="006D51AD" w:rsidP="00E82735">
      <w:pPr>
        <w:spacing w:line="360" w:lineRule="auto"/>
        <w:rPr>
          <w:b/>
        </w:rPr>
      </w:pPr>
      <w:r>
        <w:rPr>
          <w:noProof/>
        </w:rPr>
        <mc:AlternateContent>
          <mc:Choice Requires="wps">
            <w:drawing>
              <wp:anchor distT="4294967293" distB="4294967293" distL="114300" distR="114300" simplePos="0" relativeHeight="251659776" behindDoc="0" locked="0" layoutInCell="1" allowOverlap="1" wp14:anchorId="3B0F5714" wp14:editId="6F39C18E">
                <wp:simplePos x="0" y="0"/>
                <wp:positionH relativeFrom="column">
                  <wp:posOffset>3474085</wp:posOffset>
                </wp:positionH>
                <wp:positionV relativeFrom="paragraph">
                  <wp:posOffset>116840</wp:posOffset>
                </wp:positionV>
                <wp:extent cx="681355" cy="0"/>
                <wp:effectExtent l="0" t="76200" r="4445" b="57150"/>
                <wp:wrapNone/>
                <wp:docPr id="658"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35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F1C50D" id="Straight Arrow Connector 658" o:spid="_x0000_s1026" type="#_x0000_t32" style="position:absolute;margin-left:273.55pt;margin-top:9.2pt;width:53.65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" strokecolor="black [3200]" strokeweight="2.25pt">
                <v:stroke endarrow="block" joinstyle="miter"/>
                <o:lock v:ext="edit" shapetype="f"/>
              </v:shape>
            </w:pict>
          </mc:Fallback>
        </mc:AlternateContent>
      </w:r>
      <w:r>
        <w:rPr>
          <w:noProof/>
        </w:rPr>
        <mc:AlternateContent>
          <mc:Choice Requires="wps">
            <w:drawing>
              <wp:anchor distT="4294967293" distB="4294967293" distL="114300" distR="114300" simplePos="0" relativeHeight="251658752" behindDoc="0" locked="0" layoutInCell="1" allowOverlap="1" wp14:anchorId="710005F9" wp14:editId="2F0BACFC">
                <wp:simplePos x="0" y="0"/>
                <wp:positionH relativeFrom="column">
                  <wp:posOffset>1874520</wp:posOffset>
                </wp:positionH>
                <wp:positionV relativeFrom="paragraph">
                  <wp:posOffset>115570</wp:posOffset>
                </wp:positionV>
                <wp:extent cx="568960" cy="0"/>
                <wp:effectExtent l="19050" t="76200" r="0" b="57150"/>
                <wp:wrapNone/>
                <wp:docPr id="65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896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E69F27" id="Straight Arrow Connector 657" o:spid="_x0000_s1026" type="#_x0000_t32" style="position:absolute;margin-left:147.6pt;margin-top:9.1pt;width:44.8pt;height:0;flip:x;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" strokecolor="black [3200]" strokeweight="2.25pt">
                <v:stroke endarrow="block" joinstyle="miter"/>
                <o:lock v:ext="edit" shapetype="f"/>
              </v:shape>
            </w:pict>
          </mc:Fallback>
        </mc:AlternateContent>
      </w:r>
    </w:p>
    <w:p w14:paraId="4FAFBEDC" w14:textId="10BDD128" w:rsidR="00B54053" w:rsidRDefault="00B54053" w:rsidP="00E82735">
      <w:pPr>
        <w:spacing w:line="360" w:lineRule="auto"/>
        <w:rPr>
          <w:b/>
        </w:rPr>
      </w:pPr>
    </w:p>
    <w:p w14:paraId="5A2B449B" w14:textId="1F5C4684" w:rsidR="00B54053" w:rsidRDefault="00B54053" w:rsidP="00E82735">
      <w:pPr>
        <w:spacing w:line="360" w:lineRule="auto"/>
        <w:rPr>
          <w:b/>
        </w:rPr>
      </w:pPr>
    </w:p>
    <w:p w14:paraId="4CADFBD4" w14:textId="02CB1800" w:rsidR="00B54053" w:rsidRDefault="00B54053" w:rsidP="00E82735">
      <w:pPr>
        <w:spacing w:line="360" w:lineRule="auto"/>
        <w:rPr>
          <w:b/>
        </w:rPr>
      </w:pPr>
    </w:p>
    <w:p w14:paraId="05B1BCE2" w14:textId="050527D8" w:rsidR="00B54053" w:rsidRDefault="00B54053" w:rsidP="00E82735">
      <w:pPr>
        <w:spacing w:line="360" w:lineRule="auto"/>
        <w:rPr>
          <w:b/>
        </w:rPr>
      </w:pPr>
    </w:p>
    <w:p w14:paraId="69A9F167" w14:textId="7E9CED86" w:rsidR="005A61EA" w:rsidRDefault="0087354C" w:rsidP="00E82735">
      <w:pPr>
        <w:spacing w:line="360" w:lineRule="auto"/>
        <w:rPr>
          <w:b/>
        </w:rPr>
      </w:pPr>
      <w:r>
        <w:rPr>
          <w:noProof/>
        </w:rPr>
        <mc:AlternateContent>
          <mc:Choice Requires="wps">
            <w:drawing>
              <wp:anchor distT="45720" distB="45720" distL="114300" distR="114300" simplePos="0" relativeHeight="251655680" behindDoc="0" locked="0" layoutInCell="1" allowOverlap="1" wp14:anchorId="10263942" wp14:editId="19A78C4E">
                <wp:simplePos x="0" y="0"/>
                <wp:positionH relativeFrom="column">
                  <wp:posOffset>3475990</wp:posOffset>
                </wp:positionH>
                <wp:positionV relativeFrom="paragraph">
                  <wp:posOffset>160020</wp:posOffset>
                </wp:positionV>
                <wp:extent cx="2714625" cy="1464945"/>
                <wp:effectExtent l="0" t="0" r="28575" b="21590"/>
                <wp:wrapSquare wrapText="bothSides"/>
                <wp:docPr id="65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64945"/>
                        </a:xfrm>
                        <a:prstGeom prst="rect">
                          <a:avLst/>
                        </a:prstGeom>
                        <a:solidFill>
                          <a:srgbClr val="FFFFFF"/>
                        </a:solidFill>
                        <a:ln w="9525">
                          <a:solidFill>
                            <a:srgbClr val="000000"/>
                          </a:solidFill>
                          <a:miter lim="800000"/>
                          <a:headEnd/>
                          <a:tailEnd/>
                        </a:ln>
                      </wps:spPr>
                      <wps:txbx>
                        <w:txbxContent>
                          <w:p w14:paraId="0285959A" w14:textId="2D03F24E" w:rsidR="0002379E" w:rsidRDefault="00600985" w:rsidP="00752DA8">
                            <w:pPr>
                              <w:jc w:val="center"/>
                              <w:rPr>
                                <w:lang w:val="en-US"/>
                              </w:rPr>
                            </w:pPr>
                            <w:r>
                              <w:rPr>
                                <w:lang w:val="en-US"/>
                              </w:rPr>
                              <w:t>Azithromycin recruited</w:t>
                            </w:r>
                          </w:p>
                          <w:p w14:paraId="103FA336" w14:textId="7401C23D" w:rsidR="00600985" w:rsidRDefault="00600985" w:rsidP="00752DA8">
                            <w:pPr>
                              <w:jc w:val="center"/>
                              <w:rPr>
                                <w:lang w:val="en-US"/>
                              </w:rPr>
                            </w:pPr>
                            <w:r>
                              <w:rPr>
                                <w:lang w:val="en-US"/>
                              </w:rPr>
                              <w:t>N=10</w:t>
                            </w:r>
                          </w:p>
                          <w:p w14:paraId="7464F727" w14:textId="78221260" w:rsidR="00600985" w:rsidRPr="00937878" w:rsidRDefault="00600985" w:rsidP="00752DA8">
                            <w:pPr>
                              <w:pStyle w:val="ListParagraph"/>
                              <w:numPr>
                                <w:ilvl w:val="0"/>
                                <w:numId w:val="83"/>
                              </w:numPr>
                              <w:rPr>
                                <w:lang w:val="en-US"/>
                              </w:rPr>
                            </w:pPr>
                            <w:r w:rsidRPr="00752DA8">
                              <w:rPr>
                                <w:sz w:val="24"/>
                                <w:szCs w:val="24"/>
                                <w:lang w:val="en-US"/>
                              </w:rPr>
                              <w:t>1 left the study – Issues relating to parental health</w:t>
                            </w:r>
                          </w:p>
                          <w:p w14:paraId="606A7745" w14:textId="1E2272D3" w:rsidR="00600985" w:rsidRPr="00937878" w:rsidRDefault="00600985" w:rsidP="00752DA8">
                            <w:pPr>
                              <w:pStyle w:val="ListParagraph"/>
                              <w:numPr>
                                <w:ilvl w:val="0"/>
                                <w:numId w:val="83"/>
                              </w:numPr>
                              <w:rPr>
                                <w:lang w:val="en-US"/>
                              </w:rPr>
                            </w:pPr>
                            <w:r w:rsidRPr="00752DA8">
                              <w:rPr>
                                <w:sz w:val="24"/>
                                <w:szCs w:val="24"/>
                                <w:lang w:val="en-US"/>
                              </w:rPr>
                              <w:t>1 left the study – Burden of swabs too high</w:t>
                            </w:r>
                          </w:p>
                          <w:p w14:paraId="2A9BD621" w14:textId="0B73530F" w:rsidR="00E05318" w:rsidRPr="00937878" w:rsidRDefault="00E05318" w:rsidP="00752DA8">
                            <w:pPr>
                              <w:pStyle w:val="ListParagraph"/>
                              <w:numPr>
                                <w:ilvl w:val="0"/>
                                <w:numId w:val="83"/>
                              </w:numPr>
                              <w:rPr>
                                <w:lang w:val="en-US"/>
                              </w:rPr>
                            </w:pPr>
                            <w:r w:rsidRPr="00752DA8">
                              <w:rPr>
                                <w:sz w:val="24"/>
                                <w:szCs w:val="24"/>
                                <w:lang w:val="en-US"/>
                              </w:rPr>
                              <w:t>1 discontinued azithromycin after 3 days</w:t>
                            </w:r>
                            <w:r w:rsidR="005A61EA" w:rsidRPr="00752DA8">
                              <w:rPr>
                                <w:sz w:val="24"/>
                                <w:szCs w:val="24"/>
                                <w:lang w:val="en-US"/>
                              </w:rPr>
                              <w:t xml:space="preserve"> </w:t>
                            </w:r>
                            <w:r w:rsidR="0002379E" w:rsidRPr="00752DA8">
                              <w:rPr>
                                <w:sz w:val="24"/>
                                <w:szCs w:val="24"/>
                                <w:lang w:val="en-US"/>
                              </w:rPr>
                              <w:t xml:space="preserve">due to adverse </w:t>
                            </w:r>
                            <w:r w:rsidR="005A61EA" w:rsidRPr="00752DA8">
                              <w:rPr>
                                <w:sz w:val="24"/>
                                <w:szCs w:val="24"/>
                                <w:lang w:val="en-US"/>
                              </w:rPr>
                              <w:t>side effects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63942" id="Text Box 654" o:spid="_x0000_s1056" type="#_x0000_t202" style="position:absolute;margin-left:273.7pt;margin-top:12.6pt;width:213.75pt;height:115.35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">
                <v:textbox style="mso-fit-shape-to-text:t">
                  <w:txbxContent>
                    <w:p w14:paraId="0285959A" w14:textId="2D03F24E" w:rsidR="0002379E" w:rsidRDefault="00600985" w:rsidP="00752DA8">
                      <w:pPr>
                        <w:jc w:val="center"/>
                        <w:rPr>
                          <w:lang w:val="en-US"/>
                        </w:rPr>
                      </w:pPr>
                      <w:r>
                        <w:rPr>
                          <w:lang w:val="en-US"/>
                        </w:rPr>
                        <w:t>Azithromycin recruited</w:t>
                      </w:r>
                    </w:p>
                    <w:p w14:paraId="103FA336" w14:textId="7401C23D" w:rsidR="00600985" w:rsidRDefault="00600985" w:rsidP="00752DA8">
                      <w:pPr>
                        <w:jc w:val="center"/>
                        <w:rPr>
                          <w:lang w:val="en-US"/>
                        </w:rPr>
                      </w:pPr>
                      <w:r>
                        <w:rPr>
                          <w:lang w:val="en-US"/>
                        </w:rPr>
                        <w:t>N=10</w:t>
                      </w:r>
                    </w:p>
                    <w:p w14:paraId="7464F727" w14:textId="78221260" w:rsidR="00600985" w:rsidRPr="00937878" w:rsidRDefault="00600985" w:rsidP="00752DA8">
                      <w:pPr>
                        <w:pStyle w:val="ListParagraph"/>
                        <w:numPr>
                          <w:ilvl w:val="0"/>
                          <w:numId w:val="83"/>
                        </w:numPr>
                        <w:rPr>
                          <w:lang w:val="en-US"/>
                        </w:rPr>
                      </w:pPr>
                      <w:r w:rsidRPr="00752DA8">
                        <w:rPr>
                          <w:sz w:val="24"/>
                          <w:szCs w:val="24"/>
                          <w:lang w:val="en-US"/>
                        </w:rPr>
                        <w:t>1 left the study – Issues relating to parental health</w:t>
                      </w:r>
                    </w:p>
                    <w:p w14:paraId="606A7745" w14:textId="1E2272D3" w:rsidR="00600985" w:rsidRPr="00937878" w:rsidRDefault="00600985" w:rsidP="00752DA8">
                      <w:pPr>
                        <w:pStyle w:val="ListParagraph"/>
                        <w:numPr>
                          <w:ilvl w:val="0"/>
                          <w:numId w:val="83"/>
                        </w:numPr>
                        <w:rPr>
                          <w:lang w:val="en-US"/>
                        </w:rPr>
                      </w:pPr>
                      <w:r w:rsidRPr="00752DA8">
                        <w:rPr>
                          <w:sz w:val="24"/>
                          <w:szCs w:val="24"/>
                          <w:lang w:val="en-US"/>
                        </w:rPr>
                        <w:t>1 left the study – Burden of swabs too high</w:t>
                      </w:r>
                    </w:p>
                    <w:p w14:paraId="2A9BD621" w14:textId="0B73530F" w:rsidR="00E05318" w:rsidRPr="00937878" w:rsidRDefault="00E05318" w:rsidP="00752DA8">
                      <w:pPr>
                        <w:pStyle w:val="ListParagraph"/>
                        <w:numPr>
                          <w:ilvl w:val="0"/>
                          <w:numId w:val="83"/>
                        </w:numPr>
                        <w:rPr>
                          <w:lang w:val="en-US"/>
                        </w:rPr>
                      </w:pPr>
                      <w:r w:rsidRPr="00752DA8">
                        <w:rPr>
                          <w:sz w:val="24"/>
                          <w:szCs w:val="24"/>
                          <w:lang w:val="en-US"/>
                        </w:rPr>
                        <w:t>1 discontinued azithromycin after 3 days</w:t>
                      </w:r>
                      <w:r w:rsidR="005A61EA" w:rsidRPr="00752DA8">
                        <w:rPr>
                          <w:sz w:val="24"/>
                          <w:szCs w:val="24"/>
                          <w:lang w:val="en-US"/>
                        </w:rPr>
                        <w:t xml:space="preserve"> </w:t>
                      </w:r>
                      <w:r w:rsidR="0002379E" w:rsidRPr="00752DA8">
                        <w:rPr>
                          <w:sz w:val="24"/>
                          <w:szCs w:val="24"/>
                          <w:lang w:val="en-US"/>
                        </w:rPr>
                        <w:t xml:space="preserve">due to adverse </w:t>
                      </w:r>
                      <w:r w:rsidR="005A61EA" w:rsidRPr="00752DA8">
                        <w:rPr>
                          <w:sz w:val="24"/>
                          <w:szCs w:val="24"/>
                          <w:lang w:val="en-US"/>
                        </w:rPr>
                        <w:t>side effects</w:t>
                      </w:r>
                    </w:p>
                  </w:txbxContent>
                </v:textbox>
                <w10:wrap type="square"/>
              </v:shape>
            </w:pict>
          </mc:Fallback>
        </mc:AlternateContent>
      </w:r>
      <w:r w:rsidR="006D51AD">
        <w:rPr>
          <w:noProof/>
        </w:rPr>
        <mc:AlternateContent>
          <mc:Choice Requires="wps">
            <w:drawing>
              <wp:anchor distT="45720" distB="45720" distL="114300" distR="114300" simplePos="0" relativeHeight="251654656" behindDoc="0" locked="0" layoutInCell="1" allowOverlap="1" wp14:anchorId="15308EE8" wp14:editId="7C277894">
                <wp:simplePos x="0" y="0"/>
                <wp:positionH relativeFrom="column">
                  <wp:posOffset>68580</wp:posOffset>
                </wp:positionH>
                <wp:positionV relativeFrom="paragraph">
                  <wp:posOffset>212090</wp:posOffset>
                </wp:positionV>
                <wp:extent cx="2358390" cy="441960"/>
                <wp:effectExtent l="0" t="0" r="3810" b="0"/>
                <wp:wrapSquare wrapText="bothSides"/>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441960"/>
                        </a:xfrm>
                        <a:prstGeom prst="rect">
                          <a:avLst/>
                        </a:prstGeom>
                        <a:solidFill>
                          <a:srgbClr val="FFFFFF"/>
                        </a:solidFill>
                        <a:ln w="9525">
                          <a:solidFill>
                            <a:srgbClr val="000000"/>
                          </a:solidFill>
                          <a:miter lim="800000"/>
                          <a:headEnd/>
                          <a:tailEnd/>
                        </a:ln>
                      </wps:spPr>
                      <wps:txbx>
                        <w:txbxContent>
                          <w:p w14:paraId="381AF4A5" w14:textId="62462D2E" w:rsidR="00600985" w:rsidRDefault="00600985" w:rsidP="00F47930">
                            <w:pPr>
                              <w:jc w:val="center"/>
                              <w:rPr>
                                <w:lang w:val="en-US"/>
                              </w:rPr>
                            </w:pPr>
                            <w:r>
                              <w:rPr>
                                <w:lang w:val="en-US"/>
                              </w:rPr>
                              <w:t>Co</w:t>
                            </w:r>
                            <w:r w:rsidR="0087354C">
                              <w:rPr>
                                <w:lang w:val="en-US"/>
                              </w:rPr>
                              <w:t>mparators</w:t>
                            </w:r>
                            <w:r>
                              <w:rPr>
                                <w:lang w:val="en-US"/>
                              </w:rPr>
                              <w:t xml:space="preserve"> recruited</w:t>
                            </w:r>
                          </w:p>
                          <w:p w14:paraId="7D282665" w14:textId="77777777" w:rsidR="00600985" w:rsidRPr="00F47930" w:rsidRDefault="00600985" w:rsidP="00F47930">
                            <w:pPr>
                              <w:jc w:val="center"/>
                              <w:rPr>
                                <w:lang w:val="en-US"/>
                              </w:rPr>
                            </w:pPr>
                            <w:r>
                              <w:rPr>
                                <w:lang w:val="en-US"/>
                              </w:rPr>
                              <w:t>N=10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308EE8" id="Text Box 655" o:spid="_x0000_s1057" type="#_x0000_t202" style="position:absolute;margin-left:5.4pt;margin-top:16.7pt;width:185.7pt;height:34.8pt;z-index:251654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">
                <v:textbox style="mso-fit-shape-to-text:t">
                  <w:txbxContent>
                    <w:p w14:paraId="381AF4A5" w14:textId="62462D2E" w:rsidR="00600985" w:rsidRDefault="00600985" w:rsidP="00F47930">
                      <w:pPr>
                        <w:jc w:val="center"/>
                        <w:rPr>
                          <w:lang w:val="en-US"/>
                        </w:rPr>
                      </w:pPr>
                      <w:r>
                        <w:rPr>
                          <w:lang w:val="en-US"/>
                        </w:rPr>
                        <w:t>Co</w:t>
                      </w:r>
                      <w:r w:rsidR="0087354C">
                        <w:rPr>
                          <w:lang w:val="en-US"/>
                        </w:rPr>
                        <w:t>mparators</w:t>
                      </w:r>
                      <w:r>
                        <w:rPr>
                          <w:lang w:val="en-US"/>
                        </w:rPr>
                        <w:t xml:space="preserve"> recruited</w:t>
                      </w:r>
                    </w:p>
                    <w:p w14:paraId="7D282665" w14:textId="77777777" w:rsidR="00600985" w:rsidRPr="00F47930" w:rsidRDefault="00600985" w:rsidP="00F47930">
                      <w:pPr>
                        <w:jc w:val="center"/>
                        <w:rPr>
                          <w:lang w:val="en-US"/>
                        </w:rPr>
                      </w:pPr>
                      <w:r>
                        <w:rPr>
                          <w:lang w:val="en-US"/>
                        </w:rPr>
                        <w:t>N=10</w:t>
                      </w:r>
                    </w:p>
                  </w:txbxContent>
                </v:textbox>
                <w10:wrap type="square"/>
              </v:shape>
            </w:pict>
          </mc:Fallback>
        </mc:AlternateContent>
      </w:r>
    </w:p>
    <w:p w14:paraId="406401DC" w14:textId="3A708246" w:rsidR="00B54053" w:rsidRDefault="00B54053" w:rsidP="00E82735">
      <w:pPr>
        <w:spacing w:line="360" w:lineRule="auto"/>
        <w:rPr>
          <w:b/>
        </w:rPr>
      </w:pPr>
    </w:p>
    <w:p w14:paraId="66CF6646" w14:textId="3D4C22DA" w:rsidR="00B54053" w:rsidRDefault="00B54053" w:rsidP="00E82735">
      <w:pPr>
        <w:spacing w:line="360" w:lineRule="auto"/>
        <w:rPr>
          <w:b/>
        </w:rPr>
      </w:pPr>
    </w:p>
    <w:p w14:paraId="2CE1DC30" w14:textId="6FECB725" w:rsidR="00B54053" w:rsidRDefault="00B54053" w:rsidP="00E82735">
      <w:pPr>
        <w:spacing w:line="360" w:lineRule="auto"/>
        <w:rPr>
          <w:b/>
        </w:rPr>
      </w:pPr>
    </w:p>
    <w:p w14:paraId="673AEBE4" w14:textId="6F53FA40" w:rsidR="00B54053" w:rsidRDefault="00B54053" w:rsidP="00E82735">
      <w:pPr>
        <w:spacing w:line="360" w:lineRule="auto"/>
        <w:rPr>
          <w:b/>
        </w:rPr>
      </w:pPr>
    </w:p>
    <w:p w14:paraId="03B469C2" w14:textId="3B49D85F" w:rsidR="006D51AD" w:rsidRDefault="006D51AD" w:rsidP="00E82735">
      <w:pPr>
        <w:spacing w:line="360" w:lineRule="auto"/>
        <w:rPr>
          <w:b/>
        </w:rPr>
      </w:pPr>
    </w:p>
    <w:p w14:paraId="1AFE8463" w14:textId="0C1CD81A" w:rsidR="006D51AD" w:rsidRDefault="006D51AD" w:rsidP="00E82735">
      <w:pPr>
        <w:spacing w:line="360" w:lineRule="auto"/>
        <w:rPr>
          <w:b/>
        </w:rPr>
      </w:pPr>
    </w:p>
    <w:p w14:paraId="499B13C5" w14:textId="77777777" w:rsidR="006D51AD" w:rsidRDefault="006D51AD" w:rsidP="00E82735">
      <w:pPr>
        <w:spacing w:line="360" w:lineRule="auto"/>
        <w:rPr>
          <w:b/>
        </w:rPr>
      </w:pPr>
    </w:p>
    <w:p w14:paraId="195DD454" w14:textId="5C29C348" w:rsidR="001F4213" w:rsidRPr="001F4213" w:rsidRDefault="001F4213" w:rsidP="006D51AD">
      <w:pPr>
        <w:pStyle w:val="Caption"/>
        <w:spacing w:after="0" w:line="360" w:lineRule="auto"/>
        <w:rPr>
          <w:i w:val="0"/>
          <w:iCs w:val="0"/>
          <w:noProof/>
          <w:color w:val="000000" w:themeColor="text1"/>
          <w:sz w:val="24"/>
          <w:szCs w:val="24"/>
        </w:rPr>
      </w:pPr>
      <w:bookmarkStart w:id="163" w:name="_Ref105446291"/>
      <w:bookmarkStart w:id="164" w:name="_Toc117780218"/>
      <w:r w:rsidRPr="001F4213">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w:t>
      </w:r>
      <w:r w:rsidR="00F42C6F">
        <w:rPr>
          <w:b/>
          <w:bCs/>
          <w:i w:val="0"/>
          <w:iCs w:val="0"/>
          <w:color w:val="000000" w:themeColor="text1"/>
          <w:sz w:val="24"/>
          <w:szCs w:val="24"/>
        </w:rPr>
        <w:fldChar w:fldCharType="end"/>
      </w:r>
      <w:bookmarkEnd w:id="163"/>
      <w:r w:rsidRPr="001F4213">
        <w:rPr>
          <w:b/>
          <w:bCs/>
          <w:i w:val="0"/>
          <w:iCs w:val="0"/>
          <w:color w:val="000000" w:themeColor="text1"/>
          <w:sz w:val="24"/>
          <w:szCs w:val="24"/>
        </w:rPr>
        <w:t>:</w:t>
      </w:r>
      <w:r w:rsidRPr="001F4213">
        <w:rPr>
          <w:i w:val="0"/>
          <w:iCs w:val="0"/>
          <w:color w:val="000000" w:themeColor="text1"/>
          <w:sz w:val="24"/>
          <w:szCs w:val="24"/>
        </w:rPr>
        <w:t xml:space="preserve"> Consort diagram of the recruitment process for PBB study 1</w:t>
      </w:r>
      <w:bookmarkEnd w:id="164"/>
    </w:p>
    <w:p w14:paraId="11CE8FE2" w14:textId="43C318D9" w:rsidR="009C50A4" w:rsidRDefault="003A6E85" w:rsidP="006D51AD">
      <w:pPr>
        <w:spacing w:line="360" w:lineRule="auto"/>
        <w:rPr>
          <w:i/>
          <w:iCs/>
        </w:rPr>
      </w:pPr>
      <w:r>
        <w:rPr>
          <w:i/>
          <w:iCs/>
        </w:rPr>
        <w:t>C</w:t>
      </w:r>
      <w:r w:rsidR="00E82735" w:rsidRPr="001F4213">
        <w:rPr>
          <w:i/>
          <w:iCs/>
        </w:rPr>
        <w:t xml:space="preserve">onsort diagram of the recruitment process. </w:t>
      </w:r>
      <w:r w:rsidR="00191F95" w:rsidRPr="001F4213">
        <w:rPr>
          <w:i/>
          <w:iCs/>
        </w:rPr>
        <w:t>Patients</w:t>
      </w:r>
      <w:r w:rsidR="00E82735" w:rsidRPr="001F4213">
        <w:rPr>
          <w:i/>
          <w:iCs/>
        </w:rPr>
        <w:t xml:space="preserve"> who fulfilled the inclusion criteria were given the study information. Of these, we report how many responded to the text message sent 48 hours after the </w:t>
      </w:r>
      <w:r w:rsidR="00191F95" w:rsidRPr="001F4213">
        <w:rPr>
          <w:i/>
          <w:iCs/>
        </w:rPr>
        <w:t>study information had been given to families</w:t>
      </w:r>
      <w:r w:rsidR="00E82735" w:rsidRPr="001F4213">
        <w:rPr>
          <w:i/>
          <w:iCs/>
        </w:rPr>
        <w:t>, how many were recruited and how many left the study early</w:t>
      </w:r>
      <w:r w:rsidR="005A61EA">
        <w:rPr>
          <w:i/>
          <w:iCs/>
        </w:rPr>
        <w:t xml:space="preserve"> or did not complete the appropriate treatment</w:t>
      </w:r>
      <w:r w:rsidR="00E82735" w:rsidRPr="001F4213">
        <w:rPr>
          <w:i/>
          <w:iCs/>
        </w:rPr>
        <w:t xml:space="preserve">. </w:t>
      </w:r>
    </w:p>
    <w:p w14:paraId="78C17F70" w14:textId="76A453E1" w:rsidR="002D393F" w:rsidRDefault="002D393F" w:rsidP="00E82735">
      <w:pPr>
        <w:spacing w:line="360" w:lineRule="auto"/>
        <w:rPr>
          <w:i/>
          <w:iCs/>
        </w:rPr>
      </w:pPr>
    </w:p>
    <w:p w14:paraId="227A5963" w14:textId="77777777" w:rsidR="006D51AD" w:rsidRPr="001F4213" w:rsidRDefault="006D51AD" w:rsidP="00E82735">
      <w:pPr>
        <w:spacing w:line="360" w:lineRule="auto"/>
        <w:rPr>
          <w:i/>
          <w:iCs/>
        </w:rPr>
      </w:pPr>
    </w:p>
    <w:p w14:paraId="7BB15DD4" w14:textId="77777777" w:rsidR="000C2CFB" w:rsidRPr="003D37CC" w:rsidRDefault="000C2CFB" w:rsidP="00324B80">
      <w:pPr>
        <w:pStyle w:val="Heading3"/>
        <w:spacing w:before="0" w:line="360" w:lineRule="auto"/>
      </w:pPr>
      <w:bookmarkStart w:id="165" w:name="_Toc117765970"/>
      <w:r w:rsidRPr="003D37CC">
        <w:t>Demographics at recruitment</w:t>
      </w:r>
      <w:bookmarkEnd w:id="165"/>
    </w:p>
    <w:p w14:paraId="5E697F75" w14:textId="1D778EE9" w:rsidR="000C2CFB" w:rsidRDefault="000C2CFB" w:rsidP="00324B80">
      <w:pPr>
        <w:spacing w:line="360" w:lineRule="auto"/>
      </w:pPr>
      <w:r w:rsidRPr="00241369">
        <w:t>Children in the azithromycin group were on average older than controls (mean age 5 years and 1 month versus 3 years and 9 months)</w:t>
      </w:r>
      <w:r>
        <w:t xml:space="preserve"> </w:t>
      </w:r>
      <w:r w:rsidRPr="002D393F">
        <w:t>(</w:t>
      </w:r>
      <w:r w:rsidR="002D393F" w:rsidRPr="002D393F">
        <w:rPr>
          <w:highlight w:val="yellow"/>
        </w:rPr>
        <w:fldChar w:fldCharType="begin"/>
      </w:r>
      <w:r w:rsidR="002D393F" w:rsidRPr="002D393F">
        <w:instrText xml:space="preserve"> REF _Ref105612748 \h </w:instrText>
      </w:r>
      <w:r w:rsidR="002D393F" w:rsidRPr="002D393F">
        <w:rPr>
          <w:highlight w:val="yellow"/>
        </w:rPr>
        <w:instrText xml:space="preserve"> \* MERGEFORMAT </w:instrText>
      </w:r>
      <w:r w:rsidR="002D393F" w:rsidRPr="002D393F">
        <w:rPr>
          <w:highlight w:val="yellow"/>
        </w:rPr>
      </w:r>
      <w:r w:rsidR="002D393F" w:rsidRPr="002D393F">
        <w:rPr>
          <w:highlight w:val="yellow"/>
        </w:rPr>
        <w:fldChar w:fldCharType="separate"/>
      </w:r>
      <w:r w:rsidR="002D393F" w:rsidRPr="002D393F">
        <w:rPr>
          <w:color w:val="000000" w:themeColor="text1"/>
        </w:rPr>
        <w:t xml:space="preserve">Table </w:t>
      </w:r>
      <w:r w:rsidR="002D393F" w:rsidRPr="002D393F">
        <w:rPr>
          <w:noProof/>
          <w:color w:val="000000" w:themeColor="text1"/>
        </w:rPr>
        <w:t>11</w:t>
      </w:r>
      <w:r w:rsidR="002D393F" w:rsidRPr="002D393F">
        <w:rPr>
          <w:highlight w:val="yellow"/>
        </w:rPr>
        <w:fldChar w:fldCharType="end"/>
      </w:r>
      <w:r>
        <w:t>)</w:t>
      </w:r>
      <w:r w:rsidRPr="00241369">
        <w:t xml:space="preserve">. There were similar numbers of children with a microbiological </w:t>
      </w:r>
      <w:r>
        <w:t xml:space="preserve">(as opposed to a clinical) </w:t>
      </w:r>
      <w:r w:rsidRPr="00241369">
        <w:t xml:space="preserve">diagnosis of PBB in both groups. The reason for the 2 </w:t>
      </w:r>
      <w:r w:rsidRPr="00241369">
        <w:lastRenderedPageBreak/>
        <w:t xml:space="preserve">children requiring previous ventilatory support was prematurity, </w:t>
      </w:r>
      <w:r w:rsidR="005A61EA">
        <w:t xml:space="preserve">this was </w:t>
      </w:r>
      <w:r w:rsidRPr="00241369">
        <w:t xml:space="preserve">not </w:t>
      </w:r>
      <w:r>
        <w:t xml:space="preserve">felt to be </w:t>
      </w:r>
      <w:r w:rsidRPr="00241369">
        <w:t xml:space="preserve">related to PBB </w:t>
      </w:r>
      <w:r w:rsidRPr="002D393F">
        <w:t>(</w:t>
      </w:r>
      <w:r w:rsidR="002D393F" w:rsidRPr="002D393F">
        <w:fldChar w:fldCharType="begin"/>
      </w:r>
      <w:r w:rsidR="002D393F" w:rsidRPr="002D393F">
        <w:instrText xml:space="preserve"> REF _Ref105612748 \h  \* MERGEFORMAT </w:instrText>
      </w:r>
      <w:r w:rsidR="002D393F" w:rsidRPr="002D393F">
        <w:fldChar w:fldCharType="separate"/>
      </w:r>
      <w:r w:rsidR="002D393F" w:rsidRPr="002D393F">
        <w:rPr>
          <w:color w:val="000000" w:themeColor="text1"/>
        </w:rPr>
        <w:t xml:space="preserve">Table </w:t>
      </w:r>
      <w:r w:rsidR="002D393F" w:rsidRPr="002D393F">
        <w:rPr>
          <w:noProof/>
          <w:color w:val="000000" w:themeColor="text1"/>
        </w:rPr>
        <w:t>11</w:t>
      </w:r>
      <w:r w:rsidR="002D393F" w:rsidRPr="002D393F">
        <w:fldChar w:fldCharType="end"/>
      </w:r>
      <w:r w:rsidRPr="00241369">
        <w:t>)</w:t>
      </w:r>
      <w:r>
        <w:t>.</w:t>
      </w:r>
      <w:r w:rsidRPr="00241369">
        <w:t xml:space="preserve"> The mode of delivery and breast feeding were documented as these factors are </w:t>
      </w:r>
      <w:r w:rsidR="005A61EA">
        <w:t>reported</w:t>
      </w:r>
      <w:r w:rsidR="005A61EA" w:rsidRPr="00241369">
        <w:t xml:space="preserve"> </w:t>
      </w:r>
      <w:r w:rsidRPr="00241369">
        <w:t>to influence the development of the respiratory microbiome</w:t>
      </w:r>
      <w:r>
        <w:t>;</w:t>
      </w:r>
      <w:r w:rsidRPr="00241369">
        <w:t xml:space="preserve"> </w:t>
      </w:r>
      <w:r>
        <w:t xml:space="preserve">it is </w:t>
      </w:r>
      <w:r w:rsidRPr="00241369">
        <w:t>not known whether they play a role in the development of PBB</w:t>
      </w:r>
      <w:r>
        <w:t xml:space="preserve"> </w:t>
      </w:r>
      <w:r>
        <w:fldChar w:fldCharType="begin">
          <w:fldData xml:space="preserve">PEVuZE5vdGU+PENpdGU+PEF1dGhvcj5SZXltYW48L0F1dGhvcj48WWVhcj4yMDE5PC9ZZWFyPjxS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</w:fldData>
        </w:fldChar>
      </w:r>
      <w:r w:rsidR="00CD2C33">
        <w:instrText xml:space="preserve"> ADDIN EN.CITE </w:instrText>
      </w:r>
      <w:r w:rsidR="00CD2C33">
        <w:fldChar w:fldCharType="begin">
          <w:fldData xml:space="preserve">PEVuZE5vdGU+PENpdGU+PEF1dGhvcj5SZXltYW48L0F1dGhvcj48WWVhcj4yMDE5PC9ZZWFyPjxS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</w:fldData>
        </w:fldChar>
      </w:r>
      <w:r w:rsidR="00CD2C33">
        <w:instrText xml:space="preserve"> ADDIN EN.CITE.DATA </w:instrText>
      </w:r>
      <w:r w:rsidR="00CD2C33">
        <w:fldChar w:fldCharType="end"/>
      </w:r>
      <w:r>
        <w:fldChar w:fldCharType="separate"/>
      </w:r>
      <w:r w:rsidR="00CD2C33">
        <w:rPr>
          <w:noProof/>
        </w:rPr>
        <w:t>(Biesbroek et al., 2014; Reyman et al., 2019)</w:t>
      </w:r>
      <w:r>
        <w:fldChar w:fldCharType="end"/>
      </w:r>
      <w:r w:rsidRPr="00241369">
        <w:t xml:space="preserve">. </w:t>
      </w:r>
      <w:r w:rsidR="00A269B6">
        <w:t xml:space="preserve">Fewer children in the azithromycin group were born by vaginal delivery compared to those in the comparison group. </w:t>
      </w:r>
      <w:r w:rsidRPr="00241369">
        <w:t xml:space="preserve">Parental smoking was also </w:t>
      </w:r>
      <w:r>
        <w:t>documented</w:t>
      </w:r>
      <w:r w:rsidRPr="00241369">
        <w:t xml:space="preserve"> as this affects respiratory health</w:t>
      </w:r>
      <w:r>
        <w:t xml:space="preserve"> </w:t>
      </w:r>
      <w:r>
        <w:fldChar w:fldCharType="begin">
          <w:fldData xml:space="preserve">PEVuZE5vdGU+PENpdGU+PEF1dGhvcj5QYXR0ZW5kZW48L0F1dGhvcj48WWVhcj4yMDA2PC9ZZWFy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</w:fldData>
        </w:fldChar>
      </w:r>
      <w:r w:rsidR="00EE22EB">
        <w:instrText xml:space="preserve"> ADDIN EN.CITE </w:instrText>
      </w:r>
      <w:r w:rsidR="00EE22EB">
        <w:fldChar w:fldCharType="begin">
          <w:fldData xml:space="preserve">PEVuZE5vdGU+PENpdGU+PEF1dGhvcj5QYXR0ZW5kZW48L0F1dGhvcj48WWVhcj4yMDA2PC9ZZWFy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</w:fldData>
        </w:fldChar>
      </w:r>
      <w:r w:rsidR="00EE22EB">
        <w:instrText xml:space="preserve"> ADDIN EN.CITE.DATA </w:instrText>
      </w:r>
      <w:r w:rsidR="00EE22EB">
        <w:fldChar w:fldCharType="end"/>
      </w:r>
      <w:r>
        <w:fldChar w:fldCharType="separate"/>
      </w:r>
      <w:r w:rsidR="00EE22EB">
        <w:rPr>
          <w:noProof/>
        </w:rPr>
        <w:t>(Pattenden et al., 2006)</w:t>
      </w:r>
      <w:r>
        <w:fldChar w:fldCharType="end"/>
      </w:r>
      <w:r w:rsidRPr="00241369">
        <w:t>. The bacterial g</w:t>
      </w:r>
      <w:r>
        <w:t xml:space="preserve">rowth on BAL </w:t>
      </w:r>
      <w:r w:rsidRPr="00241369">
        <w:t xml:space="preserve">from those with a microbiological diagnosis </w:t>
      </w:r>
      <w:r>
        <w:t xml:space="preserve">can be found in appendix </w:t>
      </w:r>
      <w:r w:rsidR="00800891">
        <w:t>8</w:t>
      </w:r>
      <w:r w:rsidR="00E63BCB">
        <w:t>.</w:t>
      </w:r>
      <w:r w:rsidRPr="00241369">
        <w:t xml:space="preserve"> The predominant species grown in the azithromycin group was </w:t>
      </w:r>
      <w:r w:rsidRPr="00241369">
        <w:rPr>
          <w:i/>
        </w:rPr>
        <w:t>H. influenza</w:t>
      </w:r>
      <w:r w:rsidRPr="00241369">
        <w:t>e</w:t>
      </w:r>
      <w:r>
        <w:t>. There was</w:t>
      </w:r>
      <w:r w:rsidRPr="00241369">
        <w:t xml:space="preserve"> an even distribution of identified isolates in the co</w:t>
      </w:r>
      <w:r>
        <w:t>mparison</w:t>
      </w:r>
      <w:r w:rsidRPr="00241369">
        <w:t xml:space="preserve"> group</w:t>
      </w:r>
      <w:r>
        <w:t xml:space="preserve"> between </w:t>
      </w:r>
      <w:r w:rsidRPr="00C228B2">
        <w:rPr>
          <w:i/>
          <w:iCs/>
        </w:rPr>
        <w:t>H. influenzae</w:t>
      </w:r>
      <w:r>
        <w:t xml:space="preserve">, </w:t>
      </w:r>
      <w:r w:rsidRPr="00C228B2">
        <w:rPr>
          <w:i/>
          <w:iCs/>
        </w:rPr>
        <w:t>S. pneumoniae</w:t>
      </w:r>
      <w:r>
        <w:t xml:space="preserve"> and </w:t>
      </w:r>
      <w:r w:rsidRPr="00C228B2">
        <w:rPr>
          <w:i/>
          <w:iCs/>
        </w:rPr>
        <w:t>M. catarrhalis</w:t>
      </w:r>
      <w:r w:rsidRPr="00241369">
        <w:t>.</w:t>
      </w:r>
      <w:r>
        <w:t xml:space="preserve"> Given the differing ages of children entering the study, the number of previous courses of acute antibiotics w</w:t>
      </w:r>
      <w:r w:rsidR="00754929">
        <w:t>as</w:t>
      </w:r>
      <w:r>
        <w:t xml:space="preserve"> calculated in relation to the child’s age in years at the point they entered the study (number of courses of antibiotics divided by the child’s age in years). Antibiotic prescribing data were obtained through GP prescriptions and electronic hospital records</w:t>
      </w:r>
      <w:r w:rsidR="00754929">
        <w:t xml:space="preserve"> (</w:t>
      </w:r>
      <w:r w:rsidR="00754929" w:rsidRPr="00754929">
        <w:fldChar w:fldCharType="begin"/>
      </w:r>
      <w:r w:rsidR="00754929" w:rsidRPr="00754929">
        <w:instrText xml:space="preserve"> REF _Ref105613067 \h  \* MERGEFORMAT </w:instrText>
      </w:r>
      <w:r w:rsidR="00754929" w:rsidRPr="00754929">
        <w:fldChar w:fldCharType="separate"/>
      </w:r>
      <w:r w:rsidR="00754929" w:rsidRPr="00754929">
        <w:rPr>
          <w:color w:val="000000" w:themeColor="text1"/>
        </w:rPr>
        <w:t xml:space="preserve">Table </w:t>
      </w:r>
      <w:r w:rsidR="00754929" w:rsidRPr="00754929">
        <w:rPr>
          <w:noProof/>
          <w:color w:val="000000" w:themeColor="text1"/>
        </w:rPr>
        <w:t>12</w:t>
      </w:r>
      <w:r w:rsidR="00754929" w:rsidRPr="00754929">
        <w:fldChar w:fldCharType="end"/>
      </w:r>
      <w:r w:rsidR="00754929">
        <w:t>)</w:t>
      </w:r>
      <w:r>
        <w:t>. The m</w:t>
      </w:r>
      <w:r w:rsidR="008449BC">
        <w:t>edian</w:t>
      </w:r>
      <w:r>
        <w:t xml:space="preserve"> number of </w:t>
      </w:r>
      <w:r w:rsidR="000B6637">
        <w:t xml:space="preserve">antibiotic </w:t>
      </w:r>
      <w:r>
        <w:t>courses prescribed for greater than 2 weeks for presumed PBB was 0.</w:t>
      </w:r>
      <w:r w:rsidR="008449BC">
        <w:t>38</w:t>
      </w:r>
      <w:r>
        <w:t xml:space="preserve"> courses/ year</w:t>
      </w:r>
      <w:r w:rsidR="008449BC">
        <w:t xml:space="preserve"> (IQR, 0.32-0.55; mean 0.38)</w:t>
      </w:r>
      <w:r>
        <w:t xml:space="preserve"> in the comparison and 0.</w:t>
      </w:r>
      <w:r w:rsidR="008449BC">
        <w:t>41</w:t>
      </w:r>
      <w:r>
        <w:t xml:space="preserve"> courses/per year </w:t>
      </w:r>
      <w:r w:rsidR="008449BC">
        <w:t xml:space="preserve">(IQR, 0.35-0.66, mean 0.59) </w:t>
      </w:r>
      <w:r>
        <w:t>azithromycin groups</w:t>
      </w:r>
      <w:r w:rsidR="0064720A">
        <w:t>, suggesting disease severity was in fact comparable between the groups</w:t>
      </w:r>
      <w:r>
        <w:t xml:space="preserve">. It was not logistically possible nor was ethical approval sought to interrogate GP records to confirm whether all antibiotics of &gt; 2 weeks duration were to treat exacerbations of PBB. The </w:t>
      </w:r>
      <w:r w:rsidR="008449BC">
        <w:t>median</w:t>
      </w:r>
      <w:r>
        <w:t xml:space="preserve"> number of acute courses of antibiotics prescribed per participant year was </w:t>
      </w:r>
      <w:r w:rsidR="008449BC">
        <w:t>2.58</w:t>
      </w:r>
      <w:r>
        <w:t xml:space="preserve"> courses</w:t>
      </w:r>
      <w:r w:rsidR="008449BC">
        <w:t xml:space="preserve"> (IQR1.78-3.51; mean 2.2)</w:t>
      </w:r>
      <w:r>
        <w:t xml:space="preserve"> in the comparison group and </w:t>
      </w:r>
      <w:r w:rsidR="008449BC">
        <w:t>1.64 (IQR, 1.43-2.31; mean 2.8)</w:t>
      </w:r>
      <w:r>
        <w:t xml:space="preserve"> in the azithromycin group. Previous macrolide exposure was </w:t>
      </w:r>
      <w:r w:rsidR="0064720A">
        <w:t xml:space="preserve">slightly </w:t>
      </w:r>
      <w:r>
        <w:t>higher in the azithromycin group compared to the comparison group, 8 v</w:t>
      </w:r>
      <w:r w:rsidR="003C6DFC">
        <w:t>ersu</w:t>
      </w:r>
      <w:r>
        <w:t xml:space="preserve">s 6 participants had previously received macrolides respectively. Of the </w:t>
      </w:r>
      <w:r w:rsidR="002B0AFE">
        <w:t xml:space="preserve">total number of </w:t>
      </w:r>
      <w:r>
        <w:t>antibiotic</w:t>
      </w:r>
      <w:r w:rsidR="002B0AFE">
        <w:t xml:space="preserve"> courses</w:t>
      </w:r>
      <w:r>
        <w:t xml:space="preserve"> prescribed over the 12 months prior to starting the study, 8% (2 of 25) in the comparison group and 15% (3 of 20)</w:t>
      </w:r>
      <w:r w:rsidR="004A06E0">
        <w:t xml:space="preserve"> in the azithromycin group</w:t>
      </w:r>
      <w:r>
        <w:t xml:space="preserve"> were macrolides.</w:t>
      </w:r>
    </w:p>
    <w:p w14:paraId="3C729F07" w14:textId="37C360D2" w:rsidR="00E82735" w:rsidRPr="00241369" w:rsidRDefault="009C50A4" w:rsidP="00E82735">
      <w:pPr>
        <w:spacing w:line="360" w:lineRule="auto"/>
      </w:pPr>
      <w:r w:rsidRPr="00241369">
        <w:br w:type="page"/>
      </w:r>
    </w:p>
    <w:p w14:paraId="7080DA62" w14:textId="1B3FBE68" w:rsidR="00C55378" w:rsidRPr="00C55378" w:rsidRDefault="00C55378" w:rsidP="00C55378">
      <w:pPr>
        <w:pStyle w:val="Caption"/>
        <w:rPr>
          <w:i w:val="0"/>
          <w:iCs w:val="0"/>
          <w:color w:val="000000" w:themeColor="text1"/>
          <w:sz w:val="24"/>
          <w:szCs w:val="24"/>
        </w:rPr>
      </w:pPr>
      <w:bookmarkStart w:id="166" w:name="_Ref105612748"/>
      <w:bookmarkStart w:id="167" w:name="_Toc117780252"/>
      <w:r w:rsidRPr="00C55378">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11</w:t>
      </w:r>
      <w:r w:rsidR="002C440E">
        <w:rPr>
          <w:b/>
          <w:bCs/>
          <w:i w:val="0"/>
          <w:iCs w:val="0"/>
          <w:color w:val="000000" w:themeColor="text1"/>
          <w:sz w:val="24"/>
          <w:szCs w:val="24"/>
        </w:rPr>
        <w:fldChar w:fldCharType="end"/>
      </w:r>
      <w:bookmarkEnd w:id="166"/>
      <w:r w:rsidRPr="00C55378">
        <w:rPr>
          <w:b/>
          <w:bCs/>
          <w:i w:val="0"/>
          <w:iCs w:val="0"/>
          <w:color w:val="000000" w:themeColor="text1"/>
          <w:sz w:val="24"/>
          <w:szCs w:val="24"/>
        </w:rPr>
        <w:t>:</w:t>
      </w:r>
      <w:r w:rsidRPr="00C55378">
        <w:rPr>
          <w:i w:val="0"/>
          <w:iCs w:val="0"/>
          <w:color w:val="000000" w:themeColor="text1"/>
          <w:sz w:val="24"/>
          <w:szCs w:val="24"/>
        </w:rPr>
        <w:t xml:space="preserve"> </w:t>
      </w:r>
      <w:r w:rsidR="00FA4590" w:rsidRPr="00C55378">
        <w:rPr>
          <w:i w:val="0"/>
          <w:iCs w:val="0"/>
          <w:color w:val="000000" w:themeColor="text1"/>
          <w:sz w:val="24"/>
          <w:szCs w:val="24"/>
        </w:rPr>
        <w:t>Recruitment demographics of participants in PBB study 1</w:t>
      </w:r>
      <w:bookmarkEnd w:id="167"/>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64"/>
        <w:gridCol w:w="3352"/>
        <w:gridCol w:w="3359"/>
      </w:tblGrid>
      <w:tr w:rsidR="00E82735" w:rsidRPr="008F33C8" w14:paraId="6D7310C7" w14:textId="77777777" w:rsidTr="00F964D4">
        <w:trPr>
          <w:trHeight w:val="364"/>
        </w:trPr>
        <w:tc>
          <w:tcPr>
            <w:tcW w:w="3364" w:type="dxa"/>
            <w:shd w:val="clear" w:color="auto" w:fill="5B9BD5"/>
            <w:tcMar>
              <w:top w:w="72" w:type="dxa"/>
              <w:left w:w="144" w:type="dxa"/>
              <w:bottom w:w="72" w:type="dxa"/>
              <w:right w:w="144" w:type="dxa"/>
            </w:tcMar>
            <w:hideMark/>
          </w:tcPr>
          <w:p w14:paraId="144BA5CA" w14:textId="77777777" w:rsidR="00E82735" w:rsidRPr="008F33C8" w:rsidRDefault="00E82735" w:rsidP="00F47930">
            <w:bookmarkStart w:id="168" w:name="_Hlk98236375"/>
          </w:p>
        </w:tc>
        <w:tc>
          <w:tcPr>
            <w:tcW w:w="3352" w:type="dxa"/>
            <w:shd w:val="clear" w:color="auto" w:fill="5B9BD5"/>
            <w:tcMar>
              <w:top w:w="72" w:type="dxa"/>
              <w:left w:w="144" w:type="dxa"/>
              <w:bottom w:w="72" w:type="dxa"/>
              <w:right w:w="144" w:type="dxa"/>
            </w:tcMar>
            <w:hideMark/>
          </w:tcPr>
          <w:p w14:paraId="009DAF95" w14:textId="77777777" w:rsidR="00E82735" w:rsidRDefault="00E82735" w:rsidP="00F47930">
            <w:pPr>
              <w:rPr>
                <w:b/>
                <w:bCs/>
              </w:rPr>
            </w:pPr>
            <w:r w:rsidRPr="00241369">
              <w:rPr>
                <w:b/>
                <w:bCs/>
              </w:rPr>
              <w:t>Co</w:t>
            </w:r>
            <w:r w:rsidR="0043296A">
              <w:rPr>
                <w:b/>
                <w:bCs/>
              </w:rPr>
              <w:t>mparison Group</w:t>
            </w:r>
          </w:p>
          <w:p w14:paraId="3523EC7B" w14:textId="70609BC6" w:rsidR="00B860EF" w:rsidRPr="008F33C8" w:rsidRDefault="00B860EF" w:rsidP="00F47930">
            <w:r>
              <w:rPr>
                <w:b/>
                <w:bCs/>
              </w:rPr>
              <w:t xml:space="preserve">N = 10 </w:t>
            </w:r>
            <w:r w:rsidR="000E7AF4">
              <w:rPr>
                <w:b/>
                <w:bCs/>
              </w:rPr>
              <w:t>(%)</w:t>
            </w:r>
          </w:p>
        </w:tc>
        <w:tc>
          <w:tcPr>
            <w:tcW w:w="3359" w:type="dxa"/>
            <w:shd w:val="clear" w:color="auto" w:fill="5B9BD5"/>
            <w:tcMar>
              <w:top w:w="72" w:type="dxa"/>
              <w:left w:w="144" w:type="dxa"/>
              <w:bottom w:w="72" w:type="dxa"/>
              <w:right w:w="144" w:type="dxa"/>
            </w:tcMar>
            <w:hideMark/>
          </w:tcPr>
          <w:p w14:paraId="35E874D0" w14:textId="77777777" w:rsidR="00E82735" w:rsidRDefault="00E82735" w:rsidP="00F47930">
            <w:pPr>
              <w:rPr>
                <w:b/>
                <w:bCs/>
              </w:rPr>
            </w:pPr>
            <w:r w:rsidRPr="00241369">
              <w:rPr>
                <w:b/>
                <w:bCs/>
              </w:rPr>
              <w:t>Azithromycin</w:t>
            </w:r>
            <w:r w:rsidR="0043296A">
              <w:rPr>
                <w:b/>
                <w:bCs/>
              </w:rPr>
              <w:t xml:space="preserve"> Group</w:t>
            </w:r>
          </w:p>
          <w:p w14:paraId="3E340A11" w14:textId="77515D34" w:rsidR="00B860EF" w:rsidRPr="008F33C8" w:rsidRDefault="00B860EF" w:rsidP="00F47930">
            <w:r>
              <w:rPr>
                <w:b/>
                <w:bCs/>
              </w:rPr>
              <w:t>N = 10</w:t>
            </w:r>
            <w:r w:rsidR="000E7AF4">
              <w:rPr>
                <w:b/>
                <w:bCs/>
              </w:rPr>
              <w:t xml:space="preserve"> (%)</w:t>
            </w:r>
          </w:p>
        </w:tc>
      </w:tr>
      <w:tr w:rsidR="00E82735" w:rsidRPr="008F33C8" w14:paraId="1BC32DE6" w14:textId="77777777" w:rsidTr="00F964D4">
        <w:trPr>
          <w:trHeight w:val="315"/>
        </w:trPr>
        <w:tc>
          <w:tcPr>
            <w:tcW w:w="3364" w:type="dxa"/>
            <w:shd w:val="clear" w:color="auto" w:fill="auto"/>
            <w:tcMar>
              <w:top w:w="72" w:type="dxa"/>
              <w:left w:w="144" w:type="dxa"/>
              <w:bottom w:w="72" w:type="dxa"/>
              <w:right w:w="144" w:type="dxa"/>
            </w:tcMar>
            <w:hideMark/>
          </w:tcPr>
          <w:p w14:paraId="7CB81BAA" w14:textId="77777777" w:rsidR="00EA2657" w:rsidRDefault="00E82735" w:rsidP="00F47930">
            <w:r w:rsidRPr="00241369">
              <w:t>Age</w:t>
            </w:r>
            <w:r w:rsidR="00EA2657">
              <w:t>:</w:t>
            </w:r>
            <w:r w:rsidRPr="00241369">
              <w:t xml:space="preserve"> </w:t>
            </w:r>
            <w:r w:rsidR="00EA2657">
              <w:t xml:space="preserve">Median </w:t>
            </w:r>
          </w:p>
          <w:p w14:paraId="7257A3FE" w14:textId="3ADFA553" w:rsidR="00E82735" w:rsidRPr="008F33C8" w:rsidRDefault="00EA2657" w:rsidP="00F47930">
            <w:r>
              <w:t>(25</w:t>
            </w:r>
            <w:r w:rsidRPr="001D04B2">
              <w:rPr>
                <w:vertAlign w:val="superscript"/>
              </w:rPr>
              <w:t>th</w:t>
            </w:r>
            <w:r>
              <w:t>-75</w:t>
            </w:r>
            <w:r w:rsidRPr="001D04B2">
              <w:rPr>
                <w:vertAlign w:val="superscript"/>
              </w:rPr>
              <w:t>th</w:t>
            </w:r>
            <w:r>
              <w:t xml:space="preserve"> quartile)</w:t>
            </w:r>
          </w:p>
        </w:tc>
        <w:tc>
          <w:tcPr>
            <w:tcW w:w="3352" w:type="dxa"/>
            <w:shd w:val="clear" w:color="auto" w:fill="auto"/>
            <w:tcMar>
              <w:top w:w="72" w:type="dxa"/>
              <w:left w:w="144" w:type="dxa"/>
              <w:bottom w:w="72" w:type="dxa"/>
              <w:right w:w="144" w:type="dxa"/>
            </w:tcMar>
            <w:hideMark/>
          </w:tcPr>
          <w:p w14:paraId="4355DAB8" w14:textId="519364AC" w:rsidR="00EA2657" w:rsidRDefault="00E82735" w:rsidP="00F47930">
            <w:r w:rsidRPr="00241369">
              <w:t>3</w:t>
            </w:r>
            <w:r w:rsidR="00EA2657">
              <w:t>.6 years</w:t>
            </w:r>
          </w:p>
          <w:p w14:paraId="273B314C" w14:textId="1E8A02F0" w:rsidR="00E82735" w:rsidRPr="008F33C8" w:rsidRDefault="00E82735" w:rsidP="00F47930">
            <w:r w:rsidRPr="00241369">
              <w:t>(</w:t>
            </w:r>
            <w:r w:rsidR="00EA2657">
              <w:t>2.9-4.8</w:t>
            </w:r>
            <w:r w:rsidRPr="00241369">
              <w:t>)</w:t>
            </w:r>
          </w:p>
        </w:tc>
        <w:tc>
          <w:tcPr>
            <w:tcW w:w="3359" w:type="dxa"/>
            <w:shd w:val="clear" w:color="auto" w:fill="auto"/>
            <w:tcMar>
              <w:top w:w="72" w:type="dxa"/>
              <w:left w:w="144" w:type="dxa"/>
              <w:bottom w:w="72" w:type="dxa"/>
              <w:right w:w="144" w:type="dxa"/>
            </w:tcMar>
            <w:hideMark/>
          </w:tcPr>
          <w:p w14:paraId="25D2ECD7" w14:textId="3BCF10C0" w:rsidR="00EA2657" w:rsidRDefault="00EA2657" w:rsidP="00F47930">
            <w:r>
              <w:t>4 years</w:t>
            </w:r>
          </w:p>
          <w:p w14:paraId="24DF0B59" w14:textId="35769B81" w:rsidR="00EA2657" w:rsidRPr="008F33C8" w:rsidRDefault="00EA2657" w:rsidP="00F47930">
            <w:r>
              <w:t>(3-7.3)</w:t>
            </w:r>
          </w:p>
        </w:tc>
      </w:tr>
      <w:tr w:rsidR="00E82735" w:rsidRPr="008F33C8" w14:paraId="7D7A386B" w14:textId="77777777" w:rsidTr="00F964D4">
        <w:trPr>
          <w:trHeight w:val="315"/>
        </w:trPr>
        <w:tc>
          <w:tcPr>
            <w:tcW w:w="3364" w:type="dxa"/>
            <w:shd w:val="clear" w:color="auto" w:fill="BDD6EE" w:themeFill="accent1" w:themeFillTint="66"/>
            <w:tcMar>
              <w:top w:w="72" w:type="dxa"/>
              <w:left w:w="144" w:type="dxa"/>
              <w:bottom w:w="72" w:type="dxa"/>
              <w:right w:w="144" w:type="dxa"/>
            </w:tcMar>
            <w:hideMark/>
          </w:tcPr>
          <w:p w14:paraId="29C49EDB" w14:textId="77777777" w:rsidR="00E82735" w:rsidRPr="008F33C8" w:rsidRDefault="00E82735" w:rsidP="00F47930">
            <w:r w:rsidRPr="00241369">
              <w:t>Female</w:t>
            </w:r>
          </w:p>
        </w:tc>
        <w:tc>
          <w:tcPr>
            <w:tcW w:w="3352" w:type="dxa"/>
            <w:shd w:val="clear" w:color="auto" w:fill="BDD6EE" w:themeFill="accent1" w:themeFillTint="66"/>
            <w:tcMar>
              <w:top w:w="72" w:type="dxa"/>
              <w:left w:w="144" w:type="dxa"/>
              <w:bottom w:w="72" w:type="dxa"/>
              <w:right w:w="144" w:type="dxa"/>
            </w:tcMar>
            <w:hideMark/>
          </w:tcPr>
          <w:p w14:paraId="770F0A47" w14:textId="778E4E13" w:rsidR="00E82735" w:rsidRPr="008F33C8" w:rsidRDefault="00E82735" w:rsidP="00F47930">
            <w:r w:rsidRPr="00241369">
              <w:t>4</w:t>
            </w:r>
            <w:r w:rsidR="000E7AF4">
              <w:t xml:space="preserve"> (40)</w:t>
            </w:r>
          </w:p>
        </w:tc>
        <w:tc>
          <w:tcPr>
            <w:tcW w:w="3359" w:type="dxa"/>
            <w:shd w:val="clear" w:color="auto" w:fill="BDD6EE" w:themeFill="accent1" w:themeFillTint="66"/>
            <w:tcMar>
              <w:top w:w="72" w:type="dxa"/>
              <w:left w:w="144" w:type="dxa"/>
              <w:bottom w:w="72" w:type="dxa"/>
              <w:right w:w="144" w:type="dxa"/>
            </w:tcMar>
            <w:hideMark/>
          </w:tcPr>
          <w:p w14:paraId="170A3404" w14:textId="0771797F" w:rsidR="00E82735" w:rsidRPr="008F33C8" w:rsidRDefault="00E82735" w:rsidP="00F47930">
            <w:r w:rsidRPr="00241369">
              <w:t>6</w:t>
            </w:r>
            <w:r w:rsidR="000E7AF4">
              <w:t xml:space="preserve"> (60)</w:t>
            </w:r>
          </w:p>
        </w:tc>
      </w:tr>
      <w:tr w:rsidR="00E82735" w:rsidRPr="008F33C8" w14:paraId="12E6F7B0" w14:textId="77777777" w:rsidTr="00F964D4">
        <w:trPr>
          <w:trHeight w:val="315"/>
        </w:trPr>
        <w:tc>
          <w:tcPr>
            <w:tcW w:w="3364" w:type="dxa"/>
            <w:shd w:val="clear" w:color="auto" w:fill="auto"/>
            <w:tcMar>
              <w:top w:w="72" w:type="dxa"/>
              <w:left w:w="144" w:type="dxa"/>
              <w:bottom w:w="72" w:type="dxa"/>
              <w:right w:w="144" w:type="dxa"/>
            </w:tcMar>
          </w:tcPr>
          <w:p w14:paraId="54D35F33" w14:textId="77777777" w:rsidR="00E82735" w:rsidRPr="00241369" w:rsidRDefault="00E82735" w:rsidP="00F47930">
            <w:r w:rsidRPr="00241369">
              <w:t>Vaginal delivery</w:t>
            </w:r>
          </w:p>
        </w:tc>
        <w:tc>
          <w:tcPr>
            <w:tcW w:w="3352" w:type="dxa"/>
            <w:shd w:val="clear" w:color="auto" w:fill="auto"/>
            <w:tcMar>
              <w:top w:w="72" w:type="dxa"/>
              <w:left w:w="144" w:type="dxa"/>
              <w:bottom w:w="72" w:type="dxa"/>
              <w:right w:w="144" w:type="dxa"/>
            </w:tcMar>
          </w:tcPr>
          <w:p w14:paraId="4BF80AF5" w14:textId="5A48AE0A" w:rsidR="00E82735" w:rsidRPr="00241369" w:rsidRDefault="00E82735" w:rsidP="00F47930">
            <w:r w:rsidRPr="00241369">
              <w:t>8</w:t>
            </w:r>
            <w:r w:rsidR="000E7AF4">
              <w:t xml:space="preserve"> (80)</w:t>
            </w:r>
          </w:p>
        </w:tc>
        <w:tc>
          <w:tcPr>
            <w:tcW w:w="3359" w:type="dxa"/>
            <w:shd w:val="clear" w:color="auto" w:fill="auto"/>
            <w:tcMar>
              <w:top w:w="72" w:type="dxa"/>
              <w:left w:w="144" w:type="dxa"/>
              <w:bottom w:w="72" w:type="dxa"/>
              <w:right w:w="144" w:type="dxa"/>
            </w:tcMar>
          </w:tcPr>
          <w:p w14:paraId="05C93445" w14:textId="5037EFAC" w:rsidR="00E82735" w:rsidRPr="00241369" w:rsidRDefault="00E82735" w:rsidP="00F47930">
            <w:r w:rsidRPr="00241369">
              <w:t>4</w:t>
            </w:r>
            <w:r w:rsidR="000E7AF4">
              <w:t xml:space="preserve"> (40)</w:t>
            </w:r>
          </w:p>
        </w:tc>
      </w:tr>
      <w:tr w:rsidR="00E82735" w:rsidRPr="008F33C8" w14:paraId="405D9E32" w14:textId="77777777" w:rsidTr="00F964D4">
        <w:trPr>
          <w:trHeight w:val="315"/>
        </w:trPr>
        <w:tc>
          <w:tcPr>
            <w:tcW w:w="3364" w:type="dxa"/>
            <w:shd w:val="clear" w:color="auto" w:fill="BDD6EE" w:themeFill="accent1" w:themeFillTint="66"/>
            <w:tcMar>
              <w:top w:w="72" w:type="dxa"/>
              <w:left w:w="144" w:type="dxa"/>
              <w:bottom w:w="72" w:type="dxa"/>
              <w:right w:w="144" w:type="dxa"/>
            </w:tcMar>
          </w:tcPr>
          <w:p w14:paraId="41B8CC64" w14:textId="77777777" w:rsidR="00E82735" w:rsidRPr="00241369" w:rsidRDefault="00E82735" w:rsidP="00F47930">
            <w:r w:rsidRPr="00241369">
              <w:t>Breast fed</w:t>
            </w:r>
          </w:p>
        </w:tc>
        <w:tc>
          <w:tcPr>
            <w:tcW w:w="3352" w:type="dxa"/>
            <w:shd w:val="clear" w:color="auto" w:fill="BDD6EE" w:themeFill="accent1" w:themeFillTint="66"/>
            <w:tcMar>
              <w:top w:w="72" w:type="dxa"/>
              <w:left w:w="144" w:type="dxa"/>
              <w:bottom w:w="72" w:type="dxa"/>
              <w:right w:w="144" w:type="dxa"/>
            </w:tcMar>
          </w:tcPr>
          <w:p w14:paraId="6985EDAB" w14:textId="0C1ABE9D" w:rsidR="00E82735" w:rsidRPr="00241369" w:rsidRDefault="00E82735" w:rsidP="00F47930">
            <w:r w:rsidRPr="00241369">
              <w:t>5</w:t>
            </w:r>
            <w:r w:rsidR="000E7AF4">
              <w:t xml:space="preserve"> (50)</w:t>
            </w:r>
          </w:p>
        </w:tc>
        <w:tc>
          <w:tcPr>
            <w:tcW w:w="3359" w:type="dxa"/>
            <w:shd w:val="clear" w:color="auto" w:fill="BDD6EE" w:themeFill="accent1" w:themeFillTint="66"/>
            <w:tcMar>
              <w:top w:w="72" w:type="dxa"/>
              <w:left w:w="144" w:type="dxa"/>
              <w:bottom w:w="72" w:type="dxa"/>
              <w:right w:w="144" w:type="dxa"/>
            </w:tcMar>
          </w:tcPr>
          <w:p w14:paraId="51FBB50D" w14:textId="3AA8D43B" w:rsidR="00E82735" w:rsidRPr="00241369" w:rsidRDefault="00E82735" w:rsidP="00F47930">
            <w:r w:rsidRPr="00241369">
              <w:t>5</w:t>
            </w:r>
            <w:r w:rsidR="000E7AF4">
              <w:t xml:space="preserve"> (50)</w:t>
            </w:r>
          </w:p>
        </w:tc>
      </w:tr>
      <w:tr w:rsidR="00E82735" w:rsidRPr="008F33C8" w14:paraId="0A24952F" w14:textId="77777777" w:rsidTr="00F964D4">
        <w:trPr>
          <w:trHeight w:val="315"/>
        </w:trPr>
        <w:tc>
          <w:tcPr>
            <w:tcW w:w="3364" w:type="dxa"/>
            <w:shd w:val="clear" w:color="auto" w:fill="auto"/>
            <w:tcMar>
              <w:top w:w="72" w:type="dxa"/>
              <w:left w:w="144" w:type="dxa"/>
              <w:bottom w:w="72" w:type="dxa"/>
              <w:right w:w="144" w:type="dxa"/>
            </w:tcMar>
            <w:hideMark/>
          </w:tcPr>
          <w:p w14:paraId="628AC246" w14:textId="77777777" w:rsidR="00E82735" w:rsidRPr="008F33C8" w:rsidRDefault="00E82735" w:rsidP="00F47930">
            <w:r w:rsidRPr="00241369">
              <w:t>Microbiological diagnosis</w:t>
            </w:r>
          </w:p>
        </w:tc>
        <w:tc>
          <w:tcPr>
            <w:tcW w:w="3352" w:type="dxa"/>
            <w:shd w:val="clear" w:color="auto" w:fill="auto"/>
            <w:tcMar>
              <w:top w:w="72" w:type="dxa"/>
              <w:left w:w="144" w:type="dxa"/>
              <w:bottom w:w="72" w:type="dxa"/>
              <w:right w:w="144" w:type="dxa"/>
            </w:tcMar>
            <w:hideMark/>
          </w:tcPr>
          <w:p w14:paraId="004BD6AB" w14:textId="15947A97" w:rsidR="00E82735" w:rsidRPr="008F33C8" w:rsidRDefault="00E82735" w:rsidP="00F47930">
            <w:r w:rsidRPr="00241369">
              <w:t>5</w:t>
            </w:r>
            <w:r w:rsidR="000E7AF4">
              <w:t xml:space="preserve"> (50)</w:t>
            </w:r>
          </w:p>
        </w:tc>
        <w:tc>
          <w:tcPr>
            <w:tcW w:w="3359" w:type="dxa"/>
            <w:shd w:val="clear" w:color="auto" w:fill="auto"/>
            <w:tcMar>
              <w:top w:w="72" w:type="dxa"/>
              <w:left w:w="144" w:type="dxa"/>
              <w:bottom w:w="72" w:type="dxa"/>
              <w:right w:w="144" w:type="dxa"/>
            </w:tcMar>
            <w:hideMark/>
          </w:tcPr>
          <w:p w14:paraId="78770C6C" w14:textId="2C2DC03E" w:rsidR="00E82735" w:rsidRPr="008F33C8" w:rsidRDefault="00E82735" w:rsidP="00F47930">
            <w:r w:rsidRPr="00241369">
              <w:t>6</w:t>
            </w:r>
            <w:r w:rsidR="000E7AF4">
              <w:t xml:space="preserve"> (60)</w:t>
            </w:r>
          </w:p>
        </w:tc>
      </w:tr>
      <w:tr w:rsidR="00E82735" w:rsidRPr="008F33C8" w14:paraId="1C7A0A3E" w14:textId="77777777" w:rsidTr="00F964D4">
        <w:trPr>
          <w:trHeight w:val="315"/>
        </w:trPr>
        <w:tc>
          <w:tcPr>
            <w:tcW w:w="3364" w:type="dxa"/>
            <w:shd w:val="clear" w:color="auto" w:fill="BDD6EE" w:themeFill="accent1" w:themeFillTint="66"/>
            <w:tcMar>
              <w:top w:w="72" w:type="dxa"/>
              <w:left w:w="144" w:type="dxa"/>
              <w:bottom w:w="72" w:type="dxa"/>
              <w:right w:w="144" w:type="dxa"/>
            </w:tcMar>
            <w:hideMark/>
          </w:tcPr>
          <w:p w14:paraId="387BD702" w14:textId="77777777" w:rsidR="00E82735" w:rsidRPr="008F33C8" w:rsidRDefault="00E82735" w:rsidP="00F47930">
            <w:r w:rsidRPr="00241369">
              <w:t>Parent smoker</w:t>
            </w:r>
          </w:p>
        </w:tc>
        <w:tc>
          <w:tcPr>
            <w:tcW w:w="3352" w:type="dxa"/>
            <w:shd w:val="clear" w:color="auto" w:fill="BDD6EE" w:themeFill="accent1" w:themeFillTint="66"/>
            <w:tcMar>
              <w:top w:w="72" w:type="dxa"/>
              <w:left w:w="144" w:type="dxa"/>
              <w:bottom w:w="72" w:type="dxa"/>
              <w:right w:w="144" w:type="dxa"/>
            </w:tcMar>
            <w:hideMark/>
          </w:tcPr>
          <w:p w14:paraId="01F444A4" w14:textId="6356DC55" w:rsidR="00E82735" w:rsidRPr="008F33C8" w:rsidRDefault="00E82735" w:rsidP="00F47930">
            <w:r w:rsidRPr="00241369">
              <w:t>2</w:t>
            </w:r>
            <w:r w:rsidR="000E7AF4">
              <w:t xml:space="preserve"> (20)</w:t>
            </w:r>
          </w:p>
        </w:tc>
        <w:tc>
          <w:tcPr>
            <w:tcW w:w="3359" w:type="dxa"/>
            <w:shd w:val="clear" w:color="auto" w:fill="BDD6EE" w:themeFill="accent1" w:themeFillTint="66"/>
            <w:tcMar>
              <w:top w:w="72" w:type="dxa"/>
              <w:left w:w="144" w:type="dxa"/>
              <w:bottom w:w="72" w:type="dxa"/>
              <w:right w:w="144" w:type="dxa"/>
            </w:tcMar>
            <w:hideMark/>
          </w:tcPr>
          <w:p w14:paraId="12FA040C" w14:textId="57BC8237" w:rsidR="00E82735" w:rsidRPr="008F33C8" w:rsidRDefault="00E82735" w:rsidP="00F47930">
            <w:r w:rsidRPr="00241369">
              <w:t>2</w:t>
            </w:r>
            <w:r w:rsidR="000E7AF4">
              <w:t xml:space="preserve"> (20)</w:t>
            </w:r>
          </w:p>
        </w:tc>
      </w:tr>
      <w:tr w:rsidR="00E82735" w:rsidRPr="008F33C8" w14:paraId="191F33FE" w14:textId="77777777" w:rsidTr="00F964D4">
        <w:trPr>
          <w:trHeight w:val="315"/>
        </w:trPr>
        <w:tc>
          <w:tcPr>
            <w:tcW w:w="3364" w:type="dxa"/>
            <w:shd w:val="clear" w:color="auto" w:fill="auto"/>
            <w:tcMar>
              <w:top w:w="72" w:type="dxa"/>
              <w:left w:w="144" w:type="dxa"/>
              <w:bottom w:w="72" w:type="dxa"/>
              <w:right w:w="144" w:type="dxa"/>
            </w:tcMar>
            <w:hideMark/>
          </w:tcPr>
          <w:p w14:paraId="10E7BAC0" w14:textId="77777777" w:rsidR="00E82735" w:rsidRPr="008F33C8" w:rsidRDefault="00E82735" w:rsidP="00F47930">
            <w:r w:rsidRPr="00241369">
              <w:t>Premature &lt;37</w:t>
            </w:r>
          </w:p>
        </w:tc>
        <w:tc>
          <w:tcPr>
            <w:tcW w:w="3352" w:type="dxa"/>
            <w:shd w:val="clear" w:color="auto" w:fill="auto"/>
            <w:tcMar>
              <w:top w:w="72" w:type="dxa"/>
              <w:left w:w="144" w:type="dxa"/>
              <w:bottom w:w="72" w:type="dxa"/>
              <w:right w:w="144" w:type="dxa"/>
            </w:tcMar>
            <w:hideMark/>
          </w:tcPr>
          <w:p w14:paraId="24F42381" w14:textId="6E0AE69D" w:rsidR="00E82735" w:rsidRPr="008F33C8" w:rsidRDefault="00E82735" w:rsidP="00F47930">
            <w:r w:rsidRPr="00241369">
              <w:t>1 = 31/40</w:t>
            </w:r>
            <w:r w:rsidR="000E7AF4">
              <w:t xml:space="preserve"> (10)</w:t>
            </w:r>
          </w:p>
        </w:tc>
        <w:tc>
          <w:tcPr>
            <w:tcW w:w="3359" w:type="dxa"/>
            <w:shd w:val="clear" w:color="auto" w:fill="auto"/>
            <w:tcMar>
              <w:top w:w="72" w:type="dxa"/>
              <w:left w:w="144" w:type="dxa"/>
              <w:bottom w:w="72" w:type="dxa"/>
              <w:right w:w="144" w:type="dxa"/>
            </w:tcMar>
            <w:hideMark/>
          </w:tcPr>
          <w:p w14:paraId="4502D7D7" w14:textId="7B7D9C9C" w:rsidR="00E82735" w:rsidRPr="008F33C8" w:rsidRDefault="00E82735" w:rsidP="00F47930">
            <w:r w:rsidRPr="00241369">
              <w:t>1 = 27/40</w:t>
            </w:r>
            <w:r w:rsidR="000E7AF4">
              <w:t xml:space="preserve"> (10)</w:t>
            </w:r>
          </w:p>
        </w:tc>
      </w:tr>
      <w:tr w:rsidR="00E82735" w:rsidRPr="008F33C8" w14:paraId="642C72F4" w14:textId="77777777" w:rsidTr="00F964D4">
        <w:trPr>
          <w:trHeight w:val="315"/>
        </w:trPr>
        <w:tc>
          <w:tcPr>
            <w:tcW w:w="3364" w:type="dxa"/>
            <w:shd w:val="clear" w:color="auto" w:fill="BDD6EE" w:themeFill="accent1" w:themeFillTint="66"/>
            <w:tcMar>
              <w:top w:w="72" w:type="dxa"/>
              <w:left w:w="144" w:type="dxa"/>
              <w:bottom w:w="72" w:type="dxa"/>
              <w:right w:w="144" w:type="dxa"/>
            </w:tcMar>
            <w:hideMark/>
          </w:tcPr>
          <w:p w14:paraId="5D1A456E" w14:textId="77777777" w:rsidR="00E82735" w:rsidRPr="008F33C8" w:rsidRDefault="00E82735" w:rsidP="00F47930">
            <w:r w:rsidRPr="00241369">
              <w:t>Ventilated</w:t>
            </w:r>
          </w:p>
        </w:tc>
        <w:tc>
          <w:tcPr>
            <w:tcW w:w="3352" w:type="dxa"/>
            <w:shd w:val="clear" w:color="auto" w:fill="BDD6EE" w:themeFill="accent1" w:themeFillTint="66"/>
            <w:tcMar>
              <w:top w:w="72" w:type="dxa"/>
              <w:left w:w="144" w:type="dxa"/>
              <w:bottom w:w="72" w:type="dxa"/>
              <w:right w:w="144" w:type="dxa"/>
            </w:tcMar>
            <w:hideMark/>
          </w:tcPr>
          <w:p w14:paraId="53E6629A" w14:textId="77B9B6DC" w:rsidR="00E82735" w:rsidRPr="008F33C8" w:rsidRDefault="00E82735" w:rsidP="00F47930">
            <w:r w:rsidRPr="00241369">
              <w:t>1</w:t>
            </w:r>
            <w:r w:rsidR="000E7AF4">
              <w:t xml:space="preserve"> (1)</w:t>
            </w:r>
          </w:p>
        </w:tc>
        <w:tc>
          <w:tcPr>
            <w:tcW w:w="3359" w:type="dxa"/>
            <w:shd w:val="clear" w:color="auto" w:fill="BDD6EE" w:themeFill="accent1" w:themeFillTint="66"/>
            <w:tcMar>
              <w:top w:w="72" w:type="dxa"/>
              <w:left w:w="144" w:type="dxa"/>
              <w:bottom w:w="72" w:type="dxa"/>
              <w:right w:w="144" w:type="dxa"/>
            </w:tcMar>
            <w:hideMark/>
          </w:tcPr>
          <w:p w14:paraId="48619F63" w14:textId="2489F369" w:rsidR="00E82735" w:rsidRPr="008F33C8" w:rsidRDefault="00E82735" w:rsidP="00F47930">
            <w:r w:rsidRPr="00241369">
              <w:t>1</w:t>
            </w:r>
            <w:r w:rsidR="000E7AF4">
              <w:t xml:space="preserve"> (1)</w:t>
            </w:r>
          </w:p>
        </w:tc>
      </w:tr>
      <w:tr w:rsidR="00CD456C" w:rsidRPr="008F33C8" w14:paraId="46F90F45" w14:textId="77777777" w:rsidTr="001D04B2">
        <w:trPr>
          <w:trHeight w:val="315"/>
        </w:trPr>
        <w:tc>
          <w:tcPr>
            <w:tcW w:w="3364" w:type="dxa"/>
            <w:shd w:val="clear" w:color="auto" w:fill="auto"/>
            <w:tcMar>
              <w:top w:w="72" w:type="dxa"/>
              <w:left w:w="144" w:type="dxa"/>
              <w:bottom w:w="72" w:type="dxa"/>
              <w:right w:w="144" w:type="dxa"/>
            </w:tcMar>
          </w:tcPr>
          <w:p w14:paraId="5D8DB9C2" w14:textId="08080759" w:rsidR="00CD456C" w:rsidRPr="000E7AF4" w:rsidRDefault="00CD456C" w:rsidP="00F47930">
            <w:r w:rsidRPr="000E7AF4">
              <w:t>Penicillin allergy</w:t>
            </w:r>
          </w:p>
        </w:tc>
        <w:tc>
          <w:tcPr>
            <w:tcW w:w="3352" w:type="dxa"/>
            <w:shd w:val="clear" w:color="auto" w:fill="auto"/>
            <w:tcMar>
              <w:top w:w="72" w:type="dxa"/>
              <w:left w:w="144" w:type="dxa"/>
              <w:bottom w:w="72" w:type="dxa"/>
              <w:right w:w="144" w:type="dxa"/>
            </w:tcMar>
          </w:tcPr>
          <w:p w14:paraId="211C2224" w14:textId="370E8A8B" w:rsidR="00CD456C" w:rsidRPr="000E7AF4" w:rsidRDefault="00CD456C" w:rsidP="00F47930">
            <w:r w:rsidRPr="000E7AF4">
              <w:t>0</w:t>
            </w:r>
          </w:p>
        </w:tc>
        <w:tc>
          <w:tcPr>
            <w:tcW w:w="3359" w:type="dxa"/>
            <w:shd w:val="clear" w:color="auto" w:fill="auto"/>
            <w:tcMar>
              <w:top w:w="72" w:type="dxa"/>
              <w:left w:w="144" w:type="dxa"/>
              <w:bottom w:w="72" w:type="dxa"/>
              <w:right w:w="144" w:type="dxa"/>
            </w:tcMar>
          </w:tcPr>
          <w:p w14:paraId="4F5690AD" w14:textId="43E5CC97" w:rsidR="00CD456C" w:rsidRPr="000E7AF4" w:rsidRDefault="00CD456C" w:rsidP="00F47930">
            <w:r w:rsidRPr="000E7AF4">
              <w:t>0</w:t>
            </w:r>
          </w:p>
        </w:tc>
      </w:tr>
      <w:tr w:rsidR="00E82735" w:rsidRPr="008F33C8" w14:paraId="77CBAF8E" w14:textId="77777777" w:rsidTr="001D04B2">
        <w:trPr>
          <w:trHeight w:val="315"/>
        </w:trPr>
        <w:tc>
          <w:tcPr>
            <w:tcW w:w="3364" w:type="dxa"/>
            <w:shd w:val="clear" w:color="auto" w:fill="BDD6EE" w:themeFill="accent1" w:themeFillTint="66"/>
            <w:tcMar>
              <w:top w:w="72" w:type="dxa"/>
              <w:left w:w="144" w:type="dxa"/>
              <w:bottom w:w="72" w:type="dxa"/>
              <w:right w:w="144" w:type="dxa"/>
            </w:tcMar>
          </w:tcPr>
          <w:p w14:paraId="2B0E4C37" w14:textId="77777777" w:rsidR="00E82735" w:rsidRPr="00241369" w:rsidRDefault="00E82735" w:rsidP="00F47930">
            <w:r w:rsidRPr="00241369">
              <w:t xml:space="preserve">Fully immunised in relation to age </w:t>
            </w:r>
          </w:p>
        </w:tc>
        <w:tc>
          <w:tcPr>
            <w:tcW w:w="3352" w:type="dxa"/>
            <w:shd w:val="clear" w:color="auto" w:fill="BDD6EE" w:themeFill="accent1" w:themeFillTint="66"/>
            <w:tcMar>
              <w:top w:w="72" w:type="dxa"/>
              <w:left w:w="144" w:type="dxa"/>
              <w:bottom w:w="72" w:type="dxa"/>
              <w:right w:w="144" w:type="dxa"/>
            </w:tcMar>
          </w:tcPr>
          <w:p w14:paraId="5E8E9D57" w14:textId="48C91881" w:rsidR="00E82735" w:rsidRPr="00241369" w:rsidRDefault="00E82735" w:rsidP="00F47930">
            <w:r w:rsidRPr="00241369">
              <w:t>10</w:t>
            </w:r>
            <w:r w:rsidR="000E7AF4">
              <w:t xml:space="preserve"> (100)</w:t>
            </w:r>
          </w:p>
        </w:tc>
        <w:tc>
          <w:tcPr>
            <w:tcW w:w="3359" w:type="dxa"/>
            <w:shd w:val="clear" w:color="auto" w:fill="BDD6EE" w:themeFill="accent1" w:themeFillTint="66"/>
            <w:tcMar>
              <w:top w:w="72" w:type="dxa"/>
              <w:left w:w="144" w:type="dxa"/>
              <w:bottom w:w="72" w:type="dxa"/>
              <w:right w:w="144" w:type="dxa"/>
            </w:tcMar>
          </w:tcPr>
          <w:p w14:paraId="2036F7C3" w14:textId="259BDFFD" w:rsidR="00E82735" w:rsidRPr="00241369" w:rsidRDefault="00E82735" w:rsidP="00F47930">
            <w:r w:rsidRPr="00241369">
              <w:t>10</w:t>
            </w:r>
            <w:r w:rsidR="000E7AF4">
              <w:t xml:space="preserve"> (100)</w:t>
            </w:r>
          </w:p>
        </w:tc>
      </w:tr>
      <w:bookmarkEnd w:id="168"/>
    </w:tbl>
    <w:p w14:paraId="5C1AD1DF" w14:textId="57B3237A" w:rsidR="00F01064" w:rsidRDefault="00F01064" w:rsidP="00F01064"/>
    <w:p w14:paraId="0E64EBBF" w14:textId="50B4AB7E" w:rsidR="00B24E0C" w:rsidRDefault="00B24E0C" w:rsidP="00F01064"/>
    <w:p w14:paraId="3E23E7F3" w14:textId="0FA47C9C" w:rsidR="00B24E0C" w:rsidRDefault="00B24E0C" w:rsidP="00F01064"/>
    <w:p w14:paraId="7179BBAE" w14:textId="1C0BCE11" w:rsidR="00B24E0C" w:rsidRDefault="00B24E0C" w:rsidP="00F01064"/>
    <w:p w14:paraId="3E84CAA2" w14:textId="01D89BD6" w:rsidR="00B24E0C" w:rsidRDefault="00B24E0C" w:rsidP="00F01064"/>
    <w:p w14:paraId="4FA8F365" w14:textId="3CCC339E" w:rsidR="00B24E0C" w:rsidRDefault="00B24E0C" w:rsidP="00F01064"/>
    <w:p w14:paraId="30BB9ED4" w14:textId="664BCD2B" w:rsidR="00B24E0C" w:rsidRDefault="00B24E0C" w:rsidP="00F01064"/>
    <w:p w14:paraId="40BE0EE6" w14:textId="7AF65D0C" w:rsidR="00B24E0C" w:rsidRDefault="00B24E0C" w:rsidP="00F01064"/>
    <w:p w14:paraId="16D916C6" w14:textId="6F467046" w:rsidR="00B24E0C" w:rsidRDefault="00B24E0C" w:rsidP="00F01064"/>
    <w:p w14:paraId="65C673DF" w14:textId="03A3D747" w:rsidR="00B24E0C" w:rsidRDefault="00B24E0C" w:rsidP="00F01064"/>
    <w:p w14:paraId="13388B72" w14:textId="4E34ABAF" w:rsidR="00B24E0C" w:rsidRDefault="00B24E0C" w:rsidP="00F01064"/>
    <w:p w14:paraId="55AB4239" w14:textId="1245291C" w:rsidR="003A6E85" w:rsidRDefault="003A6E85" w:rsidP="00F01064"/>
    <w:p w14:paraId="0246DFA2" w14:textId="73FDEFC3" w:rsidR="003A6E85" w:rsidRDefault="003A6E85" w:rsidP="00F01064"/>
    <w:p w14:paraId="6FE40898" w14:textId="48B6A5E0" w:rsidR="003A6E85" w:rsidRDefault="003A6E85" w:rsidP="00F01064"/>
    <w:p w14:paraId="22064B5B" w14:textId="6685B8C0" w:rsidR="003A6E85" w:rsidRDefault="003A6E85" w:rsidP="00F01064"/>
    <w:p w14:paraId="330D7DA9" w14:textId="6D1D2E8A" w:rsidR="003A6E85" w:rsidRDefault="003A6E85" w:rsidP="00F01064"/>
    <w:p w14:paraId="138F43BF" w14:textId="518FEDBE" w:rsidR="003A6E85" w:rsidRDefault="003A6E85" w:rsidP="00F01064"/>
    <w:p w14:paraId="19A06ECA" w14:textId="3AC6E9EA" w:rsidR="002879AF" w:rsidRDefault="002879AF" w:rsidP="00F01064"/>
    <w:p w14:paraId="7C088820" w14:textId="77777777" w:rsidR="002879AF" w:rsidRDefault="002879AF" w:rsidP="00F01064"/>
    <w:p w14:paraId="3701E3F6" w14:textId="77777777" w:rsidR="003A6E85" w:rsidRDefault="003A6E85" w:rsidP="00F01064"/>
    <w:p w14:paraId="6DB1909B" w14:textId="0B8E0E2B" w:rsidR="00B24E0C" w:rsidRDefault="00B24E0C" w:rsidP="00F01064"/>
    <w:p w14:paraId="4966EC16" w14:textId="67457E6C" w:rsidR="00C55378" w:rsidRPr="002879AF" w:rsidRDefault="00C55378" w:rsidP="00C55378">
      <w:pPr>
        <w:pStyle w:val="Caption"/>
        <w:keepNext/>
        <w:rPr>
          <w:i w:val="0"/>
          <w:iCs w:val="0"/>
          <w:color w:val="000000" w:themeColor="text1"/>
          <w:sz w:val="24"/>
          <w:szCs w:val="24"/>
        </w:rPr>
      </w:pPr>
      <w:bookmarkStart w:id="169" w:name="_Ref105613067"/>
      <w:bookmarkStart w:id="170" w:name="_Toc117780253"/>
      <w:r w:rsidRPr="00C55378">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12</w:t>
      </w:r>
      <w:r w:rsidR="002C440E">
        <w:rPr>
          <w:b/>
          <w:bCs/>
          <w:i w:val="0"/>
          <w:iCs w:val="0"/>
          <w:color w:val="000000" w:themeColor="text1"/>
          <w:sz w:val="24"/>
          <w:szCs w:val="24"/>
        </w:rPr>
        <w:fldChar w:fldCharType="end"/>
      </w:r>
      <w:bookmarkEnd w:id="169"/>
      <w:r w:rsidRPr="00C55378">
        <w:rPr>
          <w:b/>
          <w:bCs/>
          <w:i w:val="0"/>
          <w:iCs w:val="0"/>
          <w:color w:val="000000" w:themeColor="text1"/>
          <w:sz w:val="24"/>
          <w:szCs w:val="24"/>
        </w:rPr>
        <w:t>:</w:t>
      </w:r>
      <w:r w:rsidRPr="00C55378">
        <w:rPr>
          <w:i w:val="0"/>
          <w:iCs w:val="0"/>
          <w:color w:val="000000" w:themeColor="text1"/>
          <w:sz w:val="24"/>
          <w:szCs w:val="24"/>
        </w:rPr>
        <w:t xml:space="preserve"> </w:t>
      </w:r>
      <w:r w:rsidR="003828A4">
        <w:rPr>
          <w:i w:val="0"/>
          <w:iCs w:val="0"/>
          <w:color w:val="000000" w:themeColor="text1"/>
          <w:sz w:val="24"/>
          <w:szCs w:val="24"/>
        </w:rPr>
        <w:t>Total a</w:t>
      </w:r>
      <w:r w:rsidRPr="00C55378">
        <w:rPr>
          <w:i w:val="0"/>
          <w:iCs w:val="0"/>
          <w:color w:val="000000" w:themeColor="text1"/>
          <w:sz w:val="24"/>
          <w:szCs w:val="24"/>
        </w:rPr>
        <w:t>ntibiotic exposure of participants prior to commencing the study</w:t>
      </w:r>
      <w:bookmarkEnd w:id="170"/>
    </w:p>
    <w:tbl>
      <w:tblPr>
        <w:tblStyle w:val="TableGrid"/>
        <w:tblW w:w="9923" w:type="dxa"/>
        <w:tblInd w:w="-5" w:type="dxa"/>
        <w:tblLook w:val="04A0" w:firstRow="1" w:lastRow="0" w:firstColumn="1" w:lastColumn="0" w:noHBand="0" w:noVBand="1"/>
      </w:tblPr>
      <w:tblGrid>
        <w:gridCol w:w="4962"/>
        <w:gridCol w:w="2409"/>
        <w:gridCol w:w="2552"/>
      </w:tblGrid>
      <w:tr w:rsidR="0069096F" w:rsidRPr="0069096F" w14:paraId="6D9FCC75" w14:textId="77777777" w:rsidTr="00703D08">
        <w:tc>
          <w:tcPr>
            <w:tcW w:w="4962" w:type="dxa"/>
            <w:shd w:val="clear" w:color="auto" w:fill="9CC2E5"/>
          </w:tcPr>
          <w:p w14:paraId="6F8F05E8" w14:textId="77777777" w:rsidR="0069096F" w:rsidRPr="0069096F" w:rsidRDefault="0069096F" w:rsidP="0069096F">
            <w:pPr>
              <w:spacing w:line="360" w:lineRule="auto"/>
              <w:rPr>
                <w:rFonts w:ascii="Calibri" w:eastAsia="Calibri" w:hAnsi="Calibri"/>
              </w:rPr>
            </w:pPr>
          </w:p>
        </w:tc>
        <w:tc>
          <w:tcPr>
            <w:tcW w:w="2409" w:type="dxa"/>
            <w:shd w:val="clear" w:color="auto" w:fill="9CC2E5"/>
          </w:tcPr>
          <w:p w14:paraId="5CE27557" w14:textId="77777777" w:rsidR="0069096F" w:rsidRPr="0069096F" w:rsidRDefault="0069096F" w:rsidP="0069096F">
            <w:pPr>
              <w:spacing w:line="360" w:lineRule="auto"/>
              <w:rPr>
                <w:rFonts w:ascii="Calibri" w:eastAsia="Calibri" w:hAnsi="Calibri"/>
                <w:b/>
                <w:bCs/>
              </w:rPr>
            </w:pPr>
            <w:r w:rsidRPr="0069096F">
              <w:rPr>
                <w:rFonts w:ascii="Calibri" w:eastAsia="Calibri" w:hAnsi="Calibri"/>
                <w:b/>
                <w:bCs/>
              </w:rPr>
              <w:t>Comparison group</w:t>
            </w:r>
          </w:p>
          <w:p w14:paraId="76BC5F59" w14:textId="77777777" w:rsidR="0069096F" w:rsidRPr="0069096F" w:rsidRDefault="0069096F" w:rsidP="0069096F">
            <w:pPr>
              <w:spacing w:line="360" w:lineRule="auto"/>
              <w:rPr>
                <w:rFonts w:ascii="Calibri" w:eastAsia="Calibri" w:hAnsi="Calibri"/>
              </w:rPr>
            </w:pPr>
            <w:r w:rsidRPr="0069096F">
              <w:rPr>
                <w:rFonts w:ascii="Calibri" w:eastAsia="Calibri" w:hAnsi="Calibri"/>
              </w:rPr>
              <w:t>N=10</w:t>
            </w:r>
          </w:p>
          <w:p w14:paraId="33A2C3E2" w14:textId="77777777" w:rsidR="0069096F" w:rsidRPr="0069096F" w:rsidRDefault="0069096F" w:rsidP="0069096F">
            <w:pPr>
              <w:spacing w:line="360" w:lineRule="auto"/>
              <w:rPr>
                <w:rFonts w:ascii="Calibri" w:eastAsia="Calibri" w:hAnsi="Calibri"/>
              </w:rPr>
            </w:pPr>
          </w:p>
        </w:tc>
        <w:tc>
          <w:tcPr>
            <w:tcW w:w="2552" w:type="dxa"/>
            <w:shd w:val="clear" w:color="auto" w:fill="9CC2E5"/>
          </w:tcPr>
          <w:p w14:paraId="064173F8" w14:textId="77777777" w:rsidR="0069096F" w:rsidRPr="0069096F" w:rsidRDefault="0069096F" w:rsidP="0069096F">
            <w:pPr>
              <w:spacing w:line="360" w:lineRule="auto"/>
              <w:rPr>
                <w:rFonts w:ascii="Calibri" w:eastAsia="Calibri" w:hAnsi="Calibri"/>
                <w:b/>
                <w:bCs/>
              </w:rPr>
            </w:pPr>
            <w:r w:rsidRPr="0069096F">
              <w:rPr>
                <w:rFonts w:ascii="Calibri" w:eastAsia="Calibri" w:hAnsi="Calibri"/>
                <w:b/>
                <w:bCs/>
              </w:rPr>
              <w:t>Azithromycin group</w:t>
            </w:r>
          </w:p>
          <w:p w14:paraId="180AB3C8" w14:textId="77777777" w:rsidR="0069096F" w:rsidRPr="0069096F" w:rsidRDefault="0069096F" w:rsidP="0069096F">
            <w:pPr>
              <w:spacing w:line="360" w:lineRule="auto"/>
              <w:rPr>
                <w:rFonts w:ascii="Calibri" w:eastAsia="Calibri" w:hAnsi="Calibri"/>
              </w:rPr>
            </w:pPr>
            <w:r w:rsidRPr="0069096F">
              <w:rPr>
                <w:rFonts w:ascii="Calibri" w:eastAsia="Calibri" w:hAnsi="Calibri"/>
              </w:rPr>
              <w:t>N=10</w:t>
            </w:r>
          </w:p>
        </w:tc>
      </w:tr>
      <w:tr w:rsidR="0069096F" w:rsidRPr="0069096F" w14:paraId="4C06DAC6" w14:textId="77777777" w:rsidTr="00703D08">
        <w:tc>
          <w:tcPr>
            <w:tcW w:w="4962" w:type="dxa"/>
          </w:tcPr>
          <w:p w14:paraId="26738550" w14:textId="52163C79" w:rsidR="0069096F" w:rsidRPr="0069096F" w:rsidRDefault="0069096F" w:rsidP="0069096F">
            <w:pPr>
              <w:spacing w:line="360" w:lineRule="auto"/>
              <w:rPr>
                <w:rFonts w:ascii="Calibri" w:eastAsia="Calibri" w:hAnsi="Calibri"/>
              </w:rPr>
            </w:pPr>
            <w:r w:rsidRPr="0069096F">
              <w:rPr>
                <w:rFonts w:ascii="Calibri" w:eastAsia="Calibri" w:hAnsi="Calibri"/>
              </w:rPr>
              <w:t>Me</w:t>
            </w:r>
            <w:r w:rsidR="002D2B38">
              <w:rPr>
                <w:rFonts w:ascii="Calibri" w:eastAsia="Calibri" w:hAnsi="Calibri"/>
              </w:rPr>
              <w:t>dian</w:t>
            </w:r>
            <w:r w:rsidRPr="0069096F">
              <w:rPr>
                <w:rFonts w:ascii="Calibri" w:eastAsia="Calibri" w:hAnsi="Calibri"/>
              </w:rPr>
              <w:t xml:space="preserve"> </w:t>
            </w:r>
            <w:r w:rsidR="00A12A79">
              <w:rPr>
                <w:rFonts w:ascii="Calibri" w:eastAsia="Calibri" w:hAnsi="Calibri"/>
              </w:rPr>
              <w:t xml:space="preserve">total </w:t>
            </w:r>
            <w:r w:rsidRPr="0069096F">
              <w:rPr>
                <w:rFonts w:ascii="Calibri" w:eastAsia="Calibri" w:hAnsi="Calibri"/>
              </w:rPr>
              <w:t xml:space="preserve">number of antibiotic courses per participant prior to study start/ participant age </w:t>
            </w:r>
            <w:r w:rsidRPr="00267710">
              <w:rPr>
                <w:rFonts w:ascii="Calibri" w:eastAsia="Calibri" w:hAnsi="Calibri"/>
              </w:rPr>
              <w:t>in years</w:t>
            </w:r>
            <w:r w:rsidRPr="0069096F">
              <w:rPr>
                <w:rFonts w:ascii="Calibri" w:eastAsia="Calibri" w:hAnsi="Calibri"/>
              </w:rPr>
              <w:t xml:space="preserve"> </w:t>
            </w:r>
            <w:r w:rsidR="00D26350">
              <w:rPr>
                <w:rFonts w:ascii="Calibri" w:eastAsia="Calibri" w:hAnsi="Calibri"/>
              </w:rPr>
              <w:t>(25</w:t>
            </w:r>
            <w:r w:rsidR="00D26350" w:rsidRPr="00D26350">
              <w:rPr>
                <w:rFonts w:ascii="Calibri" w:eastAsia="Calibri" w:hAnsi="Calibri"/>
                <w:vertAlign w:val="superscript"/>
              </w:rPr>
              <w:t>th</w:t>
            </w:r>
            <w:r w:rsidR="00D26350">
              <w:rPr>
                <w:rFonts w:ascii="Calibri" w:eastAsia="Calibri" w:hAnsi="Calibri"/>
              </w:rPr>
              <w:t>-75</w:t>
            </w:r>
            <w:r w:rsidR="00D26350" w:rsidRPr="00D26350">
              <w:rPr>
                <w:rFonts w:ascii="Calibri" w:eastAsia="Calibri" w:hAnsi="Calibri"/>
                <w:vertAlign w:val="superscript"/>
              </w:rPr>
              <w:t>th</w:t>
            </w:r>
            <w:r w:rsidR="00D26350">
              <w:rPr>
                <w:rFonts w:ascii="Calibri" w:eastAsia="Calibri" w:hAnsi="Calibri"/>
              </w:rPr>
              <w:t xml:space="preserve"> quartiles)</w:t>
            </w:r>
          </w:p>
        </w:tc>
        <w:tc>
          <w:tcPr>
            <w:tcW w:w="2409" w:type="dxa"/>
          </w:tcPr>
          <w:p w14:paraId="38CE1B9D" w14:textId="1C2A1F9C" w:rsidR="0069096F" w:rsidRPr="0069096F" w:rsidRDefault="0069096F" w:rsidP="0069096F">
            <w:pPr>
              <w:spacing w:line="360" w:lineRule="auto"/>
              <w:rPr>
                <w:rFonts w:ascii="Calibri" w:eastAsia="Calibri" w:hAnsi="Calibri"/>
              </w:rPr>
            </w:pPr>
            <w:r w:rsidRPr="0069096F">
              <w:rPr>
                <w:rFonts w:ascii="Calibri" w:eastAsia="Calibri" w:hAnsi="Calibri"/>
              </w:rPr>
              <w:t>2.</w:t>
            </w:r>
            <w:r w:rsidR="00227CA7">
              <w:rPr>
                <w:rFonts w:ascii="Calibri" w:eastAsia="Calibri" w:hAnsi="Calibri"/>
              </w:rPr>
              <w:t>58</w:t>
            </w:r>
          </w:p>
          <w:p w14:paraId="56062FCC" w14:textId="28ED5DA1" w:rsidR="0069096F" w:rsidRPr="0069096F" w:rsidRDefault="0069096F" w:rsidP="0069096F">
            <w:pPr>
              <w:spacing w:line="360" w:lineRule="auto"/>
              <w:rPr>
                <w:rFonts w:ascii="Calibri" w:eastAsia="Calibri" w:hAnsi="Calibri"/>
              </w:rPr>
            </w:pPr>
            <w:r w:rsidRPr="0069096F">
              <w:rPr>
                <w:rFonts w:ascii="Calibri" w:eastAsia="Calibri" w:hAnsi="Calibri"/>
              </w:rPr>
              <w:t>(</w:t>
            </w:r>
            <w:r w:rsidR="00227CA7">
              <w:rPr>
                <w:rFonts w:ascii="Calibri" w:eastAsia="Calibri" w:hAnsi="Calibri"/>
              </w:rPr>
              <w:t>1.</w:t>
            </w:r>
            <w:r w:rsidR="00D26350">
              <w:rPr>
                <w:rFonts w:ascii="Calibri" w:eastAsia="Calibri" w:hAnsi="Calibri"/>
              </w:rPr>
              <w:t>78-3.51</w:t>
            </w:r>
            <w:r w:rsidRPr="0069096F">
              <w:rPr>
                <w:rFonts w:ascii="Calibri" w:eastAsia="Calibri" w:hAnsi="Calibri"/>
              </w:rPr>
              <w:t>)</w:t>
            </w:r>
          </w:p>
        </w:tc>
        <w:tc>
          <w:tcPr>
            <w:tcW w:w="2552" w:type="dxa"/>
          </w:tcPr>
          <w:p w14:paraId="4664962D" w14:textId="2651B468" w:rsidR="0069096F" w:rsidRPr="0069096F" w:rsidRDefault="00CD0854" w:rsidP="0069096F">
            <w:pPr>
              <w:spacing w:line="360" w:lineRule="auto"/>
              <w:rPr>
                <w:rFonts w:ascii="Calibri" w:eastAsia="Calibri" w:hAnsi="Calibri"/>
              </w:rPr>
            </w:pPr>
            <w:r>
              <w:rPr>
                <w:rFonts w:ascii="Calibri" w:eastAsia="Calibri" w:hAnsi="Calibri"/>
              </w:rPr>
              <w:t>1.64</w:t>
            </w:r>
          </w:p>
          <w:p w14:paraId="1BE219DC" w14:textId="2DB3CB0D" w:rsidR="0069096F" w:rsidRPr="0069096F" w:rsidRDefault="00CD0854" w:rsidP="0069096F">
            <w:pPr>
              <w:spacing w:line="360" w:lineRule="auto"/>
              <w:rPr>
                <w:rFonts w:ascii="Calibri" w:eastAsia="Calibri" w:hAnsi="Calibri"/>
              </w:rPr>
            </w:pPr>
            <w:r>
              <w:rPr>
                <w:rFonts w:ascii="Calibri" w:eastAsia="Calibri" w:hAnsi="Calibri"/>
              </w:rPr>
              <w:t>(</w:t>
            </w:r>
            <w:r w:rsidR="00D26350">
              <w:rPr>
                <w:rFonts w:ascii="Calibri" w:eastAsia="Calibri" w:hAnsi="Calibri"/>
              </w:rPr>
              <w:t>1.34-2.31</w:t>
            </w:r>
            <w:r w:rsidR="0069096F" w:rsidRPr="0069096F">
              <w:rPr>
                <w:rFonts w:ascii="Calibri" w:eastAsia="Calibri" w:hAnsi="Calibri"/>
              </w:rPr>
              <w:t>)</w:t>
            </w:r>
          </w:p>
        </w:tc>
      </w:tr>
      <w:tr w:rsidR="0069096F" w:rsidRPr="0069096F" w14:paraId="0E57C873" w14:textId="77777777" w:rsidTr="00703D08">
        <w:tc>
          <w:tcPr>
            <w:tcW w:w="4962" w:type="dxa"/>
            <w:shd w:val="clear" w:color="auto" w:fill="DEEAF6"/>
          </w:tcPr>
          <w:p w14:paraId="2684B9ED" w14:textId="749AF16F" w:rsidR="00D26350" w:rsidRDefault="0069096F" w:rsidP="0069096F">
            <w:pPr>
              <w:spacing w:line="360" w:lineRule="auto"/>
              <w:rPr>
                <w:rFonts w:ascii="Calibri" w:eastAsia="Calibri" w:hAnsi="Calibri"/>
              </w:rPr>
            </w:pPr>
            <w:r w:rsidRPr="0069096F">
              <w:rPr>
                <w:rFonts w:ascii="Calibri" w:eastAsia="Calibri" w:hAnsi="Calibri"/>
              </w:rPr>
              <w:t>Me</w:t>
            </w:r>
            <w:r w:rsidR="00CD0854">
              <w:rPr>
                <w:rFonts w:ascii="Calibri" w:eastAsia="Calibri" w:hAnsi="Calibri"/>
              </w:rPr>
              <w:t>dian</w:t>
            </w:r>
            <w:r w:rsidRPr="0069096F">
              <w:rPr>
                <w:rFonts w:ascii="Calibri" w:eastAsia="Calibri" w:hAnsi="Calibri"/>
              </w:rPr>
              <w:t xml:space="preserve"> </w:t>
            </w:r>
            <w:r w:rsidR="00A12A79">
              <w:rPr>
                <w:rFonts w:ascii="Calibri" w:eastAsia="Calibri" w:hAnsi="Calibri"/>
              </w:rPr>
              <w:t xml:space="preserve">total </w:t>
            </w:r>
            <w:r w:rsidRPr="0069096F">
              <w:rPr>
                <w:rFonts w:ascii="Calibri" w:eastAsia="Calibri" w:hAnsi="Calibri"/>
              </w:rPr>
              <w:t xml:space="preserve">number of </w:t>
            </w:r>
            <w:r w:rsidR="006C6D5B">
              <w:rPr>
                <w:rFonts w:ascii="Calibri" w:eastAsia="Calibri" w:hAnsi="Calibri"/>
              </w:rPr>
              <w:t xml:space="preserve">&gt; </w:t>
            </w:r>
            <w:r w:rsidRPr="0069096F">
              <w:rPr>
                <w:rFonts w:ascii="Calibri" w:eastAsia="Calibri" w:hAnsi="Calibri"/>
              </w:rPr>
              <w:t xml:space="preserve">2week courses of antibiotics / participant age in years </w:t>
            </w:r>
          </w:p>
          <w:p w14:paraId="3E03AD34" w14:textId="0B82730F" w:rsidR="0069096F" w:rsidRPr="0069096F" w:rsidRDefault="00D26350" w:rsidP="0069096F">
            <w:pPr>
              <w:spacing w:line="360" w:lineRule="auto"/>
              <w:rPr>
                <w:rFonts w:ascii="Calibri" w:eastAsia="Calibri" w:hAnsi="Calibri"/>
              </w:rPr>
            </w:pPr>
            <w:r>
              <w:rPr>
                <w:rFonts w:ascii="Calibri" w:eastAsia="Calibri" w:hAnsi="Calibri"/>
              </w:rPr>
              <w:t>(25</w:t>
            </w:r>
            <w:r w:rsidRPr="00D26350">
              <w:rPr>
                <w:rFonts w:ascii="Calibri" w:eastAsia="Calibri" w:hAnsi="Calibri"/>
                <w:vertAlign w:val="superscript"/>
              </w:rPr>
              <w:t>th</w:t>
            </w:r>
            <w:r>
              <w:rPr>
                <w:rFonts w:ascii="Calibri" w:eastAsia="Calibri" w:hAnsi="Calibri"/>
              </w:rPr>
              <w:t>-75</w:t>
            </w:r>
            <w:r w:rsidRPr="00D26350">
              <w:rPr>
                <w:rFonts w:ascii="Calibri" w:eastAsia="Calibri" w:hAnsi="Calibri"/>
                <w:vertAlign w:val="superscript"/>
              </w:rPr>
              <w:t>th</w:t>
            </w:r>
            <w:r>
              <w:rPr>
                <w:rFonts w:ascii="Calibri" w:eastAsia="Calibri" w:hAnsi="Calibri"/>
              </w:rPr>
              <w:t xml:space="preserve"> quartiles)</w:t>
            </w:r>
          </w:p>
        </w:tc>
        <w:tc>
          <w:tcPr>
            <w:tcW w:w="2409" w:type="dxa"/>
            <w:shd w:val="clear" w:color="auto" w:fill="DEEAF6"/>
          </w:tcPr>
          <w:p w14:paraId="2E18847A" w14:textId="436FA023" w:rsidR="0069096F" w:rsidRPr="0069096F" w:rsidRDefault="0069096F" w:rsidP="0069096F">
            <w:pPr>
              <w:spacing w:line="360" w:lineRule="auto"/>
              <w:rPr>
                <w:rFonts w:ascii="Calibri" w:eastAsia="Calibri" w:hAnsi="Calibri"/>
              </w:rPr>
            </w:pPr>
            <w:r w:rsidRPr="0069096F">
              <w:rPr>
                <w:rFonts w:ascii="Calibri" w:eastAsia="Calibri" w:hAnsi="Calibri"/>
              </w:rPr>
              <w:t>0</w:t>
            </w:r>
            <w:r w:rsidR="00CD0854">
              <w:rPr>
                <w:rFonts w:ascii="Calibri" w:eastAsia="Calibri" w:hAnsi="Calibri"/>
              </w:rPr>
              <w:t>.38</w:t>
            </w:r>
            <w:r w:rsidR="00491395">
              <w:rPr>
                <w:rFonts w:ascii="Calibri" w:eastAsia="Calibri" w:hAnsi="Calibri"/>
              </w:rPr>
              <w:t>*</w:t>
            </w:r>
          </w:p>
          <w:p w14:paraId="7D9EF4F6" w14:textId="66BA6DF7" w:rsidR="0069096F" w:rsidRPr="0069096F" w:rsidRDefault="0069096F" w:rsidP="0069096F">
            <w:pPr>
              <w:spacing w:line="360" w:lineRule="auto"/>
              <w:rPr>
                <w:rFonts w:ascii="Calibri" w:eastAsia="Calibri" w:hAnsi="Calibri"/>
              </w:rPr>
            </w:pPr>
            <w:r w:rsidRPr="0069096F">
              <w:rPr>
                <w:rFonts w:ascii="Calibri" w:eastAsia="Calibri" w:hAnsi="Calibri"/>
              </w:rPr>
              <w:t>(0.</w:t>
            </w:r>
            <w:r w:rsidR="00D26350">
              <w:rPr>
                <w:rFonts w:ascii="Calibri" w:eastAsia="Calibri" w:hAnsi="Calibri"/>
              </w:rPr>
              <w:t>32-0.55</w:t>
            </w:r>
            <w:r w:rsidRPr="0069096F">
              <w:rPr>
                <w:rFonts w:ascii="Calibri" w:eastAsia="Calibri" w:hAnsi="Calibri"/>
              </w:rPr>
              <w:t>)</w:t>
            </w:r>
          </w:p>
        </w:tc>
        <w:tc>
          <w:tcPr>
            <w:tcW w:w="2552" w:type="dxa"/>
            <w:shd w:val="clear" w:color="auto" w:fill="DEEAF6"/>
          </w:tcPr>
          <w:p w14:paraId="56288DDB" w14:textId="45DEB692" w:rsidR="0069096F" w:rsidRPr="0069096F" w:rsidRDefault="0069096F" w:rsidP="0069096F">
            <w:pPr>
              <w:spacing w:line="360" w:lineRule="auto"/>
              <w:rPr>
                <w:rFonts w:ascii="Calibri" w:eastAsia="Calibri" w:hAnsi="Calibri"/>
              </w:rPr>
            </w:pPr>
            <w:r w:rsidRPr="0069096F">
              <w:rPr>
                <w:rFonts w:ascii="Calibri" w:eastAsia="Calibri" w:hAnsi="Calibri"/>
              </w:rPr>
              <w:t>0.</w:t>
            </w:r>
            <w:r w:rsidR="00CD0854">
              <w:rPr>
                <w:rFonts w:ascii="Calibri" w:eastAsia="Calibri" w:hAnsi="Calibri"/>
              </w:rPr>
              <w:t>41</w:t>
            </w:r>
            <w:r w:rsidR="00491395">
              <w:rPr>
                <w:rFonts w:ascii="Calibri" w:eastAsia="Calibri" w:hAnsi="Calibri"/>
              </w:rPr>
              <w:t>**</w:t>
            </w:r>
          </w:p>
          <w:p w14:paraId="6CD6FA93" w14:textId="06DB8148" w:rsidR="0069096F" w:rsidRPr="0069096F" w:rsidRDefault="0069096F" w:rsidP="0069096F">
            <w:pPr>
              <w:spacing w:line="360" w:lineRule="auto"/>
              <w:rPr>
                <w:rFonts w:ascii="Calibri" w:eastAsia="Calibri" w:hAnsi="Calibri"/>
              </w:rPr>
            </w:pPr>
            <w:r w:rsidRPr="0069096F">
              <w:rPr>
                <w:rFonts w:ascii="Calibri" w:eastAsia="Calibri" w:hAnsi="Calibri"/>
              </w:rPr>
              <w:t>(0.</w:t>
            </w:r>
            <w:r w:rsidR="003A2BF2">
              <w:rPr>
                <w:rFonts w:ascii="Calibri" w:eastAsia="Calibri" w:hAnsi="Calibri"/>
              </w:rPr>
              <w:t>35-0.66</w:t>
            </w:r>
            <w:r w:rsidRPr="0069096F">
              <w:rPr>
                <w:rFonts w:ascii="Calibri" w:eastAsia="Calibri" w:hAnsi="Calibri"/>
              </w:rPr>
              <w:t>)</w:t>
            </w:r>
          </w:p>
        </w:tc>
      </w:tr>
      <w:tr w:rsidR="0069096F" w:rsidRPr="0069096F" w14:paraId="14EFAD0B" w14:textId="77777777" w:rsidTr="00703D08">
        <w:tc>
          <w:tcPr>
            <w:tcW w:w="4962" w:type="dxa"/>
          </w:tcPr>
          <w:p w14:paraId="58B19EBF" w14:textId="14E5B137" w:rsidR="0069096F" w:rsidRPr="0069096F" w:rsidRDefault="006C6D5B" w:rsidP="0069096F">
            <w:pPr>
              <w:spacing w:line="360" w:lineRule="auto"/>
              <w:rPr>
                <w:rFonts w:ascii="Calibri" w:eastAsia="Calibri" w:hAnsi="Calibri"/>
              </w:rPr>
            </w:pPr>
            <w:r>
              <w:rPr>
                <w:rFonts w:ascii="Calibri" w:eastAsia="Calibri" w:hAnsi="Calibri"/>
              </w:rPr>
              <w:t xml:space="preserve">Number of participants prescribed </w:t>
            </w:r>
            <w:r w:rsidR="0069096F" w:rsidRPr="0069096F">
              <w:rPr>
                <w:rFonts w:ascii="Calibri" w:eastAsia="Calibri" w:hAnsi="Calibri"/>
              </w:rPr>
              <w:t xml:space="preserve">acute </w:t>
            </w:r>
            <w:r>
              <w:rPr>
                <w:rFonts w:ascii="Calibri" w:eastAsia="Calibri" w:hAnsi="Calibri"/>
              </w:rPr>
              <w:t xml:space="preserve">courses of </w:t>
            </w:r>
            <w:r w:rsidR="0069096F" w:rsidRPr="0069096F">
              <w:rPr>
                <w:rFonts w:ascii="Calibri" w:eastAsia="Calibri" w:hAnsi="Calibri"/>
              </w:rPr>
              <w:t>macrolide</w:t>
            </w:r>
            <w:r>
              <w:rPr>
                <w:rFonts w:ascii="Calibri" w:eastAsia="Calibri" w:hAnsi="Calibri"/>
              </w:rPr>
              <w:t>s</w:t>
            </w:r>
          </w:p>
          <w:p w14:paraId="3123DD5B" w14:textId="59D2D71F" w:rsidR="0069096F" w:rsidRPr="0069096F" w:rsidRDefault="0069096F" w:rsidP="0069096F">
            <w:pPr>
              <w:spacing w:line="360" w:lineRule="auto"/>
              <w:rPr>
                <w:rFonts w:ascii="Calibri" w:eastAsia="Calibri" w:hAnsi="Calibri"/>
              </w:rPr>
            </w:pPr>
            <w:r w:rsidRPr="0069096F">
              <w:rPr>
                <w:rFonts w:ascii="Calibri" w:eastAsia="Calibri" w:hAnsi="Calibri"/>
              </w:rPr>
              <w:t xml:space="preserve"> (range per participant)</w:t>
            </w:r>
          </w:p>
        </w:tc>
        <w:tc>
          <w:tcPr>
            <w:tcW w:w="2409" w:type="dxa"/>
          </w:tcPr>
          <w:p w14:paraId="47EFA8FA" w14:textId="77777777" w:rsidR="0069096F" w:rsidRPr="0069096F" w:rsidRDefault="0069096F" w:rsidP="0069096F">
            <w:pPr>
              <w:spacing w:line="360" w:lineRule="auto"/>
              <w:rPr>
                <w:rFonts w:ascii="Calibri" w:eastAsia="Calibri" w:hAnsi="Calibri"/>
              </w:rPr>
            </w:pPr>
            <w:r w:rsidRPr="0069096F">
              <w:rPr>
                <w:rFonts w:ascii="Calibri" w:eastAsia="Calibri" w:hAnsi="Calibri"/>
              </w:rPr>
              <w:t xml:space="preserve">6 </w:t>
            </w:r>
          </w:p>
          <w:p w14:paraId="50324C25" w14:textId="77777777" w:rsidR="0069096F" w:rsidRPr="0069096F" w:rsidRDefault="0069096F" w:rsidP="0069096F">
            <w:pPr>
              <w:spacing w:line="360" w:lineRule="auto"/>
              <w:rPr>
                <w:rFonts w:ascii="Calibri" w:eastAsia="Calibri" w:hAnsi="Calibri"/>
              </w:rPr>
            </w:pPr>
            <w:r w:rsidRPr="0069096F">
              <w:rPr>
                <w:rFonts w:ascii="Calibri" w:eastAsia="Calibri" w:hAnsi="Calibri"/>
              </w:rPr>
              <w:t>(1-3)</w:t>
            </w:r>
          </w:p>
        </w:tc>
        <w:tc>
          <w:tcPr>
            <w:tcW w:w="2552" w:type="dxa"/>
          </w:tcPr>
          <w:p w14:paraId="34A012AA" w14:textId="1A5DDFE0" w:rsidR="0069096F" w:rsidRPr="0069096F" w:rsidRDefault="00A02E5B" w:rsidP="0069096F">
            <w:pPr>
              <w:spacing w:line="360" w:lineRule="auto"/>
              <w:rPr>
                <w:rFonts w:ascii="Calibri" w:eastAsia="Calibri" w:hAnsi="Calibri"/>
              </w:rPr>
            </w:pPr>
            <w:r>
              <w:rPr>
                <w:rFonts w:ascii="Calibri" w:eastAsia="Calibri" w:hAnsi="Calibri"/>
              </w:rPr>
              <w:t>5</w:t>
            </w:r>
            <w:r w:rsidR="0030732E">
              <w:rPr>
                <w:rFonts w:ascii="Calibri" w:eastAsia="Calibri" w:hAnsi="Calibri"/>
              </w:rPr>
              <w:t>**</w:t>
            </w:r>
            <w:r w:rsidR="00491395">
              <w:rPr>
                <w:rFonts w:ascii="Calibri" w:eastAsia="Calibri" w:hAnsi="Calibri"/>
              </w:rPr>
              <w:t>*</w:t>
            </w:r>
          </w:p>
          <w:p w14:paraId="7BF8DAD2" w14:textId="77777777" w:rsidR="0069096F" w:rsidRPr="0069096F" w:rsidRDefault="0069096F" w:rsidP="0069096F">
            <w:pPr>
              <w:spacing w:line="360" w:lineRule="auto"/>
              <w:rPr>
                <w:rFonts w:ascii="Calibri" w:eastAsia="Calibri" w:hAnsi="Calibri"/>
              </w:rPr>
            </w:pPr>
            <w:r w:rsidRPr="0069096F">
              <w:rPr>
                <w:rFonts w:ascii="Calibri" w:eastAsia="Calibri" w:hAnsi="Calibri"/>
              </w:rPr>
              <w:t>(1-3)</w:t>
            </w:r>
          </w:p>
        </w:tc>
      </w:tr>
      <w:tr w:rsidR="0069096F" w:rsidRPr="0069096F" w14:paraId="69001C50" w14:textId="77777777" w:rsidTr="00703D08">
        <w:tc>
          <w:tcPr>
            <w:tcW w:w="4962" w:type="dxa"/>
            <w:shd w:val="clear" w:color="auto" w:fill="DEEAF6"/>
          </w:tcPr>
          <w:p w14:paraId="49CE311F" w14:textId="03C3E367" w:rsidR="0069096F" w:rsidRPr="0069096F" w:rsidRDefault="0069096F" w:rsidP="0069096F">
            <w:pPr>
              <w:spacing w:line="360" w:lineRule="auto"/>
              <w:rPr>
                <w:rFonts w:ascii="Calibri" w:eastAsia="Calibri" w:hAnsi="Calibri"/>
              </w:rPr>
            </w:pPr>
            <w:r w:rsidRPr="0069096F">
              <w:rPr>
                <w:rFonts w:ascii="Calibri" w:eastAsia="Calibri" w:hAnsi="Calibri"/>
              </w:rPr>
              <w:t>Median time from completing last course of antibiotics to study start</w:t>
            </w:r>
            <w:r w:rsidR="006C6D5B">
              <w:rPr>
                <w:rFonts w:ascii="Calibri" w:eastAsia="Calibri" w:hAnsi="Calibri"/>
              </w:rPr>
              <w:t xml:space="preserve"> </w:t>
            </w:r>
            <w:r w:rsidR="009F1266" w:rsidRPr="0069096F">
              <w:rPr>
                <w:rFonts w:ascii="Calibri" w:eastAsia="Calibri" w:hAnsi="Calibri"/>
              </w:rPr>
              <w:t>(</w:t>
            </w:r>
            <w:r w:rsidR="009F1266">
              <w:rPr>
                <w:rFonts w:ascii="Calibri" w:eastAsia="Calibri" w:hAnsi="Calibri"/>
              </w:rPr>
              <w:t>25th-75th quartiles</w:t>
            </w:r>
            <w:r w:rsidR="009F1266" w:rsidRPr="0069096F">
              <w:rPr>
                <w:rFonts w:ascii="Calibri" w:eastAsia="Calibri" w:hAnsi="Calibri"/>
              </w:rPr>
              <w:t>)</w:t>
            </w:r>
            <w:r w:rsidR="009F1266" w:rsidDel="009F1266">
              <w:rPr>
                <w:rFonts w:ascii="Calibri" w:eastAsia="Calibri" w:hAnsi="Calibri"/>
              </w:rPr>
              <w:t xml:space="preserve"> </w:t>
            </w:r>
          </w:p>
        </w:tc>
        <w:tc>
          <w:tcPr>
            <w:tcW w:w="2409" w:type="dxa"/>
            <w:shd w:val="clear" w:color="auto" w:fill="DEEAF6"/>
          </w:tcPr>
          <w:p w14:paraId="063F5FF6" w14:textId="0CF7921B" w:rsidR="0069096F" w:rsidRPr="0069096F" w:rsidRDefault="0069096F" w:rsidP="0069096F">
            <w:pPr>
              <w:spacing w:line="360" w:lineRule="auto"/>
              <w:rPr>
                <w:rFonts w:ascii="Calibri" w:eastAsia="Calibri" w:hAnsi="Calibri"/>
              </w:rPr>
            </w:pPr>
            <w:r w:rsidRPr="0069096F">
              <w:rPr>
                <w:rFonts w:ascii="Calibri" w:eastAsia="Calibri" w:hAnsi="Calibri"/>
              </w:rPr>
              <w:t>10 weeks (</w:t>
            </w:r>
            <w:r w:rsidR="009F1266">
              <w:rPr>
                <w:rFonts w:ascii="Calibri" w:eastAsia="Calibri" w:hAnsi="Calibri"/>
              </w:rPr>
              <w:t>2.5-19.25</w:t>
            </w:r>
            <w:r w:rsidRPr="0069096F">
              <w:rPr>
                <w:rFonts w:ascii="Calibri" w:eastAsia="Calibri" w:hAnsi="Calibri"/>
              </w:rPr>
              <w:t>)</w:t>
            </w:r>
          </w:p>
        </w:tc>
        <w:tc>
          <w:tcPr>
            <w:tcW w:w="2552" w:type="dxa"/>
            <w:shd w:val="clear" w:color="auto" w:fill="DEEAF6"/>
          </w:tcPr>
          <w:p w14:paraId="485110D8" w14:textId="10ACC551" w:rsidR="0069096F" w:rsidRPr="0069096F" w:rsidRDefault="0069096F" w:rsidP="0069096F">
            <w:pPr>
              <w:spacing w:line="360" w:lineRule="auto"/>
              <w:rPr>
                <w:rFonts w:ascii="Calibri" w:eastAsia="Calibri" w:hAnsi="Calibri"/>
              </w:rPr>
            </w:pPr>
            <w:r w:rsidRPr="0069096F">
              <w:rPr>
                <w:rFonts w:ascii="Calibri" w:eastAsia="Calibri" w:hAnsi="Calibri"/>
              </w:rPr>
              <w:t>7.5 weeks (</w:t>
            </w:r>
            <w:r w:rsidR="009F1266">
              <w:rPr>
                <w:rFonts w:ascii="Calibri" w:eastAsia="Calibri" w:hAnsi="Calibri"/>
              </w:rPr>
              <w:t>4-24</w:t>
            </w:r>
            <w:r w:rsidRPr="0069096F">
              <w:rPr>
                <w:rFonts w:ascii="Calibri" w:eastAsia="Calibri" w:hAnsi="Calibri"/>
              </w:rPr>
              <w:t>)</w:t>
            </w:r>
          </w:p>
        </w:tc>
      </w:tr>
      <w:tr w:rsidR="0069096F" w:rsidRPr="0069096F" w14:paraId="5FD37FB7" w14:textId="77777777" w:rsidTr="00703D08">
        <w:tc>
          <w:tcPr>
            <w:tcW w:w="4962" w:type="dxa"/>
          </w:tcPr>
          <w:p w14:paraId="444B0DD7" w14:textId="4F1A6E0C" w:rsidR="0069096F" w:rsidRPr="0069096F" w:rsidRDefault="0069096F" w:rsidP="0069096F">
            <w:pPr>
              <w:spacing w:line="360" w:lineRule="auto"/>
              <w:rPr>
                <w:rFonts w:ascii="Calibri" w:eastAsia="Calibri" w:hAnsi="Calibri"/>
              </w:rPr>
            </w:pPr>
            <w:r w:rsidRPr="0069096F">
              <w:rPr>
                <w:rFonts w:ascii="Calibri" w:eastAsia="Calibri" w:hAnsi="Calibri"/>
              </w:rPr>
              <w:t>Median time from completing last course of macrolides to study start</w:t>
            </w:r>
            <w:r w:rsidR="006C6D5B">
              <w:rPr>
                <w:rFonts w:ascii="Calibri" w:eastAsia="Calibri" w:hAnsi="Calibri"/>
              </w:rPr>
              <w:t xml:space="preserve"> </w:t>
            </w:r>
            <w:r w:rsidR="009F1266" w:rsidRPr="0069096F">
              <w:rPr>
                <w:rFonts w:ascii="Calibri" w:eastAsia="Calibri" w:hAnsi="Calibri"/>
              </w:rPr>
              <w:t>(</w:t>
            </w:r>
            <w:r w:rsidR="009F1266">
              <w:rPr>
                <w:rFonts w:ascii="Calibri" w:eastAsia="Calibri" w:hAnsi="Calibri"/>
              </w:rPr>
              <w:t>25th-75th quartiles</w:t>
            </w:r>
            <w:r w:rsidR="009F1266" w:rsidRPr="0069096F">
              <w:rPr>
                <w:rFonts w:ascii="Calibri" w:eastAsia="Calibri" w:hAnsi="Calibri"/>
              </w:rPr>
              <w:t>)</w:t>
            </w:r>
            <w:r w:rsidR="009F1266" w:rsidDel="009F1266">
              <w:rPr>
                <w:rFonts w:ascii="Calibri" w:eastAsia="Calibri" w:hAnsi="Calibri"/>
              </w:rPr>
              <w:t xml:space="preserve"> </w:t>
            </w:r>
          </w:p>
        </w:tc>
        <w:tc>
          <w:tcPr>
            <w:tcW w:w="2409" w:type="dxa"/>
          </w:tcPr>
          <w:p w14:paraId="0E5ED6B6" w14:textId="43FC8FFC" w:rsidR="0069096F" w:rsidRPr="0069096F" w:rsidRDefault="0069096F" w:rsidP="0069096F">
            <w:pPr>
              <w:spacing w:line="360" w:lineRule="auto"/>
              <w:rPr>
                <w:rFonts w:ascii="Calibri" w:eastAsia="Calibri" w:hAnsi="Calibri"/>
              </w:rPr>
            </w:pPr>
            <w:r w:rsidRPr="0069096F">
              <w:rPr>
                <w:rFonts w:ascii="Calibri" w:eastAsia="Calibri" w:hAnsi="Calibri"/>
              </w:rPr>
              <w:t>47 weeks (</w:t>
            </w:r>
            <w:r w:rsidR="009F1266">
              <w:rPr>
                <w:rFonts w:ascii="Calibri" w:eastAsia="Calibri" w:hAnsi="Calibri"/>
              </w:rPr>
              <w:t>27.5-64)</w:t>
            </w:r>
          </w:p>
        </w:tc>
        <w:tc>
          <w:tcPr>
            <w:tcW w:w="2552" w:type="dxa"/>
          </w:tcPr>
          <w:p w14:paraId="675FC348" w14:textId="4B2C9747" w:rsidR="0069096F" w:rsidRPr="0069096F" w:rsidRDefault="0069096F" w:rsidP="0069096F">
            <w:pPr>
              <w:spacing w:line="360" w:lineRule="auto"/>
              <w:rPr>
                <w:rFonts w:ascii="Calibri" w:eastAsia="Calibri" w:hAnsi="Calibri"/>
              </w:rPr>
            </w:pPr>
            <w:r w:rsidRPr="0069096F">
              <w:rPr>
                <w:rFonts w:ascii="Calibri" w:eastAsia="Calibri" w:hAnsi="Calibri"/>
              </w:rPr>
              <w:t>22 weeks (</w:t>
            </w:r>
            <w:r w:rsidR="007430D7">
              <w:rPr>
                <w:rFonts w:ascii="Calibri" w:eastAsia="Calibri" w:hAnsi="Calibri"/>
              </w:rPr>
              <w:t>16-28.5</w:t>
            </w:r>
            <w:r w:rsidRPr="0069096F">
              <w:rPr>
                <w:rFonts w:ascii="Calibri" w:eastAsia="Calibri" w:hAnsi="Calibri"/>
              </w:rPr>
              <w:t>)</w:t>
            </w:r>
          </w:p>
        </w:tc>
      </w:tr>
    </w:tbl>
    <w:p w14:paraId="1CACC7B9" w14:textId="0AC27C21" w:rsidR="00B24E0C" w:rsidRPr="00684250" w:rsidRDefault="00B24E0C" w:rsidP="00684250">
      <w:pPr>
        <w:pStyle w:val="Caption"/>
        <w:keepNext/>
        <w:rPr>
          <w:i w:val="0"/>
          <w:iCs w:val="0"/>
          <w:color w:val="000000" w:themeColor="text1"/>
          <w:sz w:val="24"/>
          <w:szCs w:val="24"/>
        </w:rPr>
      </w:pPr>
    </w:p>
    <w:p w14:paraId="62B50C7A" w14:textId="3E50E680" w:rsidR="0043296A" w:rsidRPr="00C37E37" w:rsidRDefault="00964C06">
      <w:pPr>
        <w:pStyle w:val="ListParagraph"/>
        <w:numPr>
          <w:ilvl w:val="0"/>
          <w:numId w:val="9"/>
        </w:numPr>
        <w:spacing w:after="0" w:line="276" w:lineRule="auto"/>
        <w:ind w:left="714" w:hanging="357"/>
        <w:rPr>
          <w:i/>
          <w:iCs/>
          <w:sz w:val="24"/>
          <w:szCs w:val="24"/>
        </w:rPr>
      </w:pPr>
      <w:r w:rsidRPr="00C37E37">
        <w:rPr>
          <w:i/>
          <w:iCs/>
          <w:sz w:val="24"/>
          <w:szCs w:val="24"/>
        </w:rPr>
        <w:t xml:space="preserve">* </w:t>
      </w:r>
      <w:r w:rsidR="0043296A" w:rsidRPr="00C37E37">
        <w:rPr>
          <w:i/>
          <w:iCs/>
          <w:sz w:val="24"/>
          <w:szCs w:val="24"/>
        </w:rPr>
        <w:t xml:space="preserve">Breakdown of antibiotics courses </w:t>
      </w:r>
      <w:r w:rsidRPr="00C37E37">
        <w:rPr>
          <w:i/>
          <w:iCs/>
          <w:sz w:val="24"/>
          <w:szCs w:val="24"/>
        </w:rPr>
        <w:t>lasting longer than 2 weeks: Co-amoxiclav (1</w:t>
      </w:r>
      <w:r w:rsidR="00491395" w:rsidRPr="00C37E37">
        <w:rPr>
          <w:i/>
          <w:iCs/>
          <w:sz w:val="24"/>
          <w:szCs w:val="24"/>
        </w:rPr>
        <w:t>5</w:t>
      </w:r>
      <w:r w:rsidRPr="00C37E37">
        <w:rPr>
          <w:i/>
          <w:iCs/>
          <w:sz w:val="24"/>
          <w:szCs w:val="24"/>
        </w:rPr>
        <w:t>), amoxicillin (1), cefixime (2), clarithromycin (2)</w:t>
      </w:r>
    </w:p>
    <w:p w14:paraId="61FECE88" w14:textId="6220C0D3" w:rsidR="00964C06" w:rsidRPr="00C37E37" w:rsidRDefault="00964C06">
      <w:pPr>
        <w:pStyle w:val="ListParagraph"/>
        <w:numPr>
          <w:ilvl w:val="0"/>
          <w:numId w:val="9"/>
        </w:numPr>
        <w:spacing w:after="0" w:line="276" w:lineRule="auto"/>
        <w:ind w:left="714" w:hanging="357"/>
        <w:rPr>
          <w:i/>
          <w:iCs/>
          <w:sz w:val="24"/>
          <w:szCs w:val="24"/>
        </w:rPr>
      </w:pPr>
      <w:r w:rsidRPr="00C37E37">
        <w:rPr>
          <w:i/>
          <w:iCs/>
          <w:sz w:val="24"/>
          <w:szCs w:val="24"/>
        </w:rPr>
        <w:t xml:space="preserve">** Breakdown of </w:t>
      </w:r>
      <w:r w:rsidR="00664C87" w:rsidRPr="00C37E37">
        <w:rPr>
          <w:i/>
          <w:iCs/>
          <w:sz w:val="24"/>
          <w:szCs w:val="24"/>
        </w:rPr>
        <w:t>antibiotics courses lasting longer than 2 weeks</w:t>
      </w:r>
      <w:r w:rsidRPr="00C37E37">
        <w:rPr>
          <w:i/>
          <w:iCs/>
          <w:sz w:val="24"/>
          <w:szCs w:val="24"/>
        </w:rPr>
        <w:t>: Co-amoxiclav (1</w:t>
      </w:r>
      <w:r w:rsidR="00491395" w:rsidRPr="00C37E37">
        <w:rPr>
          <w:i/>
          <w:iCs/>
          <w:sz w:val="24"/>
          <w:szCs w:val="24"/>
        </w:rPr>
        <w:t>9</w:t>
      </w:r>
      <w:r w:rsidRPr="00C37E37">
        <w:rPr>
          <w:i/>
          <w:iCs/>
          <w:sz w:val="24"/>
          <w:szCs w:val="24"/>
        </w:rPr>
        <w:t xml:space="preserve">), erythromycin (2), clindamycin (1), amoxicillin (2), azithromycin (1). </w:t>
      </w:r>
    </w:p>
    <w:p w14:paraId="0BF23873" w14:textId="2EA026CD" w:rsidR="00F01064" w:rsidRDefault="00B24E0C">
      <w:pPr>
        <w:pStyle w:val="ListParagraph"/>
        <w:numPr>
          <w:ilvl w:val="0"/>
          <w:numId w:val="9"/>
        </w:numPr>
        <w:spacing w:after="0" w:line="276" w:lineRule="auto"/>
        <w:ind w:left="714" w:hanging="357"/>
      </w:pPr>
      <w:r w:rsidRPr="00F90823">
        <w:rPr>
          <w:i/>
          <w:iCs/>
          <w:sz w:val="24"/>
          <w:szCs w:val="24"/>
        </w:rPr>
        <w:t>***  Not including the previous prophylactic azithromycin.</w:t>
      </w:r>
      <w:r w:rsidR="00A02E5B" w:rsidRPr="00F90823">
        <w:rPr>
          <w:i/>
          <w:iCs/>
          <w:sz w:val="24"/>
          <w:szCs w:val="24"/>
        </w:rPr>
        <w:t xml:space="preserve"> When including prophylaxis 8 children had previous macrolide exposure </w:t>
      </w:r>
      <w:r w:rsidR="00F90823">
        <w:rPr>
          <w:i/>
          <w:iCs/>
          <w:sz w:val="24"/>
          <w:szCs w:val="24"/>
        </w:rPr>
        <w:t xml:space="preserve">as some children had both prophylaxis and acute courses </w:t>
      </w:r>
    </w:p>
    <w:p w14:paraId="5D1235C5" w14:textId="3F711A50" w:rsidR="00C37E37" w:rsidRDefault="00C37E37" w:rsidP="00F01064"/>
    <w:p w14:paraId="710B3E09" w14:textId="77777777" w:rsidR="00C37E37" w:rsidRPr="00241369" w:rsidRDefault="00C37E37" w:rsidP="00414A74">
      <w:pPr>
        <w:spacing w:line="360" w:lineRule="auto"/>
      </w:pPr>
    </w:p>
    <w:p w14:paraId="666C3E7C" w14:textId="309E6F9F" w:rsidR="00E82735" w:rsidRDefault="00E82735" w:rsidP="00414A74">
      <w:pPr>
        <w:pStyle w:val="Heading3"/>
        <w:spacing w:before="0" w:line="360" w:lineRule="auto"/>
      </w:pPr>
      <w:bookmarkStart w:id="171" w:name="_Toc117765971"/>
      <w:r w:rsidRPr="00241369">
        <w:t>Nasopharyngeal swab results</w:t>
      </w:r>
      <w:bookmarkEnd w:id="171"/>
    </w:p>
    <w:p w14:paraId="7ECCCDBA" w14:textId="6E5B36D2" w:rsidR="008B3386" w:rsidRPr="002879AF" w:rsidRDefault="008B3386" w:rsidP="002879AF">
      <w:pPr>
        <w:spacing w:line="360" w:lineRule="auto"/>
      </w:pPr>
      <w:r w:rsidRPr="008B3386">
        <w:t xml:space="preserve">DNPS were collected </w:t>
      </w:r>
      <w:r w:rsidR="00330BD2">
        <w:t xml:space="preserve">(see section 2.2.5.1) </w:t>
      </w:r>
      <w:r w:rsidRPr="008B3386">
        <w:t xml:space="preserve">at baseline </w:t>
      </w:r>
      <w:r>
        <w:t>and at 3 monthly intervals over the 12 month study period (</w:t>
      </w:r>
      <w:r w:rsidR="0068677B" w:rsidRPr="0068677B">
        <w:fldChar w:fldCharType="begin"/>
      </w:r>
      <w:r w:rsidR="0068677B" w:rsidRPr="0068677B">
        <w:instrText xml:space="preserve"> REF _Ref105507081 \h  \* MERGEFORMAT </w:instrText>
      </w:r>
      <w:r w:rsidR="0068677B" w:rsidRPr="0068677B">
        <w:fldChar w:fldCharType="separate"/>
      </w:r>
      <w:r w:rsidR="0068677B" w:rsidRPr="0068677B">
        <w:t xml:space="preserve">Figure </w:t>
      </w:r>
      <w:r w:rsidR="0068677B" w:rsidRPr="0068677B">
        <w:rPr>
          <w:noProof/>
        </w:rPr>
        <w:t>4</w:t>
      </w:r>
      <w:r w:rsidR="0068677B" w:rsidRPr="0068677B">
        <w:noBreakHyphen/>
      </w:r>
      <w:r w:rsidR="0068677B" w:rsidRPr="0068677B">
        <w:rPr>
          <w:noProof/>
        </w:rPr>
        <w:t>2</w:t>
      </w:r>
      <w:r w:rsidR="0068677B" w:rsidRPr="0068677B">
        <w:fldChar w:fldCharType="end"/>
      </w:r>
      <w:r w:rsidRPr="0068677B">
        <w:t>)</w:t>
      </w:r>
      <w:r>
        <w:t xml:space="preserve">. </w:t>
      </w:r>
      <w:r w:rsidR="00765CF6" w:rsidRPr="001D04B2">
        <w:rPr>
          <w:bCs/>
        </w:rPr>
        <w:t xml:space="preserve">The median duration of azithromycin prophylaxis prescribed in the azithromycin group during the study was </w:t>
      </w:r>
      <w:r w:rsidR="00765CF6">
        <w:rPr>
          <w:bCs/>
        </w:rPr>
        <w:t>5 months</w:t>
      </w:r>
      <w:r w:rsidR="00765CF6" w:rsidRPr="001D04B2">
        <w:rPr>
          <w:bCs/>
        </w:rPr>
        <w:t xml:space="preserve"> (</w:t>
      </w:r>
      <w:r w:rsidR="00765CF6">
        <w:rPr>
          <w:bCs/>
        </w:rPr>
        <w:t>IQR 3.5 - 6 months, mean 4.5</w:t>
      </w:r>
      <w:r w:rsidR="0053438B">
        <w:rPr>
          <w:bCs/>
        </w:rPr>
        <w:t>).</w:t>
      </w:r>
      <w:r w:rsidR="00765CF6" w:rsidRPr="001D04B2">
        <w:t xml:space="preserve"> </w:t>
      </w:r>
    </w:p>
    <w:p w14:paraId="3EBB2B2F" w14:textId="77777777" w:rsidR="002879AF" w:rsidRDefault="002879AF" w:rsidP="008B3386">
      <w:pPr>
        <w:shd w:val="clear" w:color="auto" w:fill="FFFFFF" w:themeFill="background1"/>
        <w:spacing w:line="360" w:lineRule="auto"/>
        <w:rPr>
          <w:rFonts w:eastAsia="Calibri" w:cs="Calibri"/>
        </w:rPr>
      </w:pPr>
    </w:p>
    <w:p w14:paraId="11FD57E0" w14:textId="367EEF9D" w:rsidR="008B3386" w:rsidRPr="008F33C8" w:rsidRDefault="00EB0610" w:rsidP="008B3386">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52640" behindDoc="0" locked="0" layoutInCell="1" allowOverlap="1" wp14:anchorId="4C119EB3" wp14:editId="263E76C9">
                <wp:simplePos x="0" y="0"/>
                <wp:positionH relativeFrom="column">
                  <wp:posOffset>4343400</wp:posOffset>
                </wp:positionH>
                <wp:positionV relativeFrom="paragraph">
                  <wp:posOffset>212090</wp:posOffset>
                </wp:positionV>
                <wp:extent cx="174625" cy="270510"/>
                <wp:effectExtent l="19050" t="19050" r="15875" b="0"/>
                <wp:wrapNone/>
                <wp:docPr id="653" name="Arrow: Up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5EC9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53" o:spid="_x0000_s1026" type="#_x0000_t68" style="position:absolute;margin-left:342pt;margin-top:16.7pt;width:13.75pt;height:21.3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" fillcolor="#00b0f0">
                <v:textbox style="layout-flow:vertical-ideographic"/>
              </v:shape>
            </w:pict>
          </mc:Fallback>
        </mc:AlternateContent>
      </w:r>
      <w:r>
        <w:rPr>
          <w:noProof/>
        </w:rPr>
        <mc:AlternateContent>
          <mc:Choice Requires="wps">
            <w:drawing>
              <wp:anchor distT="0" distB="0" distL="114300" distR="114300" simplePos="0" relativeHeight="251942400" behindDoc="0" locked="0" layoutInCell="1" allowOverlap="1" wp14:anchorId="4F78295C" wp14:editId="4BB0A167">
                <wp:simplePos x="0" y="0"/>
                <wp:positionH relativeFrom="column">
                  <wp:posOffset>3387725</wp:posOffset>
                </wp:positionH>
                <wp:positionV relativeFrom="paragraph">
                  <wp:posOffset>217805</wp:posOffset>
                </wp:positionV>
                <wp:extent cx="174625" cy="270510"/>
                <wp:effectExtent l="19050" t="19050" r="15875" b="0"/>
                <wp:wrapNone/>
                <wp:docPr id="652" name="Arrow: Up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4F5C" id="Arrow: Up 652" o:spid="_x0000_s1026" type="#_x0000_t68" style="position:absolute;margin-left:266.75pt;margin-top:17.15pt;width:13.75pt;height:21.3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" fillcolor="#00b0f0">
                <v:textbox style="layout-flow:vertical-ideographic"/>
              </v:shape>
            </w:pict>
          </mc:Fallback>
        </mc:AlternateContent>
      </w:r>
      <w:r>
        <w:rPr>
          <w:noProof/>
        </w:rPr>
        <mc:AlternateContent>
          <mc:Choice Requires="wps">
            <w:drawing>
              <wp:anchor distT="0" distB="0" distL="114300" distR="114300" simplePos="0" relativeHeight="251941376" behindDoc="0" locked="0" layoutInCell="1" allowOverlap="1" wp14:anchorId="20AFB4CB" wp14:editId="729B85DC">
                <wp:simplePos x="0" y="0"/>
                <wp:positionH relativeFrom="column">
                  <wp:posOffset>2479040</wp:posOffset>
                </wp:positionH>
                <wp:positionV relativeFrom="paragraph">
                  <wp:posOffset>217805</wp:posOffset>
                </wp:positionV>
                <wp:extent cx="174625" cy="270510"/>
                <wp:effectExtent l="19050" t="19050" r="15875" b="0"/>
                <wp:wrapNone/>
                <wp:docPr id="651" name="Arrow: Up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FB99" id="Arrow: Up 651" o:spid="_x0000_s1026" type="#_x0000_t68" style="position:absolute;margin-left:195.2pt;margin-top:17.15pt;width:13.75pt;height:21.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" fillcolor="#00b0f0">
                <v:textbox style="layout-flow:vertical-ideographic"/>
              </v:shape>
            </w:pict>
          </mc:Fallback>
        </mc:AlternateContent>
      </w:r>
      <w:r>
        <w:rPr>
          <w:noProof/>
        </w:rPr>
        <mc:AlternateContent>
          <mc:Choice Requires="wps">
            <w:drawing>
              <wp:anchor distT="0" distB="0" distL="114300" distR="114300" simplePos="0" relativeHeight="251940352" behindDoc="0" locked="0" layoutInCell="1" allowOverlap="1" wp14:anchorId="21DB1B55" wp14:editId="3F215938">
                <wp:simplePos x="0" y="0"/>
                <wp:positionH relativeFrom="column">
                  <wp:posOffset>1542415</wp:posOffset>
                </wp:positionH>
                <wp:positionV relativeFrom="paragraph">
                  <wp:posOffset>217805</wp:posOffset>
                </wp:positionV>
                <wp:extent cx="174625" cy="270510"/>
                <wp:effectExtent l="19050" t="19050" r="15875" b="0"/>
                <wp:wrapNone/>
                <wp:docPr id="650" name="Arrow: Up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9DC0" id="Arrow: Up 650" o:spid="_x0000_s1026" type="#_x0000_t68" style="position:absolute;margin-left:121.45pt;margin-top:17.15pt;width:13.75pt;height:21.3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" fillcolor="#00b0f0">
                <v:textbox style="layout-flow:vertical-ideographic"/>
              </v:shape>
            </w:pict>
          </mc:Fallback>
        </mc:AlternateContent>
      </w:r>
      <w:r>
        <w:rPr>
          <w:noProof/>
        </w:rPr>
        <mc:AlternateContent>
          <mc:Choice Requires="wps">
            <w:drawing>
              <wp:anchor distT="0" distB="0" distL="114300" distR="114300" simplePos="0" relativeHeight="251943424" behindDoc="0" locked="0" layoutInCell="1" allowOverlap="1" wp14:anchorId="715AD48B" wp14:editId="2646DC91">
                <wp:simplePos x="0" y="0"/>
                <wp:positionH relativeFrom="column">
                  <wp:posOffset>397510</wp:posOffset>
                </wp:positionH>
                <wp:positionV relativeFrom="paragraph">
                  <wp:posOffset>217805</wp:posOffset>
                </wp:positionV>
                <wp:extent cx="174625" cy="270510"/>
                <wp:effectExtent l="19050" t="19050" r="15875" b="0"/>
                <wp:wrapNone/>
                <wp:docPr id="649" name="Arrow: Up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162A" id="Arrow: Up 649" o:spid="_x0000_s1026" type="#_x0000_t68" style="position:absolute;margin-left:31.3pt;margin-top:17.15pt;width:13.75pt;height:21.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" fillcolor="#00b0f0">
                <v:textbox style="layout-flow:vertical-ideographic"/>
              </v:shape>
            </w:pict>
          </mc:Fallback>
        </mc:AlternateContent>
      </w:r>
    </w:p>
    <w:p w14:paraId="3F20F73B" w14:textId="3C215150" w:rsidR="008B3386" w:rsidRPr="008F33C8" w:rsidRDefault="008B3386" w:rsidP="008B3386">
      <w:pPr>
        <w:shd w:val="clear" w:color="auto" w:fill="FFFFFF" w:themeFill="background1"/>
        <w:spacing w:line="360" w:lineRule="auto"/>
        <w:rPr>
          <w:rFonts w:eastAsia="Calibri" w:cs="Calibri"/>
        </w:rPr>
      </w:pPr>
      <w:r>
        <w:rPr>
          <w:rFonts w:eastAsia="Calibri" w:cs="Calibri"/>
        </w:rPr>
        <w:tab/>
      </w:r>
      <w:r>
        <w:rPr>
          <w:rFonts w:eastAsia="Calibri" w:cs="Calibri"/>
        </w:rPr>
        <w:tab/>
      </w:r>
      <w:r>
        <w:rPr>
          <w:rFonts w:eastAsia="Calibri" w:cs="Calibri"/>
        </w:rPr>
        <w:tab/>
      </w:r>
      <w:r>
        <w:rPr>
          <w:rFonts w:eastAsia="Calibri" w:cs="Calibri"/>
        </w:rPr>
        <w:tab/>
      </w:r>
    </w:p>
    <w:p w14:paraId="6EB95784" w14:textId="431EEE5D" w:rsidR="008B3386" w:rsidRPr="008F33C8" w:rsidRDefault="00EB0610" w:rsidP="008B3386">
      <w:pPr>
        <w:shd w:val="clear" w:color="auto" w:fill="FFFFFF" w:themeFill="background1"/>
        <w:spacing w:line="360" w:lineRule="auto"/>
        <w:rPr>
          <w:rFonts w:eastAsia="Calibri" w:cs="Calibri"/>
        </w:rPr>
      </w:pPr>
      <w:r>
        <w:rPr>
          <w:noProof/>
        </w:rPr>
        <mc:AlternateContent>
          <mc:Choice Requires="wps">
            <w:drawing>
              <wp:anchor distT="4294967295" distB="4294967295" distL="114300" distR="114300" simplePos="0" relativeHeight="251959808" behindDoc="0" locked="0" layoutInCell="1" allowOverlap="1" wp14:anchorId="43CCCCD9" wp14:editId="55F21510">
                <wp:simplePos x="0" y="0"/>
                <wp:positionH relativeFrom="column">
                  <wp:posOffset>409575</wp:posOffset>
                </wp:positionH>
                <wp:positionV relativeFrom="paragraph">
                  <wp:posOffset>96519</wp:posOffset>
                </wp:positionV>
                <wp:extent cx="4565650" cy="0"/>
                <wp:effectExtent l="0" t="76200" r="6350" b="7620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5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329598" id="Straight Arrow Connector 648" o:spid="_x0000_s1026" type="#_x0000_t32" style="position:absolute;margin-left:32.25pt;margin-top:7.6pt;width:359.5pt;height:0;z-index:25195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" strokecolor="#5b9bd5 [3204]" strokeweight=".5pt">
                <v:stroke endarrow="block" joinstyle="miter"/>
                <o:lock v:ext="edit" shapetype="f"/>
              </v:shape>
            </w:pict>
          </mc:Fallback>
        </mc:AlternateContent>
      </w:r>
    </w:p>
    <w:p w14:paraId="575F4EEC" w14:textId="57C7C728" w:rsidR="008B3386" w:rsidRPr="008F33C8" w:rsidRDefault="00EB0610" w:rsidP="008B3386">
      <w:pPr>
        <w:shd w:val="clear" w:color="auto" w:fill="FFFFFF" w:themeFill="background1"/>
        <w:spacing w:line="360" w:lineRule="auto"/>
        <w:ind w:firstLine="720"/>
        <w:rPr>
          <w:rFonts w:eastAsia="Calibri" w:cs="Calibri"/>
        </w:rPr>
      </w:pPr>
      <w:r>
        <w:rPr>
          <w:noProof/>
        </w:rPr>
        <mc:AlternateContent>
          <mc:Choice Requires="wps">
            <w:drawing>
              <wp:anchor distT="0" distB="0" distL="114300" distR="114300" simplePos="0" relativeHeight="251977216" behindDoc="0" locked="0" layoutInCell="1" allowOverlap="1" wp14:anchorId="30F84DCB" wp14:editId="374E7413">
                <wp:simplePos x="0" y="0"/>
                <wp:positionH relativeFrom="column">
                  <wp:posOffset>457200</wp:posOffset>
                </wp:positionH>
                <wp:positionV relativeFrom="paragraph">
                  <wp:posOffset>225425</wp:posOffset>
                </wp:positionV>
                <wp:extent cx="1752600" cy="161925"/>
                <wp:effectExtent l="0" t="19050" r="19050" b="28575"/>
                <wp:wrapNone/>
                <wp:docPr id="647" name="Arrow: Right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6192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C31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47" o:spid="_x0000_s1026" type="#_x0000_t13" style="position:absolute;margin-left:36pt;margin-top:17.75pt;width:138pt;height:12.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" adj="20602" fillcolor="#92d050" strokecolor="#00b050" strokeweight="1pt">
                <v:path arrowok="t"/>
              </v:shape>
            </w:pict>
          </mc:Fallback>
        </mc:AlternateContent>
      </w:r>
      <w:r w:rsidR="008B3386" w:rsidRPr="008F33C8">
        <w:rPr>
          <w:rFonts w:eastAsia="Calibri" w:cs="Calibri"/>
        </w:rPr>
        <w:t>Baseline</w:t>
      </w:r>
      <w:r w:rsidR="008B3386" w:rsidRPr="008F33C8">
        <w:rPr>
          <w:rFonts w:eastAsia="Calibri" w:cs="Calibri"/>
        </w:rPr>
        <w:tab/>
      </w:r>
      <w:r w:rsidR="008B3386">
        <w:rPr>
          <w:rFonts w:eastAsia="Calibri" w:cs="Calibri"/>
        </w:rPr>
        <w:t>3</w:t>
      </w:r>
      <w:r w:rsidR="008B3386" w:rsidRPr="008F33C8">
        <w:rPr>
          <w:rFonts w:eastAsia="Calibri" w:cs="Calibri"/>
        </w:rPr>
        <w:t xml:space="preserve"> months</w:t>
      </w:r>
      <w:r w:rsidR="008B3386" w:rsidRPr="008F33C8">
        <w:rPr>
          <w:rFonts w:eastAsia="Calibri" w:cs="Calibri"/>
        </w:rPr>
        <w:tab/>
      </w:r>
      <w:r w:rsidR="008B3386">
        <w:rPr>
          <w:rFonts w:eastAsia="Calibri" w:cs="Calibri"/>
        </w:rPr>
        <w:t>6</w:t>
      </w:r>
      <w:r w:rsidR="008B3386" w:rsidRPr="008F33C8">
        <w:rPr>
          <w:rFonts w:eastAsia="Calibri" w:cs="Calibri"/>
        </w:rPr>
        <w:t xml:space="preserve"> months</w:t>
      </w:r>
      <w:r w:rsidR="008B3386" w:rsidRPr="008F33C8">
        <w:rPr>
          <w:rFonts w:eastAsia="Calibri" w:cs="Calibri"/>
        </w:rPr>
        <w:tab/>
      </w:r>
      <w:r w:rsidR="008B3386">
        <w:rPr>
          <w:rFonts w:eastAsia="Calibri" w:cs="Calibri"/>
        </w:rPr>
        <w:t>9</w:t>
      </w:r>
      <w:r w:rsidR="008B3386" w:rsidRPr="008F33C8">
        <w:rPr>
          <w:rFonts w:eastAsia="Calibri" w:cs="Calibri"/>
        </w:rPr>
        <w:t xml:space="preserve"> months</w:t>
      </w:r>
      <w:r w:rsidR="008B3386">
        <w:rPr>
          <w:rFonts w:eastAsia="Calibri" w:cs="Calibri"/>
        </w:rPr>
        <w:tab/>
        <w:t>12 months</w:t>
      </w:r>
    </w:p>
    <w:p w14:paraId="1E433E87" w14:textId="6FF6A581" w:rsidR="008B3386" w:rsidRPr="008F33C8" w:rsidRDefault="008B3386" w:rsidP="008B3386">
      <w:pPr>
        <w:shd w:val="clear" w:color="auto" w:fill="FFFFFF" w:themeFill="background1"/>
        <w:spacing w:line="360" w:lineRule="auto"/>
        <w:rPr>
          <w:rFonts w:eastAsia="Calibri" w:cs="Calibri"/>
        </w:rPr>
      </w:pPr>
    </w:p>
    <w:p w14:paraId="637A55DD" w14:textId="2FC85F92" w:rsidR="00E72143" w:rsidRDefault="00EB0610" w:rsidP="008B3386">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48544" behindDoc="0" locked="0" layoutInCell="1" allowOverlap="1" wp14:anchorId="48C7F1EB" wp14:editId="035D5D13">
                <wp:simplePos x="0" y="0"/>
                <wp:positionH relativeFrom="column">
                  <wp:posOffset>32385</wp:posOffset>
                </wp:positionH>
                <wp:positionV relativeFrom="paragraph">
                  <wp:posOffset>40005</wp:posOffset>
                </wp:positionV>
                <wp:extent cx="262890" cy="138430"/>
                <wp:effectExtent l="0" t="19050" r="22860" b="13970"/>
                <wp:wrapNone/>
                <wp:docPr id="646" name="Arrow: Right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38430"/>
                        </a:xfrm>
                        <a:prstGeom prst="rightArrow">
                          <a:avLst>
                            <a:gd name="adj1" fmla="val 50000"/>
                            <a:gd name="adj2" fmla="val 47477"/>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E955" id="Arrow: Right 646" o:spid="_x0000_s1026" type="#_x0000_t13" style="position:absolute;margin-left:2.55pt;margin-top:3.15pt;width:20.7pt;height:10.9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" fillcolor="#00b0f0"/>
            </w:pict>
          </mc:Fallback>
        </mc:AlternateContent>
      </w:r>
      <w:r w:rsidR="008B3386" w:rsidRPr="008F33C8">
        <w:rPr>
          <w:rFonts w:eastAsia="Calibri" w:cs="Calibri"/>
        </w:rPr>
        <w:tab/>
      </w:r>
      <w:r w:rsidR="00E72143">
        <w:rPr>
          <w:rFonts w:eastAsia="Calibri" w:cs="Calibri"/>
        </w:rPr>
        <w:t>DNPS collected</w:t>
      </w:r>
    </w:p>
    <w:p w14:paraId="23E08B93" w14:textId="2D74790D" w:rsidR="00872617" w:rsidRDefault="00EB0610" w:rsidP="008B3386">
      <w:pPr>
        <w:shd w:val="clear" w:color="auto" w:fill="FFFFFF" w:themeFill="background1"/>
        <w:spacing w:line="360" w:lineRule="auto"/>
        <w:rPr>
          <w:rFonts w:eastAsia="Calibri" w:cs="Calibri"/>
        </w:rPr>
      </w:pPr>
      <w:r>
        <w:rPr>
          <w:noProof/>
        </w:rPr>
        <mc:AlternateContent>
          <mc:Choice Requires="wps">
            <w:drawing>
              <wp:anchor distT="4294967295" distB="4294967295" distL="114300" distR="114300" simplePos="0" relativeHeight="251975168" behindDoc="0" locked="0" layoutInCell="1" allowOverlap="1" wp14:anchorId="656B6A09" wp14:editId="67921047">
                <wp:simplePos x="0" y="0"/>
                <wp:positionH relativeFrom="column">
                  <wp:posOffset>28575</wp:posOffset>
                </wp:positionH>
                <wp:positionV relativeFrom="paragraph">
                  <wp:posOffset>94614</wp:posOffset>
                </wp:positionV>
                <wp:extent cx="262890" cy="0"/>
                <wp:effectExtent l="0" t="95250" r="0" b="76200"/>
                <wp:wrapNone/>
                <wp:docPr id="645" name="Straight Arrow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 cy="0"/>
                        </a:xfrm>
                        <a:prstGeom prst="straightConnector1">
                          <a:avLst/>
                        </a:prstGeom>
                        <a:ln w="38100">
                          <a:solidFill>
                            <a:srgbClr val="92D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F0A7EB" id="Straight Arrow Connector 645" o:spid="_x0000_s1026" type="#_x0000_t32" style="position:absolute;margin-left:2.25pt;margin-top:7.45pt;width:20.7pt;height:0;z-index:25197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" strokecolor="#92d050" strokeweight="3pt">
                <v:stroke endarrow="block" joinstyle="miter"/>
                <o:lock v:ext="edit" shapetype="f"/>
              </v:shape>
            </w:pict>
          </mc:Fallback>
        </mc:AlternateContent>
      </w:r>
      <w:r w:rsidR="00872617">
        <w:rPr>
          <w:rFonts w:eastAsia="Calibri" w:cs="Calibri"/>
        </w:rPr>
        <w:tab/>
        <w:t>Azithromycin exposure over winter months</w:t>
      </w:r>
    </w:p>
    <w:p w14:paraId="6854AC6E" w14:textId="77777777" w:rsidR="002879AF" w:rsidRDefault="002879AF" w:rsidP="008B3386">
      <w:pPr>
        <w:shd w:val="clear" w:color="auto" w:fill="FFFFFF" w:themeFill="background1"/>
        <w:spacing w:line="360" w:lineRule="auto"/>
        <w:rPr>
          <w:rFonts w:eastAsia="Calibri" w:cs="Calibri"/>
        </w:rPr>
      </w:pPr>
    </w:p>
    <w:p w14:paraId="533689D8" w14:textId="7D0299CE" w:rsidR="0068677B" w:rsidRPr="0068677B" w:rsidRDefault="0068677B" w:rsidP="0068677B">
      <w:pPr>
        <w:pStyle w:val="Caption"/>
        <w:rPr>
          <w:rFonts w:eastAsia="Calibri" w:cs="Calibri"/>
          <w:i w:val="0"/>
          <w:iCs w:val="0"/>
          <w:color w:val="auto"/>
          <w:sz w:val="24"/>
          <w:szCs w:val="24"/>
        </w:rPr>
      </w:pPr>
      <w:bookmarkStart w:id="172" w:name="_Ref105507081"/>
      <w:bookmarkStart w:id="173" w:name="_Toc117780219"/>
      <w:r w:rsidRPr="0068677B">
        <w:rPr>
          <w:b/>
          <w:bCs/>
          <w:i w:val="0"/>
          <w:iCs w:val="0"/>
          <w:color w:val="auto"/>
          <w:sz w:val="24"/>
          <w:szCs w:val="24"/>
        </w:rPr>
        <w:t xml:space="preserve">Figure </w:t>
      </w:r>
      <w:r w:rsidR="00F42C6F">
        <w:rPr>
          <w:b/>
          <w:bCs/>
          <w:i w:val="0"/>
          <w:iCs w:val="0"/>
          <w:color w:val="auto"/>
          <w:sz w:val="24"/>
          <w:szCs w:val="24"/>
        </w:rPr>
        <w:fldChar w:fldCharType="begin"/>
      </w:r>
      <w:r w:rsidR="00F42C6F">
        <w:rPr>
          <w:b/>
          <w:bCs/>
          <w:i w:val="0"/>
          <w:iCs w:val="0"/>
          <w:color w:val="auto"/>
          <w:sz w:val="24"/>
          <w:szCs w:val="24"/>
        </w:rPr>
        <w:instrText xml:space="preserve"> STYLEREF 1 \s </w:instrText>
      </w:r>
      <w:r w:rsidR="00F42C6F">
        <w:rPr>
          <w:b/>
          <w:bCs/>
          <w:i w:val="0"/>
          <w:iCs w:val="0"/>
          <w:color w:val="auto"/>
          <w:sz w:val="24"/>
          <w:szCs w:val="24"/>
        </w:rPr>
        <w:fldChar w:fldCharType="separate"/>
      </w:r>
      <w:r w:rsidR="006411A3">
        <w:rPr>
          <w:b/>
          <w:bCs/>
          <w:i w:val="0"/>
          <w:iCs w:val="0"/>
          <w:noProof/>
          <w:color w:val="auto"/>
          <w:sz w:val="24"/>
          <w:szCs w:val="24"/>
        </w:rPr>
        <w:t>4</w:t>
      </w:r>
      <w:r w:rsidR="00F42C6F">
        <w:rPr>
          <w:b/>
          <w:bCs/>
          <w:i w:val="0"/>
          <w:iCs w:val="0"/>
          <w:color w:val="auto"/>
          <w:sz w:val="24"/>
          <w:szCs w:val="24"/>
        </w:rPr>
        <w:fldChar w:fldCharType="end"/>
      </w:r>
      <w:r w:rsidR="00F42C6F">
        <w:rPr>
          <w:b/>
          <w:bCs/>
          <w:i w:val="0"/>
          <w:iCs w:val="0"/>
          <w:color w:val="auto"/>
          <w:sz w:val="24"/>
          <w:szCs w:val="24"/>
        </w:rPr>
        <w:noBreakHyphen/>
      </w:r>
      <w:r w:rsidR="00F42C6F">
        <w:rPr>
          <w:b/>
          <w:bCs/>
          <w:i w:val="0"/>
          <w:iCs w:val="0"/>
          <w:color w:val="auto"/>
          <w:sz w:val="24"/>
          <w:szCs w:val="24"/>
        </w:rPr>
        <w:fldChar w:fldCharType="begin"/>
      </w:r>
      <w:r w:rsidR="00F42C6F">
        <w:rPr>
          <w:b/>
          <w:bCs/>
          <w:i w:val="0"/>
          <w:iCs w:val="0"/>
          <w:color w:val="auto"/>
          <w:sz w:val="24"/>
          <w:szCs w:val="24"/>
        </w:rPr>
        <w:instrText xml:space="preserve"> SEQ Figure \* ARABIC \s 1 </w:instrText>
      </w:r>
      <w:r w:rsidR="00F42C6F">
        <w:rPr>
          <w:b/>
          <w:bCs/>
          <w:i w:val="0"/>
          <w:iCs w:val="0"/>
          <w:color w:val="auto"/>
          <w:sz w:val="24"/>
          <w:szCs w:val="24"/>
        </w:rPr>
        <w:fldChar w:fldCharType="separate"/>
      </w:r>
      <w:r w:rsidR="006411A3">
        <w:rPr>
          <w:b/>
          <w:bCs/>
          <w:i w:val="0"/>
          <w:iCs w:val="0"/>
          <w:noProof/>
          <w:color w:val="auto"/>
          <w:sz w:val="24"/>
          <w:szCs w:val="24"/>
        </w:rPr>
        <w:t>2</w:t>
      </w:r>
      <w:r w:rsidR="00F42C6F">
        <w:rPr>
          <w:b/>
          <w:bCs/>
          <w:i w:val="0"/>
          <w:iCs w:val="0"/>
          <w:color w:val="auto"/>
          <w:sz w:val="24"/>
          <w:szCs w:val="24"/>
        </w:rPr>
        <w:fldChar w:fldCharType="end"/>
      </w:r>
      <w:bookmarkEnd w:id="172"/>
      <w:r w:rsidRPr="0068677B">
        <w:rPr>
          <w:b/>
          <w:bCs/>
          <w:i w:val="0"/>
          <w:iCs w:val="0"/>
          <w:color w:val="auto"/>
          <w:sz w:val="24"/>
          <w:szCs w:val="24"/>
        </w:rPr>
        <w:t>:</w:t>
      </w:r>
      <w:r w:rsidRPr="0068677B">
        <w:rPr>
          <w:i w:val="0"/>
          <w:iCs w:val="0"/>
          <w:color w:val="auto"/>
          <w:sz w:val="24"/>
          <w:szCs w:val="24"/>
        </w:rPr>
        <w:t xml:space="preserve"> Timeline of swab collection in PBB study 1</w:t>
      </w:r>
      <w:bookmarkEnd w:id="173"/>
    </w:p>
    <w:p w14:paraId="5FA05F86" w14:textId="78F583D3" w:rsidR="008B3386" w:rsidRPr="00C37E37" w:rsidRDefault="00E72143" w:rsidP="002879AF">
      <w:pPr>
        <w:shd w:val="clear" w:color="auto" w:fill="FFFFFF" w:themeFill="background1"/>
        <w:spacing w:line="360" w:lineRule="auto"/>
        <w:rPr>
          <w:rFonts w:eastAsia="Calibri" w:cs="Calibri"/>
          <w:i/>
          <w:iCs/>
        </w:rPr>
      </w:pPr>
      <w:r w:rsidRPr="00C37E37">
        <w:rPr>
          <w:rFonts w:eastAsia="Calibri" w:cs="Calibri"/>
          <w:i/>
          <w:iCs/>
        </w:rPr>
        <w:t>Deep nasopharyngeal swabs were collected at baseline and then every 4 months for the 12 month study period. Swabs were cultured for S. pneumoniae, H. influenzae, M. catarrhalis and S aureus. Any isolates were susceptibility tested to azithromycin</w:t>
      </w:r>
      <w:r w:rsidR="00D10BC4">
        <w:rPr>
          <w:rFonts w:eastAsia="Calibri" w:cs="Calibri"/>
          <w:i/>
          <w:iCs/>
        </w:rPr>
        <w:t>. The median duration of long term azithromycin administration was 5 months in the azithromycin group.</w:t>
      </w:r>
    </w:p>
    <w:p w14:paraId="74725CA8" w14:textId="77777777" w:rsidR="008B3386" w:rsidRPr="008B3386" w:rsidRDefault="008B3386" w:rsidP="008B3386">
      <w:pPr>
        <w:shd w:val="clear" w:color="auto" w:fill="FFFFFF" w:themeFill="background1"/>
        <w:spacing w:line="360" w:lineRule="auto"/>
        <w:rPr>
          <w:rFonts w:eastAsia="Calibri" w:cs="Calibri"/>
        </w:rPr>
      </w:pPr>
    </w:p>
    <w:p w14:paraId="447EC73B" w14:textId="0940CAC6" w:rsidR="00866CB9" w:rsidRDefault="00E82735" w:rsidP="00284867">
      <w:pPr>
        <w:spacing w:after="160" w:line="360" w:lineRule="auto"/>
      </w:pPr>
      <w:r w:rsidRPr="00241369">
        <w:t xml:space="preserve">Of the 20 children participating, </w:t>
      </w:r>
      <w:r w:rsidR="00CB35A6">
        <w:t xml:space="preserve">17 had all 5 swabs taken </w:t>
      </w:r>
      <w:r w:rsidR="00F61782" w:rsidRPr="00241369">
        <w:t>(3-monthly over a period of 12</w:t>
      </w:r>
      <w:r w:rsidR="00C80ED4">
        <w:t xml:space="preserve"> </w:t>
      </w:r>
      <w:r w:rsidR="00F61782" w:rsidRPr="00241369">
        <w:t>months)</w:t>
      </w:r>
      <w:r w:rsidRPr="00241369">
        <w:t xml:space="preserve"> and completed the study</w:t>
      </w:r>
      <w:r w:rsidR="00F61782" w:rsidRPr="00241369">
        <w:t xml:space="preserve"> (See</w:t>
      </w:r>
      <w:r w:rsidR="0068677B">
        <w:t xml:space="preserve"> </w:t>
      </w:r>
      <w:r w:rsidR="0068677B" w:rsidRPr="0068677B">
        <w:fldChar w:fldCharType="begin"/>
      </w:r>
      <w:r w:rsidR="0068677B" w:rsidRPr="0068677B">
        <w:instrText xml:space="preserve"> REF _Ref105507124 \h  \* MERGEFORMAT </w:instrText>
      </w:r>
      <w:r w:rsidR="0068677B" w:rsidRPr="0068677B">
        <w:fldChar w:fldCharType="separate"/>
      </w:r>
      <w:r w:rsidR="0068677B" w:rsidRPr="0068677B">
        <w:rPr>
          <w:color w:val="000000" w:themeColor="text1"/>
        </w:rPr>
        <w:t xml:space="preserve">Figure </w:t>
      </w:r>
      <w:r w:rsidR="0068677B" w:rsidRPr="0068677B">
        <w:rPr>
          <w:noProof/>
          <w:color w:val="000000" w:themeColor="text1"/>
        </w:rPr>
        <w:t>4</w:t>
      </w:r>
      <w:r w:rsidR="0068677B" w:rsidRPr="0068677B">
        <w:rPr>
          <w:color w:val="000000" w:themeColor="text1"/>
        </w:rPr>
        <w:noBreakHyphen/>
      </w:r>
      <w:r w:rsidR="0068677B" w:rsidRPr="0068677B">
        <w:rPr>
          <w:noProof/>
          <w:color w:val="000000" w:themeColor="text1"/>
        </w:rPr>
        <w:t>3</w:t>
      </w:r>
      <w:r w:rsidR="0068677B" w:rsidRPr="0068677B">
        <w:fldChar w:fldCharType="end"/>
      </w:r>
      <w:r w:rsidR="00F61782" w:rsidRPr="0068677B">
        <w:t>)</w:t>
      </w:r>
      <w:r w:rsidRPr="00241369">
        <w:t xml:space="preserve">. Two children </w:t>
      </w:r>
      <w:r w:rsidR="00FD2F0B">
        <w:t xml:space="preserve">in the </w:t>
      </w:r>
      <w:r w:rsidR="00FD2F0B" w:rsidRPr="00241369">
        <w:t xml:space="preserve">azithromycin group </w:t>
      </w:r>
      <w:r w:rsidRPr="00241369">
        <w:t xml:space="preserve">left the study, </w:t>
      </w:r>
      <w:r w:rsidR="00FD2F0B">
        <w:t>and one discontinued azithromycin prematurely</w:t>
      </w:r>
      <w:r w:rsidR="003828A4">
        <w:t xml:space="preserve"> after 3 doses</w:t>
      </w:r>
      <w:r w:rsidR="00FD2F0B">
        <w:t xml:space="preserve"> but was included in the azithromycin group for analysis</w:t>
      </w:r>
      <w:r w:rsidRPr="00241369">
        <w:t xml:space="preserve">. </w:t>
      </w:r>
      <w:r w:rsidR="00CB35A6">
        <w:t xml:space="preserve">One participant in the </w:t>
      </w:r>
      <w:r w:rsidR="002344C1">
        <w:t xml:space="preserve">azithromycin </w:t>
      </w:r>
      <w:r w:rsidR="00CB35A6">
        <w:t xml:space="preserve">group did not have the final swab taken due to the COVID-19 pandemic. At the time it was due to be taken, it was deemed to high risk to collect the swab. </w:t>
      </w:r>
      <w:r w:rsidRPr="00241369">
        <w:t xml:space="preserve">A total of </w:t>
      </w:r>
      <w:r w:rsidR="00CB35A6">
        <w:t>93</w:t>
      </w:r>
      <w:r w:rsidRPr="00241369">
        <w:t xml:space="preserve"> swabs </w:t>
      </w:r>
      <w:r w:rsidR="00CB35A6">
        <w:t>were collected</w:t>
      </w:r>
      <w:r w:rsidR="00866CB9">
        <w:t xml:space="preserve"> during the study period</w:t>
      </w:r>
      <w:r w:rsidRPr="00241369">
        <w:t>.</w:t>
      </w:r>
    </w:p>
    <w:p w14:paraId="532AA995" w14:textId="5FA9B7BB" w:rsidR="00765CF6" w:rsidRDefault="008D566E" w:rsidP="008D566E">
      <w:pPr>
        <w:spacing w:line="360" w:lineRule="auto"/>
      </w:pPr>
      <w:r w:rsidRPr="00241369">
        <w:t xml:space="preserve">Of </w:t>
      </w:r>
      <w:r>
        <w:t>93 swabs collected</w:t>
      </w:r>
      <w:r w:rsidRPr="00241369">
        <w:t xml:space="preserve">, </w:t>
      </w:r>
      <w:r>
        <w:t>5</w:t>
      </w:r>
      <w:r w:rsidRPr="00241369">
        <w:t xml:space="preserve">5 swabs grew one or more of the following bacteria: </w:t>
      </w:r>
      <w:r w:rsidRPr="00241369">
        <w:rPr>
          <w:i/>
        </w:rPr>
        <w:t>S. pneumonia</w:t>
      </w:r>
      <w:r w:rsidR="00330BD2">
        <w:rPr>
          <w:i/>
        </w:rPr>
        <w:t>e</w:t>
      </w:r>
      <w:r w:rsidR="00E04CDC">
        <w:rPr>
          <w:i/>
        </w:rPr>
        <w:t xml:space="preserve"> (25 isolates)</w:t>
      </w:r>
      <w:r w:rsidRPr="00241369">
        <w:t xml:space="preserve">, </w:t>
      </w:r>
      <w:r w:rsidRPr="00241369">
        <w:rPr>
          <w:i/>
        </w:rPr>
        <w:t>H. influenzae</w:t>
      </w:r>
      <w:r w:rsidR="00E04CDC">
        <w:rPr>
          <w:i/>
        </w:rPr>
        <w:t xml:space="preserve"> (30 isolates)</w:t>
      </w:r>
      <w:r w:rsidRPr="00241369">
        <w:t xml:space="preserve">, </w:t>
      </w:r>
      <w:r w:rsidRPr="00241369">
        <w:rPr>
          <w:i/>
        </w:rPr>
        <w:t>M. catarrhalis</w:t>
      </w:r>
      <w:r w:rsidR="00E04CDC">
        <w:rPr>
          <w:i/>
        </w:rPr>
        <w:t xml:space="preserve"> (18 isolates)</w:t>
      </w:r>
      <w:r w:rsidRPr="00241369">
        <w:t xml:space="preserve"> or </w:t>
      </w:r>
      <w:r w:rsidRPr="00241369">
        <w:rPr>
          <w:i/>
        </w:rPr>
        <w:t>S. aureus</w:t>
      </w:r>
      <w:r w:rsidR="00E04CDC">
        <w:rPr>
          <w:i/>
        </w:rPr>
        <w:t xml:space="preserve"> (6 isolates)</w:t>
      </w:r>
      <w:r>
        <w:t xml:space="preserve">. </w:t>
      </w:r>
      <w:r w:rsidRPr="00241369">
        <w:t>At baseline</w:t>
      </w:r>
      <w:r w:rsidR="00C80ED4">
        <w:t>,</w:t>
      </w:r>
      <w:r>
        <w:t xml:space="preserve"> 4 out of 10 children had azithromycin</w:t>
      </w:r>
      <w:r w:rsidR="00DF5E9F">
        <w:t xml:space="preserve"> </w:t>
      </w:r>
      <w:r>
        <w:t>resistant bacteria in the comparison group (1 MIC missing) and 2 out of 10 in the azithromycin group (</w:t>
      </w:r>
      <w:r w:rsidR="00C37E37" w:rsidRPr="00C37E37">
        <w:fldChar w:fldCharType="begin"/>
      </w:r>
      <w:r w:rsidR="00C37E37" w:rsidRPr="00C37E37">
        <w:instrText xml:space="preserve"> REF _Ref105612956 \h  \* MERGEFORMAT </w:instrText>
      </w:r>
      <w:r w:rsidR="00C37E37" w:rsidRPr="00C37E37">
        <w:fldChar w:fldCharType="separate"/>
      </w:r>
      <w:r w:rsidR="00C37E37" w:rsidRPr="00C37E37">
        <w:t xml:space="preserve">Table </w:t>
      </w:r>
      <w:r w:rsidR="00C37E37" w:rsidRPr="00C37E37">
        <w:rPr>
          <w:noProof/>
        </w:rPr>
        <w:t>13</w:t>
      </w:r>
      <w:r w:rsidR="00C37E37" w:rsidRPr="00C37E37">
        <w:fldChar w:fldCharType="end"/>
      </w:r>
      <w:r w:rsidRPr="00C37E37">
        <w:t>)</w:t>
      </w:r>
      <w:r>
        <w:t>.</w:t>
      </w:r>
      <w:r w:rsidR="00E036EB">
        <w:t xml:space="preserve"> One child in the comparison group had 2 different azithromycin resistant bacteria grown from one swab hence 5 resistant isolates from 4 swabs.</w:t>
      </w:r>
    </w:p>
    <w:p w14:paraId="455F7D98" w14:textId="77777777" w:rsidR="00A76996" w:rsidRDefault="00A76996" w:rsidP="008D566E">
      <w:pPr>
        <w:spacing w:line="360" w:lineRule="auto"/>
      </w:pPr>
    </w:p>
    <w:p w14:paraId="2408F0CB" w14:textId="3C531897" w:rsidR="00A76996" w:rsidRDefault="00A76996" w:rsidP="008D566E">
      <w:pPr>
        <w:spacing w:line="360" w:lineRule="auto"/>
      </w:pPr>
    </w:p>
    <w:p w14:paraId="5AE32DE6" w14:textId="5864B09D" w:rsidR="002879AF" w:rsidRDefault="002879AF" w:rsidP="008D566E">
      <w:pPr>
        <w:spacing w:line="360" w:lineRule="auto"/>
      </w:pPr>
    </w:p>
    <w:p w14:paraId="650D9131" w14:textId="77777777" w:rsidR="002879AF" w:rsidRDefault="002879AF" w:rsidP="008D566E">
      <w:pPr>
        <w:spacing w:line="360" w:lineRule="auto"/>
      </w:pPr>
    </w:p>
    <w:p w14:paraId="18A020EA" w14:textId="395E9971" w:rsidR="00C55378" w:rsidRPr="00C55378" w:rsidRDefault="00C55378" w:rsidP="00C55378">
      <w:pPr>
        <w:spacing w:line="360" w:lineRule="auto"/>
      </w:pPr>
      <w:bookmarkStart w:id="174" w:name="_Ref105612956"/>
      <w:bookmarkStart w:id="175" w:name="_Toc117780254"/>
      <w:r w:rsidRPr="00C55378">
        <w:rPr>
          <w:b/>
          <w:bCs/>
        </w:rPr>
        <w:lastRenderedPageBreak/>
        <w:t xml:space="preserve">Table </w:t>
      </w:r>
      <w:r w:rsidR="002C440E">
        <w:rPr>
          <w:b/>
          <w:bCs/>
        </w:rPr>
        <w:fldChar w:fldCharType="begin"/>
      </w:r>
      <w:r w:rsidR="002C440E">
        <w:rPr>
          <w:b/>
          <w:bCs/>
        </w:rPr>
        <w:instrText xml:space="preserve"> SEQ Table \* ARABIC </w:instrText>
      </w:r>
      <w:r w:rsidR="002C440E">
        <w:rPr>
          <w:b/>
          <w:bCs/>
        </w:rPr>
        <w:fldChar w:fldCharType="separate"/>
      </w:r>
      <w:r w:rsidR="00592CBF">
        <w:rPr>
          <w:b/>
          <w:bCs/>
          <w:noProof/>
        </w:rPr>
        <w:t>13</w:t>
      </w:r>
      <w:r w:rsidR="002C440E">
        <w:rPr>
          <w:b/>
          <w:bCs/>
        </w:rPr>
        <w:fldChar w:fldCharType="end"/>
      </w:r>
      <w:bookmarkEnd w:id="174"/>
      <w:r w:rsidRPr="00C55378">
        <w:rPr>
          <w:b/>
          <w:bCs/>
        </w:rPr>
        <w:t>:</w:t>
      </w:r>
      <w:r>
        <w:t xml:space="preserve"> Baseline azithromycin resistance in PPB study 1</w:t>
      </w:r>
      <w:bookmarkEnd w:id="175"/>
    </w:p>
    <w:tbl>
      <w:tblPr>
        <w:tblStyle w:val="TableGrid"/>
        <w:tblW w:w="9918" w:type="dxa"/>
        <w:tblLook w:val="04A0" w:firstRow="1" w:lastRow="0" w:firstColumn="1" w:lastColumn="0" w:noHBand="0" w:noVBand="1"/>
      </w:tblPr>
      <w:tblGrid>
        <w:gridCol w:w="1551"/>
        <w:gridCol w:w="1275"/>
        <w:gridCol w:w="1457"/>
        <w:gridCol w:w="2398"/>
        <w:gridCol w:w="3237"/>
      </w:tblGrid>
      <w:tr w:rsidR="008D566E" w14:paraId="01276DB7" w14:textId="77777777" w:rsidTr="00FB58EF">
        <w:tc>
          <w:tcPr>
            <w:tcW w:w="1505" w:type="dxa"/>
            <w:shd w:val="clear" w:color="auto" w:fill="9CC2E5" w:themeFill="accent1" w:themeFillTint="99"/>
          </w:tcPr>
          <w:p w14:paraId="42B0235E" w14:textId="77777777" w:rsidR="008D566E" w:rsidRDefault="008D566E">
            <w:r>
              <w:t>Group</w:t>
            </w:r>
          </w:p>
          <w:p w14:paraId="7A49A111" w14:textId="77777777" w:rsidR="008D566E" w:rsidRDefault="008D566E">
            <w:r>
              <w:t>(Total number of swabs)</w:t>
            </w:r>
          </w:p>
        </w:tc>
        <w:tc>
          <w:tcPr>
            <w:tcW w:w="1279" w:type="dxa"/>
            <w:shd w:val="clear" w:color="auto" w:fill="9CC2E5" w:themeFill="accent1" w:themeFillTint="99"/>
          </w:tcPr>
          <w:p w14:paraId="75B4F3CC" w14:textId="77777777" w:rsidR="008D566E" w:rsidRDefault="008D566E">
            <w:r>
              <w:t>DNPS with positive growth</w:t>
            </w:r>
          </w:p>
        </w:tc>
        <w:tc>
          <w:tcPr>
            <w:tcW w:w="1464" w:type="dxa"/>
            <w:shd w:val="clear" w:color="auto" w:fill="9CC2E5" w:themeFill="accent1" w:themeFillTint="99"/>
          </w:tcPr>
          <w:p w14:paraId="39F9C53B" w14:textId="77777777" w:rsidR="008D566E" w:rsidRDefault="008D566E">
            <w:r>
              <w:t>Total number of isolates</w:t>
            </w:r>
          </w:p>
        </w:tc>
        <w:tc>
          <w:tcPr>
            <w:tcW w:w="2410" w:type="dxa"/>
            <w:shd w:val="clear" w:color="auto" w:fill="9CC2E5" w:themeFill="accent1" w:themeFillTint="99"/>
          </w:tcPr>
          <w:p w14:paraId="3E104678" w14:textId="6C84E7B2" w:rsidR="008D566E" w:rsidRDefault="008D566E">
            <w:r>
              <w:t>Number of azithromycin</w:t>
            </w:r>
            <w:r w:rsidR="00DF5E9F">
              <w:t xml:space="preserve"> </w:t>
            </w:r>
            <w:r>
              <w:t>resistant isolates</w:t>
            </w:r>
          </w:p>
        </w:tc>
        <w:tc>
          <w:tcPr>
            <w:tcW w:w="3260" w:type="dxa"/>
            <w:shd w:val="clear" w:color="auto" w:fill="9CC2E5" w:themeFill="accent1" w:themeFillTint="99"/>
          </w:tcPr>
          <w:p w14:paraId="0955AF8D" w14:textId="0F7592D7" w:rsidR="008D566E" w:rsidRDefault="008D566E">
            <w:r>
              <w:t>Number of swabs with azithromycin</w:t>
            </w:r>
            <w:r w:rsidR="00DF5E9F">
              <w:t xml:space="preserve"> </w:t>
            </w:r>
            <w:r>
              <w:t>resistant isolates</w:t>
            </w:r>
          </w:p>
          <w:p w14:paraId="116C41DD" w14:textId="7ED0A2D5" w:rsidR="00C12981" w:rsidRDefault="00FD2F0B">
            <w:r>
              <w:t>(</w:t>
            </w:r>
            <w:r w:rsidR="00C12981">
              <w:t>Number of children</w:t>
            </w:r>
            <w:r>
              <w:t>)</w:t>
            </w:r>
          </w:p>
        </w:tc>
      </w:tr>
      <w:tr w:rsidR="008D566E" w14:paraId="71AC86B7" w14:textId="77777777" w:rsidTr="00703D08">
        <w:tc>
          <w:tcPr>
            <w:tcW w:w="1505" w:type="dxa"/>
          </w:tcPr>
          <w:p w14:paraId="60A8C252" w14:textId="77777777" w:rsidR="008D566E" w:rsidRDefault="008D566E" w:rsidP="00FB58EF">
            <w:r>
              <w:t>Comparison</w:t>
            </w:r>
          </w:p>
          <w:p w14:paraId="4533B083" w14:textId="77777777" w:rsidR="008D566E" w:rsidRDefault="008D566E" w:rsidP="00FB58EF">
            <w:r>
              <w:t>(10 swabs)</w:t>
            </w:r>
          </w:p>
        </w:tc>
        <w:tc>
          <w:tcPr>
            <w:tcW w:w="1279" w:type="dxa"/>
          </w:tcPr>
          <w:p w14:paraId="6B076608" w14:textId="77777777" w:rsidR="008D566E" w:rsidRDefault="008D566E" w:rsidP="00FB58EF">
            <w:r>
              <w:t>6</w:t>
            </w:r>
          </w:p>
        </w:tc>
        <w:tc>
          <w:tcPr>
            <w:tcW w:w="1464" w:type="dxa"/>
          </w:tcPr>
          <w:p w14:paraId="15E235F2" w14:textId="73DF382F" w:rsidR="008D566E" w:rsidRDefault="00322AD8" w:rsidP="00FB58EF">
            <w:r>
              <w:t>9</w:t>
            </w:r>
          </w:p>
        </w:tc>
        <w:tc>
          <w:tcPr>
            <w:tcW w:w="2410" w:type="dxa"/>
          </w:tcPr>
          <w:p w14:paraId="223C5444" w14:textId="77777777" w:rsidR="008D566E" w:rsidRDefault="008D566E" w:rsidP="00FB58EF">
            <w:r>
              <w:t>5</w:t>
            </w:r>
          </w:p>
        </w:tc>
        <w:tc>
          <w:tcPr>
            <w:tcW w:w="3260" w:type="dxa"/>
          </w:tcPr>
          <w:p w14:paraId="7F7975E3" w14:textId="009E6D9A" w:rsidR="008D566E" w:rsidRDefault="008D566E" w:rsidP="00FB58EF">
            <w:r>
              <w:t>4</w:t>
            </w:r>
            <w:r w:rsidR="00C12981">
              <w:t xml:space="preserve"> (4)</w:t>
            </w:r>
          </w:p>
        </w:tc>
      </w:tr>
      <w:tr w:rsidR="008D566E" w14:paraId="75B18FAA" w14:textId="77777777" w:rsidTr="00FB58EF">
        <w:tc>
          <w:tcPr>
            <w:tcW w:w="1505" w:type="dxa"/>
            <w:shd w:val="clear" w:color="auto" w:fill="DEEAF6" w:themeFill="accent1" w:themeFillTint="33"/>
          </w:tcPr>
          <w:p w14:paraId="02B90110" w14:textId="77777777" w:rsidR="008D566E" w:rsidRDefault="008D566E" w:rsidP="00FB58EF">
            <w:r>
              <w:t>Azithromycin</w:t>
            </w:r>
          </w:p>
          <w:p w14:paraId="0E6A698E" w14:textId="77777777" w:rsidR="008D566E" w:rsidRDefault="008D566E" w:rsidP="00FB58EF">
            <w:r>
              <w:t>(10 swabs)</w:t>
            </w:r>
          </w:p>
        </w:tc>
        <w:tc>
          <w:tcPr>
            <w:tcW w:w="1279" w:type="dxa"/>
            <w:shd w:val="clear" w:color="auto" w:fill="DEEAF6" w:themeFill="accent1" w:themeFillTint="33"/>
          </w:tcPr>
          <w:p w14:paraId="23601C8B" w14:textId="77777777" w:rsidR="008D566E" w:rsidRDefault="008D566E" w:rsidP="00FB58EF">
            <w:r>
              <w:t>6</w:t>
            </w:r>
          </w:p>
        </w:tc>
        <w:tc>
          <w:tcPr>
            <w:tcW w:w="1464" w:type="dxa"/>
            <w:shd w:val="clear" w:color="auto" w:fill="DEEAF6" w:themeFill="accent1" w:themeFillTint="33"/>
          </w:tcPr>
          <w:p w14:paraId="3933D491" w14:textId="77777777" w:rsidR="008D566E" w:rsidRDefault="008D566E" w:rsidP="00FB58EF">
            <w:r>
              <w:t>8</w:t>
            </w:r>
          </w:p>
        </w:tc>
        <w:tc>
          <w:tcPr>
            <w:tcW w:w="2410" w:type="dxa"/>
            <w:shd w:val="clear" w:color="auto" w:fill="DEEAF6" w:themeFill="accent1" w:themeFillTint="33"/>
          </w:tcPr>
          <w:p w14:paraId="146E90E0" w14:textId="77777777" w:rsidR="008D566E" w:rsidRDefault="008D566E" w:rsidP="00FB58EF">
            <w:r>
              <w:t>2</w:t>
            </w:r>
          </w:p>
        </w:tc>
        <w:tc>
          <w:tcPr>
            <w:tcW w:w="3260" w:type="dxa"/>
            <w:shd w:val="clear" w:color="auto" w:fill="DEEAF6" w:themeFill="accent1" w:themeFillTint="33"/>
          </w:tcPr>
          <w:p w14:paraId="70B89ED0" w14:textId="387BEBEA" w:rsidR="008D566E" w:rsidRDefault="008D566E" w:rsidP="00FB58EF">
            <w:r>
              <w:t>2</w:t>
            </w:r>
            <w:r w:rsidR="00C12981">
              <w:t xml:space="preserve"> (2)</w:t>
            </w:r>
          </w:p>
        </w:tc>
      </w:tr>
    </w:tbl>
    <w:p w14:paraId="2220E22F" w14:textId="37E16192" w:rsidR="00866CB9" w:rsidRDefault="00866CB9" w:rsidP="00E82735">
      <w:pPr>
        <w:spacing w:line="360" w:lineRule="auto"/>
      </w:pPr>
    </w:p>
    <w:p w14:paraId="5C68FEC5" w14:textId="01166876" w:rsidR="008D566E" w:rsidRDefault="008D566E" w:rsidP="00E82735">
      <w:pPr>
        <w:spacing w:line="360" w:lineRule="auto"/>
      </w:pPr>
      <w:r>
        <w:t>During the study</w:t>
      </w:r>
      <w:r w:rsidR="00FA2D62">
        <w:t>, excluding the baseline swabs,</w:t>
      </w:r>
      <w:r w:rsidR="00C10372">
        <w:t xml:space="preserve"> 28 out of the 40 swabs collected in the comparison group had growth of at least one bacteria</w:t>
      </w:r>
      <w:r w:rsidR="00FD2F0B">
        <w:t xml:space="preserve">l respiratory pathogen </w:t>
      </w:r>
      <w:r w:rsidR="00754929">
        <w:t>(</w:t>
      </w:r>
      <w:r w:rsidR="00754929" w:rsidRPr="00754929">
        <w:fldChar w:fldCharType="begin"/>
      </w:r>
      <w:r w:rsidR="00754929" w:rsidRPr="00754929">
        <w:instrText xml:space="preserve"> REF _Ref105613114 \h  \* MERGEFORMAT </w:instrText>
      </w:r>
      <w:r w:rsidR="00754929" w:rsidRPr="00754929">
        <w:fldChar w:fldCharType="separate"/>
      </w:r>
      <w:r w:rsidR="00754929" w:rsidRPr="00754929">
        <w:rPr>
          <w:color w:val="000000" w:themeColor="text1"/>
        </w:rPr>
        <w:t xml:space="preserve">Table </w:t>
      </w:r>
      <w:r w:rsidR="00754929" w:rsidRPr="00754929">
        <w:rPr>
          <w:noProof/>
          <w:color w:val="000000" w:themeColor="text1"/>
        </w:rPr>
        <w:t>14</w:t>
      </w:r>
      <w:r w:rsidR="00754929" w:rsidRPr="00754929">
        <w:fldChar w:fldCharType="end"/>
      </w:r>
      <w:r w:rsidR="00754929">
        <w:t>)</w:t>
      </w:r>
      <w:r w:rsidR="00C10372" w:rsidRPr="00754929">
        <w:t>.</w:t>
      </w:r>
      <w:r w:rsidR="00C10372">
        <w:t xml:space="preserve"> From </w:t>
      </w:r>
      <w:r w:rsidR="00C10372" w:rsidRPr="000F525A">
        <w:t>these 28 swabs, 3</w:t>
      </w:r>
      <w:r w:rsidR="000F525A" w:rsidRPr="000F525A">
        <w:t>9</w:t>
      </w:r>
      <w:r w:rsidR="00C10372" w:rsidRPr="000F525A">
        <w:t xml:space="preserve"> bacteria</w:t>
      </w:r>
      <w:r w:rsidR="00C10372">
        <w:t xml:space="preserve"> were isolated of which 2</w:t>
      </w:r>
      <w:r w:rsidR="000F525A">
        <w:t>3</w:t>
      </w:r>
      <w:r w:rsidR="00C10372">
        <w:t xml:space="preserve"> were </w:t>
      </w:r>
      <w:r w:rsidR="00FD2F0B">
        <w:t>classed as</w:t>
      </w:r>
      <w:r w:rsidR="00C10372">
        <w:t xml:space="preserve"> azithromycin resistant</w:t>
      </w:r>
      <w:r w:rsidR="00FD2F0B">
        <w:t xml:space="preserve"> by standard microbiology laboratory analysis (E-test strips, section 2.2.5.2)</w:t>
      </w:r>
      <w:r w:rsidR="00C10372">
        <w:t>. All 10 children in the comparison group had at least one swab with azithromycin resistant bacterial growth. In the azithromycin group, 33 swabs were collected</w:t>
      </w:r>
      <w:r w:rsidR="002A27D6">
        <w:t xml:space="preserve">. Of these swabs, </w:t>
      </w:r>
      <w:r w:rsidR="00A7631C">
        <w:t>23 bacteria were isolated of which 14 were azithromycin</w:t>
      </w:r>
      <w:r w:rsidR="00DF5E9F">
        <w:t xml:space="preserve"> </w:t>
      </w:r>
      <w:r w:rsidR="00A7631C">
        <w:t>resistant. During the study, 5 children in the azithromycin group had at least one swab with azithromycin resistant bacteria</w:t>
      </w:r>
      <w:r w:rsidR="006528B5">
        <w:t>l isolate of a potential respiratory pathogen</w:t>
      </w:r>
      <w:r w:rsidR="00A7631C">
        <w:t xml:space="preserve"> (1 MIC missed). </w:t>
      </w:r>
      <w:r w:rsidR="00CB73BA">
        <w:t>All the bacterial isolates from PBB study 1 were frozen for subsequent analysis</w:t>
      </w:r>
      <w:r w:rsidR="00825FA7">
        <w:t xml:space="preserve"> after initial susceptibility testing</w:t>
      </w:r>
      <w:r w:rsidR="00CB73BA">
        <w:t>.</w:t>
      </w:r>
    </w:p>
    <w:p w14:paraId="730E0031" w14:textId="77777777" w:rsidR="00A76996" w:rsidRDefault="00A76996" w:rsidP="00E82735">
      <w:pPr>
        <w:spacing w:line="360" w:lineRule="auto"/>
      </w:pPr>
    </w:p>
    <w:tbl>
      <w:tblPr>
        <w:tblStyle w:val="TableGrid"/>
        <w:tblpPr w:leftFromText="180" w:rightFromText="180" w:vertAnchor="text" w:tblpY="503"/>
        <w:tblW w:w="9918" w:type="dxa"/>
        <w:tblLook w:val="04A0" w:firstRow="1" w:lastRow="0" w:firstColumn="1" w:lastColumn="0" w:noHBand="0" w:noVBand="1"/>
      </w:tblPr>
      <w:tblGrid>
        <w:gridCol w:w="1550"/>
        <w:gridCol w:w="1740"/>
        <w:gridCol w:w="1691"/>
        <w:gridCol w:w="2259"/>
        <w:gridCol w:w="2678"/>
      </w:tblGrid>
      <w:tr w:rsidR="009951A9" w14:paraId="39E9D3D5" w14:textId="77777777" w:rsidTr="009951A9">
        <w:tc>
          <w:tcPr>
            <w:tcW w:w="1505" w:type="dxa"/>
            <w:shd w:val="clear" w:color="auto" w:fill="9CC2E5" w:themeFill="accent1" w:themeFillTint="99"/>
          </w:tcPr>
          <w:p w14:paraId="6489F6DC" w14:textId="77777777" w:rsidR="009951A9" w:rsidRDefault="009951A9" w:rsidP="009951A9">
            <w:bookmarkStart w:id="176" w:name="_Ref105613114"/>
            <w:r>
              <w:t>Group</w:t>
            </w:r>
          </w:p>
          <w:p w14:paraId="1BD04C50" w14:textId="77777777" w:rsidR="009951A9" w:rsidRDefault="009951A9" w:rsidP="009951A9">
            <w:r>
              <w:t>(total number of swabs)</w:t>
            </w:r>
          </w:p>
        </w:tc>
        <w:tc>
          <w:tcPr>
            <w:tcW w:w="1751" w:type="dxa"/>
            <w:shd w:val="clear" w:color="auto" w:fill="9CC2E5" w:themeFill="accent1" w:themeFillTint="99"/>
          </w:tcPr>
          <w:p w14:paraId="210C4C3E" w14:textId="77777777" w:rsidR="009951A9" w:rsidRDefault="009951A9" w:rsidP="009951A9">
            <w:r>
              <w:t>DNPS with positive growth</w:t>
            </w:r>
          </w:p>
        </w:tc>
        <w:tc>
          <w:tcPr>
            <w:tcW w:w="1701" w:type="dxa"/>
            <w:shd w:val="clear" w:color="auto" w:fill="9CC2E5" w:themeFill="accent1" w:themeFillTint="99"/>
          </w:tcPr>
          <w:p w14:paraId="6FD59C52" w14:textId="77777777" w:rsidR="009951A9" w:rsidRDefault="009951A9" w:rsidP="009951A9">
            <w:r>
              <w:t>Total number of isolates</w:t>
            </w:r>
          </w:p>
        </w:tc>
        <w:tc>
          <w:tcPr>
            <w:tcW w:w="2268" w:type="dxa"/>
            <w:shd w:val="clear" w:color="auto" w:fill="9CC2E5" w:themeFill="accent1" w:themeFillTint="99"/>
          </w:tcPr>
          <w:p w14:paraId="70DADFA9" w14:textId="7A3B5891" w:rsidR="009951A9" w:rsidRDefault="009951A9" w:rsidP="009951A9">
            <w:r>
              <w:t xml:space="preserve">Number of </w:t>
            </w:r>
            <w:r w:rsidR="00DB069C">
              <w:t xml:space="preserve">azithromycin- </w:t>
            </w:r>
            <w:r>
              <w:t>resistant isolates</w:t>
            </w:r>
          </w:p>
        </w:tc>
        <w:tc>
          <w:tcPr>
            <w:tcW w:w="2693" w:type="dxa"/>
            <w:shd w:val="clear" w:color="auto" w:fill="9CC2E5" w:themeFill="accent1" w:themeFillTint="99"/>
          </w:tcPr>
          <w:p w14:paraId="17C34990" w14:textId="51C1A384" w:rsidR="009951A9" w:rsidRDefault="009951A9" w:rsidP="009951A9">
            <w:r>
              <w:t xml:space="preserve">Number of swabs with </w:t>
            </w:r>
            <w:r w:rsidR="00DB069C">
              <w:t xml:space="preserve"> azithromycin- </w:t>
            </w:r>
            <w:r>
              <w:t>resistant isolates (number of children)</w:t>
            </w:r>
          </w:p>
        </w:tc>
      </w:tr>
      <w:tr w:rsidR="009951A9" w14:paraId="0F11CEC0" w14:textId="77777777" w:rsidTr="003218C7">
        <w:tc>
          <w:tcPr>
            <w:tcW w:w="1505" w:type="dxa"/>
          </w:tcPr>
          <w:p w14:paraId="5A7066E6" w14:textId="77777777" w:rsidR="009951A9" w:rsidRDefault="009951A9" w:rsidP="009951A9">
            <w:r>
              <w:t>Comparison</w:t>
            </w:r>
          </w:p>
          <w:p w14:paraId="25285B33" w14:textId="77777777" w:rsidR="009951A9" w:rsidRDefault="009951A9" w:rsidP="009951A9">
            <w:r>
              <w:t>(40 swabs)</w:t>
            </w:r>
          </w:p>
        </w:tc>
        <w:tc>
          <w:tcPr>
            <w:tcW w:w="1751" w:type="dxa"/>
          </w:tcPr>
          <w:p w14:paraId="183F7E9C" w14:textId="77777777" w:rsidR="009951A9" w:rsidRDefault="009951A9" w:rsidP="009951A9">
            <w:r>
              <w:t>28</w:t>
            </w:r>
          </w:p>
        </w:tc>
        <w:tc>
          <w:tcPr>
            <w:tcW w:w="1701" w:type="dxa"/>
          </w:tcPr>
          <w:p w14:paraId="56E8DA4C" w14:textId="77777777" w:rsidR="009951A9" w:rsidRDefault="009951A9" w:rsidP="009951A9">
            <w:r>
              <w:t>39</w:t>
            </w:r>
          </w:p>
        </w:tc>
        <w:tc>
          <w:tcPr>
            <w:tcW w:w="2268" w:type="dxa"/>
            <w:shd w:val="clear" w:color="auto" w:fill="auto"/>
          </w:tcPr>
          <w:p w14:paraId="3E0B7538" w14:textId="77777777" w:rsidR="009951A9" w:rsidRDefault="009951A9" w:rsidP="009951A9">
            <w:r w:rsidRPr="003218C7">
              <w:t>23</w:t>
            </w:r>
          </w:p>
        </w:tc>
        <w:tc>
          <w:tcPr>
            <w:tcW w:w="2693" w:type="dxa"/>
          </w:tcPr>
          <w:p w14:paraId="589CB67D" w14:textId="77777777" w:rsidR="009951A9" w:rsidRDefault="009951A9" w:rsidP="009951A9">
            <w:r>
              <w:t>19 (10)</w:t>
            </w:r>
          </w:p>
        </w:tc>
      </w:tr>
      <w:tr w:rsidR="009951A9" w14:paraId="64BA5C37" w14:textId="77777777" w:rsidTr="009951A9">
        <w:tc>
          <w:tcPr>
            <w:tcW w:w="1505" w:type="dxa"/>
            <w:shd w:val="clear" w:color="auto" w:fill="DEEAF6" w:themeFill="accent1" w:themeFillTint="33"/>
          </w:tcPr>
          <w:p w14:paraId="39356076" w14:textId="77777777" w:rsidR="009951A9" w:rsidRDefault="009951A9" w:rsidP="009951A9">
            <w:r>
              <w:t>Azithromycin</w:t>
            </w:r>
          </w:p>
          <w:p w14:paraId="4FC257FF" w14:textId="77777777" w:rsidR="009951A9" w:rsidRDefault="009951A9" w:rsidP="009951A9">
            <w:r>
              <w:t>(33 swabs)</w:t>
            </w:r>
          </w:p>
        </w:tc>
        <w:tc>
          <w:tcPr>
            <w:tcW w:w="1751" w:type="dxa"/>
            <w:shd w:val="clear" w:color="auto" w:fill="DEEAF6" w:themeFill="accent1" w:themeFillTint="33"/>
          </w:tcPr>
          <w:p w14:paraId="6DB6B643" w14:textId="77777777" w:rsidR="009951A9" w:rsidRDefault="009951A9" w:rsidP="009951A9">
            <w:r>
              <w:t>15</w:t>
            </w:r>
          </w:p>
        </w:tc>
        <w:tc>
          <w:tcPr>
            <w:tcW w:w="1701" w:type="dxa"/>
            <w:shd w:val="clear" w:color="auto" w:fill="DEEAF6" w:themeFill="accent1" w:themeFillTint="33"/>
          </w:tcPr>
          <w:p w14:paraId="157B265F" w14:textId="77777777" w:rsidR="009951A9" w:rsidRDefault="009951A9" w:rsidP="009951A9">
            <w:r>
              <w:t>23</w:t>
            </w:r>
          </w:p>
        </w:tc>
        <w:tc>
          <w:tcPr>
            <w:tcW w:w="2268" w:type="dxa"/>
            <w:shd w:val="clear" w:color="auto" w:fill="DEEAF6" w:themeFill="accent1" w:themeFillTint="33"/>
          </w:tcPr>
          <w:p w14:paraId="307BD212" w14:textId="24B9FFB6" w:rsidR="009951A9" w:rsidRDefault="009951A9" w:rsidP="009951A9">
            <w:r>
              <w:t>1</w:t>
            </w:r>
            <w:r w:rsidR="00125996">
              <w:t>4</w:t>
            </w:r>
          </w:p>
        </w:tc>
        <w:tc>
          <w:tcPr>
            <w:tcW w:w="2693" w:type="dxa"/>
            <w:shd w:val="clear" w:color="auto" w:fill="DEEAF6" w:themeFill="accent1" w:themeFillTint="33"/>
          </w:tcPr>
          <w:p w14:paraId="1936C1ED" w14:textId="77777777" w:rsidR="009951A9" w:rsidRDefault="009951A9" w:rsidP="009951A9">
            <w:r>
              <w:t>10 (5)</w:t>
            </w:r>
          </w:p>
        </w:tc>
      </w:tr>
    </w:tbl>
    <w:p w14:paraId="7F500C33" w14:textId="0CAAEE13" w:rsidR="00C55378" w:rsidRPr="00C55378" w:rsidRDefault="00C55378" w:rsidP="00C55378">
      <w:pPr>
        <w:spacing w:line="360" w:lineRule="auto"/>
        <w:rPr>
          <w:color w:val="000000" w:themeColor="text1"/>
        </w:rPr>
      </w:pPr>
      <w:bookmarkStart w:id="177" w:name="_Toc117780255"/>
      <w:r w:rsidRPr="00C55378">
        <w:rPr>
          <w:b/>
          <w:bCs/>
          <w:color w:val="000000" w:themeColor="text1"/>
        </w:rPr>
        <w:t xml:space="preserve">Table </w:t>
      </w:r>
      <w:r w:rsidR="002C440E">
        <w:rPr>
          <w:b/>
          <w:bCs/>
          <w:color w:val="000000" w:themeColor="text1"/>
        </w:rPr>
        <w:fldChar w:fldCharType="begin"/>
      </w:r>
      <w:r w:rsidR="002C440E">
        <w:rPr>
          <w:b/>
          <w:bCs/>
          <w:color w:val="000000" w:themeColor="text1"/>
        </w:rPr>
        <w:instrText xml:space="preserve"> SEQ Table \* ARABIC </w:instrText>
      </w:r>
      <w:r w:rsidR="002C440E">
        <w:rPr>
          <w:b/>
          <w:bCs/>
          <w:color w:val="000000" w:themeColor="text1"/>
        </w:rPr>
        <w:fldChar w:fldCharType="separate"/>
      </w:r>
      <w:r w:rsidR="00592CBF">
        <w:rPr>
          <w:b/>
          <w:bCs/>
          <w:noProof/>
          <w:color w:val="000000" w:themeColor="text1"/>
        </w:rPr>
        <w:t>14</w:t>
      </w:r>
      <w:r w:rsidR="002C440E">
        <w:rPr>
          <w:b/>
          <w:bCs/>
          <w:color w:val="000000" w:themeColor="text1"/>
        </w:rPr>
        <w:fldChar w:fldCharType="end"/>
      </w:r>
      <w:bookmarkEnd w:id="176"/>
      <w:r w:rsidRPr="00C55378">
        <w:rPr>
          <w:b/>
          <w:bCs/>
          <w:color w:val="000000" w:themeColor="text1"/>
        </w:rPr>
        <w:t>:</w:t>
      </w:r>
      <w:r w:rsidRPr="00C55378">
        <w:rPr>
          <w:color w:val="000000" w:themeColor="text1"/>
        </w:rPr>
        <w:t xml:space="preserve"> Azithromycin resistant isolates found during the</w:t>
      </w:r>
      <w:r w:rsidR="00936C0C">
        <w:rPr>
          <w:color w:val="000000" w:themeColor="text1"/>
        </w:rPr>
        <w:t xml:space="preserve"> course of</w:t>
      </w:r>
      <w:r w:rsidRPr="00C55378">
        <w:rPr>
          <w:color w:val="000000" w:themeColor="text1"/>
        </w:rPr>
        <w:t xml:space="preserve"> </w:t>
      </w:r>
      <w:r w:rsidR="00936C0C" w:rsidRPr="00C55378">
        <w:rPr>
          <w:color w:val="000000" w:themeColor="text1"/>
        </w:rPr>
        <w:t xml:space="preserve">PBB </w:t>
      </w:r>
      <w:r w:rsidRPr="00C55378">
        <w:rPr>
          <w:color w:val="000000" w:themeColor="text1"/>
        </w:rPr>
        <w:t>study 1</w:t>
      </w:r>
      <w:bookmarkEnd w:id="177"/>
    </w:p>
    <w:p w14:paraId="3B8EC4CD" w14:textId="141DFD6B" w:rsidR="00E82735" w:rsidRPr="001F4213" w:rsidRDefault="00E82735" w:rsidP="00E82735">
      <w:pPr>
        <w:spacing w:line="360" w:lineRule="auto"/>
        <w:rPr>
          <w:b/>
          <w:bCs/>
        </w:rPr>
      </w:pPr>
    </w:p>
    <w:p w14:paraId="7426964C" w14:textId="77777777" w:rsidR="0068677B" w:rsidRDefault="0068677B" w:rsidP="00E54AD9">
      <w:pPr>
        <w:spacing w:line="360" w:lineRule="auto"/>
        <w:rPr>
          <w:b/>
          <w:noProof/>
        </w:rPr>
      </w:pPr>
      <w:bookmarkStart w:id="178" w:name="_Hlk55399904"/>
    </w:p>
    <w:p w14:paraId="6F20CD6D" w14:textId="442F1C5E" w:rsidR="00E82735" w:rsidRDefault="00351BD1" w:rsidP="00E54AD9">
      <w:pPr>
        <w:spacing w:line="360" w:lineRule="auto"/>
        <w:rPr>
          <w:b/>
          <w:noProof/>
        </w:rPr>
      </w:pPr>
      <w:r w:rsidRPr="00241369">
        <w:rPr>
          <w:noProof/>
        </w:rPr>
        <w:lastRenderedPageBreak/>
        <w:drawing>
          <wp:inline distT="0" distB="0" distL="0" distR="0" wp14:anchorId="5E60141E" wp14:editId="4063E061">
            <wp:extent cx="5943600" cy="2974975"/>
            <wp:effectExtent l="0" t="0" r="0" b="1587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54AD9" w:rsidRPr="008F33C8">
        <w:rPr>
          <w:b/>
          <w:noProof/>
        </w:rPr>
        <w:t>Key:</w:t>
      </w:r>
    </w:p>
    <w:p w14:paraId="761E6222" w14:textId="3010700E" w:rsidR="00436F53" w:rsidRDefault="00436F53" w:rsidP="00E54AD9">
      <w:pPr>
        <w:spacing w:line="360" w:lineRule="auto"/>
        <w:rPr>
          <w:b/>
          <w:noProof/>
        </w:rPr>
      </w:pPr>
      <w:r>
        <w:rPr>
          <w:b/>
          <w:noProof/>
        </w:rPr>
        <w:t>Azithromycin susceptibility</w:t>
      </w:r>
      <w:r>
        <w:rPr>
          <w:b/>
          <w:noProof/>
        </w:rPr>
        <w:tab/>
      </w:r>
      <w:r>
        <w:rPr>
          <w:b/>
          <w:noProof/>
        </w:rPr>
        <w:tab/>
        <w:t>Duration from last macrolide exposure</w:t>
      </w:r>
      <w:r w:rsidR="006E7093">
        <w:rPr>
          <w:b/>
          <w:noProof/>
        </w:rPr>
        <w:t xml:space="preserve"> to start of study</w:t>
      </w:r>
    </w:p>
    <w:tbl>
      <w:tblPr>
        <w:tblStyle w:val="TableGrid"/>
        <w:tblpPr w:leftFromText="180" w:rightFromText="180" w:vertAnchor="text" w:horzAnchor="margin" w:tblpXSpec="right" w:tblpY="5"/>
        <w:tblW w:w="0" w:type="auto"/>
        <w:tblLook w:val="04A0" w:firstRow="1" w:lastRow="0" w:firstColumn="1" w:lastColumn="0" w:noHBand="0" w:noVBand="1"/>
      </w:tblPr>
      <w:tblGrid>
        <w:gridCol w:w="846"/>
        <w:gridCol w:w="1984"/>
        <w:gridCol w:w="709"/>
        <w:gridCol w:w="2552"/>
      </w:tblGrid>
      <w:tr w:rsidR="00436F53" w14:paraId="7BF806EF" w14:textId="77777777" w:rsidTr="00332E75">
        <w:tc>
          <w:tcPr>
            <w:tcW w:w="846" w:type="dxa"/>
            <w:shd w:val="clear" w:color="auto" w:fill="auto"/>
          </w:tcPr>
          <w:bookmarkStart w:id="179" w:name="_Hlk58420922"/>
          <w:p w14:paraId="12351C94" w14:textId="7A960931" w:rsidR="00436F53" w:rsidRPr="00B209F5" w:rsidRDefault="00EB0610" w:rsidP="00436F53">
            <w:pPr>
              <w:rPr>
                <w:sz w:val="20"/>
                <w:szCs w:val="20"/>
              </w:rPr>
            </w:pPr>
            <w:r>
              <w:rPr>
                <w:noProof/>
              </w:rPr>
              <mc:AlternateContent>
                <mc:Choice Requires="wps">
                  <w:drawing>
                    <wp:anchor distT="0" distB="0" distL="114300" distR="114300" simplePos="0" relativeHeight="251739648" behindDoc="0" locked="0" layoutInCell="1" allowOverlap="1" wp14:anchorId="1E59BB6F" wp14:editId="23A7E201">
                      <wp:simplePos x="0" y="0"/>
                      <wp:positionH relativeFrom="column">
                        <wp:posOffset>56515</wp:posOffset>
                      </wp:positionH>
                      <wp:positionV relativeFrom="paragraph">
                        <wp:posOffset>5080</wp:posOffset>
                      </wp:positionV>
                      <wp:extent cx="171450" cy="152400"/>
                      <wp:effectExtent l="0" t="0" r="0" b="0"/>
                      <wp:wrapNone/>
                      <wp:docPr id="644" name="Oval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D1A3CF" id="Oval 644" o:spid="_x0000_s1026" style="position:absolute;margin-left:4.45pt;margin-top:.4pt;width:13.5pt;height:1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" fillcolor="#ffc000" strokecolor="black [3213]" strokeweight="1pt">
                      <v:stroke joinstyle="miter"/>
                      <v:path arrowok="t"/>
                    </v:oval>
                  </w:pict>
                </mc:Fallback>
              </mc:AlternateContent>
            </w:r>
          </w:p>
        </w:tc>
        <w:tc>
          <w:tcPr>
            <w:tcW w:w="1984" w:type="dxa"/>
          </w:tcPr>
          <w:p w14:paraId="563A5AFD" w14:textId="77777777" w:rsidR="00436F53" w:rsidRDefault="00436F53" w:rsidP="00436F53">
            <w:pPr>
              <w:rPr>
                <w:sz w:val="20"/>
                <w:szCs w:val="20"/>
              </w:rPr>
            </w:pPr>
            <w:r w:rsidRPr="00B209F5">
              <w:rPr>
                <w:sz w:val="20"/>
                <w:szCs w:val="20"/>
              </w:rPr>
              <w:t>Never had macrolide</w:t>
            </w:r>
          </w:p>
          <w:p w14:paraId="1A96109E" w14:textId="56F027F9" w:rsidR="00332E75" w:rsidRPr="00332E75" w:rsidRDefault="00332E75" w:rsidP="00436F53">
            <w:pPr>
              <w:rPr>
                <w:sz w:val="4"/>
                <w:szCs w:val="4"/>
              </w:rPr>
            </w:pPr>
          </w:p>
        </w:tc>
        <w:tc>
          <w:tcPr>
            <w:tcW w:w="709" w:type="dxa"/>
            <w:shd w:val="clear" w:color="auto" w:fill="auto"/>
          </w:tcPr>
          <w:p w14:paraId="0A082F61" w14:textId="4F6F9A45" w:rsidR="00436F53" w:rsidRPr="00B209F5" w:rsidRDefault="00EB0610" w:rsidP="00436F53">
            <w:pPr>
              <w:rPr>
                <w:sz w:val="20"/>
                <w:szCs w:val="20"/>
              </w:rPr>
            </w:pPr>
            <w:r>
              <w:rPr>
                <w:noProof/>
              </w:rPr>
              <mc:AlternateContent>
                <mc:Choice Requires="wps">
                  <w:drawing>
                    <wp:anchor distT="0" distB="0" distL="114300" distR="114300" simplePos="0" relativeHeight="251747840" behindDoc="0" locked="0" layoutInCell="1" allowOverlap="1" wp14:anchorId="3D7CD4B1" wp14:editId="4DABB5F0">
                      <wp:simplePos x="0" y="0"/>
                      <wp:positionH relativeFrom="column">
                        <wp:posOffset>54610</wp:posOffset>
                      </wp:positionH>
                      <wp:positionV relativeFrom="paragraph">
                        <wp:posOffset>4445</wp:posOffset>
                      </wp:positionV>
                      <wp:extent cx="171450" cy="152400"/>
                      <wp:effectExtent l="0" t="0" r="0" b="0"/>
                      <wp:wrapNone/>
                      <wp:docPr id="643" name="Oval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chemeClr val="accent1">
                                  <a:lumMod val="75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06E2BE" id="Oval 643" o:spid="_x0000_s1026" style="position:absolute;margin-left:4.3pt;margin-top:.35pt;width:13.5pt;height: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" fillcolor="#2e74b5 [2404]" strokecolor="windowText" strokeweight="1pt">
                      <v:stroke joinstyle="miter"/>
                      <v:path arrowok="t"/>
                    </v:oval>
                  </w:pict>
                </mc:Fallback>
              </mc:AlternateContent>
            </w:r>
          </w:p>
        </w:tc>
        <w:tc>
          <w:tcPr>
            <w:tcW w:w="2552" w:type="dxa"/>
          </w:tcPr>
          <w:p w14:paraId="770E55A1" w14:textId="77777777" w:rsidR="00436F53" w:rsidRPr="00B209F5" w:rsidRDefault="00436F53" w:rsidP="00436F53">
            <w:pPr>
              <w:rPr>
                <w:sz w:val="20"/>
                <w:szCs w:val="20"/>
              </w:rPr>
            </w:pPr>
            <w:r>
              <w:rPr>
                <w:sz w:val="20"/>
                <w:szCs w:val="20"/>
              </w:rPr>
              <w:t>&gt;24 months</w:t>
            </w:r>
          </w:p>
        </w:tc>
      </w:tr>
      <w:tr w:rsidR="00436F53" w14:paraId="1EAB5EC9" w14:textId="77777777" w:rsidTr="00332E75">
        <w:tc>
          <w:tcPr>
            <w:tcW w:w="846" w:type="dxa"/>
            <w:shd w:val="clear" w:color="auto" w:fill="auto"/>
          </w:tcPr>
          <w:p w14:paraId="752EEBFE" w14:textId="717A09A0" w:rsidR="00436F53" w:rsidRPr="00B209F5" w:rsidRDefault="00EB0610" w:rsidP="00436F53">
            <w:pPr>
              <w:rPr>
                <w:sz w:val="20"/>
                <w:szCs w:val="20"/>
              </w:rPr>
            </w:pPr>
            <w:r>
              <w:rPr>
                <w:noProof/>
              </w:rPr>
              <mc:AlternateContent>
                <mc:Choice Requires="wps">
                  <w:drawing>
                    <wp:anchor distT="0" distB="0" distL="114300" distR="114300" simplePos="0" relativeHeight="251741696" behindDoc="0" locked="0" layoutInCell="1" allowOverlap="1" wp14:anchorId="2561782A" wp14:editId="0CA00204">
                      <wp:simplePos x="0" y="0"/>
                      <wp:positionH relativeFrom="column">
                        <wp:posOffset>50800</wp:posOffset>
                      </wp:positionH>
                      <wp:positionV relativeFrom="paragraph">
                        <wp:posOffset>65405</wp:posOffset>
                      </wp:positionV>
                      <wp:extent cx="171450" cy="152400"/>
                      <wp:effectExtent l="0" t="0" r="0" b="0"/>
                      <wp:wrapNone/>
                      <wp:docPr id="642" name="Oval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6F300E" id="Oval 642" o:spid="_x0000_s1026" style="position:absolute;margin-left:4pt;margin-top:5.15pt;width:13.5pt;height:1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" fillcolor="#f7c5f3" strokecolor="black [3213]" strokeweight="1pt">
                      <v:stroke joinstyle="miter"/>
                      <v:path arrowok="t"/>
                    </v:oval>
                  </w:pict>
                </mc:Fallback>
              </mc:AlternateContent>
            </w:r>
          </w:p>
        </w:tc>
        <w:tc>
          <w:tcPr>
            <w:tcW w:w="1984" w:type="dxa"/>
          </w:tcPr>
          <w:p w14:paraId="24206224" w14:textId="77777777" w:rsidR="00436F53" w:rsidRPr="00B209F5" w:rsidRDefault="00436F53" w:rsidP="00436F53">
            <w:pPr>
              <w:rPr>
                <w:sz w:val="20"/>
                <w:szCs w:val="20"/>
              </w:rPr>
            </w:pPr>
            <w:r w:rsidRPr="00B209F5">
              <w:rPr>
                <w:sz w:val="20"/>
                <w:szCs w:val="20"/>
              </w:rPr>
              <w:t>&lt;6 months</w:t>
            </w:r>
          </w:p>
        </w:tc>
        <w:tc>
          <w:tcPr>
            <w:tcW w:w="709" w:type="dxa"/>
            <w:shd w:val="clear" w:color="auto" w:fill="auto"/>
          </w:tcPr>
          <w:p w14:paraId="0961C417" w14:textId="431990DB" w:rsidR="00436F53" w:rsidRPr="00B209F5" w:rsidRDefault="00EB0610" w:rsidP="00436F53">
            <w:pPr>
              <w:rPr>
                <w:sz w:val="20"/>
                <w:szCs w:val="20"/>
              </w:rPr>
            </w:pPr>
            <w:r>
              <w:rPr>
                <w:noProof/>
              </w:rPr>
              <mc:AlternateContent>
                <mc:Choice Requires="wps">
                  <w:drawing>
                    <wp:anchor distT="0" distB="0" distL="114300" distR="114300" simplePos="0" relativeHeight="251749888" behindDoc="0" locked="0" layoutInCell="1" allowOverlap="1" wp14:anchorId="2FCBF84E" wp14:editId="323C01B0">
                      <wp:simplePos x="0" y="0"/>
                      <wp:positionH relativeFrom="column">
                        <wp:posOffset>54610</wp:posOffset>
                      </wp:positionH>
                      <wp:positionV relativeFrom="paragraph">
                        <wp:posOffset>68580</wp:posOffset>
                      </wp:positionV>
                      <wp:extent cx="171450" cy="152400"/>
                      <wp:effectExtent l="0" t="0" r="0" b="0"/>
                      <wp:wrapNone/>
                      <wp:docPr id="641" name="Oval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chemeClr val="accent2">
                                  <a:lumMod val="5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598C06" id="Oval 641" o:spid="_x0000_s1026" style="position:absolute;margin-left:4.3pt;margin-top:5.4pt;width:13.5pt;height:1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" fillcolor="#823b0b [1605]" strokecolor="windowText" strokeweight="1pt">
                      <v:stroke joinstyle="miter"/>
                      <v:path arrowok="t"/>
                    </v:oval>
                  </w:pict>
                </mc:Fallback>
              </mc:AlternateContent>
            </w:r>
          </w:p>
        </w:tc>
        <w:tc>
          <w:tcPr>
            <w:tcW w:w="2552" w:type="dxa"/>
          </w:tcPr>
          <w:p w14:paraId="06AC6500" w14:textId="77777777" w:rsidR="00436F53" w:rsidRPr="00B209F5" w:rsidRDefault="00436F53" w:rsidP="00436F53">
            <w:pPr>
              <w:rPr>
                <w:sz w:val="20"/>
                <w:szCs w:val="20"/>
              </w:rPr>
            </w:pPr>
            <w:r>
              <w:rPr>
                <w:sz w:val="20"/>
                <w:szCs w:val="20"/>
              </w:rPr>
              <w:t>Previous exposure. Uncertain duration</w:t>
            </w:r>
          </w:p>
        </w:tc>
      </w:tr>
      <w:tr w:rsidR="00436F53" w14:paraId="6661B50F" w14:textId="77777777" w:rsidTr="00332E75">
        <w:tc>
          <w:tcPr>
            <w:tcW w:w="846" w:type="dxa"/>
            <w:shd w:val="clear" w:color="auto" w:fill="auto"/>
          </w:tcPr>
          <w:p w14:paraId="2F5FF7D2" w14:textId="79D41D5D" w:rsidR="00436F53" w:rsidRPr="00B209F5" w:rsidRDefault="00EB0610" w:rsidP="00436F53">
            <w:pPr>
              <w:rPr>
                <w:color w:val="FF00FF"/>
                <w:sz w:val="20"/>
                <w:szCs w:val="20"/>
              </w:rPr>
            </w:pPr>
            <w:r>
              <w:rPr>
                <w:noProof/>
              </w:rPr>
              <mc:AlternateContent>
                <mc:Choice Requires="wps">
                  <w:drawing>
                    <wp:anchor distT="0" distB="0" distL="114300" distR="114300" simplePos="0" relativeHeight="251743744" behindDoc="0" locked="0" layoutInCell="1" allowOverlap="1" wp14:anchorId="4CA50D4A" wp14:editId="086084D2">
                      <wp:simplePos x="0" y="0"/>
                      <wp:positionH relativeFrom="column">
                        <wp:posOffset>50800</wp:posOffset>
                      </wp:positionH>
                      <wp:positionV relativeFrom="paragraph">
                        <wp:posOffset>5715</wp:posOffset>
                      </wp:positionV>
                      <wp:extent cx="171450" cy="152400"/>
                      <wp:effectExtent l="0" t="0" r="0" b="0"/>
                      <wp:wrapNone/>
                      <wp:docPr id="640" name="Oval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608EC0" id="Oval 640" o:spid="_x0000_s1026" style="position:absolute;margin-left:4pt;margin-top:.45pt;width:13.5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47976B10" w14:textId="77777777" w:rsidR="00436F53" w:rsidRDefault="00436F53" w:rsidP="00436F53">
            <w:pPr>
              <w:rPr>
                <w:sz w:val="20"/>
                <w:szCs w:val="20"/>
              </w:rPr>
            </w:pPr>
            <w:r w:rsidRPr="00B209F5">
              <w:rPr>
                <w:sz w:val="20"/>
                <w:szCs w:val="20"/>
              </w:rPr>
              <w:t>6-12 months</w:t>
            </w:r>
          </w:p>
          <w:p w14:paraId="0FB312FA" w14:textId="59A5C585" w:rsidR="00332E75" w:rsidRPr="00332E75" w:rsidRDefault="00332E75" w:rsidP="00436F53">
            <w:pPr>
              <w:rPr>
                <w:sz w:val="4"/>
                <w:szCs w:val="4"/>
              </w:rPr>
            </w:pPr>
          </w:p>
        </w:tc>
        <w:tc>
          <w:tcPr>
            <w:tcW w:w="709" w:type="dxa"/>
            <w:shd w:val="clear" w:color="auto" w:fill="auto"/>
          </w:tcPr>
          <w:p w14:paraId="63EBB292" w14:textId="609D5781" w:rsidR="00436F53" w:rsidRPr="00B209F5" w:rsidRDefault="00EB0610" w:rsidP="00436F53">
            <w:pPr>
              <w:rPr>
                <w:sz w:val="20"/>
                <w:szCs w:val="20"/>
              </w:rPr>
            </w:pPr>
            <w:r>
              <w:rPr>
                <w:noProof/>
              </w:rPr>
              <mc:AlternateContent>
                <mc:Choice Requires="wps">
                  <w:drawing>
                    <wp:anchor distT="0" distB="0" distL="114300" distR="114300" simplePos="0" relativeHeight="251751936" behindDoc="0" locked="0" layoutInCell="1" allowOverlap="1" wp14:anchorId="0E13DECC" wp14:editId="6723B9D7">
                      <wp:simplePos x="0" y="0"/>
                      <wp:positionH relativeFrom="column">
                        <wp:posOffset>54610</wp:posOffset>
                      </wp:positionH>
                      <wp:positionV relativeFrom="paragraph">
                        <wp:posOffset>6985</wp:posOffset>
                      </wp:positionV>
                      <wp:extent cx="171450" cy="152400"/>
                      <wp:effectExtent l="0" t="0" r="0" b="0"/>
                      <wp:wrapNone/>
                      <wp:docPr id="639" name="Oval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6856B3" id="Oval 639" o:spid="_x0000_s1026" style="position:absolute;margin-left:4.3pt;margin-top:.55pt;width:13.5pt;height: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" fillcolor="black [3213]" strokecolor="windowText" strokeweight="1pt">
                      <v:stroke joinstyle="miter"/>
                      <v:path arrowok="t"/>
                    </v:oval>
                  </w:pict>
                </mc:Fallback>
              </mc:AlternateContent>
            </w:r>
          </w:p>
        </w:tc>
        <w:tc>
          <w:tcPr>
            <w:tcW w:w="2552" w:type="dxa"/>
          </w:tcPr>
          <w:p w14:paraId="642E7C41" w14:textId="77777777" w:rsidR="00436F53" w:rsidRPr="00B209F5" w:rsidRDefault="00436F53" w:rsidP="00436F53">
            <w:pPr>
              <w:rPr>
                <w:sz w:val="20"/>
                <w:szCs w:val="20"/>
              </w:rPr>
            </w:pPr>
            <w:r>
              <w:rPr>
                <w:sz w:val="20"/>
                <w:szCs w:val="20"/>
              </w:rPr>
              <w:t>Missing data</w:t>
            </w:r>
          </w:p>
        </w:tc>
      </w:tr>
      <w:tr w:rsidR="00436F53" w14:paraId="1CF4201E" w14:textId="77777777" w:rsidTr="00332E75">
        <w:tc>
          <w:tcPr>
            <w:tcW w:w="846" w:type="dxa"/>
            <w:shd w:val="clear" w:color="auto" w:fill="auto"/>
          </w:tcPr>
          <w:p w14:paraId="4D6BEC6C" w14:textId="29E56664" w:rsidR="00436F53" w:rsidRPr="00B209F5" w:rsidRDefault="00EB0610" w:rsidP="00436F53">
            <w:pPr>
              <w:rPr>
                <w:sz w:val="20"/>
                <w:szCs w:val="20"/>
              </w:rPr>
            </w:pPr>
            <w:r>
              <w:rPr>
                <w:noProof/>
              </w:rPr>
              <mc:AlternateContent>
                <mc:Choice Requires="wps">
                  <w:drawing>
                    <wp:anchor distT="0" distB="0" distL="114300" distR="114300" simplePos="0" relativeHeight="251745792" behindDoc="0" locked="0" layoutInCell="1" allowOverlap="1" wp14:anchorId="4A720748" wp14:editId="12CBA77F">
                      <wp:simplePos x="0" y="0"/>
                      <wp:positionH relativeFrom="column">
                        <wp:posOffset>52070</wp:posOffset>
                      </wp:positionH>
                      <wp:positionV relativeFrom="paragraph">
                        <wp:posOffset>1270</wp:posOffset>
                      </wp:positionV>
                      <wp:extent cx="171450" cy="152400"/>
                      <wp:effectExtent l="0" t="0" r="0" b="0"/>
                      <wp:wrapNone/>
                      <wp:docPr id="638" name="Oval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6EA85E" id="Oval 638" o:spid="_x0000_s1026" style="position:absolute;margin-left:4.1pt;margin-top:.1pt;width:13.5pt;height:1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3D162043" w14:textId="77777777" w:rsidR="00436F53" w:rsidRDefault="00436F53" w:rsidP="00436F53">
            <w:pPr>
              <w:rPr>
                <w:sz w:val="20"/>
                <w:szCs w:val="20"/>
              </w:rPr>
            </w:pPr>
            <w:r w:rsidRPr="00B209F5">
              <w:rPr>
                <w:sz w:val="20"/>
                <w:szCs w:val="20"/>
              </w:rPr>
              <w:t>12-24 months</w:t>
            </w:r>
          </w:p>
          <w:p w14:paraId="4059BB42" w14:textId="7D80464E" w:rsidR="00332E75" w:rsidRPr="00332E75" w:rsidRDefault="00332E75" w:rsidP="00436F53">
            <w:pPr>
              <w:rPr>
                <w:sz w:val="4"/>
                <w:szCs w:val="4"/>
              </w:rPr>
            </w:pPr>
          </w:p>
        </w:tc>
        <w:tc>
          <w:tcPr>
            <w:tcW w:w="3261" w:type="dxa"/>
            <w:gridSpan w:val="2"/>
          </w:tcPr>
          <w:p w14:paraId="4D71AC84" w14:textId="77777777" w:rsidR="00436F53" w:rsidRPr="00B209F5" w:rsidRDefault="00436F53" w:rsidP="00436F53">
            <w:pPr>
              <w:rPr>
                <w:sz w:val="20"/>
                <w:szCs w:val="20"/>
              </w:rPr>
            </w:pPr>
          </w:p>
        </w:tc>
      </w:tr>
      <w:bookmarkEnd w:id="179"/>
    </w:tbl>
    <w:tbl>
      <w:tblPr>
        <w:tblStyle w:val="TableGrid"/>
        <w:tblpPr w:leftFromText="180" w:rightFromText="180" w:vertAnchor="text" w:tblpY="-3"/>
        <w:tblW w:w="0" w:type="auto"/>
        <w:tblLook w:val="04A0" w:firstRow="1" w:lastRow="0" w:firstColumn="1" w:lastColumn="0" w:noHBand="0" w:noVBand="1"/>
      </w:tblPr>
      <w:tblGrid>
        <w:gridCol w:w="988"/>
        <w:gridCol w:w="1936"/>
      </w:tblGrid>
      <w:tr w:rsidR="008B395A" w14:paraId="61B5192D" w14:textId="77777777" w:rsidTr="008B395A">
        <w:trPr>
          <w:trHeight w:val="274"/>
        </w:trPr>
        <w:tc>
          <w:tcPr>
            <w:tcW w:w="988" w:type="dxa"/>
            <w:shd w:val="clear" w:color="auto" w:fill="FF0000"/>
          </w:tcPr>
          <w:p w14:paraId="23BC04D1" w14:textId="77777777" w:rsidR="008B395A" w:rsidRDefault="008B395A" w:rsidP="008B395A">
            <w:pPr>
              <w:rPr>
                <w:b/>
                <w:noProof/>
              </w:rPr>
            </w:pPr>
          </w:p>
        </w:tc>
        <w:tc>
          <w:tcPr>
            <w:tcW w:w="1936" w:type="dxa"/>
          </w:tcPr>
          <w:p w14:paraId="7F119CB0" w14:textId="77777777" w:rsidR="008B395A" w:rsidRPr="008B395A" w:rsidRDefault="008B395A" w:rsidP="008B395A">
            <w:pPr>
              <w:rPr>
                <w:bCs/>
                <w:noProof/>
                <w:sz w:val="20"/>
                <w:szCs w:val="20"/>
              </w:rPr>
            </w:pPr>
            <w:r w:rsidRPr="008B395A">
              <w:rPr>
                <w:bCs/>
                <w:noProof/>
                <w:sz w:val="20"/>
                <w:szCs w:val="20"/>
              </w:rPr>
              <w:t>Resistant bacteria</w:t>
            </w:r>
          </w:p>
        </w:tc>
      </w:tr>
      <w:tr w:rsidR="008B395A" w14:paraId="0E03857B" w14:textId="77777777" w:rsidTr="008B395A">
        <w:trPr>
          <w:trHeight w:val="317"/>
        </w:trPr>
        <w:tc>
          <w:tcPr>
            <w:tcW w:w="988" w:type="dxa"/>
            <w:shd w:val="clear" w:color="auto" w:fill="00B0F0"/>
          </w:tcPr>
          <w:p w14:paraId="7B93BC52" w14:textId="77777777" w:rsidR="008B395A" w:rsidRDefault="008B395A" w:rsidP="008B395A">
            <w:pPr>
              <w:rPr>
                <w:b/>
                <w:noProof/>
              </w:rPr>
            </w:pPr>
          </w:p>
        </w:tc>
        <w:tc>
          <w:tcPr>
            <w:tcW w:w="1936" w:type="dxa"/>
          </w:tcPr>
          <w:p w14:paraId="6DAC81FC" w14:textId="77777777" w:rsidR="008B395A" w:rsidRPr="008B395A" w:rsidRDefault="008B395A" w:rsidP="008B395A">
            <w:pPr>
              <w:rPr>
                <w:bCs/>
                <w:noProof/>
                <w:sz w:val="20"/>
                <w:szCs w:val="20"/>
              </w:rPr>
            </w:pPr>
            <w:r w:rsidRPr="008B395A">
              <w:rPr>
                <w:bCs/>
                <w:noProof/>
                <w:sz w:val="20"/>
                <w:szCs w:val="20"/>
              </w:rPr>
              <w:t>Susceptible bacteria</w:t>
            </w:r>
          </w:p>
        </w:tc>
      </w:tr>
      <w:tr w:rsidR="008B395A" w14:paraId="2DD9BF6F" w14:textId="77777777" w:rsidTr="008B395A">
        <w:trPr>
          <w:trHeight w:val="317"/>
        </w:trPr>
        <w:tc>
          <w:tcPr>
            <w:tcW w:w="988" w:type="dxa"/>
            <w:shd w:val="clear" w:color="auto" w:fill="A6A6A6" w:themeFill="background1" w:themeFillShade="A6"/>
          </w:tcPr>
          <w:p w14:paraId="38246692" w14:textId="77777777" w:rsidR="008B395A" w:rsidRDefault="008B395A" w:rsidP="008B395A">
            <w:pPr>
              <w:rPr>
                <w:b/>
                <w:noProof/>
              </w:rPr>
            </w:pPr>
          </w:p>
        </w:tc>
        <w:tc>
          <w:tcPr>
            <w:tcW w:w="1936" w:type="dxa"/>
          </w:tcPr>
          <w:p w14:paraId="677FD34B" w14:textId="6AA912D2" w:rsidR="008B395A" w:rsidRPr="008B395A" w:rsidRDefault="008B395A" w:rsidP="008B395A">
            <w:pPr>
              <w:rPr>
                <w:bCs/>
                <w:noProof/>
                <w:sz w:val="20"/>
                <w:szCs w:val="20"/>
              </w:rPr>
            </w:pPr>
            <w:r w:rsidRPr="008B395A">
              <w:rPr>
                <w:bCs/>
                <w:noProof/>
                <w:sz w:val="20"/>
                <w:szCs w:val="20"/>
              </w:rPr>
              <w:t xml:space="preserve">No </w:t>
            </w:r>
            <w:r>
              <w:rPr>
                <w:bCs/>
                <w:noProof/>
                <w:sz w:val="20"/>
                <w:szCs w:val="20"/>
              </w:rPr>
              <w:t xml:space="preserve">bacterial </w:t>
            </w:r>
            <w:r w:rsidRPr="008B395A">
              <w:rPr>
                <w:bCs/>
                <w:noProof/>
                <w:sz w:val="20"/>
                <w:szCs w:val="20"/>
              </w:rPr>
              <w:t>growth</w:t>
            </w:r>
          </w:p>
        </w:tc>
      </w:tr>
      <w:tr w:rsidR="008B395A" w14:paraId="476EC5AE" w14:textId="77777777" w:rsidTr="008B395A">
        <w:trPr>
          <w:trHeight w:val="317"/>
        </w:trPr>
        <w:tc>
          <w:tcPr>
            <w:tcW w:w="988" w:type="dxa"/>
            <w:shd w:val="clear" w:color="auto" w:fill="7030A0"/>
          </w:tcPr>
          <w:p w14:paraId="1591E157" w14:textId="77777777" w:rsidR="008B395A" w:rsidRDefault="008B395A" w:rsidP="008B395A">
            <w:pPr>
              <w:rPr>
                <w:b/>
                <w:noProof/>
              </w:rPr>
            </w:pPr>
          </w:p>
        </w:tc>
        <w:tc>
          <w:tcPr>
            <w:tcW w:w="1936" w:type="dxa"/>
          </w:tcPr>
          <w:p w14:paraId="187E7C2F" w14:textId="77777777" w:rsidR="008B395A" w:rsidRPr="008B395A" w:rsidRDefault="008B395A" w:rsidP="008B395A">
            <w:pPr>
              <w:rPr>
                <w:bCs/>
                <w:noProof/>
                <w:sz w:val="20"/>
                <w:szCs w:val="20"/>
              </w:rPr>
            </w:pPr>
            <w:r w:rsidRPr="008B395A">
              <w:rPr>
                <w:bCs/>
                <w:noProof/>
                <w:sz w:val="20"/>
                <w:szCs w:val="20"/>
              </w:rPr>
              <w:t>Lab error (no MIC)</w:t>
            </w:r>
          </w:p>
        </w:tc>
      </w:tr>
      <w:tr w:rsidR="008B395A" w14:paraId="016BFB2E" w14:textId="77777777" w:rsidTr="008B395A">
        <w:trPr>
          <w:trHeight w:val="181"/>
        </w:trPr>
        <w:tc>
          <w:tcPr>
            <w:tcW w:w="988" w:type="dxa"/>
            <w:shd w:val="clear" w:color="auto" w:fill="FFD966" w:themeFill="accent4" w:themeFillTint="99"/>
          </w:tcPr>
          <w:p w14:paraId="7FA27D4C" w14:textId="77777777" w:rsidR="008B395A" w:rsidRDefault="008B395A" w:rsidP="008B395A">
            <w:pPr>
              <w:rPr>
                <w:b/>
                <w:noProof/>
              </w:rPr>
            </w:pPr>
          </w:p>
        </w:tc>
        <w:tc>
          <w:tcPr>
            <w:tcW w:w="1936" w:type="dxa"/>
          </w:tcPr>
          <w:p w14:paraId="17ADCBB1" w14:textId="6A27E407" w:rsidR="008B395A" w:rsidRPr="008B395A" w:rsidRDefault="008B395A" w:rsidP="008B395A">
            <w:pPr>
              <w:rPr>
                <w:bCs/>
                <w:noProof/>
                <w:sz w:val="20"/>
                <w:szCs w:val="20"/>
              </w:rPr>
            </w:pPr>
            <w:r w:rsidRPr="008B395A">
              <w:rPr>
                <w:bCs/>
                <w:noProof/>
                <w:sz w:val="20"/>
                <w:szCs w:val="20"/>
              </w:rPr>
              <w:t>N</w:t>
            </w:r>
            <w:r>
              <w:rPr>
                <w:bCs/>
                <w:noProof/>
                <w:sz w:val="20"/>
                <w:szCs w:val="20"/>
              </w:rPr>
              <w:t>o</w:t>
            </w:r>
            <w:r w:rsidRPr="008B395A">
              <w:rPr>
                <w:bCs/>
                <w:noProof/>
                <w:sz w:val="20"/>
                <w:szCs w:val="20"/>
              </w:rPr>
              <w:t xml:space="preserve"> swab (COVID-19</w:t>
            </w:r>
            <w:r>
              <w:rPr>
                <w:bCs/>
                <w:noProof/>
                <w:sz w:val="20"/>
                <w:szCs w:val="20"/>
              </w:rPr>
              <w:t>)</w:t>
            </w:r>
          </w:p>
        </w:tc>
      </w:tr>
    </w:tbl>
    <w:p w14:paraId="57771388" w14:textId="0AE39B11" w:rsidR="00253084" w:rsidRPr="008B395A" w:rsidRDefault="00253084" w:rsidP="00E54AD9">
      <w:pPr>
        <w:spacing w:line="360" w:lineRule="auto"/>
        <w:rPr>
          <w:bCs/>
          <w:noProof/>
        </w:rPr>
      </w:pPr>
    </w:p>
    <w:p w14:paraId="540C4518" w14:textId="6E48BE7B" w:rsidR="00436F53" w:rsidRDefault="00F06FE3" w:rsidP="00E54AD9">
      <w:pPr>
        <w:spacing w:line="360" w:lineRule="auto"/>
        <w:rPr>
          <w:b/>
          <w:noProof/>
        </w:rPr>
      </w:pPr>
      <w:bookmarkStart w:id="180" w:name="_Hlk71187232"/>
      <w:r>
        <w:rPr>
          <w:b/>
          <w:noProof/>
        </w:rPr>
        <w:t>Antibiotic courses during the study period</w:t>
      </w:r>
    </w:p>
    <w:tbl>
      <w:tblPr>
        <w:tblStyle w:val="TableGrid"/>
        <w:tblW w:w="0" w:type="auto"/>
        <w:tblInd w:w="-5" w:type="dxa"/>
        <w:tblLook w:val="04A0" w:firstRow="1" w:lastRow="0" w:firstColumn="1" w:lastColumn="0" w:noHBand="0" w:noVBand="1"/>
      </w:tblPr>
      <w:tblGrid>
        <w:gridCol w:w="562"/>
        <w:gridCol w:w="3402"/>
      </w:tblGrid>
      <w:tr w:rsidR="00F06FE3" w14:paraId="3C6E6D8F" w14:textId="77777777" w:rsidTr="001F4213">
        <w:tc>
          <w:tcPr>
            <w:tcW w:w="562" w:type="dxa"/>
          </w:tcPr>
          <w:p w14:paraId="673E4753" w14:textId="2EAEDF5D" w:rsidR="00F06FE3" w:rsidRPr="00F06FE3" w:rsidRDefault="00F06FE3" w:rsidP="00E54AD9">
            <w:pPr>
              <w:spacing w:line="360" w:lineRule="auto"/>
              <w:rPr>
                <w:b/>
                <w:noProof/>
                <w:sz w:val="20"/>
                <w:szCs w:val="20"/>
              </w:rPr>
            </w:pPr>
            <w:r w:rsidRPr="00F06FE3">
              <w:rPr>
                <w:b/>
                <w:noProof/>
                <w:sz w:val="20"/>
                <w:szCs w:val="20"/>
              </w:rPr>
              <w:t>1</w:t>
            </w:r>
          </w:p>
        </w:tc>
        <w:tc>
          <w:tcPr>
            <w:tcW w:w="3402" w:type="dxa"/>
          </w:tcPr>
          <w:p w14:paraId="5B4335A9" w14:textId="2634AD37" w:rsidR="00F06FE3" w:rsidRPr="00F06FE3" w:rsidRDefault="00F06FE3" w:rsidP="00E54AD9">
            <w:pPr>
              <w:spacing w:line="360" w:lineRule="auto"/>
              <w:rPr>
                <w:bCs/>
                <w:noProof/>
                <w:sz w:val="20"/>
                <w:szCs w:val="20"/>
              </w:rPr>
            </w:pPr>
            <w:r w:rsidRPr="00F06FE3">
              <w:rPr>
                <w:bCs/>
                <w:noProof/>
                <w:sz w:val="20"/>
                <w:szCs w:val="20"/>
              </w:rPr>
              <w:t>Number of acute courses of antibiotics</w:t>
            </w:r>
          </w:p>
        </w:tc>
      </w:tr>
      <w:tr w:rsidR="00F06FE3" w14:paraId="583970F2" w14:textId="77777777" w:rsidTr="001F4213">
        <w:tc>
          <w:tcPr>
            <w:tcW w:w="562" w:type="dxa"/>
          </w:tcPr>
          <w:p w14:paraId="736DE6A1" w14:textId="26BF46D5" w:rsidR="00F06FE3" w:rsidRDefault="00EB0610" w:rsidP="00E54AD9">
            <w:pPr>
              <w:spacing w:line="360" w:lineRule="auto"/>
              <w:rPr>
                <w:b/>
                <w:noProof/>
                <w:sz w:val="20"/>
                <w:szCs w:val="20"/>
              </w:rPr>
            </w:pPr>
            <w:r>
              <w:rPr>
                <w:noProof/>
              </w:rPr>
              <mc:AlternateContent>
                <mc:Choice Requires="wps">
                  <w:drawing>
                    <wp:anchor distT="0" distB="0" distL="114300" distR="114300" simplePos="0" relativeHeight="251753984" behindDoc="0" locked="0" layoutInCell="1" allowOverlap="1" wp14:anchorId="2300BE58" wp14:editId="78671C8D">
                      <wp:simplePos x="0" y="0"/>
                      <wp:positionH relativeFrom="column">
                        <wp:posOffset>5715</wp:posOffset>
                      </wp:positionH>
                      <wp:positionV relativeFrom="paragraph">
                        <wp:posOffset>28575</wp:posOffset>
                      </wp:positionV>
                      <wp:extent cx="151130" cy="149225"/>
                      <wp:effectExtent l="19050" t="19050" r="20320" b="3175"/>
                      <wp:wrapNone/>
                      <wp:docPr id="637" name="Isosceles Tri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49225"/>
                              </a:xfrm>
                              <a:prstGeom prst="triangle">
                                <a:avLst/>
                              </a:prstGeom>
                              <a:solidFill>
                                <a:schemeClr val="accent5">
                                  <a:lumMod val="5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B92D0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37" o:spid="_x0000_s1026" type="#_x0000_t5" style="position:absolute;margin-left:.45pt;margin-top:2.25pt;width:11.9pt;height:11.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" fillcolor="#1f3763 [1608]" strokecolor="red" strokeweight="1pt">
                      <v:path arrowok="t"/>
                    </v:shape>
                  </w:pict>
                </mc:Fallback>
              </mc:AlternateContent>
            </w:r>
          </w:p>
        </w:tc>
        <w:tc>
          <w:tcPr>
            <w:tcW w:w="3402" w:type="dxa"/>
          </w:tcPr>
          <w:p w14:paraId="5A35ACF7" w14:textId="1D7E305D" w:rsidR="00F06FE3" w:rsidRPr="00F06FE3" w:rsidRDefault="00F06FE3" w:rsidP="00E54AD9">
            <w:pPr>
              <w:spacing w:line="360" w:lineRule="auto"/>
              <w:rPr>
                <w:bCs/>
                <w:noProof/>
                <w:sz w:val="20"/>
                <w:szCs w:val="20"/>
              </w:rPr>
            </w:pPr>
            <w:r w:rsidRPr="00F06FE3">
              <w:rPr>
                <w:bCs/>
                <w:noProof/>
                <w:sz w:val="20"/>
                <w:szCs w:val="20"/>
              </w:rPr>
              <w:t>Prescribed acute course of macrolides</w:t>
            </w:r>
          </w:p>
        </w:tc>
      </w:tr>
      <w:bookmarkEnd w:id="180"/>
    </w:tbl>
    <w:p w14:paraId="77C056D6" w14:textId="3784D6DB" w:rsidR="00F06FE3" w:rsidRDefault="00F06FE3" w:rsidP="00E54AD9">
      <w:pPr>
        <w:spacing w:line="360" w:lineRule="auto"/>
        <w:rPr>
          <w:b/>
          <w:noProof/>
          <w:sz w:val="20"/>
          <w:szCs w:val="20"/>
        </w:rPr>
      </w:pPr>
    </w:p>
    <w:p w14:paraId="12A7299A" w14:textId="65BE6877" w:rsidR="003B2211" w:rsidRPr="00C25B30" w:rsidRDefault="003B2211" w:rsidP="0064056D">
      <w:pPr>
        <w:spacing w:line="276" w:lineRule="auto"/>
        <w:rPr>
          <w:color w:val="000000" w:themeColor="text1"/>
        </w:rPr>
      </w:pPr>
      <w:bookmarkStart w:id="181" w:name="_Ref105507124"/>
      <w:bookmarkStart w:id="182" w:name="_Toc117780220"/>
      <w:r w:rsidRPr="00C25B30">
        <w:rPr>
          <w:b/>
          <w:bCs/>
          <w:color w:val="000000" w:themeColor="text1"/>
        </w:rPr>
        <w:t xml:space="preserve">Figure </w:t>
      </w:r>
      <w:r w:rsidR="00F42C6F">
        <w:rPr>
          <w:b/>
          <w:bCs/>
          <w:color w:val="000000" w:themeColor="text1"/>
        </w:rPr>
        <w:fldChar w:fldCharType="begin"/>
      </w:r>
      <w:r w:rsidR="00F42C6F">
        <w:rPr>
          <w:b/>
          <w:bCs/>
          <w:color w:val="000000" w:themeColor="text1"/>
        </w:rPr>
        <w:instrText xml:space="preserve"> STYLEREF 1 \s </w:instrText>
      </w:r>
      <w:r w:rsidR="00F42C6F">
        <w:rPr>
          <w:b/>
          <w:bCs/>
          <w:color w:val="000000" w:themeColor="text1"/>
        </w:rPr>
        <w:fldChar w:fldCharType="separate"/>
      </w:r>
      <w:r w:rsidR="00F42C6F">
        <w:rPr>
          <w:b/>
          <w:bCs/>
          <w:noProof/>
          <w:color w:val="000000" w:themeColor="text1"/>
        </w:rPr>
        <w:t>4</w:t>
      </w:r>
      <w:r w:rsidR="00F42C6F">
        <w:rPr>
          <w:b/>
          <w:bCs/>
          <w:color w:val="000000" w:themeColor="text1"/>
        </w:rPr>
        <w:fldChar w:fldCharType="end"/>
      </w:r>
      <w:r w:rsidR="00F42C6F">
        <w:rPr>
          <w:b/>
          <w:bCs/>
          <w:color w:val="000000" w:themeColor="text1"/>
        </w:rPr>
        <w:noBreakHyphen/>
      </w:r>
      <w:r w:rsidR="00F42C6F">
        <w:rPr>
          <w:b/>
          <w:bCs/>
          <w:color w:val="000000" w:themeColor="text1"/>
        </w:rPr>
        <w:fldChar w:fldCharType="begin"/>
      </w:r>
      <w:r w:rsidR="00F42C6F">
        <w:rPr>
          <w:b/>
          <w:bCs/>
          <w:color w:val="000000" w:themeColor="text1"/>
        </w:rPr>
        <w:instrText xml:space="preserve"> SEQ Figure \* ARABIC \s 1 </w:instrText>
      </w:r>
      <w:r w:rsidR="00F42C6F">
        <w:rPr>
          <w:b/>
          <w:bCs/>
          <w:color w:val="000000" w:themeColor="text1"/>
        </w:rPr>
        <w:fldChar w:fldCharType="separate"/>
      </w:r>
      <w:r w:rsidR="00F42C6F">
        <w:rPr>
          <w:b/>
          <w:bCs/>
          <w:noProof/>
          <w:color w:val="000000" w:themeColor="text1"/>
        </w:rPr>
        <w:t>3</w:t>
      </w:r>
      <w:r w:rsidR="00F42C6F">
        <w:rPr>
          <w:b/>
          <w:bCs/>
          <w:color w:val="000000" w:themeColor="text1"/>
        </w:rPr>
        <w:fldChar w:fldCharType="end"/>
      </w:r>
      <w:bookmarkEnd w:id="181"/>
      <w:r w:rsidRPr="00C25B30">
        <w:rPr>
          <w:b/>
          <w:bCs/>
          <w:color w:val="000000" w:themeColor="text1"/>
        </w:rPr>
        <w:t>:</w:t>
      </w:r>
      <w:r w:rsidRPr="00C25B30">
        <w:rPr>
          <w:color w:val="000000" w:themeColor="text1"/>
        </w:rPr>
        <w:t xml:space="preserve"> Representation of azithromycin susceptibility </w:t>
      </w:r>
      <w:r>
        <w:rPr>
          <w:color w:val="000000" w:themeColor="text1"/>
        </w:rPr>
        <w:t xml:space="preserve">for </w:t>
      </w:r>
      <w:r w:rsidRPr="00C25B30">
        <w:rPr>
          <w:color w:val="000000" w:themeColor="text1"/>
        </w:rPr>
        <w:t>DNPS culture</w:t>
      </w:r>
      <w:r>
        <w:rPr>
          <w:color w:val="000000" w:themeColor="text1"/>
        </w:rPr>
        <w:t>s</w:t>
      </w:r>
      <w:r w:rsidRPr="00C25B30">
        <w:rPr>
          <w:color w:val="000000" w:themeColor="text1"/>
        </w:rPr>
        <w:t xml:space="preserve"> </w:t>
      </w:r>
      <w:r w:rsidR="00351BD1">
        <w:rPr>
          <w:color w:val="000000" w:themeColor="text1"/>
        </w:rPr>
        <w:t>in PBB study 1</w:t>
      </w:r>
      <w:bookmarkEnd w:id="182"/>
    </w:p>
    <w:p w14:paraId="3A4F6D4D" w14:textId="02157851" w:rsidR="00683464" w:rsidRPr="005337D3" w:rsidRDefault="00E54AD9" w:rsidP="0064056D">
      <w:pPr>
        <w:spacing w:line="276" w:lineRule="auto"/>
        <w:rPr>
          <w:i/>
          <w:iCs/>
        </w:rPr>
      </w:pPr>
      <w:bookmarkStart w:id="183" w:name="_Hlk55400170"/>
      <w:bookmarkEnd w:id="178"/>
      <w:r w:rsidRPr="005337D3">
        <w:rPr>
          <w:i/>
          <w:iCs/>
        </w:rPr>
        <w:t xml:space="preserve">Two observational cohorts </w:t>
      </w:r>
      <w:r w:rsidR="005545DC">
        <w:rPr>
          <w:i/>
          <w:iCs/>
        </w:rPr>
        <w:t xml:space="preserve">each </w:t>
      </w:r>
      <w:r w:rsidRPr="005337D3">
        <w:rPr>
          <w:i/>
          <w:iCs/>
        </w:rPr>
        <w:t>of 10 children with a diagnosis of PBB had sequential DNPS taken 5 times over a 12-month period. One group received prophylactic azithromycin (A) and the other did not (C). Each column on the X-axis represents an individual child. The Y-axis shows each of the 5 swab results</w:t>
      </w:r>
      <w:r w:rsidR="005545DC">
        <w:rPr>
          <w:i/>
          <w:iCs/>
        </w:rPr>
        <w:t>,</w:t>
      </w:r>
      <w:r w:rsidRPr="005337D3">
        <w:rPr>
          <w:i/>
          <w:iCs/>
        </w:rPr>
        <w:t xml:space="preserve"> with different colours denoting azithromycin susceptibility of any isolates grown.</w:t>
      </w:r>
      <w:r w:rsidR="0011236B" w:rsidRPr="005337D3">
        <w:rPr>
          <w:i/>
          <w:iCs/>
        </w:rPr>
        <w:t xml:space="preserve">  Coloured circles under each participant represent the duration from the last course of macrolide</w:t>
      </w:r>
      <w:r w:rsidR="00683464" w:rsidRPr="005337D3">
        <w:rPr>
          <w:i/>
          <w:iCs/>
        </w:rPr>
        <w:t xml:space="preserve"> antibiotic</w:t>
      </w:r>
      <w:r w:rsidR="0011236B" w:rsidRPr="005337D3">
        <w:rPr>
          <w:i/>
          <w:iCs/>
        </w:rPr>
        <w:t xml:space="preserve"> to the study start. </w:t>
      </w:r>
      <w:r w:rsidR="002F6AC0" w:rsidRPr="005337D3">
        <w:rPr>
          <w:i/>
          <w:iCs/>
        </w:rPr>
        <w:t xml:space="preserve">Numbers in the upper boxes denote the number of acute courses of antibiotics each participant was prescribed during the study. Triangles in the boxes show when courses of macrolides were prescribed during the study. </w:t>
      </w:r>
      <w:r w:rsidRPr="005337D3">
        <w:rPr>
          <w:i/>
          <w:iCs/>
        </w:rPr>
        <w:t xml:space="preserve">Resistance and susceptibility </w:t>
      </w:r>
      <w:r w:rsidR="00353C2E" w:rsidRPr="005337D3">
        <w:rPr>
          <w:i/>
          <w:iCs/>
        </w:rPr>
        <w:t xml:space="preserve">to azithromycin </w:t>
      </w:r>
      <w:r w:rsidRPr="005337D3">
        <w:rPr>
          <w:i/>
          <w:iCs/>
        </w:rPr>
        <w:t>are</w:t>
      </w:r>
      <w:r w:rsidR="00353C2E" w:rsidRPr="005337D3">
        <w:rPr>
          <w:i/>
          <w:iCs/>
        </w:rPr>
        <w:t xml:space="preserve"> attributed</w:t>
      </w:r>
      <w:r w:rsidRPr="005337D3">
        <w:rPr>
          <w:i/>
          <w:iCs/>
        </w:rPr>
        <w:t xml:space="preserve"> based on minimum inhibitory concentrations as p</w:t>
      </w:r>
      <w:r w:rsidR="0080297B" w:rsidRPr="005337D3">
        <w:rPr>
          <w:i/>
          <w:iCs/>
        </w:rPr>
        <w:t>er the EUCAST breakpoint tables:</w:t>
      </w:r>
      <w:bookmarkEnd w:id="183"/>
      <w:r w:rsidR="005337D3">
        <w:rPr>
          <w:i/>
          <w:iCs/>
        </w:rPr>
        <w:t xml:space="preserve"> </w:t>
      </w:r>
      <w:r w:rsidR="0080297B" w:rsidRPr="005337D3">
        <w:rPr>
          <w:i/>
          <w:iCs/>
        </w:rPr>
        <w:t>S. pneumoniae</w:t>
      </w:r>
      <w:r w:rsidR="005337D3" w:rsidRPr="005337D3">
        <w:rPr>
          <w:i/>
          <w:iCs/>
        </w:rPr>
        <w:t xml:space="preserve"> </w:t>
      </w:r>
      <w:r w:rsidR="0080297B" w:rsidRPr="005337D3">
        <w:rPr>
          <w:i/>
          <w:iCs/>
        </w:rPr>
        <w:t>&gt; 0.5 mg/L</w:t>
      </w:r>
      <w:r w:rsidR="005337D3">
        <w:rPr>
          <w:i/>
          <w:iCs/>
        </w:rPr>
        <w:t xml:space="preserve">; </w:t>
      </w:r>
      <w:r w:rsidR="0080297B" w:rsidRPr="005337D3">
        <w:rPr>
          <w:i/>
          <w:iCs/>
        </w:rPr>
        <w:t>M. catarrhalis</w:t>
      </w:r>
      <w:r w:rsidR="005337D3">
        <w:rPr>
          <w:i/>
          <w:iCs/>
        </w:rPr>
        <w:t xml:space="preserve"> </w:t>
      </w:r>
      <w:r w:rsidR="0080297B" w:rsidRPr="005337D3">
        <w:rPr>
          <w:i/>
          <w:iCs/>
        </w:rPr>
        <w:t>&gt;</w:t>
      </w:r>
      <w:r w:rsidR="005337D3">
        <w:rPr>
          <w:i/>
          <w:iCs/>
        </w:rPr>
        <w:t xml:space="preserve"> </w:t>
      </w:r>
      <w:r w:rsidR="0080297B" w:rsidRPr="005337D3">
        <w:rPr>
          <w:i/>
          <w:iCs/>
        </w:rPr>
        <w:t>0.5 mg/L</w:t>
      </w:r>
      <w:r w:rsidR="005337D3">
        <w:rPr>
          <w:i/>
          <w:iCs/>
        </w:rPr>
        <w:t xml:space="preserve">; </w:t>
      </w:r>
      <w:r w:rsidR="0080297B" w:rsidRPr="005337D3">
        <w:rPr>
          <w:i/>
          <w:iCs/>
        </w:rPr>
        <w:t>S. aureus</w:t>
      </w:r>
      <w:r w:rsidR="005337D3">
        <w:rPr>
          <w:i/>
          <w:iCs/>
        </w:rPr>
        <w:t xml:space="preserve">    </w:t>
      </w:r>
      <w:r w:rsidR="0080297B" w:rsidRPr="005337D3">
        <w:rPr>
          <w:i/>
          <w:iCs/>
        </w:rPr>
        <w:t>&gt; 2 mg/L</w:t>
      </w:r>
      <w:r w:rsidR="005337D3">
        <w:rPr>
          <w:i/>
          <w:iCs/>
        </w:rPr>
        <w:t xml:space="preserve">; </w:t>
      </w:r>
      <w:r w:rsidR="0080297B" w:rsidRPr="005337D3">
        <w:rPr>
          <w:i/>
          <w:iCs/>
        </w:rPr>
        <w:t>H. Influenzae</w:t>
      </w:r>
      <w:r w:rsidR="005337D3">
        <w:rPr>
          <w:i/>
          <w:iCs/>
        </w:rPr>
        <w:t xml:space="preserve"> </w:t>
      </w:r>
      <w:r w:rsidR="0080297B" w:rsidRPr="005337D3">
        <w:rPr>
          <w:i/>
          <w:iCs/>
        </w:rPr>
        <w:t>&gt; 4 mg/L</w:t>
      </w:r>
    </w:p>
    <w:p w14:paraId="6C46D34E" w14:textId="40C38993" w:rsidR="005448D0" w:rsidRDefault="008D2EEF" w:rsidP="009534B8">
      <w:pPr>
        <w:spacing w:line="360" w:lineRule="auto"/>
        <w:rPr>
          <w:bCs/>
        </w:rPr>
      </w:pPr>
      <w:r>
        <w:rPr>
          <w:bCs/>
        </w:rPr>
        <w:lastRenderedPageBreak/>
        <w:t>The 4</w:t>
      </w:r>
      <w:r w:rsidR="00964AD4">
        <w:rPr>
          <w:bCs/>
        </w:rPr>
        <w:t>4</w:t>
      </w:r>
      <w:r>
        <w:rPr>
          <w:bCs/>
        </w:rPr>
        <w:t xml:space="preserve"> </w:t>
      </w:r>
      <w:r w:rsidR="00964AD4">
        <w:rPr>
          <w:bCs/>
        </w:rPr>
        <w:t xml:space="preserve">azithromycin </w:t>
      </w:r>
      <w:r>
        <w:rPr>
          <w:bCs/>
        </w:rPr>
        <w:t xml:space="preserve">resistant organisms from both groups </w:t>
      </w:r>
      <w:r w:rsidR="00964AD4">
        <w:rPr>
          <w:bCs/>
        </w:rPr>
        <w:t xml:space="preserve">over the entire study period </w:t>
      </w:r>
      <w:r>
        <w:rPr>
          <w:bCs/>
        </w:rPr>
        <w:t xml:space="preserve">were predominantly </w:t>
      </w:r>
      <w:r w:rsidRPr="001D04B2">
        <w:rPr>
          <w:bCs/>
          <w:i/>
          <w:iCs/>
        </w:rPr>
        <w:t>S. pneumoniae</w:t>
      </w:r>
      <w:r w:rsidR="00F13228">
        <w:rPr>
          <w:bCs/>
        </w:rPr>
        <w:t xml:space="preserve"> (24 isolates)</w:t>
      </w:r>
      <w:r w:rsidR="009534B8">
        <w:rPr>
          <w:bCs/>
        </w:rPr>
        <w:t xml:space="preserve"> with smaller numbers of </w:t>
      </w:r>
      <w:r w:rsidR="009534B8" w:rsidRPr="001D04B2">
        <w:rPr>
          <w:bCs/>
          <w:i/>
          <w:iCs/>
        </w:rPr>
        <w:t>H. influenzae</w:t>
      </w:r>
      <w:r w:rsidR="009534B8">
        <w:rPr>
          <w:bCs/>
        </w:rPr>
        <w:t xml:space="preserve"> (</w:t>
      </w:r>
      <w:r w:rsidR="00027720">
        <w:rPr>
          <w:bCs/>
        </w:rPr>
        <w:t>9</w:t>
      </w:r>
      <w:r w:rsidR="009534B8">
        <w:rPr>
          <w:bCs/>
        </w:rPr>
        <w:t xml:space="preserve"> isolates), </w:t>
      </w:r>
      <w:r w:rsidR="009534B8" w:rsidRPr="001D04B2">
        <w:rPr>
          <w:bCs/>
          <w:i/>
          <w:iCs/>
        </w:rPr>
        <w:t>M. catarrhalis</w:t>
      </w:r>
      <w:r w:rsidR="009534B8">
        <w:rPr>
          <w:bCs/>
        </w:rPr>
        <w:t xml:space="preserve"> (</w:t>
      </w:r>
      <w:r w:rsidR="00027720">
        <w:rPr>
          <w:bCs/>
        </w:rPr>
        <w:t>7</w:t>
      </w:r>
      <w:r w:rsidR="009534B8">
        <w:rPr>
          <w:bCs/>
        </w:rPr>
        <w:t xml:space="preserve"> isolates) and </w:t>
      </w:r>
      <w:r w:rsidR="009534B8" w:rsidRPr="001D04B2">
        <w:rPr>
          <w:bCs/>
          <w:i/>
          <w:iCs/>
        </w:rPr>
        <w:t>S. aureus</w:t>
      </w:r>
      <w:r w:rsidR="009534B8">
        <w:rPr>
          <w:bCs/>
        </w:rPr>
        <w:t xml:space="preserve"> (4 isolates)</w:t>
      </w:r>
      <w:r w:rsidR="007F0EB9">
        <w:rPr>
          <w:bCs/>
        </w:rPr>
        <w:t>.</w:t>
      </w:r>
    </w:p>
    <w:p w14:paraId="17528DD5" w14:textId="77777777" w:rsidR="007F0EB9" w:rsidRDefault="007F0EB9" w:rsidP="001D04B2">
      <w:pPr>
        <w:spacing w:line="360" w:lineRule="auto"/>
        <w:rPr>
          <w:bCs/>
        </w:rPr>
      </w:pPr>
    </w:p>
    <w:p w14:paraId="3225EA77" w14:textId="02C32CCF" w:rsidR="00866CB9" w:rsidRPr="00241369" w:rsidRDefault="002252D4" w:rsidP="00B64647">
      <w:pPr>
        <w:spacing w:line="360" w:lineRule="auto"/>
        <w:rPr>
          <w:i/>
          <w:u w:val="single"/>
        </w:rPr>
      </w:pPr>
      <w:r>
        <w:rPr>
          <w:i/>
          <w:u w:val="single"/>
        </w:rPr>
        <w:t>Streptococcus</w:t>
      </w:r>
      <w:r w:rsidR="00866CB9" w:rsidRPr="00BE2FBE">
        <w:rPr>
          <w:i/>
          <w:u w:val="single"/>
        </w:rPr>
        <w:t xml:space="preserve"> pneumoniae</w:t>
      </w:r>
    </w:p>
    <w:p w14:paraId="47B3C8F9" w14:textId="76201BA1" w:rsidR="00211028" w:rsidRPr="001D04B2" w:rsidRDefault="00AF7046" w:rsidP="001D04B2">
      <w:pPr>
        <w:spacing w:line="360" w:lineRule="auto"/>
      </w:pPr>
      <w:r>
        <w:t>Based on E</w:t>
      </w:r>
      <w:r w:rsidR="005059FC">
        <w:t>UCAST</w:t>
      </w:r>
      <w:r>
        <w:t xml:space="preserve"> breakpoints, isolates with an MIC </w:t>
      </w:r>
      <w:r w:rsidRPr="00AF7046">
        <w:t>&gt; 0.5 mg/L</w:t>
      </w:r>
      <w:r>
        <w:t xml:space="preserve"> were classed as azithromycin resistant.  </w:t>
      </w:r>
      <w:r w:rsidR="00866CB9" w:rsidRPr="008F33C8">
        <w:t xml:space="preserve">Over the course of the study, azithromycin-resistant </w:t>
      </w:r>
      <w:r w:rsidR="00866CB9" w:rsidRPr="008F33C8">
        <w:rPr>
          <w:i/>
        </w:rPr>
        <w:t>S. pneumoniae</w:t>
      </w:r>
      <w:r w:rsidR="00866CB9" w:rsidRPr="008F33C8">
        <w:t xml:space="preserve"> was isolated from </w:t>
      </w:r>
      <w:r w:rsidR="00866CB9">
        <w:t>8</w:t>
      </w:r>
      <w:r w:rsidR="00866CB9" w:rsidRPr="008F33C8">
        <w:t xml:space="preserve"> out of 10 children in the co</w:t>
      </w:r>
      <w:r w:rsidR="00866CB9">
        <w:t>mparison</w:t>
      </w:r>
      <w:r w:rsidR="00866CB9" w:rsidRPr="008F33C8">
        <w:t xml:space="preserve"> group and </w:t>
      </w:r>
      <w:r w:rsidR="00866CB9">
        <w:t>5</w:t>
      </w:r>
      <w:r w:rsidR="00866CB9" w:rsidRPr="008F33C8">
        <w:t xml:space="preserve"> out of 10 children in the azithromycin group (</w:t>
      </w:r>
      <w:r w:rsidR="004C46B2" w:rsidRPr="004C46B2">
        <w:fldChar w:fldCharType="begin"/>
      </w:r>
      <w:r w:rsidR="004C46B2" w:rsidRPr="004C46B2">
        <w:instrText xml:space="preserve"> REF _Ref105446644 \h  \* MERGEFORMAT </w:instrText>
      </w:r>
      <w:r w:rsidR="004C46B2" w:rsidRPr="004C46B2">
        <w:fldChar w:fldCharType="separate"/>
      </w:r>
      <w:r w:rsidR="001A066D" w:rsidRPr="001A066D">
        <w:rPr>
          <w:color w:val="000000" w:themeColor="text1"/>
        </w:rPr>
        <w:t xml:space="preserve">Figure </w:t>
      </w:r>
      <w:r w:rsidR="001A066D" w:rsidRPr="001A066D">
        <w:rPr>
          <w:noProof/>
          <w:color w:val="000000" w:themeColor="text1"/>
        </w:rPr>
        <w:t>4</w:t>
      </w:r>
      <w:r w:rsidR="001A066D" w:rsidRPr="001A066D">
        <w:rPr>
          <w:noProof/>
          <w:color w:val="000000" w:themeColor="text1"/>
        </w:rPr>
        <w:noBreakHyphen/>
        <w:t>4</w:t>
      </w:r>
      <w:r w:rsidR="004C46B2" w:rsidRPr="004C46B2">
        <w:fldChar w:fldCharType="end"/>
      </w:r>
      <w:r w:rsidR="00866CB9" w:rsidRPr="008F33C8">
        <w:t>)</w:t>
      </w:r>
      <w:r>
        <w:t>; several par</w:t>
      </w:r>
      <w:r w:rsidR="00FA2EAE">
        <w:t>tici</w:t>
      </w:r>
      <w:r>
        <w:t>pants cultured more than one isolate</w:t>
      </w:r>
      <w:r w:rsidR="00866CB9" w:rsidRPr="008F33C8">
        <w:t xml:space="preserve">. At baseline azithromycin-resistant </w:t>
      </w:r>
      <w:r w:rsidR="00866CB9" w:rsidRPr="008F33C8">
        <w:rPr>
          <w:i/>
        </w:rPr>
        <w:t>S. pneumoniae</w:t>
      </w:r>
      <w:r w:rsidR="00866CB9" w:rsidRPr="008F33C8">
        <w:t xml:space="preserve"> was isolated from 3 </w:t>
      </w:r>
      <w:r w:rsidR="00866CB9">
        <w:t>participants in the comparison group</w:t>
      </w:r>
      <w:r w:rsidR="00866CB9" w:rsidRPr="008F33C8">
        <w:t xml:space="preserve"> compared to 2 in the azithromycin group. All 8 </w:t>
      </w:r>
      <w:r w:rsidR="00866CB9" w:rsidRPr="00241369">
        <w:rPr>
          <w:i/>
        </w:rPr>
        <w:t>S. pneumoniae</w:t>
      </w:r>
      <w:r w:rsidR="00866CB9" w:rsidRPr="008F33C8">
        <w:t xml:space="preserve"> isolates in the azithromycin-exposed group were resistant</w:t>
      </w:r>
      <w:r w:rsidR="00936C0C">
        <w:t>,</w:t>
      </w:r>
      <w:r>
        <w:t xml:space="preserve"> including 1 isolate with high level resistance (MIC</w:t>
      </w:r>
      <w:r w:rsidR="00052D73">
        <w:t xml:space="preserve"> &gt;256mg/L)</w:t>
      </w:r>
      <w:r w:rsidR="00866CB9" w:rsidRPr="008F33C8">
        <w:t xml:space="preserve">. </w:t>
      </w:r>
      <w:r>
        <w:t>Only o</w:t>
      </w:r>
      <w:r w:rsidRPr="008F33C8">
        <w:t xml:space="preserve">ne </w:t>
      </w:r>
      <w:r w:rsidR="00866CB9">
        <w:t xml:space="preserve">out of the 17 </w:t>
      </w:r>
      <w:r w:rsidR="00866CB9" w:rsidRPr="000E1D59">
        <w:rPr>
          <w:i/>
          <w:iCs/>
        </w:rPr>
        <w:t>S. pneumoniae</w:t>
      </w:r>
      <w:r w:rsidR="00866CB9">
        <w:t xml:space="preserve"> </w:t>
      </w:r>
      <w:r w:rsidR="00866CB9" w:rsidRPr="008F33C8">
        <w:t>isolate</w:t>
      </w:r>
      <w:r w:rsidR="00866CB9">
        <w:t>s</w:t>
      </w:r>
      <w:r w:rsidR="00866CB9" w:rsidRPr="008F33C8">
        <w:t xml:space="preserve"> in the comparison group was </w:t>
      </w:r>
      <w:r>
        <w:t xml:space="preserve">fully </w:t>
      </w:r>
      <w:r w:rsidR="00866CB9">
        <w:t>susceptible to azithromycin</w:t>
      </w:r>
      <w:r w:rsidR="00866CB9" w:rsidRPr="008F33C8">
        <w:t xml:space="preserve">. </w:t>
      </w:r>
      <w:r w:rsidR="00105FF9">
        <w:t>Although the number of resistant isolates was unexpectedly high, t</w:t>
      </w:r>
      <w:r w:rsidR="00B9190F">
        <w:t xml:space="preserve">he majority of isolates exhibited only </w:t>
      </w:r>
      <w:r w:rsidR="00936C0C">
        <w:t>low-level</w:t>
      </w:r>
      <w:r w:rsidR="00B9190F">
        <w:t xml:space="preserve"> resistance (0.75-4 mg/ml</w:t>
      </w:r>
      <w:r w:rsidR="00936C0C">
        <w:t xml:space="preserve">, </w:t>
      </w:r>
      <w:r w:rsidR="00C47244">
        <w:t>i.e.</w:t>
      </w:r>
      <w:r w:rsidR="00936C0C">
        <w:t xml:space="preserve"> 1.5x-8x the EUCAST breakpoint</w:t>
      </w:r>
      <w:r w:rsidR="00B9190F">
        <w:t>).</w:t>
      </w:r>
    </w:p>
    <w:p w14:paraId="3F0F4814" w14:textId="111102ED" w:rsidR="005337D3" w:rsidRDefault="005337D3">
      <w:pPr>
        <w:rPr>
          <w:b/>
          <w:bCs/>
        </w:rPr>
      </w:pPr>
      <w:r>
        <w:rPr>
          <w:b/>
          <w:bCs/>
        </w:rPr>
        <w:br w:type="page"/>
      </w:r>
    </w:p>
    <w:p w14:paraId="4F38A83F" w14:textId="5417E625" w:rsidR="00A6336A" w:rsidRPr="008F33C8" w:rsidRDefault="00081789" w:rsidP="00E82735">
      <w:pPr>
        <w:spacing w:line="360" w:lineRule="auto"/>
        <w:rPr>
          <w:i/>
          <w:iCs/>
        </w:rPr>
      </w:pPr>
      <w:r>
        <w:rPr>
          <w:noProof/>
        </w:rPr>
        <w:lastRenderedPageBreak/>
        <w:drawing>
          <wp:inline distT="0" distB="0" distL="0" distR="0" wp14:anchorId="230335AC" wp14:editId="58734C4B">
            <wp:extent cx="6475863" cy="2743200"/>
            <wp:effectExtent l="0" t="0" r="1270" b="0"/>
            <wp:docPr id="49" name="Chart 49">
              <a:extLst xmlns:a="http://schemas.openxmlformats.org/drawingml/2006/main">
                <a:ext uri="{FF2B5EF4-FFF2-40B4-BE49-F238E27FC236}">
                  <a16:creationId xmlns:a16="http://schemas.microsoft.com/office/drawing/2014/main" id="{B182D8D2-2BB0-4613-B564-4F39876B3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9BE0AC" w14:textId="40CC84D9" w:rsidR="006E7093" w:rsidRDefault="004C46B2" w:rsidP="00741A10">
      <w:pPr>
        <w:spacing w:line="360" w:lineRule="auto"/>
        <w:rPr>
          <w:b/>
        </w:rPr>
      </w:pPr>
      <w:r>
        <w:rPr>
          <w:b/>
        </w:rPr>
        <w:t xml:space="preserve">Figure </w:t>
      </w:r>
      <w:r w:rsidR="001F4213">
        <w:rPr>
          <w:b/>
        </w:rPr>
        <w:t>4-</w:t>
      </w:r>
      <w:r w:rsidR="00351BD1">
        <w:rPr>
          <w:b/>
        </w:rPr>
        <w:t>4</w:t>
      </w:r>
      <w:r w:rsidR="001F4213">
        <w:rPr>
          <w:b/>
        </w:rPr>
        <w:t xml:space="preserve"> </w:t>
      </w:r>
      <w:r w:rsidR="005059FC">
        <w:rPr>
          <w:b/>
        </w:rPr>
        <w:t>A.</w:t>
      </w:r>
    </w:p>
    <w:p w14:paraId="0111572C" w14:textId="77777777" w:rsidR="00375A31" w:rsidRDefault="00375A31" w:rsidP="00741A10">
      <w:pPr>
        <w:spacing w:line="360" w:lineRule="auto"/>
        <w:rPr>
          <w:b/>
        </w:rPr>
      </w:pPr>
    </w:p>
    <w:p w14:paraId="6A878C4E" w14:textId="0DE4A4AB" w:rsidR="00D274DB" w:rsidRDefault="00FA2EAE" w:rsidP="00741A10">
      <w:pPr>
        <w:spacing w:line="360" w:lineRule="auto"/>
        <w:rPr>
          <w:b/>
        </w:rPr>
      </w:pPr>
      <w:r>
        <w:rPr>
          <w:b/>
        </w:rPr>
        <w:t xml:space="preserve">Key: </w:t>
      </w:r>
      <w:r w:rsidR="00D274DB">
        <w:rPr>
          <w:b/>
        </w:rPr>
        <w:t>Azithromycin susceptibility</w:t>
      </w:r>
      <w:r w:rsidR="00D274DB">
        <w:rPr>
          <w:b/>
        </w:rPr>
        <w:tab/>
        <w:t>Duration from last macrolide exposure</w:t>
      </w:r>
      <w:r w:rsidR="006E7093">
        <w:rPr>
          <w:b/>
        </w:rPr>
        <w:t xml:space="preserve"> to start of study</w:t>
      </w:r>
    </w:p>
    <w:tbl>
      <w:tblPr>
        <w:tblW w:w="1822" w:type="dxa"/>
        <w:tblLook w:val="04A0" w:firstRow="1" w:lastRow="0" w:firstColumn="1" w:lastColumn="0" w:noHBand="0" w:noVBand="1"/>
      </w:tblPr>
      <w:tblGrid>
        <w:gridCol w:w="824"/>
        <w:gridCol w:w="998"/>
      </w:tblGrid>
      <w:tr w:rsidR="006E7093" w:rsidRPr="006E7093" w14:paraId="27E68FFD"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857A"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Colour</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27B07" w14:textId="1E289596" w:rsidR="006E7093" w:rsidRPr="00F964D4" w:rsidRDefault="006E7093">
            <w:pPr>
              <w:rPr>
                <w:rFonts w:ascii="Calibri" w:hAnsi="Calibri"/>
                <w:color w:val="000000"/>
                <w:sz w:val="20"/>
                <w:szCs w:val="20"/>
              </w:rPr>
            </w:pPr>
            <w:r w:rsidRPr="00F964D4">
              <w:rPr>
                <w:rFonts w:ascii="Calibri" w:hAnsi="Calibri"/>
                <w:color w:val="000000"/>
                <w:sz w:val="20"/>
                <w:szCs w:val="20"/>
              </w:rPr>
              <w:t>MIC</w:t>
            </w:r>
            <w:r w:rsidR="00052D73">
              <w:rPr>
                <w:rFonts w:ascii="Calibri" w:hAnsi="Calibri"/>
                <w:color w:val="000000"/>
                <w:sz w:val="20"/>
                <w:szCs w:val="20"/>
              </w:rPr>
              <w:t xml:space="preserve"> (mg/L)</w:t>
            </w:r>
          </w:p>
        </w:tc>
      </w:tr>
      <w:tr w:rsidR="006E7093" w:rsidRPr="006E7093" w14:paraId="0CB227EB"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32EAB96" w14:textId="77777777" w:rsidR="006E7093" w:rsidRPr="00F964D4" w:rsidRDefault="006E7093">
            <w:pPr>
              <w:rPr>
                <w:rFonts w:ascii="Calibri" w:hAnsi="Calibri"/>
                <w:color w:val="00B0F0"/>
                <w:sz w:val="20"/>
                <w:szCs w:val="20"/>
              </w:rPr>
            </w:pPr>
            <w:r w:rsidRPr="00F964D4">
              <w:rPr>
                <w:rFonts w:ascii="Calibri" w:hAnsi="Calibri"/>
                <w:color w:val="00B0F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968B1" w14:textId="33759529" w:rsidR="006E7093" w:rsidRPr="00F964D4" w:rsidRDefault="00105FF9">
            <w:pPr>
              <w:rPr>
                <w:rFonts w:ascii="Calibri" w:hAnsi="Calibri"/>
                <w:color w:val="000000"/>
                <w:sz w:val="20"/>
                <w:szCs w:val="20"/>
              </w:rPr>
            </w:pPr>
            <w:r>
              <w:rPr>
                <w:rFonts w:ascii="Calibri" w:hAnsi="Calibri"/>
                <w:color w:val="000000"/>
                <w:sz w:val="20"/>
                <w:szCs w:val="20"/>
              </w:rPr>
              <w:t>≤</w:t>
            </w:r>
            <w:r w:rsidR="006E7093" w:rsidRPr="00F964D4">
              <w:rPr>
                <w:rFonts w:ascii="Calibri" w:hAnsi="Calibri"/>
                <w:color w:val="000000"/>
                <w:sz w:val="20"/>
                <w:szCs w:val="20"/>
              </w:rPr>
              <w:t>0.5</w:t>
            </w:r>
          </w:p>
        </w:tc>
      </w:tr>
      <w:tr w:rsidR="006E7093" w:rsidRPr="006E7093" w14:paraId="00CB33B3"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auto" w:fill="FFDDDD"/>
            <w:noWrap/>
            <w:vAlign w:val="bottom"/>
            <w:hideMark/>
          </w:tcPr>
          <w:p w14:paraId="29B21F24"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16778"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0.6-1</w:t>
            </w:r>
          </w:p>
        </w:tc>
      </w:tr>
      <w:tr w:rsidR="006E7093" w:rsidRPr="006E7093" w14:paraId="434BFECD"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auto" w:fill="FFA3A3"/>
            <w:noWrap/>
            <w:vAlign w:val="bottom"/>
            <w:hideMark/>
          </w:tcPr>
          <w:p w14:paraId="0E8B09FC"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AC59E"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1.1 to 2</w:t>
            </w:r>
          </w:p>
        </w:tc>
      </w:tr>
      <w:tr w:rsidR="006E7093" w:rsidRPr="006E7093" w14:paraId="502D6FE3"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57AC9BD"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A2FED"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2.1 to 4</w:t>
            </w:r>
          </w:p>
        </w:tc>
      </w:tr>
      <w:tr w:rsidR="006E7093" w:rsidRPr="006E7093" w14:paraId="0EEF8D87" w14:textId="77777777" w:rsidTr="001D04B2">
        <w:trPr>
          <w:trHeight w:val="280"/>
        </w:trPr>
        <w:tc>
          <w:tcPr>
            <w:tcW w:w="824" w:type="dxa"/>
            <w:tcBorders>
              <w:top w:val="single" w:sz="4" w:space="0" w:color="auto"/>
              <w:left w:val="single" w:sz="4" w:space="0" w:color="auto"/>
              <w:bottom w:val="single" w:sz="4" w:space="0" w:color="auto"/>
              <w:right w:val="single" w:sz="4" w:space="0" w:color="auto"/>
            </w:tcBorders>
            <w:shd w:val="clear" w:color="auto" w:fill="A40000"/>
            <w:noWrap/>
            <w:vAlign w:val="bottom"/>
            <w:hideMark/>
          </w:tcPr>
          <w:p w14:paraId="7A2A3AAB"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 </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99ED8" w14:textId="77777777" w:rsidR="006E7093" w:rsidRPr="00F964D4" w:rsidRDefault="006E7093">
            <w:pPr>
              <w:rPr>
                <w:rFonts w:ascii="Calibri" w:hAnsi="Calibri"/>
                <w:color w:val="000000"/>
                <w:sz w:val="20"/>
                <w:szCs w:val="20"/>
              </w:rPr>
            </w:pPr>
            <w:r w:rsidRPr="00F964D4">
              <w:rPr>
                <w:rFonts w:ascii="Calibri" w:hAnsi="Calibri"/>
                <w:color w:val="000000"/>
                <w:sz w:val="20"/>
                <w:szCs w:val="20"/>
              </w:rPr>
              <w:t>&gt;256</w:t>
            </w:r>
          </w:p>
        </w:tc>
      </w:tr>
    </w:tbl>
    <w:tbl>
      <w:tblPr>
        <w:tblStyle w:val="TableGrid"/>
        <w:tblpPr w:leftFromText="180" w:rightFromText="180" w:vertAnchor="text" w:horzAnchor="margin" w:tblpXSpec="right" w:tblpY="-1896"/>
        <w:tblW w:w="0" w:type="auto"/>
        <w:tblLook w:val="04A0" w:firstRow="1" w:lastRow="0" w:firstColumn="1" w:lastColumn="0" w:noHBand="0" w:noVBand="1"/>
      </w:tblPr>
      <w:tblGrid>
        <w:gridCol w:w="846"/>
        <w:gridCol w:w="1984"/>
        <w:gridCol w:w="709"/>
        <w:gridCol w:w="2552"/>
      </w:tblGrid>
      <w:tr w:rsidR="00462450" w14:paraId="46A630C9" w14:textId="77777777" w:rsidTr="00462450">
        <w:tc>
          <w:tcPr>
            <w:tcW w:w="846" w:type="dxa"/>
            <w:shd w:val="clear" w:color="auto" w:fill="auto"/>
          </w:tcPr>
          <w:p w14:paraId="4BC9F08D" w14:textId="437D5124" w:rsidR="00462450" w:rsidRPr="00B209F5" w:rsidRDefault="00EB0610" w:rsidP="00462450">
            <w:pPr>
              <w:rPr>
                <w:sz w:val="20"/>
                <w:szCs w:val="20"/>
              </w:rPr>
            </w:pPr>
            <w:r>
              <w:rPr>
                <w:noProof/>
              </w:rPr>
              <mc:AlternateContent>
                <mc:Choice Requires="wps">
                  <w:drawing>
                    <wp:anchor distT="0" distB="0" distL="114300" distR="114300" simplePos="0" relativeHeight="251756032" behindDoc="0" locked="0" layoutInCell="1" allowOverlap="1" wp14:anchorId="1531A312" wp14:editId="4C06FF4F">
                      <wp:simplePos x="0" y="0"/>
                      <wp:positionH relativeFrom="column">
                        <wp:posOffset>56515</wp:posOffset>
                      </wp:positionH>
                      <wp:positionV relativeFrom="paragraph">
                        <wp:posOffset>5080</wp:posOffset>
                      </wp:positionV>
                      <wp:extent cx="171450" cy="152400"/>
                      <wp:effectExtent l="0" t="0" r="0" b="0"/>
                      <wp:wrapNone/>
                      <wp:docPr id="636"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A8124C" id="Oval 636" o:spid="_x0000_s1026" style="position:absolute;margin-left:4.45pt;margin-top:.4pt;width:13.5pt;height: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" fillcolor="#ffc000" strokecolor="windowText" strokeweight="1pt">
                      <v:stroke joinstyle="miter"/>
                      <v:path arrowok="t"/>
                    </v:oval>
                  </w:pict>
                </mc:Fallback>
              </mc:AlternateContent>
            </w:r>
          </w:p>
        </w:tc>
        <w:tc>
          <w:tcPr>
            <w:tcW w:w="1984" w:type="dxa"/>
          </w:tcPr>
          <w:p w14:paraId="1D1E3BEC" w14:textId="77777777" w:rsidR="00462450" w:rsidRDefault="00462450" w:rsidP="00462450">
            <w:pPr>
              <w:rPr>
                <w:sz w:val="20"/>
                <w:szCs w:val="20"/>
              </w:rPr>
            </w:pPr>
            <w:r w:rsidRPr="00B209F5">
              <w:rPr>
                <w:sz w:val="20"/>
                <w:szCs w:val="20"/>
              </w:rPr>
              <w:t>Never had macrolide</w:t>
            </w:r>
          </w:p>
          <w:p w14:paraId="2BED9963" w14:textId="77777777" w:rsidR="00462450" w:rsidRPr="00332E75" w:rsidRDefault="00462450" w:rsidP="00462450">
            <w:pPr>
              <w:rPr>
                <w:sz w:val="4"/>
                <w:szCs w:val="4"/>
              </w:rPr>
            </w:pPr>
          </w:p>
        </w:tc>
        <w:tc>
          <w:tcPr>
            <w:tcW w:w="709" w:type="dxa"/>
            <w:shd w:val="clear" w:color="auto" w:fill="auto"/>
          </w:tcPr>
          <w:p w14:paraId="55223DD6" w14:textId="7C5216D7" w:rsidR="00462450" w:rsidRPr="00B209F5" w:rsidRDefault="00EB0610" w:rsidP="00462450">
            <w:pPr>
              <w:rPr>
                <w:sz w:val="20"/>
                <w:szCs w:val="20"/>
              </w:rPr>
            </w:pPr>
            <w:r>
              <w:rPr>
                <w:noProof/>
              </w:rPr>
              <mc:AlternateContent>
                <mc:Choice Requires="wps">
                  <w:drawing>
                    <wp:anchor distT="0" distB="0" distL="114300" distR="114300" simplePos="0" relativeHeight="251760128" behindDoc="0" locked="0" layoutInCell="1" allowOverlap="1" wp14:anchorId="4A3D1B1C" wp14:editId="3FE2D6AA">
                      <wp:simplePos x="0" y="0"/>
                      <wp:positionH relativeFrom="column">
                        <wp:posOffset>54610</wp:posOffset>
                      </wp:positionH>
                      <wp:positionV relativeFrom="paragraph">
                        <wp:posOffset>4445</wp:posOffset>
                      </wp:positionV>
                      <wp:extent cx="171450" cy="152400"/>
                      <wp:effectExtent l="0" t="0" r="0" b="0"/>
                      <wp:wrapNone/>
                      <wp:docPr id="635" name="Oval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4A47EF" id="Oval 635" o:spid="_x0000_s1026" style="position:absolute;margin-left:4.3pt;margin-top:.35pt;width:13.5pt;height: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" fillcolor="#2e75b6" strokecolor="windowText" strokeweight="1pt">
                      <v:stroke joinstyle="miter"/>
                      <v:path arrowok="t"/>
                    </v:oval>
                  </w:pict>
                </mc:Fallback>
              </mc:AlternateContent>
            </w:r>
          </w:p>
        </w:tc>
        <w:tc>
          <w:tcPr>
            <w:tcW w:w="2552" w:type="dxa"/>
          </w:tcPr>
          <w:p w14:paraId="1DAB108A" w14:textId="77777777" w:rsidR="00462450" w:rsidRPr="00B209F5" w:rsidRDefault="00462450" w:rsidP="00462450">
            <w:pPr>
              <w:rPr>
                <w:sz w:val="20"/>
                <w:szCs w:val="20"/>
              </w:rPr>
            </w:pPr>
            <w:r>
              <w:rPr>
                <w:sz w:val="20"/>
                <w:szCs w:val="20"/>
              </w:rPr>
              <w:t>&gt;24 months</w:t>
            </w:r>
          </w:p>
        </w:tc>
      </w:tr>
      <w:tr w:rsidR="00462450" w14:paraId="65D6663C" w14:textId="77777777" w:rsidTr="00462450">
        <w:tc>
          <w:tcPr>
            <w:tcW w:w="846" w:type="dxa"/>
            <w:shd w:val="clear" w:color="auto" w:fill="auto"/>
          </w:tcPr>
          <w:p w14:paraId="70AA60C3" w14:textId="156C394B" w:rsidR="00462450" w:rsidRPr="00B209F5" w:rsidRDefault="00EB0610" w:rsidP="00462450">
            <w:pPr>
              <w:rPr>
                <w:sz w:val="20"/>
                <w:szCs w:val="20"/>
              </w:rPr>
            </w:pPr>
            <w:r>
              <w:rPr>
                <w:noProof/>
              </w:rPr>
              <mc:AlternateContent>
                <mc:Choice Requires="wps">
                  <w:drawing>
                    <wp:anchor distT="0" distB="0" distL="114300" distR="114300" simplePos="0" relativeHeight="251757056" behindDoc="0" locked="0" layoutInCell="1" allowOverlap="1" wp14:anchorId="65426048" wp14:editId="7AF49E5C">
                      <wp:simplePos x="0" y="0"/>
                      <wp:positionH relativeFrom="column">
                        <wp:posOffset>50800</wp:posOffset>
                      </wp:positionH>
                      <wp:positionV relativeFrom="paragraph">
                        <wp:posOffset>65405</wp:posOffset>
                      </wp:positionV>
                      <wp:extent cx="171450" cy="152400"/>
                      <wp:effectExtent l="0" t="0" r="0" b="0"/>
                      <wp:wrapNone/>
                      <wp:docPr id="634"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C70E21" id="Oval 634" o:spid="_x0000_s1026" style="position:absolute;margin-left:4pt;margin-top:5.15pt;width:13.5pt;height: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" fillcolor="#f7c5f3" strokecolor="windowText" strokeweight="1pt">
                      <v:stroke joinstyle="miter"/>
                      <v:path arrowok="t"/>
                    </v:oval>
                  </w:pict>
                </mc:Fallback>
              </mc:AlternateContent>
            </w:r>
          </w:p>
        </w:tc>
        <w:tc>
          <w:tcPr>
            <w:tcW w:w="1984" w:type="dxa"/>
          </w:tcPr>
          <w:p w14:paraId="534F1F8F" w14:textId="77777777" w:rsidR="00462450" w:rsidRPr="00B209F5" w:rsidRDefault="00462450" w:rsidP="00462450">
            <w:pPr>
              <w:rPr>
                <w:sz w:val="20"/>
                <w:szCs w:val="20"/>
              </w:rPr>
            </w:pPr>
            <w:r w:rsidRPr="00B209F5">
              <w:rPr>
                <w:sz w:val="20"/>
                <w:szCs w:val="20"/>
              </w:rPr>
              <w:t>&lt;6 months</w:t>
            </w:r>
          </w:p>
        </w:tc>
        <w:tc>
          <w:tcPr>
            <w:tcW w:w="709" w:type="dxa"/>
            <w:shd w:val="clear" w:color="auto" w:fill="auto"/>
          </w:tcPr>
          <w:p w14:paraId="1D7AA192" w14:textId="2A2F63FD" w:rsidR="00462450" w:rsidRPr="00B209F5" w:rsidRDefault="00EB0610" w:rsidP="00462450">
            <w:pPr>
              <w:rPr>
                <w:sz w:val="20"/>
                <w:szCs w:val="20"/>
              </w:rPr>
            </w:pPr>
            <w:r>
              <w:rPr>
                <w:noProof/>
              </w:rPr>
              <mc:AlternateContent>
                <mc:Choice Requires="wps">
                  <w:drawing>
                    <wp:anchor distT="0" distB="0" distL="114300" distR="114300" simplePos="0" relativeHeight="251761152" behindDoc="0" locked="0" layoutInCell="1" allowOverlap="1" wp14:anchorId="268C1DEA" wp14:editId="5590AC50">
                      <wp:simplePos x="0" y="0"/>
                      <wp:positionH relativeFrom="column">
                        <wp:posOffset>54610</wp:posOffset>
                      </wp:positionH>
                      <wp:positionV relativeFrom="paragraph">
                        <wp:posOffset>68580</wp:posOffset>
                      </wp:positionV>
                      <wp:extent cx="171450" cy="152400"/>
                      <wp:effectExtent l="0" t="0" r="0" b="0"/>
                      <wp:wrapNone/>
                      <wp:docPr id="633" name="Oval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023DEA" id="Oval 633" o:spid="_x0000_s1026" style="position:absolute;margin-left:4.3pt;margin-top:5.4pt;width:13.5pt;height:1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" fillcolor="#843c0c" strokecolor="windowText" strokeweight="1pt">
                      <v:stroke joinstyle="miter"/>
                      <v:path arrowok="t"/>
                    </v:oval>
                  </w:pict>
                </mc:Fallback>
              </mc:AlternateContent>
            </w:r>
          </w:p>
        </w:tc>
        <w:tc>
          <w:tcPr>
            <w:tcW w:w="2552" w:type="dxa"/>
          </w:tcPr>
          <w:p w14:paraId="049511BE" w14:textId="77777777" w:rsidR="00462450" w:rsidRPr="00B209F5" w:rsidRDefault="00462450" w:rsidP="00462450">
            <w:pPr>
              <w:rPr>
                <w:sz w:val="20"/>
                <w:szCs w:val="20"/>
              </w:rPr>
            </w:pPr>
            <w:r>
              <w:rPr>
                <w:sz w:val="20"/>
                <w:szCs w:val="20"/>
              </w:rPr>
              <w:t>Previous exposure. Uncertain duration</w:t>
            </w:r>
          </w:p>
        </w:tc>
      </w:tr>
      <w:tr w:rsidR="00462450" w14:paraId="050DB036" w14:textId="77777777" w:rsidTr="00462450">
        <w:tc>
          <w:tcPr>
            <w:tcW w:w="846" w:type="dxa"/>
            <w:shd w:val="clear" w:color="auto" w:fill="auto"/>
          </w:tcPr>
          <w:p w14:paraId="6D1CFF2F" w14:textId="0B54C50C" w:rsidR="00462450" w:rsidRPr="00B209F5" w:rsidRDefault="00EB0610" w:rsidP="00462450">
            <w:pPr>
              <w:rPr>
                <w:color w:val="FF00FF"/>
                <w:sz w:val="20"/>
                <w:szCs w:val="20"/>
              </w:rPr>
            </w:pPr>
            <w:r>
              <w:rPr>
                <w:noProof/>
              </w:rPr>
              <mc:AlternateContent>
                <mc:Choice Requires="wps">
                  <w:drawing>
                    <wp:anchor distT="0" distB="0" distL="114300" distR="114300" simplePos="0" relativeHeight="251758080" behindDoc="0" locked="0" layoutInCell="1" allowOverlap="1" wp14:anchorId="2C9B33F4" wp14:editId="68B538E6">
                      <wp:simplePos x="0" y="0"/>
                      <wp:positionH relativeFrom="column">
                        <wp:posOffset>50800</wp:posOffset>
                      </wp:positionH>
                      <wp:positionV relativeFrom="paragraph">
                        <wp:posOffset>5715</wp:posOffset>
                      </wp:positionV>
                      <wp:extent cx="171450" cy="152400"/>
                      <wp:effectExtent l="0" t="0" r="0" b="0"/>
                      <wp:wrapNone/>
                      <wp:docPr id="632" name="Oval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8EBE1A" id="Oval 632" o:spid="_x0000_s1026" style="position:absolute;margin-left:4pt;margin-top:.45pt;width:13.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0C76A3CA" w14:textId="77777777" w:rsidR="00462450" w:rsidRDefault="00462450" w:rsidP="00462450">
            <w:pPr>
              <w:rPr>
                <w:sz w:val="20"/>
                <w:szCs w:val="20"/>
              </w:rPr>
            </w:pPr>
            <w:r w:rsidRPr="00B209F5">
              <w:rPr>
                <w:sz w:val="20"/>
                <w:szCs w:val="20"/>
              </w:rPr>
              <w:t>6-12 months</w:t>
            </w:r>
          </w:p>
          <w:p w14:paraId="3E763DA5" w14:textId="77777777" w:rsidR="00462450" w:rsidRPr="00332E75" w:rsidRDefault="00462450" w:rsidP="00462450">
            <w:pPr>
              <w:rPr>
                <w:sz w:val="4"/>
                <w:szCs w:val="4"/>
              </w:rPr>
            </w:pPr>
          </w:p>
        </w:tc>
        <w:tc>
          <w:tcPr>
            <w:tcW w:w="709" w:type="dxa"/>
            <w:shd w:val="clear" w:color="auto" w:fill="auto"/>
          </w:tcPr>
          <w:p w14:paraId="5927C4CC" w14:textId="7E04ABBE" w:rsidR="00462450" w:rsidRPr="00B209F5" w:rsidRDefault="00EB0610" w:rsidP="00462450">
            <w:pPr>
              <w:rPr>
                <w:sz w:val="20"/>
                <w:szCs w:val="20"/>
              </w:rPr>
            </w:pPr>
            <w:r>
              <w:rPr>
                <w:noProof/>
              </w:rPr>
              <mc:AlternateContent>
                <mc:Choice Requires="wps">
                  <w:drawing>
                    <wp:anchor distT="0" distB="0" distL="114300" distR="114300" simplePos="0" relativeHeight="251762176" behindDoc="0" locked="0" layoutInCell="1" allowOverlap="1" wp14:anchorId="3A496FB2" wp14:editId="418748E7">
                      <wp:simplePos x="0" y="0"/>
                      <wp:positionH relativeFrom="column">
                        <wp:posOffset>54610</wp:posOffset>
                      </wp:positionH>
                      <wp:positionV relativeFrom="paragraph">
                        <wp:posOffset>6985</wp:posOffset>
                      </wp:positionV>
                      <wp:extent cx="171450" cy="152400"/>
                      <wp:effectExtent l="0" t="0" r="0" b="0"/>
                      <wp:wrapNone/>
                      <wp:docPr id="631" name="Oval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A9BE6D" id="Oval 631" o:spid="_x0000_s1026" style="position:absolute;margin-left:4.3pt;margin-top:.55pt;width:13.5pt;height:1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" fillcolor="windowText" strokecolor="windowText" strokeweight="1pt">
                      <v:stroke joinstyle="miter"/>
                      <v:path arrowok="t"/>
                    </v:oval>
                  </w:pict>
                </mc:Fallback>
              </mc:AlternateContent>
            </w:r>
          </w:p>
        </w:tc>
        <w:tc>
          <w:tcPr>
            <w:tcW w:w="2552" w:type="dxa"/>
          </w:tcPr>
          <w:p w14:paraId="65B5A87D" w14:textId="77777777" w:rsidR="00462450" w:rsidRPr="00B209F5" w:rsidRDefault="00462450" w:rsidP="00462450">
            <w:pPr>
              <w:rPr>
                <w:sz w:val="20"/>
                <w:szCs w:val="20"/>
              </w:rPr>
            </w:pPr>
            <w:r>
              <w:rPr>
                <w:sz w:val="20"/>
                <w:szCs w:val="20"/>
              </w:rPr>
              <w:t>Missing data</w:t>
            </w:r>
          </w:p>
        </w:tc>
      </w:tr>
      <w:tr w:rsidR="00462450" w14:paraId="158E7C85" w14:textId="77777777" w:rsidTr="00462450">
        <w:tc>
          <w:tcPr>
            <w:tcW w:w="846" w:type="dxa"/>
            <w:shd w:val="clear" w:color="auto" w:fill="auto"/>
          </w:tcPr>
          <w:p w14:paraId="792DB133" w14:textId="57B71429" w:rsidR="00462450" w:rsidRPr="00B209F5" w:rsidRDefault="00EB0610" w:rsidP="00462450">
            <w:pPr>
              <w:rPr>
                <w:sz w:val="20"/>
                <w:szCs w:val="20"/>
              </w:rPr>
            </w:pPr>
            <w:r>
              <w:rPr>
                <w:noProof/>
              </w:rPr>
              <mc:AlternateContent>
                <mc:Choice Requires="wps">
                  <w:drawing>
                    <wp:anchor distT="0" distB="0" distL="114300" distR="114300" simplePos="0" relativeHeight="251759104" behindDoc="0" locked="0" layoutInCell="1" allowOverlap="1" wp14:anchorId="37BA45C3" wp14:editId="7B6B1FFD">
                      <wp:simplePos x="0" y="0"/>
                      <wp:positionH relativeFrom="column">
                        <wp:posOffset>52070</wp:posOffset>
                      </wp:positionH>
                      <wp:positionV relativeFrom="paragraph">
                        <wp:posOffset>1270</wp:posOffset>
                      </wp:positionV>
                      <wp:extent cx="171450" cy="152400"/>
                      <wp:effectExtent l="0" t="0" r="0" b="0"/>
                      <wp:wrapNone/>
                      <wp:docPr id="630" name="Oval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25EBD8" id="Oval 630" o:spid="_x0000_s1026" style="position:absolute;margin-left:4.1pt;margin-top:.1pt;width:13.5pt;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68F3EA76" w14:textId="77777777" w:rsidR="00462450" w:rsidRDefault="00462450" w:rsidP="00462450">
            <w:pPr>
              <w:rPr>
                <w:sz w:val="20"/>
                <w:szCs w:val="20"/>
              </w:rPr>
            </w:pPr>
            <w:r w:rsidRPr="00B209F5">
              <w:rPr>
                <w:sz w:val="20"/>
                <w:szCs w:val="20"/>
              </w:rPr>
              <w:t>12-24 months</w:t>
            </w:r>
          </w:p>
          <w:p w14:paraId="7076914C" w14:textId="77777777" w:rsidR="00462450" w:rsidRPr="00332E75" w:rsidRDefault="00462450" w:rsidP="00462450">
            <w:pPr>
              <w:rPr>
                <w:sz w:val="4"/>
                <w:szCs w:val="4"/>
              </w:rPr>
            </w:pPr>
          </w:p>
        </w:tc>
        <w:tc>
          <w:tcPr>
            <w:tcW w:w="3261" w:type="dxa"/>
            <w:gridSpan w:val="2"/>
          </w:tcPr>
          <w:p w14:paraId="0FB1080C" w14:textId="77777777" w:rsidR="00462450" w:rsidRPr="00B209F5" w:rsidRDefault="00462450" w:rsidP="00462450">
            <w:pPr>
              <w:rPr>
                <w:sz w:val="20"/>
                <w:szCs w:val="20"/>
              </w:rPr>
            </w:pPr>
          </w:p>
        </w:tc>
      </w:tr>
      <w:tr w:rsidR="002F6AC0" w14:paraId="33136434" w14:textId="77777777" w:rsidTr="00647E5D">
        <w:tc>
          <w:tcPr>
            <w:tcW w:w="846" w:type="dxa"/>
            <w:shd w:val="clear" w:color="auto" w:fill="auto"/>
          </w:tcPr>
          <w:p w14:paraId="6D538671" w14:textId="13F95D81" w:rsidR="002F6AC0" w:rsidRPr="002F6AC0" w:rsidRDefault="00EB0610" w:rsidP="002F6AC0">
            <w:pPr>
              <w:rPr>
                <w:bCs/>
                <w:noProof/>
                <w:sz w:val="20"/>
                <w:szCs w:val="20"/>
              </w:rPr>
            </w:pPr>
            <w:r>
              <w:rPr>
                <w:noProof/>
              </w:rPr>
              <mc:AlternateContent>
                <mc:Choice Requires="wps">
                  <w:drawing>
                    <wp:anchor distT="0" distB="0" distL="114300" distR="114300" simplePos="0" relativeHeight="251772416" behindDoc="0" locked="0" layoutInCell="1" allowOverlap="1" wp14:anchorId="3776FCCE" wp14:editId="04217E5D">
                      <wp:simplePos x="0" y="0"/>
                      <wp:positionH relativeFrom="column">
                        <wp:posOffset>81915</wp:posOffset>
                      </wp:positionH>
                      <wp:positionV relativeFrom="paragraph">
                        <wp:posOffset>5715</wp:posOffset>
                      </wp:positionV>
                      <wp:extent cx="150495" cy="148590"/>
                      <wp:effectExtent l="19050" t="19050" r="20955" b="3810"/>
                      <wp:wrapNone/>
                      <wp:docPr id="629" name="Isosceles Tri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8590"/>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270E9CB" id="Isosceles Triangle 629" o:spid="_x0000_s1026" type="#_x0000_t5" style="position:absolute;margin-left:6.45pt;margin-top:.45pt;width:11.85pt;height:11.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" fillcolor="#203864" strokecolor="red" strokeweight="1pt">
                      <v:path arrowok="t"/>
                    </v:shape>
                  </w:pict>
                </mc:Fallback>
              </mc:AlternateContent>
            </w:r>
          </w:p>
        </w:tc>
        <w:tc>
          <w:tcPr>
            <w:tcW w:w="5245" w:type="dxa"/>
            <w:gridSpan w:val="3"/>
          </w:tcPr>
          <w:p w14:paraId="63F1E5AB" w14:textId="5EB724C5" w:rsidR="002F6AC0" w:rsidRPr="002F6AC0" w:rsidRDefault="002F6AC0" w:rsidP="002F6AC0">
            <w:pPr>
              <w:rPr>
                <w:bCs/>
                <w:noProof/>
                <w:sz w:val="20"/>
                <w:szCs w:val="20"/>
              </w:rPr>
            </w:pPr>
            <w:r w:rsidRPr="002F6AC0">
              <w:rPr>
                <w:bCs/>
                <w:noProof/>
                <w:sz w:val="20"/>
                <w:szCs w:val="20"/>
              </w:rPr>
              <w:t>Macrolide courses prescribed during the study perio</w:t>
            </w:r>
            <w:r>
              <w:rPr>
                <w:bCs/>
                <w:noProof/>
                <w:sz w:val="20"/>
                <w:szCs w:val="20"/>
              </w:rPr>
              <w:t>d</w:t>
            </w:r>
          </w:p>
          <w:p w14:paraId="5C974A89" w14:textId="77777777" w:rsidR="002F6AC0" w:rsidRPr="002F6AC0" w:rsidRDefault="002F6AC0" w:rsidP="002F6AC0">
            <w:pPr>
              <w:rPr>
                <w:bCs/>
                <w:sz w:val="4"/>
                <w:szCs w:val="4"/>
              </w:rPr>
            </w:pPr>
          </w:p>
        </w:tc>
      </w:tr>
    </w:tbl>
    <w:p w14:paraId="15747D02" w14:textId="77777777" w:rsidR="00375A31" w:rsidRDefault="00375A31" w:rsidP="002F6AC0">
      <w:pPr>
        <w:spacing w:line="360" w:lineRule="auto"/>
        <w:rPr>
          <w:b/>
          <w:noProof/>
          <w:sz w:val="16"/>
          <w:szCs w:val="16"/>
        </w:rPr>
      </w:pPr>
    </w:p>
    <w:p w14:paraId="629F71D0" w14:textId="23B6F0D4" w:rsidR="00FA2EAE" w:rsidRPr="001D04B2" w:rsidRDefault="004C46B2" w:rsidP="002F6AC0">
      <w:pPr>
        <w:spacing w:line="360" w:lineRule="auto"/>
        <w:rPr>
          <w:b/>
          <w:noProof/>
        </w:rPr>
      </w:pPr>
      <w:r>
        <w:rPr>
          <w:b/>
          <w:noProof/>
        </w:rPr>
        <w:t>Figure 4-</w:t>
      </w:r>
      <w:r w:rsidR="00351BD1">
        <w:rPr>
          <w:b/>
          <w:noProof/>
        </w:rPr>
        <w:t>4</w:t>
      </w:r>
      <w:r>
        <w:rPr>
          <w:b/>
          <w:noProof/>
        </w:rPr>
        <w:t xml:space="preserve"> </w:t>
      </w:r>
      <w:r w:rsidR="00FA2EAE" w:rsidRPr="001D04B2">
        <w:rPr>
          <w:b/>
          <w:noProof/>
        </w:rPr>
        <w:t>B</w:t>
      </w:r>
      <w:r w:rsidR="005059FC">
        <w:rPr>
          <w:b/>
          <w:noProof/>
        </w:rPr>
        <w:t>.</w:t>
      </w:r>
    </w:p>
    <w:p w14:paraId="7FD0C138" w14:textId="32E15A5E" w:rsidR="00375A31" w:rsidRPr="006411A3" w:rsidRDefault="00FA2EAE" w:rsidP="006411A3">
      <w:pPr>
        <w:spacing w:line="360" w:lineRule="auto"/>
      </w:pPr>
      <w:bookmarkStart w:id="184" w:name="_Toc117780221"/>
      <w:r>
        <w:rPr>
          <w:noProof/>
        </w:rPr>
        <w:drawing>
          <wp:inline distT="0" distB="0" distL="0" distR="0" wp14:anchorId="31351C76" wp14:editId="669AFC82">
            <wp:extent cx="6400800" cy="2600325"/>
            <wp:effectExtent l="0" t="0" r="0" b="9525"/>
            <wp:docPr id="7" name="Chart 7">
              <a:extLst xmlns:a="http://schemas.openxmlformats.org/drawingml/2006/main">
                <a:ext uri="{FF2B5EF4-FFF2-40B4-BE49-F238E27FC236}">
                  <a16:creationId xmlns:a16="http://schemas.microsoft.com/office/drawing/2014/main" id="{F1EBA639-6355-4213-972A-6CCF0B20B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Start w:id="185" w:name="_Ref105446644"/>
      <w:r w:rsidR="00FB6358" w:rsidRPr="00C25B30">
        <w:rPr>
          <w:b/>
          <w:bCs/>
          <w:color w:val="000000" w:themeColor="text1"/>
        </w:rPr>
        <w:t xml:space="preserve">Figure </w:t>
      </w:r>
      <w:r w:rsidR="00F42C6F">
        <w:rPr>
          <w:b/>
          <w:bCs/>
          <w:color w:val="000000" w:themeColor="text1"/>
        </w:rPr>
        <w:fldChar w:fldCharType="begin"/>
      </w:r>
      <w:r w:rsidR="00F42C6F">
        <w:rPr>
          <w:b/>
          <w:bCs/>
          <w:color w:val="000000" w:themeColor="text1"/>
        </w:rPr>
        <w:instrText xml:space="preserve"> STYLEREF 1 \s </w:instrText>
      </w:r>
      <w:r w:rsidR="00F42C6F">
        <w:rPr>
          <w:b/>
          <w:bCs/>
          <w:color w:val="000000" w:themeColor="text1"/>
        </w:rPr>
        <w:fldChar w:fldCharType="separate"/>
      </w:r>
      <w:r w:rsidR="00F42C6F">
        <w:rPr>
          <w:b/>
          <w:bCs/>
          <w:noProof/>
          <w:color w:val="000000" w:themeColor="text1"/>
        </w:rPr>
        <w:t>4</w:t>
      </w:r>
      <w:r w:rsidR="00F42C6F">
        <w:rPr>
          <w:b/>
          <w:bCs/>
          <w:color w:val="000000" w:themeColor="text1"/>
        </w:rPr>
        <w:fldChar w:fldCharType="end"/>
      </w:r>
      <w:r w:rsidR="00F42C6F">
        <w:rPr>
          <w:b/>
          <w:bCs/>
          <w:color w:val="000000" w:themeColor="text1"/>
        </w:rPr>
        <w:noBreakHyphen/>
      </w:r>
      <w:r w:rsidR="00F42C6F">
        <w:rPr>
          <w:b/>
          <w:bCs/>
          <w:color w:val="000000" w:themeColor="text1"/>
        </w:rPr>
        <w:fldChar w:fldCharType="begin"/>
      </w:r>
      <w:r w:rsidR="00F42C6F">
        <w:rPr>
          <w:b/>
          <w:bCs/>
          <w:color w:val="000000" w:themeColor="text1"/>
        </w:rPr>
        <w:instrText xml:space="preserve"> SEQ Figure \* ARABIC \s 1 </w:instrText>
      </w:r>
      <w:r w:rsidR="00F42C6F">
        <w:rPr>
          <w:b/>
          <w:bCs/>
          <w:color w:val="000000" w:themeColor="text1"/>
        </w:rPr>
        <w:fldChar w:fldCharType="separate"/>
      </w:r>
      <w:r w:rsidR="00F42C6F">
        <w:rPr>
          <w:b/>
          <w:bCs/>
          <w:noProof/>
          <w:color w:val="000000" w:themeColor="text1"/>
        </w:rPr>
        <w:t>4</w:t>
      </w:r>
      <w:r w:rsidR="00F42C6F">
        <w:rPr>
          <w:b/>
          <w:bCs/>
          <w:color w:val="000000" w:themeColor="text1"/>
        </w:rPr>
        <w:fldChar w:fldCharType="end"/>
      </w:r>
      <w:bookmarkEnd w:id="185"/>
      <w:r w:rsidR="00FB6358" w:rsidRPr="00C25B30">
        <w:rPr>
          <w:b/>
          <w:bCs/>
          <w:color w:val="000000" w:themeColor="text1"/>
        </w:rPr>
        <w:t>:</w:t>
      </w:r>
      <w:r w:rsidR="00FB6358">
        <w:rPr>
          <w:color w:val="000000" w:themeColor="text1"/>
        </w:rPr>
        <w:t xml:space="preserve"> </w:t>
      </w:r>
      <w:r w:rsidR="005059FC">
        <w:rPr>
          <w:color w:val="000000" w:themeColor="text1"/>
        </w:rPr>
        <w:t>A</w:t>
      </w:r>
      <w:r w:rsidR="00FB6358" w:rsidRPr="00C25B30">
        <w:rPr>
          <w:color w:val="000000" w:themeColor="text1"/>
        </w:rPr>
        <w:t xml:space="preserve">zithromycin susceptibility of </w:t>
      </w:r>
      <w:r w:rsidR="00B9190F">
        <w:rPr>
          <w:color w:val="000000" w:themeColor="text1"/>
        </w:rPr>
        <w:t>Streptococcus</w:t>
      </w:r>
      <w:r w:rsidR="00FB6358" w:rsidRPr="001D04B2">
        <w:rPr>
          <w:color w:val="000000" w:themeColor="text1"/>
        </w:rPr>
        <w:t xml:space="preserve"> pneumoniae</w:t>
      </w:r>
      <w:r w:rsidR="00FB6358" w:rsidRPr="00C25B30">
        <w:rPr>
          <w:color w:val="000000" w:themeColor="text1"/>
        </w:rPr>
        <w:t xml:space="preserve"> isolates</w:t>
      </w:r>
      <w:r w:rsidR="00351BD1">
        <w:rPr>
          <w:color w:val="000000" w:themeColor="text1"/>
        </w:rPr>
        <w:t xml:space="preserve"> in PBB study</w:t>
      </w:r>
      <w:bookmarkEnd w:id="184"/>
      <w:r w:rsidR="00351BD1">
        <w:rPr>
          <w:color w:val="000000" w:themeColor="text1"/>
        </w:rPr>
        <w:t xml:space="preserve"> </w:t>
      </w:r>
      <w:bookmarkStart w:id="186" w:name="_Hlk55400871"/>
    </w:p>
    <w:p w14:paraId="7ABC43FA" w14:textId="0FA67485" w:rsidR="005059FC" w:rsidRPr="004C46B2" w:rsidRDefault="00A6336A" w:rsidP="00375A31">
      <w:pPr>
        <w:spacing w:line="360" w:lineRule="auto"/>
        <w:rPr>
          <w:i/>
          <w:iCs/>
        </w:rPr>
      </w:pPr>
      <w:r w:rsidRPr="004C46B2">
        <w:rPr>
          <w:i/>
          <w:iCs/>
        </w:rPr>
        <w:lastRenderedPageBreak/>
        <w:t>Two observational cohorts</w:t>
      </w:r>
      <w:r w:rsidR="005545DC">
        <w:rPr>
          <w:i/>
          <w:iCs/>
        </w:rPr>
        <w:t>, eac</w:t>
      </w:r>
      <w:r w:rsidR="00C47244">
        <w:rPr>
          <w:i/>
          <w:iCs/>
        </w:rPr>
        <w:t>h</w:t>
      </w:r>
      <w:r w:rsidRPr="004C46B2">
        <w:rPr>
          <w:i/>
          <w:iCs/>
        </w:rPr>
        <w:t xml:space="preserve"> of 10 children with a diagnosis of PBB had sequential DNPS taken 5 times over a 12-month period. One group received prophylactic azithromycin (A) and the other did not (C). </w:t>
      </w:r>
      <w:r w:rsidR="005059FC" w:rsidRPr="004C46B2">
        <w:rPr>
          <w:b/>
          <w:bCs/>
          <w:i/>
          <w:iCs/>
        </w:rPr>
        <w:t xml:space="preserve">Figure </w:t>
      </w:r>
      <w:r w:rsidR="004C46B2" w:rsidRPr="004C46B2">
        <w:rPr>
          <w:b/>
          <w:bCs/>
          <w:i/>
          <w:iCs/>
        </w:rPr>
        <w:t>4-</w:t>
      </w:r>
      <w:r w:rsidR="001A066D">
        <w:rPr>
          <w:b/>
          <w:bCs/>
          <w:i/>
          <w:iCs/>
        </w:rPr>
        <w:t>4</w:t>
      </w:r>
      <w:r w:rsidR="005059FC" w:rsidRPr="004C46B2">
        <w:rPr>
          <w:b/>
          <w:bCs/>
          <w:i/>
          <w:iCs/>
        </w:rPr>
        <w:t xml:space="preserve"> A</w:t>
      </w:r>
      <w:r w:rsidR="005059FC" w:rsidRPr="004C46B2">
        <w:rPr>
          <w:i/>
          <w:iCs/>
        </w:rPr>
        <w:t xml:space="preserve">: </w:t>
      </w:r>
      <w:r w:rsidRPr="004C46B2">
        <w:rPr>
          <w:i/>
          <w:iCs/>
        </w:rPr>
        <w:t xml:space="preserve">Each participant is represented by a single column on the X-axis and each of the 5 swabs on the Y-Axis. The presented results show swabs with growth of </w:t>
      </w:r>
      <w:r w:rsidR="00741A10" w:rsidRPr="004C46B2">
        <w:rPr>
          <w:i/>
          <w:iCs/>
        </w:rPr>
        <w:t xml:space="preserve">S. pneumoniae </w:t>
      </w:r>
      <w:r w:rsidRPr="004C46B2">
        <w:rPr>
          <w:i/>
          <w:iCs/>
        </w:rPr>
        <w:t xml:space="preserve">and whether these were azithromycin susceptible </w:t>
      </w:r>
      <w:r w:rsidR="00052D73" w:rsidRPr="004C46B2">
        <w:rPr>
          <w:i/>
          <w:iCs/>
        </w:rPr>
        <w:t xml:space="preserve">(blue) </w:t>
      </w:r>
      <w:r w:rsidRPr="004C46B2">
        <w:rPr>
          <w:i/>
          <w:iCs/>
        </w:rPr>
        <w:t>or resistant</w:t>
      </w:r>
      <w:r w:rsidR="00052D73" w:rsidRPr="004C46B2">
        <w:rPr>
          <w:i/>
          <w:iCs/>
        </w:rPr>
        <w:t xml:space="preserve"> (pink, red or brown depending on MIC</w:t>
      </w:r>
      <w:r w:rsidR="00E5664D" w:rsidRPr="004C46B2">
        <w:rPr>
          <w:i/>
          <w:iCs/>
        </w:rPr>
        <w:t>, see key</w:t>
      </w:r>
      <w:r w:rsidR="00052D73" w:rsidRPr="004C46B2">
        <w:rPr>
          <w:i/>
          <w:iCs/>
        </w:rPr>
        <w:t>)</w:t>
      </w:r>
      <w:r w:rsidRPr="004C46B2">
        <w:rPr>
          <w:i/>
          <w:iCs/>
        </w:rPr>
        <w:t xml:space="preserve">. </w:t>
      </w:r>
      <w:r w:rsidR="00616897" w:rsidRPr="004C46B2">
        <w:rPr>
          <w:i/>
          <w:iCs/>
        </w:rPr>
        <w:t>Azithromycin susceptibility based on minimum inhibitory concentrations as per the standard EUCAST breakpoint tables: MIC &gt; 0.5mg/L</w:t>
      </w:r>
      <w:r w:rsidR="0004220A">
        <w:rPr>
          <w:i/>
          <w:iCs/>
        </w:rPr>
        <w:t xml:space="preserve"> = resistant</w:t>
      </w:r>
      <w:r w:rsidR="00D274DB" w:rsidRPr="004C46B2">
        <w:rPr>
          <w:i/>
          <w:iCs/>
        </w:rPr>
        <w:t>. Coloured circles under participants represent the duration from the last course of macrolide antibiotics to the study start.</w:t>
      </w:r>
      <w:r w:rsidR="005059FC" w:rsidRPr="004C46B2">
        <w:rPr>
          <w:i/>
          <w:iCs/>
        </w:rPr>
        <w:t xml:space="preserve"> </w:t>
      </w:r>
      <w:r w:rsidR="005059FC" w:rsidRPr="004C46B2">
        <w:rPr>
          <w:b/>
          <w:bCs/>
          <w:i/>
          <w:iCs/>
        </w:rPr>
        <w:t xml:space="preserve">Figure </w:t>
      </w:r>
      <w:r w:rsidR="004C46B2" w:rsidRPr="004C46B2">
        <w:rPr>
          <w:b/>
          <w:bCs/>
          <w:i/>
          <w:iCs/>
        </w:rPr>
        <w:t>4-</w:t>
      </w:r>
      <w:r w:rsidR="001A066D">
        <w:rPr>
          <w:b/>
          <w:bCs/>
          <w:i/>
          <w:iCs/>
        </w:rPr>
        <w:t>4</w:t>
      </w:r>
      <w:r w:rsidR="004C46B2" w:rsidRPr="004C46B2">
        <w:rPr>
          <w:b/>
          <w:bCs/>
          <w:i/>
          <w:iCs/>
        </w:rPr>
        <w:t xml:space="preserve"> </w:t>
      </w:r>
      <w:r w:rsidR="005059FC" w:rsidRPr="004C46B2">
        <w:rPr>
          <w:b/>
          <w:bCs/>
          <w:i/>
          <w:iCs/>
        </w:rPr>
        <w:t>B:</w:t>
      </w:r>
      <w:r w:rsidR="005059FC" w:rsidRPr="004C46B2">
        <w:rPr>
          <w:i/>
          <w:iCs/>
        </w:rPr>
        <w:t xml:space="preserve"> The MIC distribution of S. pneumoniae isolates in PBB study 1</w:t>
      </w:r>
      <w:r w:rsidR="006D77CB" w:rsidRPr="004C46B2">
        <w:rPr>
          <w:i/>
          <w:iCs/>
        </w:rPr>
        <w:t>.</w:t>
      </w:r>
      <w:r w:rsidR="00B9190F">
        <w:rPr>
          <w:i/>
          <w:iCs/>
        </w:rPr>
        <w:t xml:space="preserve"> D</w:t>
      </w:r>
      <w:r w:rsidR="00CB6488">
        <w:rPr>
          <w:i/>
          <w:iCs/>
        </w:rPr>
        <w:t>ashed</w:t>
      </w:r>
      <w:r w:rsidR="00B9190F">
        <w:rPr>
          <w:i/>
          <w:iCs/>
        </w:rPr>
        <w:t xml:space="preserve"> red line indicates </w:t>
      </w:r>
      <w:r w:rsidR="00B9190F" w:rsidRPr="004C46B2">
        <w:rPr>
          <w:i/>
          <w:iCs/>
        </w:rPr>
        <w:t>the standard EUCAST breakpoint</w:t>
      </w:r>
      <w:r w:rsidR="00B9190F">
        <w:rPr>
          <w:i/>
          <w:iCs/>
        </w:rPr>
        <w:t>.</w:t>
      </w:r>
    </w:p>
    <w:bookmarkEnd w:id="186"/>
    <w:p w14:paraId="291A1D1A" w14:textId="77777777" w:rsidR="006D77CB" w:rsidRDefault="006D77CB" w:rsidP="0064056D">
      <w:pPr>
        <w:spacing w:line="276" w:lineRule="auto"/>
        <w:rPr>
          <w:i/>
          <w:u w:val="single"/>
        </w:rPr>
      </w:pPr>
    </w:p>
    <w:p w14:paraId="1A462327" w14:textId="77777777" w:rsidR="006D77CB" w:rsidRDefault="006D77CB" w:rsidP="007314C6">
      <w:pPr>
        <w:rPr>
          <w:i/>
          <w:u w:val="single"/>
        </w:rPr>
      </w:pPr>
    </w:p>
    <w:p w14:paraId="27E932AC" w14:textId="65F287D3" w:rsidR="00047FC7" w:rsidRPr="00241369" w:rsidRDefault="00047FC7" w:rsidP="00375A31">
      <w:pPr>
        <w:spacing w:line="360" w:lineRule="auto"/>
        <w:rPr>
          <w:i/>
          <w:u w:val="single"/>
        </w:rPr>
      </w:pPr>
      <w:r w:rsidRPr="00241369">
        <w:rPr>
          <w:i/>
          <w:u w:val="single"/>
        </w:rPr>
        <w:t>H</w:t>
      </w:r>
      <w:r w:rsidR="00B9190F">
        <w:rPr>
          <w:i/>
          <w:u w:val="single"/>
        </w:rPr>
        <w:t>aemophilus</w:t>
      </w:r>
      <w:r w:rsidRPr="00241369">
        <w:rPr>
          <w:i/>
          <w:u w:val="single"/>
        </w:rPr>
        <w:t xml:space="preserve"> influenzae</w:t>
      </w:r>
    </w:p>
    <w:p w14:paraId="3849BC03" w14:textId="7DF8A998" w:rsidR="00047FC7" w:rsidRPr="00755B7D" w:rsidRDefault="00047FC7" w:rsidP="00375A31">
      <w:pPr>
        <w:spacing w:line="360" w:lineRule="auto"/>
      </w:pPr>
      <w:r>
        <w:t>The majority of nasopharyngeal isolates in both groups were</w:t>
      </w:r>
      <w:r w:rsidR="005B7739">
        <w:t xml:space="preserve"> classed</w:t>
      </w:r>
      <w:r>
        <w:t xml:space="preserve"> susceptible to azithromycin</w:t>
      </w:r>
      <w:r w:rsidR="005B7739">
        <w:t xml:space="preserve"> based on the EUCAST breakpoint of &gt; 4mg/ml</w:t>
      </w:r>
      <w:r>
        <w:t xml:space="preserve"> </w:t>
      </w:r>
      <w:r w:rsidRPr="004C46B2">
        <w:t>(</w:t>
      </w:r>
      <w:r w:rsidR="004C46B2" w:rsidRPr="004C46B2">
        <w:fldChar w:fldCharType="begin"/>
      </w:r>
      <w:r w:rsidR="004C46B2" w:rsidRPr="004C46B2">
        <w:instrText xml:space="preserve"> REF _Ref105446681 \h  \* MERGEFORMAT </w:instrText>
      </w:r>
      <w:r w:rsidR="004C46B2" w:rsidRPr="004C46B2">
        <w:fldChar w:fldCharType="separate"/>
      </w:r>
      <w:r w:rsidR="001A066D" w:rsidRPr="001A066D">
        <w:t xml:space="preserve">Figure </w:t>
      </w:r>
      <w:r w:rsidR="001A066D" w:rsidRPr="001A066D">
        <w:rPr>
          <w:noProof/>
        </w:rPr>
        <w:t>4</w:t>
      </w:r>
      <w:r w:rsidR="001A066D" w:rsidRPr="001A066D">
        <w:rPr>
          <w:noProof/>
        </w:rPr>
        <w:noBreakHyphen/>
        <w:t>5</w:t>
      </w:r>
      <w:r w:rsidR="004C46B2" w:rsidRPr="004C46B2">
        <w:fldChar w:fldCharType="end"/>
      </w:r>
      <w:r w:rsidRPr="004C46B2">
        <w:t>)</w:t>
      </w:r>
      <w:r w:rsidR="005B7739">
        <w:t xml:space="preserve"> although 10 isolates were at the breakpoint level (MIC = 4mg/ml)</w:t>
      </w:r>
      <w:r w:rsidRPr="004C46B2">
        <w:t>.</w:t>
      </w:r>
      <w:r>
        <w:t xml:space="preserve"> At baseline, 2 out of 4 participants in the comparison group had nasopharyngeal carriage of resistant </w:t>
      </w:r>
      <w:r w:rsidRPr="00755B7D">
        <w:rPr>
          <w:i/>
          <w:iCs/>
        </w:rPr>
        <w:t>H. Influenzae</w:t>
      </w:r>
      <w:r>
        <w:t xml:space="preserve">. In the azithromycin group, the 2 </w:t>
      </w:r>
      <w:r w:rsidRPr="00755B7D">
        <w:rPr>
          <w:i/>
          <w:iCs/>
        </w:rPr>
        <w:t xml:space="preserve">H. </w:t>
      </w:r>
      <w:r>
        <w:rPr>
          <w:i/>
          <w:iCs/>
        </w:rPr>
        <w:t>I</w:t>
      </w:r>
      <w:r w:rsidRPr="00755B7D">
        <w:rPr>
          <w:i/>
          <w:iCs/>
        </w:rPr>
        <w:t>nfluenzae</w:t>
      </w:r>
      <w:r>
        <w:t xml:space="preserve"> isolates obtained at baseline were susceptible to azithromycin. All 4 final </w:t>
      </w:r>
      <w:r w:rsidRPr="00FD2296">
        <w:rPr>
          <w:i/>
          <w:iCs/>
        </w:rPr>
        <w:t>H. influenzae</w:t>
      </w:r>
      <w:r>
        <w:t xml:space="preserve"> isolates were susceptible to azithromycin with these 4 participants having previously had azithromycin resistant </w:t>
      </w:r>
      <w:r w:rsidRPr="000B0E27">
        <w:rPr>
          <w:i/>
          <w:iCs/>
        </w:rPr>
        <w:t>H. influenza</w:t>
      </w:r>
      <w:r>
        <w:rPr>
          <w:i/>
          <w:iCs/>
        </w:rPr>
        <w:t>e</w:t>
      </w:r>
      <w:r>
        <w:t xml:space="preserve"> isolates obtained during the study period. </w:t>
      </w:r>
    </w:p>
    <w:p w14:paraId="4F5B7360" w14:textId="18B01F7A" w:rsidR="00211028" w:rsidRDefault="00211028" w:rsidP="00047FC7">
      <w:pPr>
        <w:rPr>
          <w:i/>
          <w:u w:val="single"/>
        </w:rPr>
      </w:pPr>
    </w:p>
    <w:p w14:paraId="37B437AE" w14:textId="5D321A79" w:rsidR="00211028" w:rsidRDefault="006D77CB" w:rsidP="00375A31">
      <w:pPr>
        <w:spacing w:line="360" w:lineRule="auto"/>
        <w:rPr>
          <w:i/>
          <w:u w:val="single"/>
        </w:rPr>
      </w:pPr>
      <w:r>
        <w:rPr>
          <w:i/>
          <w:u w:val="single"/>
        </w:rPr>
        <w:t>M</w:t>
      </w:r>
      <w:r w:rsidR="00B9190F">
        <w:rPr>
          <w:i/>
          <w:u w:val="single"/>
        </w:rPr>
        <w:t>oraxella</w:t>
      </w:r>
      <w:r>
        <w:rPr>
          <w:i/>
          <w:u w:val="single"/>
        </w:rPr>
        <w:t xml:space="preserve"> catarrhalis </w:t>
      </w:r>
      <w:r w:rsidRPr="001D04B2">
        <w:rPr>
          <w:iCs/>
          <w:u w:val="single"/>
        </w:rPr>
        <w:t>and</w:t>
      </w:r>
      <w:r>
        <w:rPr>
          <w:i/>
          <w:u w:val="single"/>
        </w:rPr>
        <w:t xml:space="preserve"> S</w:t>
      </w:r>
      <w:r w:rsidR="00B9190F">
        <w:rPr>
          <w:i/>
          <w:u w:val="single"/>
        </w:rPr>
        <w:t>taphylococcus</w:t>
      </w:r>
      <w:r>
        <w:rPr>
          <w:i/>
          <w:u w:val="single"/>
        </w:rPr>
        <w:t xml:space="preserve"> aureus</w:t>
      </w:r>
    </w:p>
    <w:p w14:paraId="438DD23E" w14:textId="6655519F" w:rsidR="006D77CB" w:rsidRDefault="006D77CB" w:rsidP="00375A31">
      <w:pPr>
        <w:pStyle w:val="Caption"/>
        <w:keepNext/>
        <w:spacing w:line="360" w:lineRule="auto"/>
        <w:rPr>
          <w:i w:val="0"/>
          <w:iCs w:val="0"/>
          <w:color w:val="auto"/>
          <w:sz w:val="24"/>
          <w:szCs w:val="24"/>
        </w:rPr>
      </w:pPr>
      <w:r>
        <w:rPr>
          <w:i w:val="0"/>
          <w:iCs w:val="0"/>
          <w:color w:val="auto"/>
          <w:sz w:val="24"/>
          <w:szCs w:val="24"/>
        </w:rPr>
        <w:t xml:space="preserve">The majority (11 out of 18) of </w:t>
      </w:r>
      <w:r w:rsidRPr="00974899">
        <w:rPr>
          <w:color w:val="auto"/>
          <w:sz w:val="24"/>
          <w:szCs w:val="24"/>
        </w:rPr>
        <w:t>M. catarrhalis</w:t>
      </w:r>
      <w:r>
        <w:rPr>
          <w:i w:val="0"/>
          <w:iCs w:val="0"/>
          <w:color w:val="auto"/>
          <w:sz w:val="24"/>
          <w:szCs w:val="24"/>
        </w:rPr>
        <w:t xml:space="preserve"> isolates were susceptible to azithromycin</w:t>
      </w:r>
      <w:r w:rsidR="00CA684E">
        <w:rPr>
          <w:i w:val="0"/>
          <w:iCs w:val="0"/>
          <w:color w:val="auto"/>
          <w:sz w:val="24"/>
          <w:szCs w:val="24"/>
        </w:rPr>
        <w:t xml:space="preserve">. Of the </w:t>
      </w:r>
      <w:r>
        <w:rPr>
          <w:i w:val="0"/>
          <w:iCs w:val="0"/>
          <w:color w:val="auto"/>
          <w:sz w:val="24"/>
          <w:szCs w:val="24"/>
        </w:rPr>
        <w:t xml:space="preserve"> </w:t>
      </w:r>
      <w:r w:rsidRPr="00FB58EF">
        <w:rPr>
          <w:color w:val="auto"/>
          <w:sz w:val="24"/>
          <w:szCs w:val="24"/>
        </w:rPr>
        <w:t>S. aureus</w:t>
      </w:r>
      <w:r>
        <w:rPr>
          <w:i w:val="0"/>
          <w:iCs w:val="0"/>
          <w:color w:val="auto"/>
          <w:sz w:val="24"/>
          <w:szCs w:val="24"/>
        </w:rPr>
        <w:t xml:space="preserve"> isolates</w:t>
      </w:r>
      <w:r w:rsidR="00CA684E">
        <w:rPr>
          <w:i w:val="0"/>
          <w:iCs w:val="0"/>
          <w:color w:val="auto"/>
          <w:sz w:val="24"/>
          <w:szCs w:val="24"/>
        </w:rPr>
        <w:t>, 4 were azithromycin resistant out of 6 isolates</w:t>
      </w:r>
      <w:r>
        <w:rPr>
          <w:i w:val="0"/>
          <w:iCs w:val="0"/>
          <w:color w:val="auto"/>
          <w:sz w:val="24"/>
          <w:szCs w:val="24"/>
        </w:rPr>
        <w:t xml:space="preserve">. For </w:t>
      </w:r>
      <w:r w:rsidRPr="00974899">
        <w:rPr>
          <w:color w:val="auto"/>
          <w:sz w:val="24"/>
          <w:szCs w:val="24"/>
        </w:rPr>
        <w:t>S. aureus</w:t>
      </w:r>
      <w:r>
        <w:rPr>
          <w:i w:val="0"/>
          <w:iCs w:val="0"/>
          <w:color w:val="auto"/>
          <w:sz w:val="24"/>
          <w:szCs w:val="24"/>
        </w:rPr>
        <w:t xml:space="preserve"> and </w:t>
      </w:r>
      <w:r w:rsidRPr="00974899">
        <w:rPr>
          <w:color w:val="auto"/>
          <w:sz w:val="24"/>
          <w:szCs w:val="24"/>
        </w:rPr>
        <w:t xml:space="preserve">M. catarrhalis </w:t>
      </w:r>
      <w:r>
        <w:rPr>
          <w:i w:val="0"/>
          <w:iCs w:val="0"/>
          <w:color w:val="auto"/>
          <w:sz w:val="24"/>
          <w:szCs w:val="24"/>
        </w:rPr>
        <w:t>MIC data</w:t>
      </w:r>
      <w:r w:rsidRPr="0004220A">
        <w:rPr>
          <w:i w:val="0"/>
          <w:iCs w:val="0"/>
          <w:color w:val="auto"/>
          <w:sz w:val="24"/>
          <w:szCs w:val="24"/>
        </w:rPr>
        <w:t xml:space="preserve">, see appendix </w:t>
      </w:r>
      <w:r w:rsidR="00800891">
        <w:rPr>
          <w:i w:val="0"/>
          <w:iCs w:val="0"/>
          <w:color w:val="auto"/>
          <w:sz w:val="24"/>
          <w:szCs w:val="24"/>
        </w:rPr>
        <w:t>9</w:t>
      </w:r>
      <w:r>
        <w:rPr>
          <w:i w:val="0"/>
          <w:iCs w:val="0"/>
          <w:color w:val="auto"/>
          <w:sz w:val="24"/>
          <w:szCs w:val="24"/>
        </w:rPr>
        <w:t>.</w:t>
      </w:r>
    </w:p>
    <w:p w14:paraId="6EF4E1F8" w14:textId="77777777" w:rsidR="006D77CB" w:rsidRPr="001D04B2" w:rsidRDefault="006D77CB" w:rsidP="00047FC7">
      <w:pPr>
        <w:rPr>
          <w:iCs/>
        </w:rPr>
      </w:pPr>
    </w:p>
    <w:p w14:paraId="67A89DC8" w14:textId="309AA281" w:rsidR="00211028" w:rsidRDefault="00211028" w:rsidP="00047FC7">
      <w:pPr>
        <w:rPr>
          <w:i/>
          <w:u w:val="single"/>
        </w:rPr>
      </w:pPr>
    </w:p>
    <w:p w14:paraId="3758FA0E" w14:textId="35B55F86" w:rsidR="00211028" w:rsidRDefault="00211028" w:rsidP="00047FC7">
      <w:pPr>
        <w:rPr>
          <w:i/>
          <w:u w:val="single"/>
        </w:rPr>
      </w:pPr>
    </w:p>
    <w:p w14:paraId="1502430B" w14:textId="1C63C6CA" w:rsidR="00A6336A" w:rsidRPr="008F33C8" w:rsidRDefault="00EB0610" w:rsidP="00E82735">
      <w:pPr>
        <w:spacing w:line="360" w:lineRule="auto"/>
        <w:rPr>
          <w:iCs/>
        </w:rPr>
      </w:pPr>
      <w:r>
        <w:rPr>
          <w:noProof/>
        </w:rPr>
        <w:lastRenderedPageBreak/>
        <mc:AlternateContent>
          <mc:Choice Requires="wps">
            <w:drawing>
              <wp:anchor distT="0" distB="0" distL="114300" distR="114300" simplePos="0" relativeHeight="251723264" behindDoc="0" locked="0" layoutInCell="1" allowOverlap="1" wp14:anchorId="4C5869DB" wp14:editId="56733276">
                <wp:simplePos x="0" y="0"/>
                <wp:positionH relativeFrom="column">
                  <wp:posOffset>3630295</wp:posOffset>
                </wp:positionH>
                <wp:positionV relativeFrom="paragraph">
                  <wp:posOffset>2250440</wp:posOffset>
                </wp:positionV>
                <wp:extent cx="102235" cy="86360"/>
                <wp:effectExtent l="0" t="0" r="0" b="8890"/>
                <wp:wrapNone/>
                <wp:docPr id="628" name="Oval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86360"/>
                        </a:xfrm>
                        <a:prstGeom prst="ellipse">
                          <a:avLst/>
                        </a:prstGeom>
                        <a:solidFill>
                          <a:srgbClr val="FF00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oval w14:anchorId="3149522E" id="Oval 628" o:spid="_x0000_s1026" style="position:absolute;margin-left:285.85pt;margin-top:177.2pt;width:8.05pt;height:6.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" fillcolor="fuchsia" strokecolor="black [3213]" strokeweight="1pt">
                <v:stroke joinstyle="miter"/>
                <v:path arrowok="t"/>
              </v:oval>
            </w:pict>
          </mc:Fallback>
        </mc:AlternateContent>
      </w:r>
      <w:r w:rsidR="00462450">
        <w:rPr>
          <w:noProof/>
        </w:rPr>
        <w:drawing>
          <wp:inline distT="0" distB="0" distL="0" distR="0" wp14:anchorId="1E88C6E5" wp14:editId="3A039A57">
            <wp:extent cx="6687403" cy="2743200"/>
            <wp:effectExtent l="0" t="0" r="18415" b="0"/>
            <wp:docPr id="48" name="Chart 48">
              <a:extLst xmlns:a="http://schemas.openxmlformats.org/drawingml/2006/main">
                <a:ext uri="{FF2B5EF4-FFF2-40B4-BE49-F238E27FC236}">
                  <a16:creationId xmlns:a16="http://schemas.microsoft.com/office/drawing/2014/main" id="{E54B0567-191F-4311-9F57-8C1719D04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C09F59" w14:textId="368EB990" w:rsidR="006E7093" w:rsidRPr="001D04B2" w:rsidRDefault="004C46B2" w:rsidP="00616897">
      <w:pPr>
        <w:spacing w:line="360" w:lineRule="auto"/>
        <w:rPr>
          <w:b/>
        </w:rPr>
      </w:pPr>
      <w:r>
        <w:rPr>
          <w:b/>
        </w:rPr>
        <w:t>Figure 4-</w:t>
      </w:r>
      <w:r w:rsidR="001A066D">
        <w:rPr>
          <w:b/>
        </w:rPr>
        <w:t>5</w:t>
      </w:r>
      <w:r w:rsidR="00B70E62" w:rsidRPr="001D04B2">
        <w:rPr>
          <w:b/>
        </w:rPr>
        <w:t xml:space="preserve"> A</w:t>
      </w:r>
      <w:r>
        <w:rPr>
          <w:b/>
        </w:rPr>
        <w:t>.</w:t>
      </w:r>
      <w:r w:rsidR="00EB66C9" w:rsidRPr="001D04B2">
        <w:rPr>
          <w:noProof/>
        </w:rPr>
        <w:t xml:space="preserve"> </w:t>
      </w:r>
    </w:p>
    <w:p w14:paraId="4EF4F452" w14:textId="431E7F0E" w:rsidR="00616897" w:rsidRPr="008F33C8" w:rsidRDefault="00B70E62">
      <w:pPr>
        <w:spacing w:line="360" w:lineRule="auto"/>
      </w:pPr>
      <w:r w:rsidRPr="001D04B2">
        <w:rPr>
          <w:b/>
        </w:rPr>
        <w:t xml:space="preserve">Key: </w:t>
      </w:r>
      <w:r w:rsidR="006E7093" w:rsidRPr="001D04B2">
        <w:rPr>
          <w:b/>
        </w:rPr>
        <w:t>Azithromycin susceptibility</w:t>
      </w:r>
      <w:r w:rsidR="006E7093">
        <w:rPr>
          <w:b/>
        </w:rPr>
        <w:tab/>
        <w:t>Duration from last macrolide exposure to start of study</w:t>
      </w:r>
    </w:p>
    <w:tbl>
      <w:tblPr>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7B1099" w:rsidRPr="007B1099" w14:paraId="60E0CE11" w14:textId="77777777" w:rsidTr="00F964D4">
        <w:trPr>
          <w:trHeight w:val="300"/>
        </w:trPr>
        <w:tc>
          <w:tcPr>
            <w:tcW w:w="960" w:type="dxa"/>
            <w:shd w:val="clear" w:color="auto" w:fill="auto"/>
            <w:noWrap/>
            <w:vAlign w:val="bottom"/>
            <w:hideMark/>
          </w:tcPr>
          <w:p w14:paraId="1EC0A7CC" w14:textId="77777777" w:rsidR="007B1099" w:rsidRPr="007B1099" w:rsidRDefault="007B1099" w:rsidP="007B1099">
            <w:pPr>
              <w:rPr>
                <w:rFonts w:ascii="Calibri" w:hAnsi="Calibri"/>
                <w:color w:val="000000"/>
              </w:rPr>
            </w:pPr>
            <w:r w:rsidRPr="007B1099">
              <w:rPr>
                <w:rFonts w:ascii="Calibri" w:hAnsi="Calibri"/>
                <w:color w:val="000000"/>
              </w:rPr>
              <w:t>Colour</w:t>
            </w:r>
          </w:p>
        </w:tc>
        <w:tc>
          <w:tcPr>
            <w:tcW w:w="1162" w:type="dxa"/>
            <w:shd w:val="clear" w:color="auto" w:fill="auto"/>
            <w:noWrap/>
            <w:vAlign w:val="bottom"/>
            <w:hideMark/>
          </w:tcPr>
          <w:p w14:paraId="5FF1F8C0" w14:textId="77777777" w:rsidR="007B1099" w:rsidRPr="007B1099" w:rsidRDefault="007B1099" w:rsidP="007B1099">
            <w:pPr>
              <w:rPr>
                <w:rFonts w:ascii="Calibri" w:hAnsi="Calibri"/>
                <w:color w:val="000000"/>
              </w:rPr>
            </w:pPr>
            <w:r w:rsidRPr="007B1099">
              <w:rPr>
                <w:rFonts w:ascii="Calibri" w:hAnsi="Calibri"/>
                <w:color w:val="000000"/>
              </w:rPr>
              <w:t>MIC</w:t>
            </w:r>
          </w:p>
        </w:tc>
      </w:tr>
      <w:tr w:rsidR="007B1099" w:rsidRPr="007B1099" w14:paraId="0CE1C662" w14:textId="77777777" w:rsidTr="00F964D4">
        <w:trPr>
          <w:trHeight w:val="300"/>
        </w:trPr>
        <w:tc>
          <w:tcPr>
            <w:tcW w:w="960" w:type="dxa"/>
            <w:shd w:val="clear" w:color="000000" w:fill="00B0F0"/>
            <w:noWrap/>
            <w:vAlign w:val="bottom"/>
            <w:hideMark/>
          </w:tcPr>
          <w:p w14:paraId="2B4E46BB" w14:textId="77777777" w:rsidR="007B1099" w:rsidRPr="007B1099" w:rsidRDefault="007B1099" w:rsidP="007B1099">
            <w:pPr>
              <w:rPr>
                <w:rFonts w:ascii="Calibri" w:hAnsi="Calibri"/>
                <w:color w:val="00B0F0"/>
              </w:rPr>
            </w:pPr>
            <w:r w:rsidRPr="007B1099">
              <w:rPr>
                <w:rFonts w:ascii="Calibri" w:hAnsi="Calibri"/>
                <w:color w:val="00B0F0"/>
              </w:rPr>
              <w:t> </w:t>
            </w:r>
          </w:p>
        </w:tc>
        <w:tc>
          <w:tcPr>
            <w:tcW w:w="1162" w:type="dxa"/>
            <w:shd w:val="clear" w:color="auto" w:fill="auto"/>
            <w:noWrap/>
            <w:vAlign w:val="bottom"/>
            <w:hideMark/>
          </w:tcPr>
          <w:p w14:paraId="74FC44A1" w14:textId="068D83F3" w:rsidR="007B1099" w:rsidRPr="00872617" w:rsidRDefault="00105FF9" w:rsidP="007B1099">
            <w:pPr>
              <w:rPr>
                <w:rFonts w:ascii="Calibri" w:hAnsi="Calibri"/>
                <w:color w:val="000000"/>
                <w:sz w:val="20"/>
                <w:szCs w:val="20"/>
              </w:rPr>
            </w:pPr>
            <w:r>
              <w:rPr>
                <w:rFonts w:ascii="Calibri" w:hAnsi="Calibri"/>
                <w:color w:val="000000"/>
                <w:sz w:val="18"/>
                <w:szCs w:val="18"/>
              </w:rPr>
              <w:t>≤</w:t>
            </w:r>
            <w:r w:rsidR="007B1099" w:rsidRPr="00872617">
              <w:rPr>
                <w:rFonts w:ascii="Calibri" w:hAnsi="Calibri"/>
                <w:color w:val="000000"/>
                <w:sz w:val="18"/>
                <w:szCs w:val="18"/>
              </w:rPr>
              <w:t>4</w:t>
            </w:r>
          </w:p>
        </w:tc>
      </w:tr>
      <w:tr w:rsidR="007B1099" w:rsidRPr="007B1099" w14:paraId="28B3D455" w14:textId="77777777" w:rsidTr="00F964D4">
        <w:trPr>
          <w:trHeight w:val="300"/>
        </w:trPr>
        <w:tc>
          <w:tcPr>
            <w:tcW w:w="960" w:type="dxa"/>
            <w:shd w:val="clear" w:color="000000" w:fill="FFE3E1"/>
            <w:noWrap/>
            <w:vAlign w:val="bottom"/>
            <w:hideMark/>
          </w:tcPr>
          <w:p w14:paraId="4C8454AC" w14:textId="77777777" w:rsidR="007B1099" w:rsidRPr="007B1099" w:rsidRDefault="007B1099" w:rsidP="007B1099">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0BB137BC" w14:textId="77777777" w:rsidR="007B1099" w:rsidRPr="007B1099" w:rsidRDefault="007B1099" w:rsidP="007B1099">
            <w:pPr>
              <w:rPr>
                <w:rFonts w:ascii="Calibri" w:hAnsi="Calibri"/>
                <w:color w:val="000000"/>
              </w:rPr>
            </w:pPr>
            <w:r w:rsidRPr="007B1099">
              <w:rPr>
                <w:rFonts w:ascii="Calibri" w:hAnsi="Calibri"/>
                <w:color w:val="000000"/>
              </w:rPr>
              <w:t>4.1 to 6</w:t>
            </w:r>
          </w:p>
        </w:tc>
      </w:tr>
      <w:tr w:rsidR="007B1099" w:rsidRPr="007B1099" w14:paraId="222A4008" w14:textId="77777777" w:rsidTr="00F964D4">
        <w:trPr>
          <w:trHeight w:val="300"/>
        </w:trPr>
        <w:tc>
          <w:tcPr>
            <w:tcW w:w="960" w:type="dxa"/>
            <w:shd w:val="clear" w:color="000000" w:fill="FFA7A7"/>
            <w:noWrap/>
            <w:vAlign w:val="bottom"/>
            <w:hideMark/>
          </w:tcPr>
          <w:p w14:paraId="15E57ABA" w14:textId="77777777" w:rsidR="007B1099" w:rsidRPr="007B1099" w:rsidRDefault="007B1099" w:rsidP="007B1099">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1FA1EDBD" w14:textId="77777777" w:rsidR="007B1099" w:rsidRPr="007B1099" w:rsidRDefault="007B1099" w:rsidP="007B1099">
            <w:pPr>
              <w:rPr>
                <w:rFonts w:ascii="Calibri" w:hAnsi="Calibri"/>
                <w:color w:val="000000"/>
              </w:rPr>
            </w:pPr>
            <w:r w:rsidRPr="007B1099">
              <w:rPr>
                <w:rFonts w:ascii="Calibri" w:hAnsi="Calibri"/>
                <w:color w:val="000000"/>
              </w:rPr>
              <w:t>6.1 to 12</w:t>
            </w:r>
          </w:p>
        </w:tc>
      </w:tr>
      <w:tr w:rsidR="007B1099" w:rsidRPr="007B1099" w14:paraId="5F09B84C" w14:textId="77777777" w:rsidTr="00CE576A">
        <w:trPr>
          <w:trHeight w:val="300"/>
        </w:trPr>
        <w:tc>
          <w:tcPr>
            <w:tcW w:w="960" w:type="dxa"/>
            <w:shd w:val="clear" w:color="auto" w:fill="FF0000"/>
            <w:noWrap/>
            <w:vAlign w:val="bottom"/>
            <w:hideMark/>
          </w:tcPr>
          <w:p w14:paraId="49E73A9D" w14:textId="77777777" w:rsidR="007B1099" w:rsidRPr="007B1099" w:rsidRDefault="007B1099" w:rsidP="007B1099">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46C06C5B" w14:textId="77777777" w:rsidR="007B1099" w:rsidRPr="007B1099" w:rsidRDefault="007B1099" w:rsidP="007B1099">
            <w:pPr>
              <w:rPr>
                <w:rFonts w:ascii="Calibri" w:hAnsi="Calibri"/>
                <w:color w:val="000000"/>
              </w:rPr>
            </w:pPr>
            <w:r w:rsidRPr="007B1099">
              <w:rPr>
                <w:rFonts w:ascii="Calibri" w:hAnsi="Calibri"/>
                <w:color w:val="000000"/>
              </w:rPr>
              <w:t>12.1 to 47</w:t>
            </w:r>
          </w:p>
        </w:tc>
      </w:tr>
      <w:tr w:rsidR="007B1099" w:rsidRPr="007B1099" w14:paraId="5D010678" w14:textId="77777777" w:rsidTr="00CE576A">
        <w:trPr>
          <w:trHeight w:val="300"/>
        </w:trPr>
        <w:tc>
          <w:tcPr>
            <w:tcW w:w="960" w:type="dxa"/>
            <w:shd w:val="clear" w:color="auto" w:fill="A40000"/>
            <w:noWrap/>
            <w:vAlign w:val="bottom"/>
            <w:hideMark/>
          </w:tcPr>
          <w:p w14:paraId="12F02244" w14:textId="77777777" w:rsidR="007B1099" w:rsidRPr="007B1099" w:rsidRDefault="007B1099" w:rsidP="007B1099">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215F3856" w14:textId="77777777" w:rsidR="007B1099" w:rsidRPr="007B1099" w:rsidRDefault="007B1099" w:rsidP="007B1099">
            <w:pPr>
              <w:rPr>
                <w:rFonts w:ascii="Calibri" w:hAnsi="Calibri"/>
                <w:color w:val="000000"/>
              </w:rPr>
            </w:pPr>
            <w:r w:rsidRPr="007B1099">
              <w:rPr>
                <w:rFonts w:ascii="Calibri" w:hAnsi="Calibri"/>
                <w:color w:val="000000"/>
              </w:rPr>
              <w:t>&gt;47.1</w:t>
            </w:r>
          </w:p>
        </w:tc>
      </w:tr>
      <w:tr w:rsidR="00D808AE" w:rsidRPr="007B1099" w14:paraId="061D082F" w14:textId="77777777" w:rsidTr="00D808AE">
        <w:trPr>
          <w:trHeight w:val="300"/>
        </w:trPr>
        <w:tc>
          <w:tcPr>
            <w:tcW w:w="960" w:type="dxa"/>
            <w:shd w:val="clear" w:color="auto" w:fill="7030A0"/>
            <w:noWrap/>
            <w:vAlign w:val="bottom"/>
          </w:tcPr>
          <w:p w14:paraId="7FA2AC01" w14:textId="77777777" w:rsidR="00D808AE" w:rsidRPr="007B1099" w:rsidRDefault="00D808AE" w:rsidP="007B1099">
            <w:pPr>
              <w:rPr>
                <w:rFonts w:ascii="Calibri" w:hAnsi="Calibri"/>
                <w:color w:val="000000"/>
              </w:rPr>
            </w:pPr>
          </w:p>
        </w:tc>
        <w:tc>
          <w:tcPr>
            <w:tcW w:w="1162" w:type="dxa"/>
            <w:shd w:val="clear" w:color="auto" w:fill="auto"/>
            <w:noWrap/>
            <w:vAlign w:val="bottom"/>
          </w:tcPr>
          <w:p w14:paraId="1EADA198" w14:textId="7D43BD01" w:rsidR="00D808AE" w:rsidRPr="007B1099" w:rsidRDefault="00D808AE" w:rsidP="007B1099">
            <w:pPr>
              <w:rPr>
                <w:rFonts w:ascii="Calibri" w:hAnsi="Calibri"/>
                <w:color w:val="000000"/>
              </w:rPr>
            </w:pPr>
            <w:r>
              <w:rPr>
                <w:rFonts w:ascii="Calibri" w:hAnsi="Calibri"/>
                <w:color w:val="000000"/>
              </w:rPr>
              <w:t>No MIC</w:t>
            </w:r>
          </w:p>
        </w:tc>
      </w:tr>
    </w:tbl>
    <w:tbl>
      <w:tblPr>
        <w:tblStyle w:val="TableGrid"/>
        <w:tblpPr w:leftFromText="180" w:rightFromText="180" w:vertAnchor="text" w:horzAnchor="margin" w:tblpXSpec="right" w:tblpY="-2210"/>
        <w:tblW w:w="0" w:type="auto"/>
        <w:tblLook w:val="04A0" w:firstRow="1" w:lastRow="0" w:firstColumn="1" w:lastColumn="0" w:noHBand="0" w:noVBand="1"/>
      </w:tblPr>
      <w:tblGrid>
        <w:gridCol w:w="846"/>
        <w:gridCol w:w="1984"/>
        <w:gridCol w:w="709"/>
        <w:gridCol w:w="2552"/>
      </w:tblGrid>
      <w:tr w:rsidR="00462450" w14:paraId="79262396" w14:textId="77777777" w:rsidTr="00462450">
        <w:tc>
          <w:tcPr>
            <w:tcW w:w="846" w:type="dxa"/>
            <w:shd w:val="clear" w:color="auto" w:fill="auto"/>
          </w:tcPr>
          <w:p w14:paraId="41474077" w14:textId="0FA8BAA9" w:rsidR="00462450" w:rsidRPr="00B209F5" w:rsidRDefault="00EB0610" w:rsidP="00462450">
            <w:pPr>
              <w:rPr>
                <w:sz w:val="20"/>
                <w:szCs w:val="20"/>
              </w:rPr>
            </w:pPr>
            <w:r>
              <w:rPr>
                <w:noProof/>
              </w:rPr>
              <mc:AlternateContent>
                <mc:Choice Requires="wps">
                  <w:drawing>
                    <wp:anchor distT="0" distB="0" distL="114300" distR="114300" simplePos="0" relativeHeight="251764224" behindDoc="0" locked="0" layoutInCell="1" allowOverlap="1" wp14:anchorId="7A7F69C8" wp14:editId="0B8BDCF8">
                      <wp:simplePos x="0" y="0"/>
                      <wp:positionH relativeFrom="column">
                        <wp:posOffset>56515</wp:posOffset>
                      </wp:positionH>
                      <wp:positionV relativeFrom="paragraph">
                        <wp:posOffset>5080</wp:posOffset>
                      </wp:positionV>
                      <wp:extent cx="171450" cy="152400"/>
                      <wp:effectExtent l="0" t="0" r="0" b="0"/>
                      <wp:wrapNone/>
                      <wp:docPr id="627" name="Oval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E09306" id="Oval 627" o:spid="_x0000_s1026" style="position:absolute;margin-left:4.45pt;margin-top:.4pt;width:13.5pt;height:1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" fillcolor="#ffc000" strokecolor="windowText" strokeweight="1pt">
                      <v:stroke joinstyle="miter"/>
                      <v:path arrowok="t"/>
                    </v:oval>
                  </w:pict>
                </mc:Fallback>
              </mc:AlternateContent>
            </w:r>
          </w:p>
        </w:tc>
        <w:tc>
          <w:tcPr>
            <w:tcW w:w="1984" w:type="dxa"/>
          </w:tcPr>
          <w:p w14:paraId="6580E660" w14:textId="77777777" w:rsidR="00462450" w:rsidRDefault="00462450" w:rsidP="00462450">
            <w:pPr>
              <w:rPr>
                <w:sz w:val="20"/>
                <w:szCs w:val="20"/>
              </w:rPr>
            </w:pPr>
            <w:r w:rsidRPr="00B209F5">
              <w:rPr>
                <w:sz w:val="20"/>
                <w:szCs w:val="20"/>
              </w:rPr>
              <w:t>Never had macrolide</w:t>
            </w:r>
          </w:p>
          <w:p w14:paraId="1D12E637" w14:textId="77777777" w:rsidR="00462450" w:rsidRPr="00332E75" w:rsidRDefault="00462450" w:rsidP="00462450">
            <w:pPr>
              <w:rPr>
                <w:sz w:val="4"/>
                <w:szCs w:val="4"/>
              </w:rPr>
            </w:pPr>
          </w:p>
        </w:tc>
        <w:tc>
          <w:tcPr>
            <w:tcW w:w="709" w:type="dxa"/>
            <w:shd w:val="clear" w:color="auto" w:fill="auto"/>
          </w:tcPr>
          <w:p w14:paraId="791690B0" w14:textId="7640B6DC" w:rsidR="00462450" w:rsidRPr="00B209F5" w:rsidRDefault="00EB0610" w:rsidP="00462450">
            <w:pPr>
              <w:rPr>
                <w:sz w:val="20"/>
                <w:szCs w:val="20"/>
              </w:rPr>
            </w:pPr>
            <w:r>
              <w:rPr>
                <w:noProof/>
              </w:rPr>
              <mc:AlternateContent>
                <mc:Choice Requires="wps">
                  <w:drawing>
                    <wp:anchor distT="0" distB="0" distL="114300" distR="114300" simplePos="0" relativeHeight="251768320" behindDoc="0" locked="0" layoutInCell="1" allowOverlap="1" wp14:anchorId="0BEA3A51" wp14:editId="5F024C94">
                      <wp:simplePos x="0" y="0"/>
                      <wp:positionH relativeFrom="column">
                        <wp:posOffset>54610</wp:posOffset>
                      </wp:positionH>
                      <wp:positionV relativeFrom="paragraph">
                        <wp:posOffset>4445</wp:posOffset>
                      </wp:positionV>
                      <wp:extent cx="171450" cy="152400"/>
                      <wp:effectExtent l="0" t="0" r="0" b="0"/>
                      <wp:wrapNone/>
                      <wp:docPr id="626" name="Oval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3FD6FF" id="Oval 626" o:spid="_x0000_s1026" style="position:absolute;margin-left:4.3pt;margin-top:.35pt;width:13.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" fillcolor="#2e75b6" strokecolor="windowText" strokeweight="1pt">
                      <v:stroke joinstyle="miter"/>
                      <v:path arrowok="t"/>
                    </v:oval>
                  </w:pict>
                </mc:Fallback>
              </mc:AlternateContent>
            </w:r>
          </w:p>
        </w:tc>
        <w:tc>
          <w:tcPr>
            <w:tcW w:w="2552" w:type="dxa"/>
          </w:tcPr>
          <w:p w14:paraId="71B99F6E" w14:textId="77777777" w:rsidR="00462450" w:rsidRPr="00B209F5" w:rsidRDefault="00462450" w:rsidP="00462450">
            <w:pPr>
              <w:rPr>
                <w:sz w:val="20"/>
                <w:szCs w:val="20"/>
              </w:rPr>
            </w:pPr>
            <w:r>
              <w:rPr>
                <w:sz w:val="20"/>
                <w:szCs w:val="20"/>
              </w:rPr>
              <w:t>&gt;24 months</w:t>
            </w:r>
          </w:p>
        </w:tc>
      </w:tr>
      <w:tr w:rsidR="00462450" w14:paraId="2BA040E4" w14:textId="77777777" w:rsidTr="00462450">
        <w:tc>
          <w:tcPr>
            <w:tcW w:w="846" w:type="dxa"/>
            <w:shd w:val="clear" w:color="auto" w:fill="auto"/>
          </w:tcPr>
          <w:p w14:paraId="47302F99" w14:textId="389336A7" w:rsidR="00462450" w:rsidRPr="00B209F5" w:rsidRDefault="00EB0610" w:rsidP="00462450">
            <w:pPr>
              <w:rPr>
                <w:sz w:val="20"/>
                <w:szCs w:val="20"/>
              </w:rPr>
            </w:pPr>
            <w:r>
              <w:rPr>
                <w:noProof/>
              </w:rPr>
              <mc:AlternateContent>
                <mc:Choice Requires="wps">
                  <w:drawing>
                    <wp:anchor distT="0" distB="0" distL="114300" distR="114300" simplePos="0" relativeHeight="251765248" behindDoc="0" locked="0" layoutInCell="1" allowOverlap="1" wp14:anchorId="32F15C91" wp14:editId="0B78E91A">
                      <wp:simplePos x="0" y="0"/>
                      <wp:positionH relativeFrom="column">
                        <wp:posOffset>50800</wp:posOffset>
                      </wp:positionH>
                      <wp:positionV relativeFrom="paragraph">
                        <wp:posOffset>65405</wp:posOffset>
                      </wp:positionV>
                      <wp:extent cx="171450" cy="152400"/>
                      <wp:effectExtent l="0" t="0" r="0" b="0"/>
                      <wp:wrapNone/>
                      <wp:docPr id="625" name="Oval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29C9E4" id="Oval 625" o:spid="_x0000_s1026" style="position:absolute;margin-left:4pt;margin-top:5.15pt;width:13.5pt;height:1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" fillcolor="#f7c5f3" strokecolor="windowText" strokeweight="1pt">
                      <v:stroke joinstyle="miter"/>
                      <v:path arrowok="t"/>
                    </v:oval>
                  </w:pict>
                </mc:Fallback>
              </mc:AlternateContent>
            </w:r>
          </w:p>
        </w:tc>
        <w:tc>
          <w:tcPr>
            <w:tcW w:w="1984" w:type="dxa"/>
          </w:tcPr>
          <w:p w14:paraId="1E9ECF09" w14:textId="77777777" w:rsidR="00462450" w:rsidRPr="00B209F5" w:rsidRDefault="00462450" w:rsidP="00462450">
            <w:pPr>
              <w:rPr>
                <w:sz w:val="20"/>
                <w:szCs w:val="20"/>
              </w:rPr>
            </w:pPr>
            <w:r w:rsidRPr="00B209F5">
              <w:rPr>
                <w:sz w:val="20"/>
                <w:szCs w:val="20"/>
              </w:rPr>
              <w:t>&lt;6 months</w:t>
            </w:r>
          </w:p>
        </w:tc>
        <w:tc>
          <w:tcPr>
            <w:tcW w:w="709" w:type="dxa"/>
            <w:shd w:val="clear" w:color="auto" w:fill="auto"/>
          </w:tcPr>
          <w:p w14:paraId="4D794690" w14:textId="183A657B" w:rsidR="00462450" w:rsidRPr="00B209F5" w:rsidRDefault="00EB0610" w:rsidP="00462450">
            <w:pPr>
              <w:rPr>
                <w:sz w:val="20"/>
                <w:szCs w:val="20"/>
              </w:rPr>
            </w:pPr>
            <w:r>
              <w:rPr>
                <w:noProof/>
              </w:rPr>
              <mc:AlternateContent>
                <mc:Choice Requires="wps">
                  <w:drawing>
                    <wp:anchor distT="0" distB="0" distL="114300" distR="114300" simplePos="0" relativeHeight="251769344" behindDoc="0" locked="0" layoutInCell="1" allowOverlap="1" wp14:anchorId="1124432F" wp14:editId="5CC8A3A2">
                      <wp:simplePos x="0" y="0"/>
                      <wp:positionH relativeFrom="column">
                        <wp:posOffset>54610</wp:posOffset>
                      </wp:positionH>
                      <wp:positionV relativeFrom="paragraph">
                        <wp:posOffset>68580</wp:posOffset>
                      </wp:positionV>
                      <wp:extent cx="171450" cy="152400"/>
                      <wp:effectExtent l="0" t="0" r="0" b="0"/>
                      <wp:wrapNone/>
                      <wp:docPr id="624"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86F7FF" id="Oval 624" o:spid="_x0000_s1026" style="position:absolute;margin-left:4.3pt;margin-top:5.4pt;width:13.5pt;height:1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" fillcolor="#843c0c" strokecolor="windowText" strokeweight="1pt">
                      <v:stroke joinstyle="miter"/>
                      <v:path arrowok="t"/>
                    </v:oval>
                  </w:pict>
                </mc:Fallback>
              </mc:AlternateContent>
            </w:r>
          </w:p>
        </w:tc>
        <w:tc>
          <w:tcPr>
            <w:tcW w:w="2552" w:type="dxa"/>
          </w:tcPr>
          <w:p w14:paraId="4094E84A" w14:textId="77777777" w:rsidR="00462450" w:rsidRPr="00B209F5" w:rsidRDefault="00462450" w:rsidP="00462450">
            <w:pPr>
              <w:rPr>
                <w:sz w:val="20"/>
                <w:szCs w:val="20"/>
              </w:rPr>
            </w:pPr>
            <w:r>
              <w:rPr>
                <w:sz w:val="20"/>
                <w:szCs w:val="20"/>
              </w:rPr>
              <w:t>Previous exposure. Uncertain duration</w:t>
            </w:r>
          </w:p>
        </w:tc>
      </w:tr>
      <w:tr w:rsidR="00462450" w14:paraId="6881B325" w14:textId="77777777" w:rsidTr="00462450">
        <w:tc>
          <w:tcPr>
            <w:tcW w:w="846" w:type="dxa"/>
            <w:shd w:val="clear" w:color="auto" w:fill="auto"/>
          </w:tcPr>
          <w:p w14:paraId="3DE634C8" w14:textId="789E465D" w:rsidR="00462450" w:rsidRPr="00B209F5" w:rsidRDefault="00EB0610" w:rsidP="00462450">
            <w:pPr>
              <w:rPr>
                <w:color w:val="FF00FF"/>
                <w:sz w:val="20"/>
                <w:szCs w:val="20"/>
              </w:rPr>
            </w:pPr>
            <w:r>
              <w:rPr>
                <w:noProof/>
              </w:rPr>
              <mc:AlternateContent>
                <mc:Choice Requires="wps">
                  <w:drawing>
                    <wp:anchor distT="0" distB="0" distL="114300" distR="114300" simplePos="0" relativeHeight="251766272" behindDoc="0" locked="0" layoutInCell="1" allowOverlap="1" wp14:anchorId="353F6CA0" wp14:editId="15EE78D5">
                      <wp:simplePos x="0" y="0"/>
                      <wp:positionH relativeFrom="column">
                        <wp:posOffset>50800</wp:posOffset>
                      </wp:positionH>
                      <wp:positionV relativeFrom="paragraph">
                        <wp:posOffset>5715</wp:posOffset>
                      </wp:positionV>
                      <wp:extent cx="171450" cy="152400"/>
                      <wp:effectExtent l="0" t="0" r="0" b="0"/>
                      <wp:wrapNone/>
                      <wp:docPr id="623" name="Oval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0C9301" id="Oval 623" o:spid="_x0000_s1026" style="position:absolute;margin-left:4pt;margin-top:.45pt;width:13.5pt;height:1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4383C136" w14:textId="77777777" w:rsidR="00462450" w:rsidRDefault="00462450" w:rsidP="00462450">
            <w:pPr>
              <w:rPr>
                <w:sz w:val="20"/>
                <w:szCs w:val="20"/>
              </w:rPr>
            </w:pPr>
            <w:r w:rsidRPr="00B209F5">
              <w:rPr>
                <w:sz w:val="20"/>
                <w:szCs w:val="20"/>
              </w:rPr>
              <w:t>6-12 months</w:t>
            </w:r>
          </w:p>
          <w:p w14:paraId="30980551" w14:textId="77777777" w:rsidR="00462450" w:rsidRPr="00332E75" w:rsidRDefault="00462450" w:rsidP="00462450">
            <w:pPr>
              <w:rPr>
                <w:sz w:val="4"/>
                <w:szCs w:val="4"/>
              </w:rPr>
            </w:pPr>
          </w:p>
        </w:tc>
        <w:tc>
          <w:tcPr>
            <w:tcW w:w="709" w:type="dxa"/>
            <w:shd w:val="clear" w:color="auto" w:fill="auto"/>
          </w:tcPr>
          <w:p w14:paraId="5310BFF4" w14:textId="6AD61A8B" w:rsidR="00462450" w:rsidRPr="00B209F5" w:rsidRDefault="00EB0610" w:rsidP="00462450">
            <w:pPr>
              <w:rPr>
                <w:sz w:val="20"/>
                <w:szCs w:val="20"/>
              </w:rPr>
            </w:pPr>
            <w:r>
              <w:rPr>
                <w:noProof/>
              </w:rPr>
              <mc:AlternateContent>
                <mc:Choice Requires="wps">
                  <w:drawing>
                    <wp:anchor distT="0" distB="0" distL="114300" distR="114300" simplePos="0" relativeHeight="251770368" behindDoc="0" locked="0" layoutInCell="1" allowOverlap="1" wp14:anchorId="7C48BF28" wp14:editId="6D6C3264">
                      <wp:simplePos x="0" y="0"/>
                      <wp:positionH relativeFrom="column">
                        <wp:posOffset>54610</wp:posOffset>
                      </wp:positionH>
                      <wp:positionV relativeFrom="paragraph">
                        <wp:posOffset>6985</wp:posOffset>
                      </wp:positionV>
                      <wp:extent cx="171450" cy="152400"/>
                      <wp:effectExtent l="0" t="0" r="0" b="0"/>
                      <wp:wrapNone/>
                      <wp:docPr id="622" name="Oval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679C4C" id="Oval 622" o:spid="_x0000_s1026" style="position:absolute;margin-left:4.3pt;margin-top:.55pt;width:13.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" fillcolor="windowText" strokecolor="windowText" strokeweight="1pt">
                      <v:stroke joinstyle="miter"/>
                      <v:path arrowok="t"/>
                    </v:oval>
                  </w:pict>
                </mc:Fallback>
              </mc:AlternateContent>
            </w:r>
          </w:p>
        </w:tc>
        <w:tc>
          <w:tcPr>
            <w:tcW w:w="2552" w:type="dxa"/>
          </w:tcPr>
          <w:p w14:paraId="44A0D114" w14:textId="77777777" w:rsidR="00462450" w:rsidRPr="00B209F5" w:rsidRDefault="00462450" w:rsidP="00462450">
            <w:pPr>
              <w:rPr>
                <w:sz w:val="20"/>
                <w:szCs w:val="20"/>
              </w:rPr>
            </w:pPr>
            <w:r>
              <w:rPr>
                <w:sz w:val="20"/>
                <w:szCs w:val="20"/>
              </w:rPr>
              <w:t>Missing data</w:t>
            </w:r>
          </w:p>
        </w:tc>
      </w:tr>
      <w:tr w:rsidR="00462450" w14:paraId="5F4610AB" w14:textId="77777777" w:rsidTr="00462450">
        <w:tc>
          <w:tcPr>
            <w:tcW w:w="846" w:type="dxa"/>
            <w:shd w:val="clear" w:color="auto" w:fill="auto"/>
          </w:tcPr>
          <w:p w14:paraId="52C28C33" w14:textId="46409089" w:rsidR="00462450" w:rsidRPr="00B209F5" w:rsidRDefault="00EB0610" w:rsidP="00462450">
            <w:pPr>
              <w:rPr>
                <w:sz w:val="20"/>
                <w:szCs w:val="20"/>
              </w:rPr>
            </w:pPr>
            <w:r>
              <w:rPr>
                <w:noProof/>
              </w:rPr>
              <mc:AlternateContent>
                <mc:Choice Requires="wps">
                  <w:drawing>
                    <wp:anchor distT="0" distB="0" distL="114300" distR="114300" simplePos="0" relativeHeight="251767296" behindDoc="0" locked="0" layoutInCell="1" allowOverlap="1" wp14:anchorId="29C99379" wp14:editId="7150DD24">
                      <wp:simplePos x="0" y="0"/>
                      <wp:positionH relativeFrom="column">
                        <wp:posOffset>52070</wp:posOffset>
                      </wp:positionH>
                      <wp:positionV relativeFrom="paragraph">
                        <wp:posOffset>1270</wp:posOffset>
                      </wp:positionV>
                      <wp:extent cx="171450" cy="152400"/>
                      <wp:effectExtent l="0" t="0" r="0" b="0"/>
                      <wp:wrapNone/>
                      <wp:docPr id="621" name="Oval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259788" id="Oval 621" o:spid="_x0000_s1026" style="position:absolute;margin-left:4.1pt;margin-top:.1pt;width:13.5pt;height:1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0C8960BD" w14:textId="77777777" w:rsidR="00462450" w:rsidRDefault="00462450" w:rsidP="00462450">
            <w:pPr>
              <w:rPr>
                <w:sz w:val="20"/>
                <w:szCs w:val="20"/>
              </w:rPr>
            </w:pPr>
            <w:r w:rsidRPr="00B209F5">
              <w:rPr>
                <w:sz w:val="20"/>
                <w:szCs w:val="20"/>
              </w:rPr>
              <w:t>12-24 months</w:t>
            </w:r>
          </w:p>
          <w:p w14:paraId="0D50EED5" w14:textId="77777777" w:rsidR="00462450" w:rsidRPr="00332E75" w:rsidRDefault="00462450" w:rsidP="00462450">
            <w:pPr>
              <w:rPr>
                <w:sz w:val="4"/>
                <w:szCs w:val="4"/>
              </w:rPr>
            </w:pPr>
          </w:p>
        </w:tc>
        <w:tc>
          <w:tcPr>
            <w:tcW w:w="3261" w:type="dxa"/>
            <w:gridSpan w:val="2"/>
          </w:tcPr>
          <w:p w14:paraId="74E70F62" w14:textId="77777777" w:rsidR="00462450" w:rsidRPr="00B209F5" w:rsidRDefault="00462450" w:rsidP="00462450">
            <w:pPr>
              <w:rPr>
                <w:sz w:val="20"/>
                <w:szCs w:val="20"/>
              </w:rPr>
            </w:pPr>
          </w:p>
        </w:tc>
      </w:tr>
      <w:tr w:rsidR="002F6AC0" w14:paraId="2D542DD8" w14:textId="77777777" w:rsidTr="00647E5D">
        <w:tc>
          <w:tcPr>
            <w:tcW w:w="846" w:type="dxa"/>
            <w:shd w:val="clear" w:color="auto" w:fill="auto"/>
          </w:tcPr>
          <w:p w14:paraId="7320D303" w14:textId="206DBE15" w:rsidR="002F6AC0" w:rsidRDefault="00EB0610" w:rsidP="00462450">
            <w:pPr>
              <w:rPr>
                <w:b/>
                <w:noProof/>
              </w:rPr>
            </w:pPr>
            <w:r>
              <w:rPr>
                <w:noProof/>
              </w:rPr>
              <mc:AlternateContent>
                <mc:Choice Requires="wps">
                  <w:drawing>
                    <wp:anchor distT="0" distB="0" distL="114300" distR="114300" simplePos="0" relativeHeight="251774464" behindDoc="0" locked="0" layoutInCell="1" allowOverlap="1" wp14:anchorId="2D38B0A3" wp14:editId="0111BC34">
                      <wp:simplePos x="0" y="0"/>
                      <wp:positionH relativeFrom="column">
                        <wp:posOffset>83185</wp:posOffset>
                      </wp:positionH>
                      <wp:positionV relativeFrom="paragraph">
                        <wp:posOffset>27940</wp:posOffset>
                      </wp:positionV>
                      <wp:extent cx="150495" cy="148590"/>
                      <wp:effectExtent l="19050" t="19050" r="20955" b="3810"/>
                      <wp:wrapNone/>
                      <wp:docPr id="620" name="Isosceles Tri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8590"/>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412EA29" id="Isosceles Triangle 620" o:spid="_x0000_s1026" type="#_x0000_t5" style="position:absolute;margin-left:6.55pt;margin-top:2.2pt;width:11.85pt;height:11.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" fillcolor="#203864" strokecolor="red" strokeweight="1pt">
                      <v:path arrowok="t"/>
                    </v:shape>
                  </w:pict>
                </mc:Fallback>
              </mc:AlternateContent>
            </w:r>
          </w:p>
        </w:tc>
        <w:tc>
          <w:tcPr>
            <w:tcW w:w="5245" w:type="dxa"/>
            <w:gridSpan w:val="3"/>
          </w:tcPr>
          <w:p w14:paraId="7C1ADB18" w14:textId="2DB03FEF" w:rsidR="002F6AC0" w:rsidRPr="00B209F5" w:rsidRDefault="002F6AC0" w:rsidP="00462450">
            <w:pPr>
              <w:rPr>
                <w:sz w:val="20"/>
                <w:szCs w:val="20"/>
              </w:rPr>
            </w:pPr>
            <w:r>
              <w:rPr>
                <w:sz w:val="20"/>
                <w:szCs w:val="20"/>
              </w:rPr>
              <w:t xml:space="preserve">Macrolide courses prescribed during the study </w:t>
            </w:r>
          </w:p>
        </w:tc>
      </w:tr>
      <w:tr w:rsidR="00047FC7" w14:paraId="791820D3" w14:textId="77777777" w:rsidTr="00647E5D">
        <w:tc>
          <w:tcPr>
            <w:tcW w:w="846" w:type="dxa"/>
            <w:shd w:val="clear" w:color="auto" w:fill="auto"/>
          </w:tcPr>
          <w:p w14:paraId="7090E0A3" w14:textId="77777777" w:rsidR="00047FC7" w:rsidRPr="002F6AC0" w:rsidRDefault="00047FC7" w:rsidP="00462450">
            <w:pPr>
              <w:rPr>
                <w:bCs/>
                <w:noProof/>
                <w:sz w:val="20"/>
                <w:szCs w:val="20"/>
              </w:rPr>
            </w:pPr>
          </w:p>
        </w:tc>
        <w:tc>
          <w:tcPr>
            <w:tcW w:w="5245" w:type="dxa"/>
            <w:gridSpan w:val="3"/>
          </w:tcPr>
          <w:p w14:paraId="0106B345" w14:textId="77777777" w:rsidR="00047FC7" w:rsidRDefault="00047FC7" w:rsidP="00462450">
            <w:pPr>
              <w:rPr>
                <w:sz w:val="20"/>
                <w:szCs w:val="20"/>
              </w:rPr>
            </w:pPr>
          </w:p>
        </w:tc>
      </w:tr>
    </w:tbl>
    <w:p w14:paraId="453447DB" w14:textId="77777777" w:rsidR="00B70E62" w:rsidRDefault="00B70E62" w:rsidP="00616897">
      <w:pPr>
        <w:spacing w:line="360" w:lineRule="auto"/>
      </w:pPr>
    </w:p>
    <w:p w14:paraId="127993DC" w14:textId="24BFE32D" w:rsidR="00B70E62" w:rsidRDefault="004C46B2" w:rsidP="00616897">
      <w:pPr>
        <w:spacing w:line="360" w:lineRule="auto"/>
      </w:pPr>
      <w:r>
        <w:rPr>
          <w:b/>
          <w:bCs/>
        </w:rPr>
        <w:t>Figure 4-</w:t>
      </w:r>
      <w:r w:rsidR="001A066D">
        <w:rPr>
          <w:b/>
          <w:bCs/>
        </w:rPr>
        <w:t>5</w:t>
      </w:r>
      <w:r w:rsidR="00B70E62" w:rsidRPr="001D04B2">
        <w:rPr>
          <w:b/>
          <w:bCs/>
        </w:rPr>
        <w:t xml:space="preserve"> B</w:t>
      </w:r>
      <w:r>
        <w:rPr>
          <w:b/>
          <w:bCs/>
        </w:rPr>
        <w:t>.</w:t>
      </w:r>
      <w:r w:rsidR="00B70E62">
        <w:rPr>
          <w:noProof/>
        </w:rPr>
        <w:drawing>
          <wp:inline distT="0" distB="0" distL="0" distR="0" wp14:anchorId="30D9A359" wp14:editId="5A3ADC78">
            <wp:extent cx="5972175" cy="2057400"/>
            <wp:effectExtent l="0" t="0" r="9525" b="12700"/>
            <wp:docPr id="407" name="Chart 407">
              <a:extLst xmlns:a="http://schemas.openxmlformats.org/drawingml/2006/main">
                <a:ext uri="{FF2B5EF4-FFF2-40B4-BE49-F238E27FC236}">
                  <a16:creationId xmlns:a16="http://schemas.microsoft.com/office/drawing/2014/main" id="{45A0102D-7238-4C9E-9660-B117C7F58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3805E26" w14:textId="042F3760" w:rsidR="006E7093" w:rsidRPr="00FB6358" w:rsidRDefault="00FB6358" w:rsidP="001D04B2">
      <w:pPr>
        <w:spacing w:line="360" w:lineRule="auto"/>
      </w:pPr>
      <w:bookmarkStart w:id="187" w:name="_Ref105446681"/>
      <w:bookmarkStart w:id="188" w:name="_Toc117780222"/>
      <w:r w:rsidRPr="00967888">
        <w:rPr>
          <w:b/>
          <w:bCs/>
        </w:rPr>
        <w:t xml:space="preserve">Figure </w:t>
      </w:r>
      <w:r w:rsidR="00F42C6F">
        <w:rPr>
          <w:b/>
          <w:bCs/>
        </w:rPr>
        <w:fldChar w:fldCharType="begin"/>
      </w:r>
      <w:r w:rsidR="00F42C6F">
        <w:rPr>
          <w:b/>
          <w:bCs/>
        </w:rPr>
        <w:instrText xml:space="preserve"> STYLEREF 1 \s </w:instrText>
      </w:r>
      <w:r w:rsidR="00F42C6F">
        <w:rPr>
          <w:b/>
          <w:bCs/>
        </w:rPr>
        <w:fldChar w:fldCharType="separate"/>
      </w:r>
      <w:r w:rsidR="006411A3">
        <w:rPr>
          <w:b/>
          <w:bCs/>
          <w:noProof/>
        </w:rPr>
        <w:t>4</w:t>
      </w:r>
      <w:r w:rsidR="00F42C6F">
        <w:rPr>
          <w:b/>
          <w:bCs/>
        </w:rPr>
        <w:fldChar w:fldCharType="end"/>
      </w:r>
      <w:r w:rsidR="00F42C6F">
        <w:rPr>
          <w:b/>
          <w:bCs/>
        </w:rPr>
        <w:noBreakHyphen/>
      </w:r>
      <w:r w:rsidR="00F42C6F">
        <w:rPr>
          <w:b/>
          <w:bCs/>
        </w:rPr>
        <w:fldChar w:fldCharType="begin"/>
      </w:r>
      <w:r w:rsidR="00F42C6F">
        <w:rPr>
          <w:b/>
          <w:bCs/>
        </w:rPr>
        <w:instrText xml:space="preserve"> SEQ Figure \* ARABIC \s 1 </w:instrText>
      </w:r>
      <w:r w:rsidR="00F42C6F">
        <w:rPr>
          <w:b/>
          <w:bCs/>
        </w:rPr>
        <w:fldChar w:fldCharType="separate"/>
      </w:r>
      <w:r w:rsidR="006411A3">
        <w:rPr>
          <w:b/>
          <w:bCs/>
          <w:noProof/>
        </w:rPr>
        <w:t>5</w:t>
      </w:r>
      <w:r w:rsidR="00F42C6F">
        <w:rPr>
          <w:b/>
          <w:bCs/>
        </w:rPr>
        <w:fldChar w:fldCharType="end"/>
      </w:r>
      <w:bookmarkEnd w:id="187"/>
      <w:r w:rsidRPr="00967888">
        <w:rPr>
          <w:b/>
          <w:bCs/>
        </w:rPr>
        <w:t>:</w:t>
      </w:r>
      <w:r w:rsidRPr="00967888">
        <w:t xml:space="preserve"> Representation of participants with growth of </w:t>
      </w:r>
      <w:r w:rsidRPr="00872617">
        <w:rPr>
          <w:i/>
          <w:iCs/>
        </w:rPr>
        <w:t>H</w:t>
      </w:r>
      <w:r w:rsidR="00CB6488" w:rsidRPr="00872617">
        <w:rPr>
          <w:i/>
          <w:iCs/>
        </w:rPr>
        <w:t>aemophilus</w:t>
      </w:r>
      <w:r w:rsidRPr="00872617">
        <w:rPr>
          <w:i/>
          <w:iCs/>
        </w:rPr>
        <w:t xml:space="preserve"> influenzae</w:t>
      </w:r>
      <w:r w:rsidRPr="00967888">
        <w:t xml:space="preserve"> on any DNPS</w:t>
      </w:r>
      <w:r w:rsidR="001A066D">
        <w:t xml:space="preserve"> in PBB study 1</w:t>
      </w:r>
      <w:bookmarkEnd w:id="188"/>
    </w:p>
    <w:p w14:paraId="3D823C0B" w14:textId="7AD31230" w:rsidR="00B70E62" w:rsidRPr="004C46B2" w:rsidRDefault="00616897" w:rsidP="00375A31">
      <w:pPr>
        <w:keepNext/>
        <w:spacing w:line="360" w:lineRule="auto"/>
        <w:rPr>
          <w:i/>
          <w:iCs/>
        </w:rPr>
      </w:pPr>
      <w:r w:rsidRPr="004C46B2">
        <w:rPr>
          <w:i/>
          <w:iCs/>
        </w:rPr>
        <w:lastRenderedPageBreak/>
        <w:t>Two observational cohorts</w:t>
      </w:r>
      <w:r w:rsidR="005545DC">
        <w:rPr>
          <w:i/>
          <w:iCs/>
        </w:rPr>
        <w:t>, each</w:t>
      </w:r>
      <w:r w:rsidRPr="004C46B2">
        <w:rPr>
          <w:i/>
          <w:iCs/>
        </w:rPr>
        <w:t xml:space="preserve"> of 10 children with a diagnosis of PBB had sequential DNPS taken 5 times over a 12-month period. One group received prophylactic azithromycin (A) and the other did not (C). </w:t>
      </w:r>
      <w:r w:rsidR="00B70E62" w:rsidRPr="004C46B2">
        <w:rPr>
          <w:b/>
          <w:bCs/>
          <w:i/>
          <w:iCs/>
        </w:rPr>
        <w:t xml:space="preserve">Figure </w:t>
      </w:r>
      <w:r w:rsidR="004C46B2" w:rsidRPr="004C46B2">
        <w:rPr>
          <w:b/>
          <w:bCs/>
          <w:i/>
          <w:iCs/>
        </w:rPr>
        <w:t>4-</w:t>
      </w:r>
      <w:r w:rsidR="006411A3">
        <w:rPr>
          <w:b/>
          <w:bCs/>
          <w:i/>
          <w:iCs/>
        </w:rPr>
        <w:t>5</w:t>
      </w:r>
      <w:r w:rsidR="00B70E62" w:rsidRPr="004C46B2">
        <w:rPr>
          <w:b/>
          <w:bCs/>
          <w:i/>
          <w:iCs/>
        </w:rPr>
        <w:t xml:space="preserve"> A:</w:t>
      </w:r>
      <w:r w:rsidR="00B70E62" w:rsidRPr="004C46B2">
        <w:rPr>
          <w:i/>
          <w:iCs/>
        </w:rPr>
        <w:t xml:space="preserve"> </w:t>
      </w:r>
      <w:r w:rsidRPr="004C46B2">
        <w:rPr>
          <w:i/>
          <w:iCs/>
        </w:rPr>
        <w:t xml:space="preserve">Each participant is represented by a single column on the X-axis and each of the 5 swabs on the Y-Axis. The </w:t>
      </w:r>
      <w:r w:rsidR="00105FF9">
        <w:rPr>
          <w:i/>
          <w:iCs/>
        </w:rPr>
        <w:t>graph</w:t>
      </w:r>
      <w:r w:rsidRPr="004C46B2">
        <w:rPr>
          <w:i/>
          <w:iCs/>
        </w:rPr>
        <w:t xml:space="preserve"> show</w:t>
      </w:r>
      <w:r w:rsidR="00105FF9">
        <w:rPr>
          <w:i/>
          <w:iCs/>
        </w:rPr>
        <w:t>s</w:t>
      </w:r>
      <w:r w:rsidRPr="004C46B2">
        <w:rPr>
          <w:i/>
          <w:iCs/>
        </w:rPr>
        <w:t xml:space="preserve"> swabs with growth of H. influenza</w:t>
      </w:r>
      <w:r w:rsidR="00105FF9">
        <w:rPr>
          <w:i/>
          <w:iCs/>
        </w:rPr>
        <w:t>e</w:t>
      </w:r>
      <w:r w:rsidRPr="004C46B2">
        <w:rPr>
          <w:i/>
          <w:iCs/>
        </w:rPr>
        <w:t xml:space="preserve"> and whether these were azithromycin susceptible</w:t>
      </w:r>
      <w:r w:rsidR="00E5664D" w:rsidRPr="004C46B2">
        <w:rPr>
          <w:i/>
          <w:iCs/>
        </w:rPr>
        <w:t xml:space="preserve"> (blue)</w:t>
      </w:r>
      <w:r w:rsidRPr="004C46B2">
        <w:rPr>
          <w:i/>
          <w:iCs/>
        </w:rPr>
        <w:t xml:space="preserve"> or resistant</w:t>
      </w:r>
      <w:r w:rsidR="00E5664D" w:rsidRPr="004C46B2">
        <w:rPr>
          <w:i/>
          <w:iCs/>
        </w:rPr>
        <w:t xml:space="preserve"> (see colour key for MICs)</w:t>
      </w:r>
      <w:r w:rsidRPr="004C46B2">
        <w:rPr>
          <w:i/>
          <w:iCs/>
        </w:rPr>
        <w:t>. Azithromycin susceptibility based on minimum inhibitory concentrations as per the standard EUCAST breakpoint tables: MIC &gt; 4mg/L</w:t>
      </w:r>
      <w:r w:rsidR="0004220A">
        <w:rPr>
          <w:i/>
          <w:iCs/>
        </w:rPr>
        <w:t xml:space="preserve"> = resistant</w:t>
      </w:r>
      <w:r w:rsidR="006E7093" w:rsidRPr="004C46B2">
        <w:rPr>
          <w:i/>
          <w:iCs/>
        </w:rPr>
        <w:t>. Coloured circles under each participant represent the duration from the last course of macrolide antibiotic to the start of the study.</w:t>
      </w:r>
      <w:r w:rsidR="00B70E62" w:rsidRPr="004C46B2">
        <w:rPr>
          <w:i/>
          <w:iCs/>
        </w:rPr>
        <w:t xml:space="preserve"> </w:t>
      </w:r>
      <w:r w:rsidR="00B70E62" w:rsidRPr="004C46B2">
        <w:rPr>
          <w:b/>
          <w:bCs/>
          <w:i/>
          <w:iCs/>
        </w:rPr>
        <w:t xml:space="preserve">Figure </w:t>
      </w:r>
      <w:r w:rsidR="004C46B2" w:rsidRPr="004C46B2">
        <w:rPr>
          <w:b/>
          <w:bCs/>
          <w:i/>
          <w:iCs/>
        </w:rPr>
        <w:t>4-</w:t>
      </w:r>
      <w:r w:rsidR="006411A3">
        <w:rPr>
          <w:b/>
          <w:bCs/>
          <w:i/>
          <w:iCs/>
        </w:rPr>
        <w:t>5</w:t>
      </w:r>
      <w:r w:rsidR="00B70E62" w:rsidRPr="004C46B2">
        <w:rPr>
          <w:b/>
          <w:bCs/>
          <w:i/>
          <w:iCs/>
        </w:rPr>
        <w:t xml:space="preserve"> B: </w:t>
      </w:r>
      <w:r w:rsidR="00B70E62" w:rsidRPr="004C46B2">
        <w:rPr>
          <w:i/>
          <w:iCs/>
          <w:color w:val="000000" w:themeColor="text1"/>
        </w:rPr>
        <w:t>MIC distribution of H. influenzae isolates in PBB study 1</w:t>
      </w:r>
      <w:r w:rsidR="00105FF9">
        <w:rPr>
          <w:i/>
          <w:iCs/>
          <w:color w:val="000000" w:themeColor="text1"/>
        </w:rPr>
        <w:t xml:space="preserve">. </w:t>
      </w:r>
      <w:r w:rsidR="00105FF9">
        <w:rPr>
          <w:i/>
          <w:iCs/>
        </w:rPr>
        <w:t>D</w:t>
      </w:r>
      <w:r w:rsidR="00CB6488">
        <w:rPr>
          <w:i/>
          <w:iCs/>
        </w:rPr>
        <w:t>ashed</w:t>
      </w:r>
      <w:r w:rsidR="00105FF9">
        <w:rPr>
          <w:i/>
          <w:iCs/>
        </w:rPr>
        <w:t xml:space="preserve"> red line indicates </w:t>
      </w:r>
      <w:r w:rsidR="00105FF9" w:rsidRPr="004C46B2">
        <w:rPr>
          <w:i/>
          <w:iCs/>
        </w:rPr>
        <w:t>the standard EUCAST breakpoint</w:t>
      </w:r>
      <w:r w:rsidR="00105FF9">
        <w:rPr>
          <w:i/>
          <w:iCs/>
        </w:rPr>
        <w:t>.</w:t>
      </w:r>
    </w:p>
    <w:p w14:paraId="1495762A" w14:textId="7416CB04" w:rsidR="008F56D1" w:rsidRDefault="008F56D1" w:rsidP="00787C99">
      <w:pPr>
        <w:spacing w:line="360" w:lineRule="auto"/>
        <w:rPr>
          <w:i/>
          <w:iCs/>
        </w:rPr>
      </w:pPr>
    </w:p>
    <w:p w14:paraId="78309C73" w14:textId="387891F0" w:rsidR="00941EB7" w:rsidRDefault="00817903" w:rsidP="00787C99">
      <w:pPr>
        <w:pStyle w:val="Heading3"/>
        <w:spacing w:before="0" w:line="360" w:lineRule="auto"/>
      </w:pPr>
      <w:bookmarkStart w:id="189" w:name="_Toc117765972"/>
      <w:r>
        <w:t>Antibiotic use during the study period</w:t>
      </w:r>
      <w:bookmarkEnd w:id="189"/>
    </w:p>
    <w:p w14:paraId="25AD709E" w14:textId="6F4DC997" w:rsidR="0053438B" w:rsidRDefault="00941EB7" w:rsidP="0064056D">
      <w:pPr>
        <w:spacing w:after="160" w:line="360" w:lineRule="auto"/>
      </w:pPr>
      <w:r>
        <w:t xml:space="preserve">As </w:t>
      </w:r>
      <w:r w:rsidR="007E7735">
        <w:t>noted</w:t>
      </w:r>
      <w:r>
        <w:t xml:space="preserve">, </w:t>
      </w:r>
      <w:r w:rsidR="0053438B">
        <w:rPr>
          <w:bCs/>
        </w:rPr>
        <w:t>t</w:t>
      </w:r>
      <w:r w:rsidR="0053438B" w:rsidRPr="001D04B2">
        <w:rPr>
          <w:bCs/>
        </w:rPr>
        <w:t xml:space="preserve">he median duration of azithromycin prophylaxis prescribed in the azithromycin group during the study was </w:t>
      </w:r>
      <w:r w:rsidR="0053438B">
        <w:rPr>
          <w:bCs/>
        </w:rPr>
        <w:t>5 months</w:t>
      </w:r>
      <w:r w:rsidR="0053438B" w:rsidRPr="001D04B2">
        <w:rPr>
          <w:bCs/>
        </w:rPr>
        <w:t xml:space="preserve"> (</w:t>
      </w:r>
      <w:r w:rsidR="0053438B">
        <w:rPr>
          <w:bCs/>
        </w:rPr>
        <w:t>IQR 3.5 - 6 months, mean 4.5</w:t>
      </w:r>
      <w:r w:rsidR="0053438B" w:rsidRPr="001D04B2">
        <w:rPr>
          <w:bCs/>
        </w:rPr>
        <w:t xml:space="preserve">). </w:t>
      </w:r>
      <w:r w:rsidR="0053438B">
        <w:t>A single</w:t>
      </w:r>
      <w:r w:rsidR="0053438B" w:rsidRPr="001D04B2">
        <w:t xml:space="preserve"> child had only </w:t>
      </w:r>
      <w:r w:rsidR="0053438B">
        <w:t>1 week</w:t>
      </w:r>
      <w:r w:rsidR="0053438B" w:rsidRPr="001D04B2">
        <w:t xml:space="preserve"> of azithromycin </w:t>
      </w:r>
      <w:r w:rsidR="0053438B">
        <w:t xml:space="preserve">and </w:t>
      </w:r>
      <w:r w:rsidR="0053438B" w:rsidRPr="001D04B2">
        <w:t xml:space="preserve">stopped treatment as his parents felt it was exacerbating his constipation (Participant A2). </w:t>
      </w:r>
    </w:p>
    <w:p w14:paraId="344B738D" w14:textId="38C92959" w:rsidR="00B4397B" w:rsidRPr="0053438B" w:rsidRDefault="000223A2" w:rsidP="0064056D">
      <w:pPr>
        <w:spacing w:after="160" w:line="360" w:lineRule="auto"/>
      </w:pPr>
      <w:r>
        <w:t xml:space="preserve">Through the use of hospital records, GP prescription data and parental recall, antibiotic exposure for each participant was analysed. </w:t>
      </w:r>
      <w:r w:rsidR="00105FF9">
        <w:t>Of</w:t>
      </w:r>
      <w:r>
        <w:t xml:space="preserve"> note, </w:t>
      </w:r>
      <w:r w:rsidR="003D23EE">
        <w:t>only 2 parents recorded courses of antibiotics in the study booklet provided at recruitment</w:t>
      </w:r>
      <w:r w:rsidR="00574CFE">
        <w:t>, prompting us to obtain an amendment to our ethics to access GP records, with additional consent obtained from participants</w:t>
      </w:r>
      <w:r w:rsidR="003D23EE">
        <w:t xml:space="preserve">. </w:t>
      </w:r>
      <w:r w:rsidR="00817903" w:rsidRPr="00F964D4">
        <w:t>GP prescription records were</w:t>
      </w:r>
      <w:r w:rsidR="00B4397B">
        <w:t xml:space="preserve"> </w:t>
      </w:r>
      <w:r w:rsidR="00817903" w:rsidRPr="00F964D4">
        <w:t xml:space="preserve">reviewed </w:t>
      </w:r>
      <w:r w:rsidR="00817903">
        <w:t xml:space="preserve">for antibiotic prescriptions </w:t>
      </w:r>
      <w:r w:rsidR="003D23EE">
        <w:t>in 18 out of 20 cases. In 2 cases, the participants</w:t>
      </w:r>
      <w:r w:rsidR="00DC3789">
        <w:t xml:space="preserve"> (in the azithromycin group)</w:t>
      </w:r>
      <w:r w:rsidR="003D23EE">
        <w:t xml:space="preserve"> left the study before </w:t>
      </w:r>
      <w:r>
        <w:t xml:space="preserve">additional </w:t>
      </w:r>
      <w:r w:rsidR="003D23EE">
        <w:t>consent could be obtained to review the</w:t>
      </w:r>
      <w:r>
        <w:t>ir</w:t>
      </w:r>
      <w:r w:rsidR="003D23EE">
        <w:t xml:space="preserve"> GP prescription records. </w:t>
      </w:r>
    </w:p>
    <w:p w14:paraId="631F2D61" w14:textId="0138E091" w:rsidR="002A3FBE" w:rsidRDefault="0064439E" w:rsidP="00787C99">
      <w:pPr>
        <w:spacing w:line="360" w:lineRule="auto"/>
      </w:pPr>
      <w:r>
        <w:t xml:space="preserve">The total number of acute courses of antibiotics prescribed for presumed respiratory tract infections during the study period </w:t>
      </w:r>
      <w:r w:rsidR="00460AB8">
        <w:t xml:space="preserve">was lower in </w:t>
      </w:r>
      <w:r>
        <w:t xml:space="preserve">the azithromycin group </w:t>
      </w:r>
      <w:r w:rsidR="00460AB8">
        <w:t xml:space="preserve">than </w:t>
      </w:r>
      <w:r>
        <w:t xml:space="preserve">the comparison group </w:t>
      </w:r>
      <w:r w:rsidR="008872A1">
        <w:t>(</w:t>
      </w:r>
      <w:r>
        <w:t>19 vs 2</w:t>
      </w:r>
      <w:r w:rsidR="00192E40">
        <w:t>7</w:t>
      </w:r>
      <w:r>
        <w:t xml:space="preserve"> courses respectively, see</w:t>
      </w:r>
      <w:r w:rsidR="002A3FBE">
        <w:t xml:space="preserve"> </w:t>
      </w:r>
      <w:r w:rsidR="002A3FBE" w:rsidRPr="002A3FBE">
        <w:fldChar w:fldCharType="begin"/>
      </w:r>
      <w:r w:rsidR="002A3FBE" w:rsidRPr="002A3FBE">
        <w:instrText xml:space="preserve"> REF _Ref105613212 \h  \* MERGEFORMAT </w:instrText>
      </w:r>
      <w:r w:rsidR="002A3FBE" w:rsidRPr="002A3FBE">
        <w:fldChar w:fldCharType="separate"/>
      </w:r>
      <w:r w:rsidR="002A3FBE" w:rsidRPr="002A3FBE">
        <w:rPr>
          <w:color w:val="000000" w:themeColor="text1"/>
        </w:rPr>
        <w:t xml:space="preserve">Table </w:t>
      </w:r>
      <w:r w:rsidR="002A3FBE" w:rsidRPr="002A3FBE">
        <w:rPr>
          <w:noProof/>
          <w:color w:val="000000" w:themeColor="text1"/>
        </w:rPr>
        <w:t>15</w:t>
      </w:r>
      <w:r w:rsidR="002A3FBE" w:rsidRPr="002A3FBE">
        <w:fldChar w:fldCharType="end"/>
      </w:r>
      <w:r w:rsidR="008872A1">
        <w:t>)</w:t>
      </w:r>
      <w:r>
        <w:t>. Flucloxacillin was prescribed for 2 skin infections and not included in the</w:t>
      </w:r>
      <w:r w:rsidR="00460AB8">
        <w:t>se</w:t>
      </w:r>
      <w:r>
        <w:t xml:space="preserve"> totals. The number of courses of antibiotics </w:t>
      </w:r>
      <w:r w:rsidR="00F847E9">
        <w:t xml:space="preserve">between </w:t>
      </w:r>
      <w:r>
        <w:t>2</w:t>
      </w:r>
      <w:r w:rsidR="00F847E9">
        <w:t>-4</w:t>
      </w:r>
      <w:r>
        <w:t xml:space="preserve"> weeks in duration, prescribed to treat presumed exacerbations of PBB, was lower in the azithromycin group compared to the comparison group, 4 v</w:t>
      </w:r>
      <w:r w:rsidR="007241FB">
        <w:t>ersu</w:t>
      </w:r>
      <w:r>
        <w:t>s 8 courses respectively.</w:t>
      </w:r>
      <w:r w:rsidR="00F847E9">
        <w:t xml:space="preserve"> These were prescribed to 4 participants in the azithromycin group with a total of 8 weeks of antibiotics </w:t>
      </w:r>
      <w:r w:rsidR="00F847E9">
        <w:lastRenderedPageBreak/>
        <w:t>and to 5 participants in the comparison group with a total of 20 weeks</w:t>
      </w:r>
      <w:r>
        <w:t xml:space="preserve"> </w:t>
      </w:r>
      <w:r w:rsidR="00F847E9">
        <w:t xml:space="preserve">of antibiotics. </w:t>
      </w:r>
      <w:r w:rsidR="00192E40">
        <w:t xml:space="preserve">All 4 courses </w:t>
      </w:r>
      <w:r w:rsidR="00C72854">
        <w:t>prescribed in the azithromycin group were administered during periods when the long-term azithromycin has been stopped. Whilst taking azithromycin a single participant received 3</w:t>
      </w:r>
      <w:r w:rsidR="008872A1">
        <w:t xml:space="preserve"> separate</w:t>
      </w:r>
      <w:r w:rsidR="00C72854">
        <w:t xml:space="preserve">, one week </w:t>
      </w:r>
      <w:r w:rsidR="008872A1">
        <w:t>duration</w:t>
      </w:r>
      <w:r w:rsidR="00C72854">
        <w:t xml:space="preserve"> courses of antibiotics</w:t>
      </w:r>
      <w:r w:rsidR="00DB304A">
        <w:t xml:space="preserve">. The indications for antibiotics were reported by their parent </w:t>
      </w:r>
      <w:r w:rsidR="00C72854">
        <w:t>(2=amoxicillin</w:t>
      </w:r>
      <w:r w:rsidR="00945B87">
        <w:t xml:space="preserve"> for an ear infection</w:t>
      </w:r>
      <w:r w:rsidR="00C72854">
        <w:t xml:space="preserve"> and 1= co-amoxiclav</w:t>
      </w:r>
      <w:r w:rsidR="00945B87">
        <w:t xml:space="preserve"> for a chest infection</w:t>
      </w:r>
      <w:r w:rsidR="00C72854">
        <w:t>).</w:t>
      </w:r>
    </w:p>
    <w:p w14:paraId="77DCFAC0" w14:textId="77777777" w:rsidR="00787C99" w:rsidRDefault="00787C99" w:rsidP="00787C99">
      <w:pPr>
        <w:spacing w:line="360" w:lineRule="auto"/>
      </w:pPr>
    </w:p>
    <w:p w14:paraId="5A38FCB9" w14:textId="4E75F802" w:rsidR="00FB6358" w:rsidRPr="00FB6358" w:rsidRDefault="0063417A" w:rsidP="00787C99">
      <w:pPr>
        <w:pStyle w:val="Caption"/>
        <w:keepNext/>
        <w:spacing w:after="0" w:line="360" w:lineRule="auto"/>
        <w:rPr>
          <w:i w:val="0"/>
          <w:iCs w:val="0"/>
          <w:color w:val="000000" w:themeColor="text1"/>
          <w:sz w:val="24"/>
          <w:szCs w:val="24"/>
        </w:rPr>
      </w:pPr>
      <w:bookmarkStart w:id="190" w:name="_Ref105613212"/>
      <w:bookmarkStart w:id="191" w:name="_Toc117780256"/>
      <w:r w:rsidRPr="0063417A">
        <w:rPr>
          <w:b/>
          <w:bCs/>
          <w:i w:val="0"/>
          <w:iCs w:val="0"/>
          <w:color w:val="000000" w:themeColor="text1"/>
          <w:sz w:val="24"/>
          <w:szCs w:val="24"/>
        </w:rPr>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15</w:t>
      </w:r>
      <w:r w:rsidR="002C440E">
        <w:rPr>
          <w:b/>
          <w:bCs/>
          <w:i w:val="0"/>
          <w:iCs w:val="0"/>
          <w:color w:val="000000" w:themeColor="text1"/>
          <w:sz w:val="24"/>
          <w:szCs w:val="24"/>
        </w:rPr>
        <w:fldChar w:fldCharType="end"/>
      </w:r>
      <w:bookmarkEnd w:id="190"/>
      <w:r w:rsidRPr="0063417A">
        <w:rPr>
          <w:b/>
          <w:bCs/>
          <w:i w:val="0"/>
          <w:iCs w:val="0"/>
          <w:color w:val="000000" w:themeColor="text1"/>
          <w:sz w:val="24"/>
          <w:szCs w:val="24"/>
        </w:rPr>
        <w:t>:</w:t>
      </w:r>
      <w:r w:rsidRPr="0063417A">
        <w:rPr>
          <w:i w:val="0"/>
          <w:iCs w:val="0"/>
          <w:color w:val="000000" w:themeColor="text1"/>
          <w:sz w:val="24"/>
          <w:szCs w:val="24"/>
        </w:rPr>
        <w:t xml:space="preserve"> Type of antibiotic prescribed for participants during the study period</w:t>
      </w:r>
      <w:r w:rsidR="00C071C2">
        <w:rPr>
          <w:i w:val="0"/>
          <w:iCs w:val="0"/>
          <w:color w:val="000000" w:themeColor="text1"/>
          <w:sz w:val="24"/>
          <w:szCs w:val="24"/>
        </w:rPr>
        <w:t xml:space="preserve"> PBB 1</w:t>
      </w:r>
      <w:bookmarkEnd w:id="191"/>
    </w:p>
    <w:tbl>
      <w:tblPr>
        <w:tblStyle w:val="TableGrid"/>
        <w:tblW w:w="9067" w:type="dxa"/>
        <w:tblLook w:val="04A0" w:firstRow="1" w:lastRow="0" w:firstColumn="1" w:lastColumn="0" w:noHBand="0" w:noVBand="1"/>
      </w:tblPr>
      <w:tblGrid>
        <w:gridCol w:w="4673"/>
        <w:gridCol w:w="2126"/>
        <w:gridCol w:w="2268"/>
      </w:tblGrid>
      <w:tr w:rsidR="00CC7114" w14:paraId="6EB35615" w14:textId="77777777" w:rsidTr="00F964D4">
        <w:tc>
          <w:tcPr>
            <w:tcW w:w="4673" w:type="dxa"/>
            <w:shd w:val="clear" w:color="auto" w:fill="BDD6EE" w:themeFill="accent1" w:themeFillTint="66"/>
          </w:tcPr>
          <w:p w14:paraId="1A1E39A7" w14:textId="77777777" w:rsidR="00CC7114" w:rsidRPr="00F964D4" w:rsidRDefault="00CC7114" w:rsidP="008757D9">
            <w:pPr>
              <w:rPr>
                <w:b/>
                <w:bCs/>
              </w:rPr>
            </w:pPr>
            <w:r w:rsidRPr="00F964D4">
              <w:rPr>
                <w:b/>
                <w:bCs/>
              </w:rPr>
              <w:t>Antibiotic prescribed</w:t>
            </w:r>
          </w:p>
        </w:tc>
        <w:tc>
          <w:tcPr>
            <w:tcW w:w="2126" w:type="dxa"/>
            <w:shd w:val="clear" w:color="auto" w:fill="BDD6EE" w:themeFill="accent1" w:themeFillTint="66"/>
          </w:tcPr>
          <w:p w14:paraId="14968DA4" w14:textId="77777777" w:rsidR="00CC7114" w:rsidRPr="00F964D4" w:rsidRDefault="00CC7114" w:rsidP="008757D9">
            <w:pPr>
              <w:rPr>
                <w:b/>
                <w:bCs/>
              </w:rPr>
            </w:pPr>
            <w:r w:rsidRPr="00F964D4">
              <w:rPr>
                <w:b/>
                <w:bCs/>
              </w:rPr>
              <w:t>Comparison group</w:t>
            </w:r>
          </w:p>
          <w:p w14:paraId="6EC49B7A" w14:textId="06648CA9" w:rsidR="00CC7114" w:rsidRPr="00F964D4" w:rsidRDefault="008E7CE7" w:rsidP="008757D9">
            <w:r>
              <w:t xml:space="preserve">Number of courses </w:t>
            </w:r>
          </w:p>
        </w:tc>
        <w:tc>
          <w:tcPr>
            <w:tcW w:w="2268" w:type="dxa"/>
            <w:shd w:val="clear" w:color="auto" w:fill="BDD6EE" w:themeFill="accent1" w:themeFillTint="66"/>
          </w:tcPr>
          <w:p w14:paraId="078D7B6E" w14:textId="77777777" w:rsidR="00CC7114" w:rsidRPr="00F964D4" w:rsidRDefault="00CC7114" w:rsidP="008757D9">
            <w:pPr>
              <w:rPr>
                <w:b/>
                <w:bCs/>
              </w:rPr>
            </w:pPr>
            <w:r w:rsidRPr="00F964D4">
              <w:rPr>
                <w:b/>
                <w:bCs/>
              </w:rPr>
              <w:t>Azithromycin group*</w:t>
            </w:r>
          </w:p>
          <w:p w14:paraId="59C4D1D9" w14:textId="5A74D4B5" w:rsidR="00CC7114" w:rsidRPr="00F964D4" w:rsidRDefault="008E7CE7" w:rsidP="008757D9">
            <w:r>
              <w:t xml:space="preserve">Number of courses </w:t>
            </w:r>
          </w:p>
        </w:tc>
      </w:tr>
      <w:tr w:rsidR="00CC7114" w14:paraId="1745842D" w14:textId="77777777" w:rsidTr="00F964D4">
        <w:tc>
          <w:tcPr>
            <w:tcW w:w="4673" w:type="dxa"/>
            <w:shd w:val="clear" w:color="auto" w:fill="auto"/>
          </w:tcPr>
          <w:p w14:paraId="70FA652D" w14:textId="77777777" w:rsidR="00CC7114" w:rsidRPr="00F964D4" w:rsidRDefault="00CC7114" w:rsidP="008757D9">
            <w:r w:rsidRPr="00F964D4">
              <w:t>Amoxicillin</w:t>
            </w:r>
          </w:p>
        </w:tc>
        <w:tc>
          <w:tcPr>
            <w:tcW w:w="2126" w:type="dxa"/>
            <w:shd w:val="clear" w:color="auto" w:fill="auto"/>
          </w:tcPr>
          <w:p w14:paraId="510871CC" w14:textId="67705296" w:rsidR="00CC7114" w:rsidRPr="00F964D4" w:rsidRDefault="00CC7114" w:rsidP="008757D9">
            <w:r w:rsidRPr="00F964D4">
              <w:t>1</w:t>
            </w:r>
            <w:r w:rsidR="00715EE6">
              <w:t>4</w:t>
            </w:r>
          </w:p>
        </w:tc>
        <w:tc>
          <w:tcPr>
            <w:tcW w:w="2268" w:type="dxa"/>
            <w:shd w:val="clear" w:color="auto" w:fill="auto"/>
          </w:tcPr>
          <w:p w14:paraId="4C028217" w14:textId="382C0A79" w:rsidR="00CC7114" w:rsidRPr="00F964D4" w:rsidRDefault="007D3EE9" w:rsidP="008757D9">
            <w:r>
              <w:t>1</w:t>
            </w:r>
            <w:r w:rsidR="00C76CBA">
              <w:t>0</w:t>
            </w:r>
          </w:p>
        </w:tc>
      </w:tr>
      <w:tr w:rsidR="00CC7114" w14:paraId="755E448D" w14:textId="77777777" w:rsidTr="00F964D4">
        <w:tc>
          <w:tcPr>
            <w:tcW w:w="4673" w:type="dxa"/>
            <w:shd w:val="clear" w:color="auto" w:fill="D9E2F3" w:themeFill="accent5" w:themeFillTint="33"/>
          </w:tcPr>
          <w:p w14:paraId="60EC6153" w14:textId="77777777" w:rsidR="00CC7114" w:rsidRPr="00F964D4" w:rsidRDefault="00CC7114" w:rsidP="008757D9">
            <w:r w:rsidRPr="00F964D4">
              <w:t>Azithromycin</w:t>
            </w:r>
          </w:p>
        </w:tc>
        <w:tc>
          <w:tcPr>
            <w:tcW w:w="2126" w:type="dxa"/>
            <w:shd w:val="clear" w:color="auto" w:fill="D9E2F3" w:themeFill="accent5" w:themeFillTint="33"/>
          </w:tcPr>
          <w:p w14:paraId="675EA915" w14:textId="77777777" w:rsidR="00CC7114" w:rsidRPr="00F964D4" w:rsidRDefault="00CC7114" w:rsidP="008757D9">
            <w:r w:rsidRPr="00F964D4">
              <w:t xml:space="preserve">0 </w:t>
            </w:r>
          </w:p>
        </w:tc>
        <w:tc>
          <w:tcPr>
            <w:tcW w:w="2268" w:type="dxa"/>
            <w:shd w:val="clear" w:color="auto" w:fill="D9E2F3" w:themeFill="accent5" w:themeFillTint="33"/>
          </w:tcPr>
          <w:p w14:paraId="3589751A" w14:textId="77777777" w:rsidR="00CC7114" w:rsidRPr="00F964D4" w:rsidRDefault="00CC7114" w:rsidP="008757D9">
            <w:r w:rsidRPr="00F964D4">
              <w:t>1</w:t>
            </w:r>
          </w:p>
        </w:tc>
      </w:tr>
      <w:tr w:rsidR="00CC7114" w14:paraId="4BDA8738" w14:textId="77777777" w:rsidTr="00F964D4">
        <w:tc>
          <w:tcPr>
            <w:tcW w:w="4673" w:type="dxa"/>
          </w:tcPr>
          <w:p w14:paraId="3C78DAD2" w14:textId="77777777" w:rsidR="00CC7114" w:rsidRPr="00F964D4" w:rsidRDefault="00CC7114" w:rsidP="008757D9">
            <w:r w:rsidRPr="00F964D4">
              <w:t>Clarithromycin</w:t>
            </w:r>
          </w:p>
        </w:tc>
        <w:tc>
          <w:tcPr>
            <w:tcW w:w="2126" w:type="dxa"/>
          </w:tcPr>
          <w:p w14:paraId="036F7F09" w14:textId="733F426A" w:rsidR="00CC7114" w:rsidRPr="00F964D4" w:rsidRDefault="00CC7114" w:rsidP="008757D9">
            <w:r w:rsidRPr="00F964D4">
              <w:t>1</w:t>
            </w:r>
            <w:r w:rsidR="00624028" w:rsidRPr="00F964D4">
              <w:t>**</w:t>
            </w:r>
          </w:p>
        </w:tc>
        <w:tc>
          <w:tcPr>
            <w:tcW w:w="2268" w:type="dxa"/>
          </w:tcPr>
          <w:p w14:paraId="67694074" w14:textId="77777777" w:rsidR="00CC7114" w:rsidRPr="00F964D4" w:rsidRDefault="00CC7114" w:rsidP="008757D9">
            <w:r w:rsidRPr="00F964D4">
              <w:t>0</w:t>
            </w:r>
          </w:p>
        </w:tc>
      </w:tr>
      <w:tr w:rsidR="00CC7114" w14:paraId="5CB3B4F7" w14:textId="77777777" w:rsidTr="00F964D4">
        <w:tc>
          <w:tcPr>
            <w:tcW w:w="4673" w:type="dxa"/>
            <w:shd w:val="clear" w:color="auto" w:fill="D9E2F3" w:themeFill="accent5" w:themeFillTint="33"/>
          </w:tcPr>
          <w:p w14:paraId="19824A76" w14:textId="77777777" w:rsidR="00CC7114" w:rsidRPr="00F964D4" w:rsidRDefault="00CC7114" w:rsidP="008757D9">
            <w:r w:rsidRPr="00F964D4">
              <w:t>Co-amoxiclav</w:t>
            </w:r>
          </w:p>
        </w:tc>
        <w:tc>
          <w:tcPr>
            <w:tcW w:w="2126" w:type="dxa"/>
            <w:shd w:val="clear" w:color="auto" w:fill="D9E2F3" w:themeFill="accent5" w:themeFillTint="33"/>
          </w:tcPr>
          <w:p w14:paraId="366F3F8C" w14:textId="4A770C2B" w:rsidR="00CC7114" w:rsidRPr="00F964D4" w:rsidRDefault="00CC7114" w:rsidP="008757D9">
            <w:r w:rsidRPr="00F964D4">
              <w:t>1</w:t>
            </w:r>
            <w:r w:rsidR="00715EE6">
              <w:t>2</w:t>
            </w:r>
          </w:p>
        </w:tc>
        <w:tc>
          <w:tcPr>
            <w:tcW w:w="2268" w:type="dxa"/>
            <w:shd w:val="clear" w:color="auto" w:fill="D9E2F3" w:themeFill="accent5" w:themeFillTint="33"/>
          </w:tcPr>
          <w:p w14:paraId="64E5BDEA" w14:textId="77777777" w:rsidR="00CC7114" w:rsidRPr="00F964D4" w:rsidRDefault="00CC7114" w:rsidP="008757D9">
            <w:r w:rsidRPr="00F964D4">
              <w:t>8</w:t>
            </w:r>
          </w:p>
        </w:tc>
      </w:tr>
      <w:tr w:rsidR="00CC7114" w14:paraId="40C30AD3" w14:textId="77777777" w:rsidTr="00F964D4">
        <w:tc>
          <w:tcPr>
            <w:tcW w:w="4673" w:type="dxa"/>
          </w:tcPr>
          <w:p w14:paraId="75324457" w14:textId="68F84980" w:rsidR="00CC7114" w:rsidRPr="00F964D4" w:rsidRDefault="00CC7114" w:rsidP="008757D9">
            <w:r w:rsidRPr="00F964D4">
              <w:t>Flucloxacillin</w:t>
            </w:r>
            <w:r w:rsidR="00B4397B">
              <w:t xml:space="preserve"> (skin infections)</w:t>
            </w:r>
          </w:p>
        </w:tc>
        <w:tc>
          <w:tcPr>
            <w:tcW w:w="2126" w:type="dxa"/>
          </w:tcPr>
          <w:p w14:paraId="2474AAEE" w14:textId="63C0ED36" w:rsidR="00CC7114" w:rsidRPr="00F964D4" w:rsidRDefault="00715EE6" w:rsidP="008757D9">
            <w:r>
              <w:t>1</w:t>
            </w:r>
          </w:p>
        </w:tc>
        <w:tc>
          <w:tcPr>
            <w:tcW w:w="2268" w:type="dxa"/>
          </w:tcPr>
          <w:p w14:paraId="2ACE208A" w14:textId="6E1F70B5" w:rsidR="00CC7114" w:rsidRPr="00F964D4" w:rsidRDefault="00192E40" w:rsidP="008757D9">
            <w:r>
              <w:t>1</w:t>
            </w:r>
          </w:p>
        </w:tc>
      </w:tr>
      <w:tr w:rsidR="00CC7114" w14:paraId="59E8D0AA" w14:textId="77777777" w:rsidTr="00B4397B">
        <w:tc>
          <w:tcPr>
            <w:tcW w:w="4673" w:type="dxa"/>
            <w:shd w:val="clear" w:color="auto" w:fill="auto"/>
          </w:tcPr>
          <w:p w14:paraId="043D27EC" w14:textId="77777777" w:rsidR="00CC7114" w:rsidRPr="00F964D4" w:rsidRDefault="00CC7114" w:rsidP="008757D9">
            <w:r w:rsidRPr="00F964D4">
              <w:t>Total antibiotic during study</w:t>
            </w:r>
          </w:p>
        </w:tc>
        <w:tc>
          <w:tcPr>
            <w:tcW w:w="2126" w:type="dxa"/>
            <w:shd w:val="clear" w:color="auto" w:fill="auto"/>
          </w:tcPr>
          <w:p w14:paraId="3931437B" w14:textId="77777777" w:rsidR="00CC7114" w:rsidRPr="00F964D4" w:rsidRDefault="00CC7114" w:rsidP="008757D9">
            <w:r w:rsidRPr="00F964D4">
              <w:t>28</w:t>
            </w:r>
          </w:p>
        </w:tc>
        <w:tc>
          <w:tcPr>
            <w:tcW w:w="2268" w:type="dxa"/>
            <w:shd w:val="clear" w:color="auto" w:fill="auto"/>
          </w:tcPr>
          <w:p w14:paraId="31F688BF" w14:textId="0B7A1FA7" w:rsidR="00CC7114" w:rsidRPr="00F964D4" w:rsidRDefault="00C76CBA" w:rsidP="008757D9">
            <w:r>
              <w:t>20</w:t>
            </w:r>
          </w:p>
        </w:tc>
      </w:tr>
      <w:tr w:rsidR="00B4397B" w14:paraId="39317616" w14:textId="77777777" w:rsidTr="00B4397B">
        <w:tc>
          <w:tcPr>
            <w:tcW w:w="4673" w:type="dxa"/>
            <w:shd w:val="clear" w:color="auto" w:fill="4BD0FF"/>
          </w:tcPr>
          <w:p w14:paraId="186705C5" w14:textId="6DCD0465" w:rsidR="00B4397B" w:rsidRPr="00F964D4" w:rsidRDefault="00B4397B" w:rsidP="008757D9">
            <w:r>
              <w:t>Total antibiotics for presumed respiratory tract infections</w:t>
            </w:r>
          </w:p>
        </w:tc>
        <w:tc>
          <w:tcPr>
            <w:tcW w:w="2126" w:type="dxa"/>
            <w:shd w:val="clear" w:color="auto" w:fill="4BD0FF"/>
          </w:tcPr>
          <w:p w14:paraId="43550639" w14:textId="55D4A5A4" w:rsidR="00B4397B" w:rsidRPr="00F964D4" w:rsidRDefault="00B4397B" w:rsidP="008757D9">
            <w:r>
              <w:t>2</w:t>
            </w:r>
            <w:r w:rsidR="00715EE6">
              <w:t>7</w:t>
            </w:r>
          </w:p>
        </w:tc>
        <w:tc>
          <w:tcPr>
            <w:tcW w:w="2268" w:type="dxa"/>
            <w:shd w:val="clear" w:color="auto" w:fill="4BD0FF"/>
          </w:tcPr>
          <w:p w14:paraId="2FDC8044" w14:textId="07CA6730" w:rsidR="00B4397B" w:rsidRPr="00F964D4" w:rsidRDefault="00C76CBA" w:rsidP="008757D9">
            <w:r>
              <w:t>19</w:t>
            </w:r>
          </w:p>
        </w:tc>
      </w:tr>
      <w:tr w:rsidR="00CC7114" w14:paraId="35789881" w14:textId="77777777" w:rsidTr="00F964D4">
        <w:tc>
          <w:tcPr>
            <w:tcW w:w="4673" w:type="dxa"/>
          </w:tcPr>
          <w:p w14:paraId="5399FC53" w14:textId="5B29D6AE" w:rsidR="00CC7114" w:rsidRPr="00F964D4" w:rsidRDefault="00CC7114" w:rsidP="008757D9">
            <w:r w:rsidRPr="00F964D4">
              <w:t>Total courses of antibiotics &gt; 2 weeks</w:t>
            </w:r>
            <w:r w:rsidR="00C72854">
              <w:t>***</w:t>
            </w:r>
          </w:p>
        </w:tc>
        <w:tc>
          <w:tcPr>
            <w:tcW w:w="2126" w:type="dxa"/>
          </w:tcPr>
          <w:p w14:paraId="5571CB93" w14:textId="77777777" w:rsidR="00CC7114" w:rsidRPr="00F964D4" w:rsidRDefault="00CC7114" w:rsidP="008757D9">
            <w:r w:rsidRPr="00F964D4">
              <w:t>8</w:t>
            </w:r>
          </w:p>
        </w:tc>
        <w:tc>
          <w:tcPr>
            <w:tcW w:w="2268" w:type="dxa"/>
          </w:tcPr>
          <w:p w14:paraId="099BB4ED" w14:textId="2BA99AC0" w:rsidR="00CC7114" w:rsidRPr="00F964D4" w:rsidRDefault="00996C09" w:rsidP="008757D9">
            <w:r>
              <w:t>4</w:t>
            </w:r>
          </w:p>
        </w:tc>
      </w:tr>
      <w:tr w:rsidR="00CC7114" w14:paraId="4280F895" w14:textId="77777777" w:rsidTr="00F964D4">
        <w:tc>
          <w:tcPr>
            <w:tcW w:w="4673" w:type="dxa"/>
            <w:shd w:val="clear" w:color="auto" w:fill="D9E2F3" w:themeFill="accent5" w:themeFillTint="33"/>
          </w:tcPr>
          <w:p w14:paraId="6E7F4D60" w14:textId="5EE2FE6E" w:rsidR="00CC7114" w:rsidRPr="00F964D4" w:rsidRDefault="00CC7114" w:rsidP="008757D9">
            <w:r w:rsidRPr="00F964D4">
              <w:t>Me</w:t>
            </w:r>
            <w:r w:rsidR="00C071C2">
              <w:t>dian</w:t>
            </w:r>
            <w:r w:rsidRPr="00F964D4">
              <w:t xml:space="preserve"> number of antibiotic courses per child</w:t>
            </w:r>
            <w:r w:rsidR="00A008D5">
              <w:t xml:space="preserve"> for respiratory illness</w:t>
            </w:r>
            <w:r w:rsidR="00C071C2">
              <w:t xml:space="preserve"> (range)</w:t>
            </w:r>
          </w:p>
        </w:tc>
        <w:tc>
          <w:tcPr>
            <w:tcW w:w="2126" w:type="dxa"/>
            <w:shd w:val="clear" w:color="auto" w:fill="D9E2F3" w:themeFill="accent5" w:themeFillTint="33"/>
          </w:tcPr>
          <w:p w14:paraId="202C8134" w14:textId="77777777" w:rsidR="00C071C2" w:rsidRDefault="00CC7114" w:rsidP="008757D9">
            <w:r w:rsidRPr="00F964D4">
              <w:t>2.</w:t>
            </w:r>
            <w:r w:rsidR="00C071C2">
              <w:t xml:space="preserve">5 </w:t>
            </w:r>
          </w:p>
          <w:p w14:paraId="24C844C7" w14:textId="645EB401" w:rsidR="00CC7114" w:rsidRPr="00F964D4" w:rsidRDefault="00C071C2" w:rsidP="008757D9">
            <w:r>
              <w:t>(1-6)</w:t>
            </w:r>
          </w:p>
        </w:tc>
        <w:tc>
          <w:tcPr>
            <w:tcW w:w="2268" w:type="dxa"/>
            <w:shd w:val="clear" w:color="auto" w:fill="D9E2F3" w:themeFill="accent5" w:themeFillTint="33"/>
          </w:tcPr>
          <w:p w14:paraId="79BF9A83" w14:textId="77777777" w:rsidR="00CC7114" w:rsidRDefault="00CC7114" w:rsidP="008757D9">
            <w:r w:rsidRPr="00F964D4">
              <w:t>1</w:t>
            </w:r>
          </w:p>
          <w:p w14:paraId="32034529" w14:textId="1D778D10" w:rsidR="00C071C2" w:rsidRPr="00F964D4" w:rsidRDefault="00C071C2" w:rsidP="008757D9">
            <w:r>
              <w:t>(1-</w:t>
            </w:r>
            <w:r w:rsidR="0062235F">
              <w:t>8</w:t>
            </w:r>
            <w:r>
              <w:t>)</w:t>
            </w:r>
          </w:p>
        </w:tc>
      </w:tr>
    </w:tbl>
    <w:p w14:paraId="6CCEB5B1" w14:textId="5CE3E1F4" w:rsidR="00817903" w:rsidRDefault="00817903"/>
    <w:p w14:paraId="2D603AD0" w14:textId="3508623D" w:rsidR="00624028" w:rsidRPr="00787C99" w:rsidRDefault="00624028" w:rsidP="0064056D">
      <w:pPr>
        <w:spacing w:line="276" w:lineRule="auto"/>
        <w:rPr>
          <w:i/>
          <w:iCs/>
        </w:rPr>
      </w:pPr>
      <w:r w:rsidRPr="00787C99">
        <w:rPr>
          <w:i/>
          <w:iCs/>
        </w:rPr>
        <w:t xml:space="preserve">* Prophylactic courses not included in the total as all participants received prophylactic azithromycin </w:t>
      </w:r>
    </w:p>
    <w:p w14:paraId="792FED50" w14:textId="6C0D3E00" w:rsidR="00624028" w:rsidRPr="00787C99" w:rsidRDefault="00624028" w:rsidP="0064056D">
      <w:pPr>
        <w:spacing w:line="276" w:lineRule="auto"/>
        <w:rPr>
          <w:i/>
          <w:iCs/>
        </w:rPr>
      </w:pPr>
      <w:r w:rsidRPr="00787C99">
        <w:rPr>
          <w:i/>
          <w:iCs/>
        </w:rPr>
        <w:t>** Participant C8</w:t>
      </w:r>
      <w:r w:rsidR="00664093" w:rsidRPr="00787C99">
        <w:rPr>
          <w:i/>
          <w:iCs/>
        </w:rPr>
        <w:t xml:space="preserve"> was prescribed</w:t>
      </w:r>
      <w:r w:rsidR="00D95FCC" w:rsidRPr="00787C99">
        <w:rPr>
          <w:i/>
          <w:iCs/>
        </w:rPr>
        <w:t xml:space="preserve"> 4 weeks between swabs </w:t>
      </w:r>
      <w:r w:rsidR="009946A4" w:rsidRPr="00787C99">
        <w:rPr>
          <w:i/>
          <w:iCs/>
        </w:rPr>
        <w:t>1</w:t>
      </w:r>
      <w:r w:rsidR="00D95FCC" w:rsidRPr="00787C99">
        <w:rPr>
          <w:i/>
          <w:iCs/>
        </w:rPr>
        <w:t xml:space="preserve"> and </w:t>
      </w:r>
      <w:r w:rsidR="009946A4" w:rsidRPr="00787C99">
        <w:rPr>
          <w:i/>
          <w:iCs/>
        </w:rPr>
        <w:t>2</w:t>
      </w:r>
      <w:r w:rsidR="00D95FCC" w:rsidRPr="00787C99">
        <w:rPr>
          <w:i/>
          <w:iCs/>
        </w:rPr>
        <w:t>.</w:t>
      </w:r>
    </w:p>
    <w:p w14:paraId="53107AD0" w14:textId="7E7518A0" w:rsidR="00C72854" w:rsidRPr="00787C99" w:rsidRDefault="00C72854" w:rsidP="0064056D">
      <w:pPr>
        <w:spacing w:line="276" w:lineRule="auto"/>
        <w:rPr>
          <w:i/>
          <w:iCs/>
        </w:rPr>
      </w:pPr>
      <w:r w:rsidRPr="00787C99">
        <w:rPr>
          <w:i/>
          <w:iCs/>
        </w:rPr>
        <w:t>*** Breakdown of courses of antibiotics &gt; 2 weeks: Comparison group: Co-amoxiclav 2 weeks = 6 courses; clarithromycin 4 weeks = 1 course, co-amoxiclav 4 weeks = 1 course. Azithromycin group: co-amoxiclav 2 week = 4 courses</w:t>
      </w:r>
    </w:p>
    <w:p w14:paraId="2CFEE8E7" w14:textId="77777777" w:rsidR="00980723" w:rsidRPr="009321A5" w:rsidRDefault="00980723" w:rsidP="00F964D4"/>
    <w:p w14:paraId="04ADB386" w14:textId="56360526" w:rsidR="00E82735" w:rsidRPr="008F33C8" w:rsidRDefault="00E82735" w:rsidP="00E82735">
      <w:pPr>
        <w:pStyle w:val="Heading3"/>
        <w:spacing w:line="360" w:lineRule="auto"/>
      </w:pPr>
      <w:bookmarkStart w:id="192" w:name="_Toc117765973"/>
      <w:r w:rsidRPr="008F33C8">
        <w:t>Adherence to azithromycin and diary use</w:t>
      </w:r>
      <w:bookmarkEnd w:id="192"/>
    </w:p>
    <w:p w14:paraId="60226705" w14:textId="1B2517F7" w:rsidR="003D37CC" w:rsidRDefault="00E82735" w:rsidP="00E82735">
      <w:pPr>
        <w:spacing w:line="360" w:lineRule="auto"/>
      </w:pPr>
      <w:r w:rsidRPr="008F33C8">
        <w:t>All 10 participants in the azithromycin group were asked to complete the</w:t>
      </w:r>
      <w:r w:rsidR="00A64853">
        <w:t xml:space="preserve"> azithromycin</w:t>
      </w:r>
      <w:r w:rsidRPr="008F33C8">
        <w:t xml:space="preserve"> adherence diary. Of these 4 out of 10 competed the diaries and in total 3 doses were marked as not given. The other participants’ parents verbally reported 100% compliance for those continuing in the study following the baseline swab.</w:t>
      </w:r>
      <w:r w:rsidR="003218C7">
        <w:t xml:space="preserve"> </w:t>
      </w:r>
    </w:p>
    <w:p w14:paraId="79152A2E" w14:textId="77777777" w:rsidR="00DC3789" w:rsidRPr="006439FF" w:rsidRDefault="00DC3789" w:rsidP="00E82735">
      <w:pPr>
        <w:spacing w:line="360" w:lineRule="auto"/>
        <w:rPr>
          <w:b/>
        </w:rPr>
      </w:pPr>
    </w:p>
    <w:p w14:paraId="0BD4C441" w14:textId="71705C0B" w:rsidR="00E82735" w:rsidRPr="00241369" w:rsidRDefault="00E82735" w:rsidP="00C002F6">
      <w:pPr>
        <w:pStyle w:val="Heading3"/>
        <w:spacing w:before="0" w:line="360" w:lineRule="auto"/>
      </w:pPr>
      <w:bookmarkStart w:id="193" w:name="_Toc117765974"/>
      <w:r w:rsidRPr="00B02BBA">
        <w:lastRenderedPageBreak/>
        <w:t>Adverse Events</w:t>
      </w:r>
      <w:bookmarkEnd w:id="193"/>
      <w:r w:rsidRPr="00B02BBA">
        <w:t xml:space="preserve"> </w:t>
      </w:r>
    </w:p>
    <w:p w14:paraId="7C79AE60" w14:textId="67BEF54D" w:rsidR="00E82735" w:rsidRDefault="00E82735" w:rsidP="00C002F6">
      <w:pPr>
        <w:spacing w:line="360" w:lineRule="auto"/>
      </w:pPr>
      <w:r w:rsidRPr="00241369">
        <w:t xml:space="preserve">Importantly, taking the nasopharyngeal swabs </w:t>
      </w:r>
      <w:r w:rsidR="00D436A3">
        <w:t>was</w:t>
      </w:r>
      <w:r w:rsidRPr="00241369">
        <w:t xml:space="preserve"> acceptable to the majority of participants </w:t>
      </w:r>
      <w:r w:rsidR="008C3682">
        <w:t xml:space="preserve">and parents, </w:t>
      </w:r>
      <w:r w:rsidRPr="00241369">
        <w:t xml:space="preserve">with only 1 child leaving the study early due to the discomfort of the swabs. Informally families said they felt that taking five </w:t>
      </w:r>
      <w:r w:rsidR="00D436A3">
        <w:t xml:space="preserve">swabs </w:t>
      </w:r>
      <w:r w:rsidRPr="00241369">
        <w:t>over the study period was not problematic and potentially 2-3 more could be taken over a 12-month period if the child did not become too distressed at the time of sampling. The only medical complications observed were two minor nose bleeds occurring immediately after taking two of the nasopharyngeal swabs. These stopped with direct pressure within a minute and neither participant withdrew from the study. No other complications were recorded.</w:t>
      </w:r>
      <w:r w:rsidR="00D757FD">
        <w:t xml:space="preserve"> The only side effect of azithromycin reported was that of an exacerbation of </w:t>
      </w:r>
      <w:r w:rsidR="00DC3789">
        <w:t>pre-</w:t>
      </w:r>
      <w:r w:rsidR="0064056D">
        <w:t>existing</w:t>
      </w:r>
      <w:r w:rsidR="00DC3789">
        <w:t xml:space="preserve"> </w:t>
      </w:r>
      <w:r w:rsidR="00D757FD">
        <w:t>constipation.</w:t>
      </w:r>
    </w:p>
    <w:p w14:paraId="74FBAE62" w14:textId="77777777" w:rsidR="00787C99" w:rsidRPr="00241369" w:rsidRDefault="00787C99" w:rsidP="00787C99">
      <w:pPr>
        <w:spacing w:line="360" w:lineRule="auto"/>
      </w:pPr>
    </w:p>
    <w:p w14:paraId="6323A4FD" w14:textId="7E87F8A5" w:rsidR="0080297B" w:rsidRPr="00241369" w:rsidRDefault="0097421E" w:rsidP="00787C99">
      <w:pPr>
        <w:pStyle w:val="Heading3"/>
        <w:spacing w:before="0" w:line="360" w:lineRule="auto"/>
      </w:pPr>
      <w:bookmarkStart w:id="194" w:name="_Toc117765975"/>
      <w:r>
        <w:t>Feasibility issues and study limitations</w:t>
      </w:r>
      <w:bookmarkEnd w:id="194"/>
    </w:p>
    <w:p w14:paraId="697D7186" w14:textId="59400A40" w:rsidR="00E82735" w:rsidRPr="00241369" w:rsidRDefault="009031BC" w:rsidP="0064056D">
      <w:pPr>
        <w:spacing w:after="160" w:line="360" w:lineRule="auto"/>
      </w:pPr>
      <w:r>
        <w:t>R</w:t>
      </w:r>
      <w:r w:rsidR="00335B4F">
        <w:t xml:space="preserve">ecruitment </w:t>
      </w:r>
      <w:r>
        <w:t xml:space="preserve">required </w:t>
      </w:r>
      <w:r w:rsidR="00335B4F">
        <w:t>2</w:t>
      </w:r>
      <w:r>
        <w:t xml:space="preserve"> </w:t>
      </w:r>
      <w:r w:rsidR="00E82735" w:rsidRPr="00241369">
        <w:t xml:space="preserve">months longer than initially planned. Our </w:t>
      </w:r>
      <w:r w:rsidR="008C3682">
        <w:t xml:space="preserve">initial </w:t>
      </w:r>
      <w:r w:rsidR="00E82735" w:rsidRPr="00241369">
        <w:t xml:space="preserve">ethical approval did not </w:t>
      </w:r>
      <w:r>
        <w:t>encompass</w:t>
      </w:r>
      <w:r w:rsidRPr="00241369">
        <w:t xml:space="preserve"> </w:t>
      </w:r>
      <w:r w:rsidR="00E82735" w:rsidRPr="00241369">
        <w:t>pre-screening of participants who were attending clinic. This placed an increased workload on the clinical staff</w:t>
      </w:r>
      <w:r w:rsidR="008C3682">
        <w:t>,</w:t>
      </w:r>
      <w:r w:rsidR="00E82735" w:rsidRPr="00241369">
        <w:t xml:space="preserve"> </w:t>
      </w:r>
      <w:r>
        <w:t>who</w:t>
      </w:r>
      <w:r w:rsidR="00E82735" w:rsidRPr="00241369">
        <w:t xml:space="preserve"> found it difficult to </w:t>
      </w:r>
      <w:r w:rsidR="008C3682">
        <w:t xml:space="preserve">screen eligibility and </w:t>
      </w:r>
      <w:r w:rsidR="00E82735" w:rsidRPr="00241369">
        <w:t xml:space="preserve">distribute the study information to </w:t>
      </w:r>
      <w:r>
        <w:t xml:space="preserve">all </w:t>
      </w:r>
      <w:r w:rsidR="00E82735" w:rsidRPr="00241369">
        <w:t>families meeting the inclusion criteria</w:t>
      </w:r>
      <w:r w:rsidR="008C3682">
        <w:t xml:space="preserve"> as well as carrying out the medical consultation</w:t>
      </w:r>
      <w:r w:rsidR="00E82735" w:rsidRPr="00241369">
        <w:t xml:space="preserve">. </w:t>
      </w:r>
      <w:r w:rsidR="008C3682">
        <w:t>This led to an amendment to the ethics to</w:t>
      </w:r>
      <w:r w:rsidR="0097421E">
        <w:t xml:space="preserve"> allow pre-screening and</w:t>
      </w:r>
      <w:r w:rsidR="008C3682">
        <w:t xml:space="preserve"> expedite recruitment to </w:t>
      </w:r>
      <w:r>
        <w:t xml:space="preserve">the subsequent PBB </w:t>
      </w:r>
      <w:r w:rsidR="008C3682">
        <w:t>study 2 (</w:t>
      </w:r>
      <w:r w:rsidR="00804254">
        <w:t>see section 2.3.4</w:t>
      </w:r>
      <w:r w:rsidR="008C3682">
        <w:t xml:space="preserve"> </w:t>
      </w:r>
      <w:r w:rsidR="0097421E">
        <w:t>)</w:t>
      </w:r>
      <w:r w:rsidR="00E82735" w:rsidRPr="00241369">
        <w:t xml:space="preserve">. Recruiting families to participate </w:t>
      </w:r>
      <w:r w:rsidR="00E51F64">
        <w:t>in the comparison group</w:t>
      </w:r>
      <w:r w:rsidR="00E82735" w:rsidRPr="00241369">
        <w:t xml:space="preserve"> was difficult</w:t>
      </w:r>
      <w:r w:rsidR="0097421E">
        <w:t>,</w:t>
      </w:r>
      <w:r w:rsidR="00E82735" w:rsidRPr="00241369">
        <w:t xml:space="preserve"> with poorer uptake than in potential recruits starting azithromycin. This in turn meant that </w:t>
      </w:r>
      <w:r>
        <w:t xml:space="preserve">accurately </w:t>
      </w:r>
      <w:r w:rsidR="00335B4F">
        <w:t xml:space="preserve">age matching </w:t>
      </w:r>
      <w:r w:rsidR="00E51F64">
        <w:t>participants</w:t>
      </w:r>
      <w:r w:rsidR="00335B4F">
        <w:t xml:space="preserve"> within</w:t>
      </w:r>
      <w:r w:rsidR="007557C5">
        <w:t xml:space="preserve"> </w:t>
      </w:r>
      <w:r w:rsidR="00335B4F">
        <w:t>12</w:t>
      </w:r>
      <w:r w:rsidR="007557C5">
        <w:t xml:space="preserve"> </w:t>
      </w:r>
      <w:r w:rsidR="00E82735" w:rsidRPr="00241369">
        <w:t>months</w:t>
      </w:r>
      <w:r w:rsidR="007557C5">
        <w:t xml:space="preserve"> as initially planned</w:t>
      </w:r>
      <w:r w:rsidR="00E82735" w:rsidRPr="00241369">
        <w:t xml:space="preserve"> was not possible.</w:t>
      </w:r>
      <w:r w:rsidR="00D436A3">
        <w:t xml:space="preserve"> It was </w:t>
      </w:r>
      <w:r w:rsidR="007557C5">
        <w:t>difficult</w:t>
      </w:r>
      <w:r w:rsidR="00D436A3">
        <w:t xml:space="preserve"> to find age matched </w:t>
      </w:r>
      <w:r w:rsidR="00E51F64">
        <w:t xml:space="preserve">comparison </w:t>
      </w:r>
      <w:r w:rsidR="00D436A3">
        <w:t xml:space="preserve">participants </w:t>
      </w:r>
      <w:r w:rsidR="0097421E">
        <w:t xml:space="preserve">for the </w:t>
      </w:r>
      <w:r w:rsidR="00D436A3">
        <w:t>older children in the azithromycin group</w:t>
      </w:r>
      <w:r w:rsidR="007557C5">
        <w:t>, as</w:t>
      </w:r>
      <w:r w:rsidR="007557C5" w:rsidRPr="007557C5">
        <w:t xml:space="preserve"> </w:t>
      </w:r>
      <w:r w:rsidR="007557C5">
        <w:t>few children with PBB are older than 6 years</w:t>
      </w:r>
      <w:r w:rsidR="00D436A3">
        <w:t xml:space="preserve">. </w:t>
      </w:r>
      <w:r w:rsidR="00E82735" w:rsidRPr="00241369">
        <w:t xml:space="preserve"> </w:t>
      </w:r>
    </w:p>
    <w:p w14:paraId="0C7905F0" w14:textId="634E30BB" w:rsidR="00E82735" w:rsidRDefault="00CB73BA" w:rsidP="0064056D">
      <w:pPr>
        <w:spacing w:after="160" w:line="360" w:lineRule="auto"/>
      </w:pPr>
      <w:r>
        <w:t xml:space="preserve">As noted, DNPS do not necessarily represent the lower airway flora but represent a potential source of lower airway pathogens. </w:t>
      </w:r>
      <w:r w:rsidR="00E82735" w:rsidRPr="00241369">
        <w:t xml:space="preserve">A total of four swabs were sub-optimally taken. The swab could not be inserted the full distance as the children were upset and moving (“wriggly children”). These swabs were processed but only 1 had a growth of bacteria. Due to laboratory errors, </w:t>
      </w:r>
      <w:r w:rsidR="00D436A3">
        <w:t xml:space="preserve">two </w:t>
      </w:r>
      <w:r w:rsidR="00E82735" w:rsidRPr="00241369">
        <w:t>cultured bacterial isolates w</w:t>
      </w:r>
      <w:r w:rsidR="00D436A3">
        <w:t>ere</w:t>
      </w:r>
      <w:r w:rsidR="00E82735" w:rsidRPr="00241369">
        <w:t xml:space="preserve"> not tested for azithromycin susceptibility. The process of culturing and susceptibility testing of the nasopharyngeal swabs was undertaken by trained microbiology laboratory staff. Staff rotate around the various departments within the laboratory and therefore errors were made where staff were not aware of the specific protocol to be used on the research samples. </w:t>
      </w:r>
    </w:p>
    <w:p w14:paraId="7F73860C" w14:textId="13FC5C03" w:rsidR="00787C99" w:rsidRDefault="006439FF" w:rsidP="00787C99">
      <w:pPr>
        <w:spacing w:line="360" w:lineRule="auto"/>
      </w:pPr>
      <w:r w:rsidRPr="00241369">
        <w:lastRenderedPageBreak/>
        <w:t xml:space="preserve">Professor Alan Rigby, statistician at York and Hull medical school, was consulted throughout the design and analysis phases with regards to statistical advice. As this is a </w:t>
      </w:r>
      <w:r w:rsidR="0097421E">
        <w:t xml:space="preserve">small </w:t>
      </w:r>
      <w:r w:rsidRPr="00241369">
        <w:t xml:space="preserve">pilot study, </w:t>
      </w:r>
      <w:r w:rsidR="0097421E">
        <w:t xml:space="preserve">I did not undertake statistical analysis on this data alone, </w:t>
      </w:r>
      <w:r w:rsidRPr="00241369">
        <w:t>in keeping with the standard practice of pilot study analysis.</w:t>
      </w:r>
    </w:p>
    <w:p w14:paraId="53629EC7" w14:textId="77777777" w:rsidR="00375A31" w:rsidRPr="00241369" w:rsidRDefault="00375A31" w:rsidP="00787C99">
      <w:pPr>
        <w:spacing w:line="360" w:lineRule="auto"/>
      </w:pPr>
    </w:p>
    <w:p w14:paraId="41D1957C" w14:textId="2B23883D" w:rsidR="00984CFF" w:rsidRDefault="00202F4F" w:rsidP="00787C99">
      <w:pPr>
        <w:pStyle w:val="Heading3"/>
        <w:spacing w:before="0" w:line="360" w:lineRule="auto"/>
      </w:pPr>
      <w:bookmarkStart w:id="195" w:name="_Toc117765976"/>
      <w:r>
        <w:t>PBB study 1: Summary of study</w:t>
      </w:r>
      <w:r w:rsidR="007557C5">
        <w:t xml:space="preserve"> outcomes against study</w:t>
      </w:r>
      <w:r>
        <w:t xml:space="preserve"> objectives</w:t>
      </w:r>
      <w:bookmarkEnd w:id="195"/>
    </w:p>
    <w:p w14:paraId="1C1F5B77" w14:textId="7B8EE4B7" w:rsidR="00DE3D1C" w:rsidRDefault="00202F4F" w:rsidP="0064056D">
      <w:pPr>
        <w:spacing w:after="160" w:line="360" w:lineRule="auto"/>
      </w:pPr>
      <w:r w:rsidRPr="00540937">
        <w:t xml:space="preserve">The two study objectives </w:t>
      </w:r>
      <w:r w:rsidR="00E9313F" w:rsidRPr="00540937">
        <w:t xml:space="preserve">for PBB study 1 were achieved. </w:t>
      </w:r>
      <w:r w:rsidR="00420092">
        <w:t xml:space="preserve">The planned pilot study was conducted, </w:t>
      </w:r>
      <w:r w:rsidR="008E6976" w:rsidRPr="00540937">
        <w:t xml:space="preserve">20 children with PBB were recruited, </w:t>
      </w:r>
      <w:r w:rsidR="00E9313F" w:rsidRPr="00540937">
        <w:t xml:space="preserve">serial nasopharyngeal swabs </w:t>
      </w:r>
      <w:r w:rsidR="008E6976" w:rsidRPr="00540937">
        <w:t>were collected</w:t>
      </w:r>
      <w:r w:rsidR="00E9313F" w:rsidRPr="00540937">
        <w:t xml:space="preserve"> for bacterial culture</w:t>
      </w:r>
      <w:r w:rsidR="008E6976" w:rsidRPr="00540937">
        <w:t xml:space="preserve"> and any bacterial isolates tested for azithromycin susceptibility. </w:t>
      </w:r>
      <w:r w:rsidR="00DE3D1C">
        <w:t>A</w:t>
      </w:r>
      <w:r w:rsidR="00E9313F" w:rsidRPr="00540937">
        <w:t xml:space="preserve">zithromycin resistance patterns in children with PBB taking long term </w:t>
      </w:r>
      <w:r w:rsidR="008E6976" w:rsidRPr="00540937">
        <w:t>azithromycin</w:t>
      </w:r>
      <w:r w:rsidR="00E9313F" w:rsidRPr="00540937">
        <w:t xml:space="preserve"> </w:t>
      </w:r>
      <w:r w:rsidR="008E6976" w:rsidRPr="00540937">
        <w:t xml:space="preserve">were compared </w:t>
      </w:r>
      <w:r w:rsidR="00E9313F" w:rsidRPr="00540937">
        <w:t xml:space="preserve">with a comparison group of children with PBB not prescribed long term </w:t>
      </w:r>
      <w:r w:rsidR="008E6976" w:rsidRPr="00540937">
        <w:t>azithromycin</w:t>
      </w:r>
      <w:r w:rsidR="00E9313F" w:rsidRPr="00540937">
        <w:t xml:space="preserve">. </w:t>
      </w:r>
      <w:r w:rsidR="008E6976">
        <w:t xml:space="preserve">Of </w:t>
      </w:r>
      <w:r w:rsidR="000F525A">
        <w:t xml:space="preserve">all </w:t>
      </w:r>
      <w:r w:rsidR="008E6976">
        <w:t xml:space="preserve">the bacterial isolates </w:t>
      </w:r>
      <w:r w:rsidR="00BF2DBF">
        <w:t>obtained</w:t>
      </w:r>
      <w:r w:rsidR="008E6976">
        <w:t xml:space="preserve"> from children in the comparison group, </w:t>
      </w:r>
      <w:r w:rsidR="00984CFF" w:rsidRPr="000F525A">
        <w:t>5</w:t>
      </w:r>
      <w:r w:rsidR="000F525A" w:rsidRPr="000F525A">
        <w:t>8</w:t>
      </w:r>
      <w:r w:rsidR="00984CFF" w:rsidRPr="000F525A">
        <w:t xml:space="preserve"> </w:t>
      </w:r>
      <w:r w:rsidR="008E6976" w:rsidRPr="000F525A">
        <w:t>% (</w:t>
      </w:r>
      <w:r w:rsidR="00984CFF" w:rsidRPr="000F525A">
        <w:t>2</w:t>
      </w:r>
      <w:r w:rsidR="000F525A" w:rsidRPr="000F525A">
        <w:t>8</w:t>
      </w:r>
      <w:r w:rsidR="00984CFF" w:rsidRPr="000F525A">
        <w:t xml:space="preserve"> of the </w:t>
      </w:r>
      <w:r w:rsidR="000F525A" w:rsidRPr="000F525A">
        <w:t>48</w:t>
      </w:r>
      <w:r w:rsidR="00984CFF" w:rsidRPr="000F525A">
        <w:t xml:space="preserve"> isolates</w:t>
      </w:r>
      <w:r w:rsidR="008E6976" w:rsidRPr="000F525A">
        <w:t xml:space="preserve">) were resistant to </w:t>
      </w:r>
      <w:r w:rsidR="00984CFF" w:rsidRPr="000F525A">
        <w:t>azithromycin</w:t>
      </w:r>
      <w:r w:rsidR="008E6976" w:rsidRPr="000F525A">
        <w:t xml:space="preserve"> and in the group taking long term azithromycin</w:t>
      </w:r>
      <w:r w:rsidR="00984CFF" w:rsidRPr="000F525A">
        <w:t>, 51% (16 out of 31 isolates</w:t>
      </w:r>
      <w:r w:rsidR="00984CFF">
        <w:t xml:space="preserve">) of the bacterial isolates were resistant to azithromycin. </w:t>
      </w:r>
      <w:r w:rsidR="007557C5">
        <w:t xml:space="preserve">Notably, the </w:t>
      </w:r>
      <w:r w:rsidR="00984CFF">
        <w:t xml:space="preserve">number of resistant isolates in the comparison group was higher than expected and in both groups resistance seemed to be </w:t>
      </w:r>
      <w:r w:rsidR="00BA661D">
        <w:t xml:space="preserve">largely </w:t>
      </w:r>
      <w:r w:rsidR="00984CFF">
        <w:t xml:space="preserve">driven by </w:t>
      </w:r>
      <w:r w:rsidR="00BA661D">
        <w:t xml:space="preserve">(mostly low level) </w:t>
      </w:r>
      <w:r w:rsidR="009D3B51">
        <w:t>azithromycin</w:t>
      </w:r>
      <w:r w:rsidR="00984CFF">
        <w:t xml:space="preserve"> resistant </w:t>
      </w:r>
      <w:r w:rsidR="00984CFF" w:rsidRPr="00540937">
        <w:rPr>
          <w:i/>
          <w:iCs/>
        </w:rPr>
        <w:t>S. pneumoniae</w:t>
      </w:r>
      <w:r w:rsidR="00984CFF">
        <w:rPr>
          <w:i/>
          <w:iCs/>
        </w:rPr>
        <w:t>.</w:t>
      </w:r>
      <w:r w:rsidR="00984CFF">
        <w:t xml:space="preserve"> Given the small number of participants and </w:t>
      </w:r>
      <w:r w:rsidR="009D3B51">
        <w:t>bacterial isolates it was not possible to carry out any statistical analysis. These results however prompted PBB study 2 to be undertaken in order to build on the samples size</w:t>
      </w:r>
      <w:r w:rsidR="00BA661D">
        <w:t xml:space="preserve">, </w:t>
      </w:r>
      <w:r w:rsidR="009031BC">
        <w:t xml:space="preserve">validate the findings from PBB study 1 and </w:t>
      </w:r>
      <w:r w:rsidR="00BA661D">
        <w:t>collect samples for microbiome analysis</w:t>
      </w:r>
      <w:r w:rsidR="009D3B51">
        <w:t xml:space="preserve">. </w:t>
      </w:r>
    </w:p>
    <w:p w14:paraId="761CD377" w14:textId="56717EB8" w:rsidR="006439FF" w:rsidRPr="00540937" w:rsidRDefault="00DE3D1C" w:rsidP="00752DA8">
      <w:pPr>
        <w:spacing w:after="160" w:line="360" w:lineRule="auto"/>
      </w:pPr>
      <w:r>
        <w:t xml:space="preserve">The second objective </w:t>
      </w:r>
      <w:r w:rsidR="00B348AE">
        <w:t xml:space="preserve">of optimising the study methodology </w:t>
      </w:r>
      <w:r>
        <w:t>was achieved</w:t>
      </w:r>
      <w:r w:rsidR="00443AB3">
        <w:t xml:space="preserve"> and the refined study design is discussed in section 4.3 below. </w:t>
      </w:r>
      <w:r w:rsidR="009D3B51">
        <w:t>Compliance with taking long</w:t>
      </w:r>
      <w:r>
        <w:t>-</w:t>
      </w:r>
      <w:r w:rsidR="009D3B51">
        <w:t xml:space="preserve">term azithromycin </w:t>
      </w:r>
      <w:r w:rsidR="00BA661D">
        <w:t>was initially</w:t>
      </w:r>
      <w:r w:rsidR="009D3B51">
        <w:t xml:space="preserve"> assessed through the use of self-reported prescription diaries. These were </w:t>
      </w:r>
      <w:r w:rsidR="007557C5">
        <w:t xml:space="preserve">inadequately </w:t>
      </w:r>
      <w:r w:rsidR="009D3B51">
        <w:t>completed</w:t>
      </w:r>
      <w:r w:rsidR="00BA661D">
        <w:t>, and</w:t>
      </w:r>
      <w:r w:rsidR="009D3B51">
        <w:t xml:space="preserve"> parents’ recall of recently prescribed </w:t>
      </w:r>
      <w:r w:rsidR="00842167">
        <w:t xml:space="preserve">antibiotics was poor when asked during visits to collect DNPS. As such, ethical approval was sought and granted (Amendment number: REC Ref AM02) to obtain GP prescription records in order to record antibiotic exposure during the study period. </w:t>
      </w:r>
    </w:p>
    <w:p w14:paraId="6E0AF778" w14:textId="77777777" w:rsidR="006439FF" w:rsidRPr="00241369" w:rsidRDefault="006439FF" w:rsidP="006439FF"/>
    <w:p w14:paraId="2FD119DD" w14:textId="7DFFF295" w:rsidR="00AF0ED8" w:rsidRPr="00AF0ED8" w:rsidRDefault="00246484" w:rsidP="004F3338">
      <w:pPr>
        <w:pStyle w:val="Heading2"/>
      </w:pPr>
      <w:bookmarkStart w:id="196" w:name="_Toc117765977"/>
      <w:r w:rsidRPr="00DD46F9">
        <w:lastRenderedPageBreak/>
        <w:t>Protracted Bacterial Bronchitis (PBB) Study 2</w:t>
      </w:r>
      <w:bookmarkEnd w:id="196"/>
      <w:r w:rsidR="00EF0FE6" w:rsidRPr="00DD46F9">
        <w:t xml:space="preserve"> </w:t>
      </w:r>
    </w:p>
    <w:p w14:paraId="32377B02" w14:textId="77777777" w:rsidR="00443AB3" w:rsidRDefault="00AF0ED8" w:rsidP="0064056D">
      <w:pPr>
        <w:spacing w:after="160" w:line="360" w:lineRule="auto"/>
      </w:pPr>
      <w:r>
        <w:t>This single centre, prospective observational study buil</w:t>
      </w:r>
      <w:r w:rsidR="00826F15">
        <w:t>t</w:t>
      </w:r>
      <w:r>
        <w:t xml:space="preserve"> upon the results of study 1</w:t>
      </w:r>
      <w:r w:rsidR="0061006D">
        <w:t xml:space="preserve"> and was planned to allow us to both complement the data from study 1 </w:t>
      </w:r>
      <w:r w:rsidR="00CB73BA">
        <w:t xml:space="preserve">and </w:t>
      </w:r>
      <w:r w:rsidR="0061006D">
        <w:t xml:space="preserve">to </w:t>
      </w:r>
      <w:r w:rsidR="00CB73BA">
        <w:t xml:space="preserve">obtain </w:t>
      </w:r>
      <w:r w:rsidR="0061006D">
        <w:t xml:space="preserve">samples suitable for </w:t>
      </w:r>
      <w:r w:rsidR="007557C5">
        <w:t xml:space="preserve">subsequent </w:t>
      </w:r>
      <w:r w:rsidR="0061006D">
        <w:t>microbiome analysis</w:t>
      </w:r>
      <w:r w:rsidR="007557C5">
        <w:t xml:space="preserve"> (see Chapter 5)</w:t>
      </w:r>
      <w:r>
        <w:t xml:space="preserve">. </w:t>
      </w:r>
      <w:r w:rsidR="00497ED7">
        <w:t xml:space="preserve">The PBB study 2 recruitment pathway was improved following scrutiny of the pathway used in PBB study 1. Firstly, outpatient clinic lists were pre-screened for potential participants allowing for a more organised and targeted approach to recruitment. Secondly, ethical approval was sought at the outset of the study to obtain GP prescription records, in order to record antibiotic exposure during the study period. </w:t>
      </w:r>
    </w:p>
    <w:p w14:paraId="13F9B81B" w14:textId="0F2FA772" w:rsidR="00E331F1" w:rsidRDefault="00CB73BA" w:rsidP="0064056D">
      <w:pPr>
        <w:spacing w:after="160" w:line="360" w:lineRule="auto"/>
      </w:pPr>
      <w:r>
        <w:t xml:space="preserve">I </w:t>
      </w:r>
      <w:r w:rsidR="00AF0ED8">
        <w:t>recruited a further 30 children with PBB</w:t>
      </w:r>
      <w:r w:rsidR="00BA661D">
        <w:t>,</w:t>
      </w:r>
      <w:r w:rsidR="00AF0ED8">
        <w:t xml:space="preserve"> of whom 15 were exposed to long</w:t>
      </w:r>
      <w:r w:rsidR="00EB6C72">
        <w:t>-</w:t>
      </w:r>
      <w:r w:rsidR="00AF0ED8">
        <w:t>term azithromycin and 15 were not anticipated to require long</w:t>
      </w:r>
      <w:r w:rsidR="00EB6C72">
        <w:t>-</w:t>
      </w:r>
      <w:r w:rsidR="00AF0ED8">
        <w:t>term azithromycin. Deep nasopharyngeal swabs were collected over the study period</w:t>
      </w:r>
      <w:r w:rsidR="008C714F">
        <w:t xml:space="preserve">. This was </w:t>
      </w:r>
      <w:r w:rsidR="00841718">
        <w:t xml:space="preserve">initially planned to be 12 months but </w:t>
      </w:r>
      <w:r w:rsidR="008C714F">
        <w:t xml:space="preserve">due to the COVID-19 pandemic, </w:t>
      </w:r>
      <w:r w:rsidR="00841718">
        <w:t>needed to be extended to 20 months</w:t>
      </w:r>
      <w:r w:rsidR="008C714F">
        <w:t xml:space="preserve"> in order to collect the final DNPS. </w:t>
      </w:r>
      <w:r w:rsidR="00AF0ED8">
        <w:t xml:space="preserve">Data on the bacterial isolates and antimicrobial resistance profiles complemented the results from </w:t>
      </w:r>
      <w:r w:rsidR="00E77B16">
        <w:t xml:space="preserve">study 1. </w:t>
      </w:r>
      <w:r w:rsidR="007557C5">
        <w:t>T</w:t>
      </w:r>
      <w:r w:rsidR="00E331F1" w:rsidRPr="00241369">
        <w:t xml:space="preserve">his study </w:t>
      </w:r>
      <w:r w:rsidR="007557C5">
        <w:t xml:space="preserve">additionally incorporated </w:t>
      </w:r>
      <w:r w:rsidR="00825FA7">
        <w:t>the intent to</w:t>
      </w:r>
      <w:r w:rsidR="00825FA7" w:rsidRPr="00241369">
        <w:t xml:space="preserve"> </w:t>
      </w:r>
      <w:r w:rsidR="007557C5">
        <w:t>investigate</w:t>
      </w:r>
      <w:r w:rsidR="007557C5" w:rsidRPr="00241369">
        <w:t xml:space="preserve"> </w:t>
      </w:r>
      <w:r w:rsidR="00E331F1" w:rsidRPr="00241369">
        <w:t xml:space="preserve">exacerbations of PBB. </w:t>
      </w:r>
      <w:r w:rsidR="00E77B16">
        <w:t xml:space="preserve">At the beginning of </w:t>
      </w:r>
      <w:r w:rsidR="007557C5">
        <w:t>exacerbations</w:t>
      </w:r>
      <w:r w:rsidR="00E77B16">
        <w:t xml:space="preserve">, we planned to take a viral throat swab and DNPS for bacterial culture and 16s analysis. On completion of the 2-4 week treatment course of antibiotics, there was the option for an end of exacerbation DNPS to be taken if this was acceptable for the child. We hoped this would </w:t>
      </w:r>
      <w:r w:rsidR="00E331F1" w:rsidRPr="00241369">
        <w:t xml:space="preserve">give new insights </w:t>
      </w:r>
      <w:r w:rsidR="00E77B16">
        <w:t>into exacerbations of PBB</w:t>
      </w:r>
      <w:r w:rsidR="00825FA7">
        <w:t xml:space="preserve">. </w:t>
      </w:r>
      <w:r w:rsidR="00E77B16">
        <w:t>A</w:t>
      </w:r>
      <w:r w:rsidR="00E331F1" w:rsidRPr="00241369">
        <w:t xml:space="preserve"> microbiological diagnosis may be established by bronchoscopy on a single occasion, but a sequential study of the organisms driving exacerbations has not been undertaken to our knowledge.</w:t>
      </w:r>
      <w:r w:rsidR="00825FA7">
        <w:t xml:space="preserve"> </w:t>
      </w:r>
      <w:r w:rsidR="000137F6">
        <w:t>Unfortunately,</w:t>
      </w:r>
      <w:r w:rsidR="00825FA7">
        <w:t xml:space="preserve"> this was again disrupted by COVID-19.</w:t>
      </w:r>
    </w:p>
    <w:p w14:paraId="04A40DBC" w14:textId="2A258174" w:rsidR="00EF0FE6" w:rsidRDefault="00CB4EE5" w:rsidP="00E331F1">
      <w:pPr>
        <w:spacing w:line="360" w:lineRule="auto"/>
      </w:pPr>
      <w:r>
        <w:t xml:space="preserve">All the bacterial isolates from both PBB studies 1 and 2 were frozen so that more detailed resistance analysis could be undertaken at a later stage. The DNPS from PBB study 2 </w:t>
      </w:r>
      <w:r w:rsidR="00825FA7">
        <w:t xml:space="preserve">(but not study 1) </w:t>
      </w:r>
      <w:r>
        <w:t xml:space="preserve">were frozen in order to carry out 16s rRNA sequencing again at a later date. </w:t>
      </w:r>
      <w:r w:rsidR="00230B7C">
        <w:t>Following discussions with statistician Alan Rigby, the results of studies PBB 1 and 2 were combined</w:t>
      </w:r>
      <w:r w:rsidR="005B2FEC">
        <w:t xml:space="preserve"> in order to have a sufficient sample size for statistical analysis to be carried out</w:t>
      </w:r>
      <w:r w:rsidR="00230B7C">
        <w:t>.</w:t>
      </w:r>
      <w:r w:rsidR="00436658">
        <w:t xml:space="preserve"> </w:t>
      </w:r>
    </w:p>
    <w:p w14:paraId="461058E0" w14:textId="77777777" w:rsidR="004E39EF" w:rsidRPr="00241369" w:rsidRDefault="004E39EF" w:rsidP="00E331F1">
      <w:pPr>
        <w:spacing w:line="360" w:lineRule="auto"/>
      </w:pPr>
    </w:p>
    <w:p w14:paraId="40C11992" w14:textId="524E71E2" w:rsidR="00E331F1" w:rsidRPr="00241369" w:rsidRDefault="00E331F1" w:rsidP="00375A31">
      <w:pPr>
        <w:spacing w:after="160" w:line="360" w:lineRule="auto"/>
      </w:pPr>
      <w:r w:rsidRPr="00241369">
        <w:t xml:space="preserve">The </w:t>
      </w:r>
      <w:r w:rsidR="003C4D2B">
        <w:t xml:space="preserve">experimental approach for </w:t>
      </w:r>
      <w:r w:rsidR="00EF0FE6">
        <w:t xml:space="preserve">PBB </w:t>
      </w:r>
      <w:r w:rsidRPr="00241369">
        <w:t>study</w:t>
      </w:r>
      <w:r w:rsidR="00EF0FE6">
        <w:t xml:space="preserve"> 2</w:t>
      </w:r>
      <w:r w:rsidRPr="00241369">
        <w:t xml:space="preserve"> </w:t>
      </w:r>
      <w:r w:rsidR="003C4D2B">
        <w:t>was</w:t>
      </w:r>
      <w:r w:rsidRPr="00241369">
        <w:t>:</w:t>
      </w:r>
    </w:p>
    <w:p w14:paraId="1A133F58" w14:textId="433F5EB2" w:rsidR="004360F4" w:rsidRDefault="00322F05">
      <w:pPr>
        <w:numPr>
          <w:ilvl w:val="0"/>
          <w:numId w:val="11"/>
        </w:numPr>
        <w:spacing w:after="160" w:line="360" w:lineRule="auto"/>
        <w:contextualSpacing/>
      </w:pPr>
      <w:r>
        <w:t>To validate</w:t>
      </w:r>
      <w:r w:rsidR="007557C5">
        <w:t xml:space="preserve"> and complement</w:t>
      </w:r>
      <w:r>
        <w:t xml:space="preserve"> the findings of PBB study 1 with regards to patterns of </w:t>
      </w:r>
      <w:r w:rsidR="004360F4">
        <w:t>azithromycin</w:t>
      </w:r>
      <w:r>
        <w:t xml:space="preserve"> resistant </w:t>
      </w:r>
      <w:r w:rsidR="004360F4">
        <w:t xml:space="preserve">nasopharyngeal </w:t>
      </w:r>
      <w:r>
        <w:t>bacteria</w:t>
      </w:r>
      <w:r w:rsidR="004360F4">
        <w:t xml:space="preserve"> and antibiotic exposure between two </w:t>
      </w:r>
      <w:r w:rsidR="004360F4">
        <w:lastRenderedPageBreak/>
        <w:t>groups of children with PBB</w:t>
      </w:r>
      <w:r w:rsidR="007557C5">
        <w:t xml:space="preserve"> (</w:t>
      </w:r>
      <w:r w:rsidR="004360F4">
        <w:t>one group exposed to long</w:t>
      </w:r>
      <w:r w:rsidR="00EB6C72">
        <w:t>-</w:t>
      </w:r>
      <w:r w:rsidR="004360F4">
        <w:t>term azithromycin and the other not</w:t>
      </w:r>
      <w:r w:rsidR="007557C5">
        <w:t xml:space="preserve"> so treated).</w:t>
      </w:r>
    </w:p>
    <w:p w14:paraId="60C21A88" w14:textId="2673D880" w:rsidR="00A36BBD" w:rsidRDefault="004360F4">
      <w:pPr>
        <w:numPr>
          <w:ilvl w:val="0"/>
          <w:numId w:val="11"/>
        </w:numPr>
        <w:spacing w:after="160" w:line="360" w:lineRule="auto"/>
        <w:ind w:left="714" w:hanging="357"/>
        <w:contextualSpacing/>
      </w:pPr>
      <w:r>
        <w:t xml:space="preserve">To collect </w:t>
      </w:r>
      <w:r w:rsidR="00B4291F">
        <w:t xml:space="preserve">and store </w:t>
      </w:r>
      <w:r>
        <w:t xml:space="preserve">deep nasopharyngeal swabs </w:t>
      </w:r>
      <w:r w:rsidR="00B4291F">
        <w:t xml:space="preserve">and any bacterial isolates for future detailed resistance profiling and microbiome analysis.  </w:t>
      </w:r>
    </w:p>
    <w:p w14:paraId="676713BB" w14:textId="724E5AB0" w:rsidR="00A7606D" w:rsidRPr="00540937" w:rsidRDefault="00A7606D" w:rsidP="00752DA8">
      <w:pPr>
        <w:numPr>
          <w:ilvl w:val="0"/>
          <w:numId w:val="11"/>
        </w:numPr>
        <w:spacing w:after="160" w:line="360" w:lineRule="auto"/>
        <w:ind w:left="714" w:hanging="357"/>
        <w:contextualSpacing/>
      </w:pPr>
      <w:r w:rsidRPr="00B92BC5">
        <w:t xml:space="preserve">To collect deep nasopharyngeal swabs at the beginning and end of any PBB exacerbations </w:t>
      </w:r>
      <w:r>
        <w:t>and collect viral throat swabs at the beginning of any PBB exacerbations.</w:t>
      </w:r>
    </w:p>
    <w:p w14:paraId="2F98D170" w14:textId="77777777" w:rsidR="00E331F1" w:rsidRPr="00241369" w:rsidRDefault="00E331F1" w:rsidP="00540937">
      <w:pPr>
        <w:pStyle w:val="ListParagraph"/>
        <w:rPr>
          <w:b/>
          <w:sz w:val="24"/>
          <w:szCs w:val="24"/>
        </w:rPr>
      </w:pPr>
    </w:p>
    <w:p w14:paraId="14A78D0F" w14:textId="78FF4D1A" w:rsidR="00E331F1" w:rsidRPr="00241369" w:rsidRDefault="00E331F1" w:rsidP="00EB6C72">
      <w:pPr>
        <w:pStyle w:val="Heading3"/>
        <w:spacing w:before="0" w:line="360" w:lineRule="auto"/>
      </w:pPr>
      <w:bookmarkStart w:id="197" w:name="_Toc117765978"/>
      <w:r w:rsidRPr="00241369">
        <w:t>Recruitment</w:t>
      </w:r>
      <w:r w:rsidR="00246484">
        <w:t xml:space="preserve"> and retention</w:t>
      </w:r>
      <w:bookmarkEnd w:id="197"/>
    </w:p>
    <w:p w14:paraId="4400427A" w14:textId="796FDEB1" w:rsidR="00E331F1" w:rsidRDefault="00825FA7" w:rsidP="00EB6C72">
      <w:pPr>
        <w:spacing w:line="360" w:lineRule="auto"/>
      </w:pPr>
      <w:r>
        <w:t>E</w:t>
      </w:r>
      <w:r w:rsidR="00CB4EE5">
        <w:t xml:space="preserve">thical approval </w:t>
      </w:r>
      <w:r w:rsidR="008C3682">
        <w:t>governing th</w:t>
      </w:r>
      <w:r w:rsidR="00E12D61">
        <w:t>is</w:t>
      </w:r>
      <w:r w:rsidR="008C3682">
        <w:t xml:space="preserve"> study </w:t>
      </w:r>
      <w:r>
        <w:t>(REC r</w:t>
      </w:r>
      <w:r w:rsidRPr="008F33C8">
        <w:t>eference number</w:t>
      </w:r>
      <w:r w:rsidRPr="00241369">
        <w:t xml:space="preserve"> 19/YH/0207</w:t>
      </w:r>
      <w:r>
        <w:t xml:space="preserve">) </w:t>
      </w:r>
      <w:r w:rsidR="008C3682">
        <w:t>allowed pre-screening of clinic attendees to identify those who might be eligible, enabling targeted discussions and distribution of study literature</w:t>
      </w:r>
      <w:r>
        <w:t>.</w:t>
      </w:r>
      <w:r w:rsidR="00720CD8">
        <w:t xml:space="preserve"> </w:t>
      </w:r>
      <w:r w:rsidR="008C3682">
        <w:t xml:space="preserve">This </w:t>
      </w:r>
      <w:r w:rsidR="00FF320B">
        <w:t>facilitated</w:t>
      </w:r>
      <w:r w:rsidR="008C3682">
        <w:t xml:space="preserve"> </w:t>
      </w:r>
      <w:r w:rsidR="00FF320B">
        <w:t>recruitment</w:t>
      </w:r>
      <w:r w:rsidR="008C3682">
        <w:t xml:space="preserve"> for study 2. </w:t>
      </w:r>
      <w:r w:rsidR="00FB5B77">
        <w:t xml:space="preserve">As previously, many invitees did not respond, and there was a lower uptake by those not scheduled to start azithromycin prophylaxis. </w:t>
      </w:r>
      <w:r w:rsidR="00062696">
        <w:t>A</w:t>
      </w:r>
      <w:r w:rsidR="00E331F1" w:rsidRPr="00241369">
        <w:t xml:space="preserve"> total of </w:t>
      </w:r>
      <w:r w:rsidR="00062696">
        <w:t>30 children with PBB were recruited</w:t>
      </w:r>
      <w:r w:rsidR="004C614A">
        <w:t xml:space="preserve"> as planned</w:t>
      </w:r>
      <w:r>
        <w:t xml:space="preserve">, </w:t>
      </w:r>
      <w:r w:rsidR="00E331F1" w:rsidRPr="00241369">
        <w:t xml:space="preserve">15 to the azithromycin group </w:t>
      </w:r>
      <w:r w:rsidR="004C614A">
        <w:t xml:space="preserve">and 15 </w:t>
      </w:r>
      <w:r w:rsidR="00E331F1" w:rsidRPr="00241369">
        <w:t>to the co</w:t>
      </w:r>
      <w:r w:rsidR="00062696">
        <w:t>mparison</w:t>
      </w:r>
      <w:r w:rsidR="00E331F1" w:rsidRPr="00241369">
        <w:t xml:space="preserve"> group</w:t>
      </w:r>
      <w:r w:rsidR="004C614A">
        <w:t xml:space="preserve">. </w:t>
      </w:r>
      <w:r w:rsidR="00E331F1" w:rsidRPr="00241369">
        <w:t xml:space="preserve">The consort diagram in </w:t>
      </w:r>
      <w:r w:rsidR="001A066D" w:rsidRPr="001A066D">
        <w:fldChar w:fldCharType="begin"/>
      </w:r>
      <w:r w:rsidR="001A066D" w:rsidRPr="001A066D">
        <w:instrText xml:space="preserve"> REF _Ref105507402 \h  \* MERGEFORMAT </w:instrText>
      </w:r>
      <w:r w:rsidR="001A066D" w:rsidRPr="001A066D">
        <w:fldChar w:fldCharType="separate"/>
      </w:r>
      <w:r w:rsidR="001A066D" w:rsidRPr="001A066D">
        <w:rPr>
          <w:color w:val="000000" w:themeColor="text1"/>
        </w:rPr>
        <w:t xml:space="preserve">Figure </w:t>
      </w:r>
      <w:r w:rsidR="001A066D" w:rsidRPr="001A066D">
        <w:rPr>
          <w:noProof/>
          <w:color w:val="000000" w:themeColor="text1"/>
        </w:rPr>
        <w:t>4</w:t>
      </w:r>
      <w:r w:rsidR="001A066D" w:rsidRPr="001A066D">
        <w:rPr>
          <w:color w:val="000000" w:themeColor="text1"/>
        </w:rPr>
        <w:noBreakHyphen/>
      </w:r>
      <w:r w:rsidR="001A066D" w:rsidRPr="001A066D">
        <w:rPr>
          <w:noProof/>
          <w:color w:val="000000" w:themeColor="text1"/>
        </w:rPr>
        <w:t>6</w:t>
      </w:r>
      <w:r w:rsidR="001A066D" w:rsidRPr="001A066D">
        <w:fldChar w:fldCharType="end"/>
      </w:r>
      <w:r w:rsidR="001A066D" w:rsidRPr="001A066D">
        <w:t xml:space="preserve"> </w:t>
      </w:r>
      <w:r w:rsidR="00E331F1" w:rsidRPr="00241369">
        <w:t xml:space="preserve">shows the recruitment process. </w:t>
      </w:r>
      <w:r w:rsidR="00062696">
        <w:t>No child participating in PBB study 2 had taken part in PBB study 1</w:t>
      </w:r>
      <w:r w:rsidR="00434204">
        <w:t>, hence this was a true validation cohort</w:t>
      </w:r>
      <w:r w:rsidR="00062696">
        <w:t>.</w:t>
      </w:r>
      <w:r w:rsidR="005A1342">
        <w:t xml:space="preserve"> </w:t>
      </w:r>
      <w:r w:rsidR="007F0EB9">
        <w:t>One child from each group left the study. C9 discontinued due to the fact additional swabs were being taken due to COVID and the swab burden became to</w:t>
      </w:r>
      <w:r w:rsidR="00CF00D7">
        <w:t>o</w:t>
      </w:r>
      <w:r w:rsidR="007F0EB9">
        <w:t xml:space="preserve"> high</w:t>
      </w:r>
      <w:r w:rsidR="00CF00D7">
        <w:t>. A3 was not able to be contacted again despite telephone messages and written letters. Within the comparison group, 3 children started prophylactic azithromycin for recurrent PBB</w:t>
      </w:r>
      <w:r w:rsidR="00E54BAF">
        <w:t xml:space="preserve">; </w:t>
      </w:r>
      <w:r w:rsidR="00CF00D7">
        <w:t>Participant C7 received 4 months of azithromycin, C9 left the study as azithromycin was being commenced and no swabs were taken</w:t>
      </w:r>
      <w:r w:rsidR="00E54BAF">
        <w:t>.</w:t>
      </w:r>
      <w:r w:rsidR="00CF00D7">
        <w:t xml:space="preserve"> </w:t>
      </w:r>
      <w:r w:rsidR="00F83B67">
        <w:t>A</w:t>
      </w:r>
      <w:r w:rsidR="00CF00D7">
        <w:t xml:space="preserve">nd C10 received 1 dose of azithromycin which was not tolerated and changed to second line prophylaxis, co-trimoxazole.  </w:t>
      </w:r>
      <w:r w:rsidR="005A1342">
        <w:t>Analysis was by intention to treat.</w:t>
      </w:r>
    </w:p>
    <w:p w14:paraId="79FFF7FB" w14:textId="77777777" w:rsidR="005337D3" w:rsidRPr="00241369" w:rsidRDefault="005337D3" w:rsidP="000E3A5A">
      <w:pPr>
        <w:spacing w:line="360" w:lineRule="auto"/>
      </w:pPr>
    </w:p>
    <w:p w14:paraId="59032A8B" w14:textId="349642AF" w:rsidR="00E331F1" w:rsidRPr="00241369" w:rsidRDefault="00E331F1" w:rsidP="00EB6C72">
      <w:pPr>
        <w:pStyle w:val="Heading3"/>
        <w:spacing w:before="0" w:line="360" w:lineRule="auto"/>
      </w:pPr>
      <w:bookmarkStart w:id="198" w:name="_Toc117765979"/>
      <w:r w:rsidRPr="00241369">
        <w:t>Demographics at recruitment</w:t>
      </w:r>
      <w:bookmarkEnd w:id="198"/>
    </w:p>
    <w:p w14:paraId="09765914" w14:textId="11B91090" w:rsidR="00E331F1" w:rsidRDefault="00E331F1" w:rsidP="00EB6C72">
      <w:pPr>
        <w:spacing w:line="360" w:lineRule="auto"/>
      </w:pPr>
      <w:r w:rsidRPr="004C614A">
        <w:t xml:space="preserve">Children in the </w:t>
      </w:r>
      <w:r w:rsidR="00062696" w:rsidRPr="004C614A">
        <w:t>comparison group were</w:t>
      </w:r>
      <w:r w:rsidRPr="004C614A">
        <w:t xml:space="preserve"> aged matched within 12 months of the azithromycin group (Table 1</w:t>
      </w:r>
      <w:r w:rsidR="00052DD6">
        <w:t>6</w:t>
      </w:r>
      <w:r w:rsidRPr="004C614A">
        <w:t xml:space="preserve">). </w:t>
      </w:r>
      <w:r w:rsidR="002B299F">
        <w:t>The groups were similar apart from two factors. The first difference was that those in the azithromycin group had a greater antibiotic exposure prior to the start of the study compared to the comparison group</w:t>
      </w:r>
      <w:r w:rsidR="00247ED9">
        <w:t xml:space="preserve"> (Table 17)</w:t>
      </w:r>
      <w:r w:rsidR="002B299F">
        <w:t>. This may reflect the fact that these children were being commenced on long-term azithromycin due to an increased infection burden.</w:t>
      </w:r>
      <w:r w:rsidR="00025D07" w:rsidRPr="00025D07">
        <w:t xml:space="preserve"> </w:t>
      </w:r>
      <w:r w:rsidR="00025D07">
        <w:t xml:space="preserve">Of the total </w:t>
      </w:r>
      <w:r w:rsidR="00025D07">
        <w:lastRenderedPageBreak/>
        <w:t xml:space="preserve">prescriptions </w:t>
      </w:r>
      <w:r w:rsidR="00841718">
        <w:t xml:space="preserve">issued </w:t>
      </w:r>
      <w:r w:rsidR="00025D07">
        <w:t xml:space="preserve">in the preceding 12-months prior to the study start, 15.9% (7 out of 44) were for macrolides in the comparison group and 17.3% (9 out of 52) in the azithromycin group. </w:t>
      </w:r>
      <w:r w:rsidR="002B299F">
        <w:t>The second key difference was that</w:t>
      </w:r>
      <w:r w:rsidR="00056726">
        <w:t xml:space="preserve"> unlike in study </w:t>
      </w:r>
      <w:r w:rsidR="00841718">
        <w:t>1, the</w:t>
      </w:r>
      <w:r w:rsidR="002B299F">
        <w:t xml:space="preserve"> majority of participants in the azithromycin group had a microbiological diagnosis of PBB whereas those in the comparison group had a clinical diagnosis.  </w:t>
      </w:r>
      <w:r w:rsidRPr="004C614A">
        <w:t>Otherwise</w:t>
      </w:r>
      <w:r w:rsidR="00841718">
        <w:t>,</w:t>
      </w:r>
      <w:r w:rsidRPr="004C614A">
        <w:t xml:space="preserve"> the groups </w:t>
      </w:r>
      <w:r w:rsidR="004C614A">
        <w:t>were</w:t>
      </w:r>
      <w:r w:rsidRPr="004C614A">
        <w:t xml:space="preserve"> similar to those in PBB study 1. The bacterial isolates grown from those with a microbiological</w:t>
      </w:r>
      <w:r w:rsidRPr="00241369">
        <w:t xml:space="preserve"> diagnosis </w:t>
      </w:r>
      <w:r w:rsidR="00C964E1">
        <w:t xml:space="preserve">can be found in appendix </w:t>
      </w:r>
      <w:r w:rsidR="00800891">
        <w:t>8</w:t>
      </w:r>
      <w:r w:rsidR="00BA4059">
        <w:t>.</w:t>
      </w:r>
    </w:p>
    <w:p w14:paraId="28EAECB9" w14:textId="5788369E" w:rsidR="000E3A5A" w:rsidRDefault="000E3A5A" w:rsidP="000E3A5A">
      <w:pPr>
        <w:spacing w:line="360" w:lineRule="auto"/>
      </w:pPr>
    </w:p>
    <w:p w14:paraId="1FA43B32" w14:textId="7A7FA0F0" w:rsidR="000E3A5A" w:rsidRDefault="000E3A5A" w:rsidP="000E3A5A">
      <w:pPr>
        <w:spacing w:line="360" w:lineRule="auto"/>
      </w:pPr>
    </w:p>
    <w:p w14:paraId="01F1FCD9" w14:textId="2201D178" w:rsidR="000E3A5A" w:rsidRDefault="00E54BAF" w:rsidP="000E3A5A">
      <w:pPr>
        <w:spacing w:line="360" w:lineRule="auto"/>
      </w:pPr>
      <w:r>
        <w:rPr>
          <w:noProof/>
        </w:rPr>
        <mc:AlternateContent>
          <mc:Choice Requires="wps">
            <w:drawing>
              <wp:anchor distT="45720" distB="45720" distL="114300" distR="114300" simplePos="0" relativeHeight="251668992" behindDoc="0" locked="0" layoutInCell="1" allowOverlap="1" wp14:anchorId="45D3D893" wp14:editId="69A3F5A7">
                <wp:simplePos x="0" y="0"/>
                <wp:positionH relativeFrom="column">
                  <wp:posOffset>1840230</wp:posOffset>
                </wp:positionH>
                <wp:positionV relativeFrom="paragraph">
                  <wp:posOffset>236611</wp:posOffset>
                </wp:positionV>
                <wp:extent cx="2358390" cy="953770"/>
                <wp:effectExtent l="0" t="0" r="3810" b="0"/>
                <wp:wrapSquare wrapText="bothSides"/>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953770"/>
                        </a:xfrm>
                        <a:prstGeom prst="rect">
                          <a:avLst/>
                        </a:prstGeom>
                        <a:solidFill>
                          <a:srgbClr val="FFFFFF"/>
                        </a:solidFill>
                        <a:ln w="9525">
                          <a:solidFill>
                            <a:sysClr val="windowText" lastClr="000000"/>
                          </a:solidFill>
                          <a:miter lim="800000"/>
                          <a:headEnd/>
                          <a:tailEnd/>
                        </a:ln>
                      </wps:spPr>
                      <wps:txbx>
                        <w:txbxContent>
                          <w:p w14:paraId="7E0B4876" w14:textId="77777777" w:rsidR="00600985" w:rsidRDefault="00600985" w:rsidP="00E331F1">
                            <w:pPr>
                              <w:jc w:val="center"/>
                              <w:rPr>
                                <w:lang w:val="en-US"/>
                              </w:rPr>
                            </w:pPr>
                            <w:r>
                              <w:rPr>
                                <w:lang w:val="en-US"/>
                              </w:rPr>
                              <w:t xml:space="preserve">Number of families given the study information </w:t>
                            </w:r>
                          </w:p>
                          <w:p w14:paraId="11E7D892" w14:textId="77777777" w:rsidR="00600985" w:rsidRDefault="00600985" w:rsidP="00E331F1">
                            <w:pPr>
                              <w:jc w:val="center"/>
                              <w:rPr>
                                <w:lang w:val="en-US"/>
                              </w:rPr>
                            </w:pPr>
                            <w:r>
                              <w:rPr>
                                <w:lang w:val="en-US"/>
                              </w:rPr>
                              <w:t xml:space="preserve">N=104 </w:t>
                            </w:r>
                          </w:p>
                          <w:p w14:paraId="066C1CB4" w14:textId="39402989" w:rsidR="00600985" w:rsidRDefault="00600985" w:rsidP="00E331F1">
                            <w:pPr>
                              <w:jc w:val="center"/>
                              <w:rPr>
                                <w:lang w:val="en-US"/>
                              </w:rPr>
                            </w:pPr>
                            <w:r>
                              <w:rPr>
                                <w:lang w:val="en-US"/>
                              </w:rPr>
                              <w:t>Potential co</w:t>
                            </w:r>
                            <w:r w:rsidR="00C02365">
                              <w:rPr>
                                <w:lang w:val="en-US"/>
                              </w:rPr>
                              <w:t>mparators</w:t>
                            </w:r>
                            <w:r>
                              <w:rPr>
                                <w:lang w:val="en-US"/>
                              </w:rPr>
                              <w:t xml:space="preserve"> = 82</w:t>
                            </w:r>
                          </w:p>
                          <w:p w14:paraId="7C95D9B0" w14:textId="77777777" w:rsidR="00600985" w:rsidRPr="00ED7689" w:rsidRDefault="00600985" w:rsidP="00E331F1">
                            <w:pPr>
                              <w:jc w:val="center"/>
                              <w:rPr>
                                <w:lang w:val="en-US"/>
                              </w:rPr>
                            </w:pPr>
                            <w:r>
                              <w:rPr>
                                <w:lang w:val="en-US"/>
                              </w:rPr>
                              <w:t>Azithromycin = 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D3D893" id="Text Box 619" o:spid="_x0000_s1058" type="#_x0000_t202" style="position:absolute;margin-left:144.9pt;margin-top:18.65pt;width:185.7pt;height:75.1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" strokecolor="windowText">
                <v:textbox style="mso-fit-shape-to-text:t">
                  <w:txbxContent>
                    <w:p w14:paraId="7E0B4876" w14:textId="77777777" w:rsidR="00600985" w:rsidRDefault="00600985" w:rsidP="00E331F1">
                      <w:pPr>
                        <w:jc w:val="center"/>
                        <w:rPr>
                          <w:lang w:val="en-US"/>
                        </w:rPr>
                      </w:pPr>
                      <w:r>
                        <w:rPr>
                          <w:lang w:val="en-US"/>
                        </w:rPr>
                        <w:t xml:space="preserve">Number of families given the study information </w:t>
                      </w:r>
                    </w:p>
                    <w:p w14:paraId="11E7D892" w14:textId="77777777" w:rsidR="00600985" w:rsidRDefault="00600985" w:rsidP="00E331F1">
                      <w:pPr>
                        <w:jc w:val="center"/>
                        <w:rPr>
                          <w:lang w:val="en-US"/>
                        </w:rPr>
                      </w:pPr>
                      <w:r>
                        <w:rPr>
                          <w:lang w:val="en-US"/>
                        </w:rPr>
                        <w:t xml:space="preserve">N=104 </w:t>
                      </w:r>
                    </w:p>
                    <w:p w14:paraId="066C1CB4" w14:textId="39402989" w:rsidR="00600985" w:rsidRDefault="00600985" w:rsidP="00E331F1">
                      <w:pPr>
                        <w:jc w:val="center"/>
                        <w:rPr>
                          <w:lang w:val="en-US"/>
                        </w:rPr>
                      </w:pPr>
                      <w:r>
                        <w:rPr>
                          <w:lang w:val="en-US"/>
                        </w:rPr>
                        <w:t>Potential co</w:t>
                      </w:r>
                      <w:r w:rsidR="00C02365">
                        <w:rPr>
                          <w:lang w:val="en-US"/>
                        </w:rPr>
                        <w:t>mparators</w:t>
                      </w:r>
                      <w:r>
                        <w:rPr>
                          <w:lang w:val="en-US"/>
                        </w:rPr>
                        <w:t xml:space="preserve"> = 82</w:t>
                      </w:r>
                    </w:p>
                    <w:p w14:paraId="7C95D9B0" w14:textId="77777777" w:rsidR="00600985" w:rsidRPr="00ED7689" w:rsidRDefault="00600985" w:rsidP="00E331F1">
                      <w:pPr>
                        <w:jc w:val="center"/>
                        <w:rPr>
                          <w:lang w:val="en-US"/>
                        </w:rPr>
                      </w:pPr>
                      <w:r>
                        <w:rPr>
                          <w:lang w:val="en-US"/>
                        </w:rPr>
                        <w:t>Azithromycin = 22</w:t>
                      </w:r>
                    </w:p>
                  </w:txbxContent>
                </v:textbox>
                <w10:wrap type="square"/>
              </v:shape>
            </w:pict>
          </mc:Fallback>
        </mc:AlternateContent>
      </w:r>
    </w:p>
    <w:p w14:paraId="6564BF67" w14:textId="7B272617" w:rsidR="000E3A5A" w:rsidRDefault="000E3A5A" w:rsidP="000E3A5A">
      <w:pPr>
        <w:spacing w:line="360" w:lineRule="auto"/>
      </w:pPr>
    </w:p>
    <w:p w14:paraId="28556EDD" w14:textId="6232A1D2" w:rsidR="000E3A5A" w:rsidRDefault="000E3A5A" w:rsidP="000E3A5A">
      <w:pPr>
        <w:spacing w:line="360" w:lineRule="auto"/>
      </w:pPr>
    </w:p>
    <w:p w14:paraId="17A56F70" w14:textId="5CF2C876" w:rsidR="000E3A5A" w:rsidRDefault="000E3A5A" w:rsidP="000E3A5A">
      <w:pPr>
        <w:spacing w:line="360" w:lineRule="auto"/>
      </w:pPr>
    </w:p>
    <w:p w14:paraId="15BEBFB2" w14:textId="42FDE7D0" w:rsidR="000E3A5A" w:rsidRDefault="000E3A5A" w:rsidP="000E3A5A">
      <w:pPr>
        <w:spacing w:line="360" w:lineRule="auto"/>
      </w:pPr>
    </w:p>
    <w:p w14:paraId="533B0208" w14:textId="2ACCB595" w:rsidR="000E3A5A" w:rsidRPr="00241369" w:rsidRDefault="00E54BAF" w:rsidP="001D04B2">
      <w:r>
        <w:rPr>
          <w:noProof/>
        </w:rPr>
        <mc:AlternateContent>
          <mc:Choice Requires="wps">
            <w:drawing>
              <wp:anchor distT="0" distB="0" distL="114300" distR="114300" simplePos="0" relativeHeight="251672064" behindDoc="0" locked="0" layoutInCell="1" allowOverlap="1" wp14:anchorId="46B7F958" wp14:editId="72CA21FE">
                <wp:simplePos x="0" y="0"/>
                <wp:positionH relativeFrom="column">
                  <wp:posOffset>2695575</wp:posOffset>
                </wp:positionH>
                <wp:positionV relativeFrom="paragraph">
                  <wp:posOffset>53975</wp:posOffset>
                </wp:positionV>
                <wp:extent cx="45720" cy="2190750"/>
                <wp:effectExtent l="38100" t="12700" r="43180" b="31750"/>
                <wp:wrapNone/>
                <wp:docPr id="618" name="Straight Arrow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190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802010" id="Straight Arrow Connector 618" o:spid="_x0000_s1026" type="#_x0000_t32" style="position:absolute;margin-left:212.25pt;margin-top:4.25pt;width:3.6pt;height:1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" strokecolor="windowText" strokeweight="2.25pt">
                <v:stroke endarrow="block" joinstyle="miter"/>
                <o:lock v:ext="edit" shapetype="f"/>
              </v:shape>
            </w:pict>
          </mc:Fallback>
        </mc:AlternateContent>
      </w:r>
      <w:r>
        <w:rPr>
          <w:noProof/>
        </w:rPr>
        <mc:AlternateContent>
          <mc:Choice Requires="wps">
            <w:drawing>
              <wp:anchor distT="0" distB="0" distL="114300" distR="114300" simplePos="0" relativeHeight="251673088" behindDoc="0" locked="0" layoutInCell="1" allowOverlap="1" wp14:anchorId="740DBB44" wp14:editId="43DC3AD7">
                <wp:simplePos x="0" y="0"/>
                <wp:positionH relativeFrom="column">
                  <wp:posOffset>3352800</wp:posOffset>
                </wp:positionH>
                <wp:positionV relativeFrom="paragraph">
                  <wp:posOffset>53975</wp:posOffset>
                </wp:positionV>
                <wp:extent cx="45720" cy="2190750"/>
                <wp:effectExtent l="38100" t="12700" r="43180" b="31750"/>
                <wp:wrapNone/>
                <wp:docPr id="617" name="Straight Arrow Connector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190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440E55" id="Straight Arrow Connector 617" o:spid="_x0000_s1026" type="#_x0000_t32" style="position:absolute;margin-left:264pt;margin-top:4.25pt;width:3.6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" strokecolor="windowText" strokeweight="2.25pt">
                <v:stroke endarrow="block" joinstyle="miter"/>
                <o:lock v:ext="edit" shapetype="f"/>
              </v:shape>
            </w:pict>
          </mc:Fallback>
        </mc:AlternateContent>
      </w:r>
      <w:r>
        <w:rPr>
          <w:noProof/>
        </w:rPr>
        <mc:AlternateContent>
          <mc:Choice Requires="wps">
            <w:drawing>
              <wp:anchor distT="0" distB="0" distL="114300" distR="114300" simplePos="0" relativeHeight="251676160" behindDoc="0" locked="0" layoutInCell="1" allowOverlap="1" wp14:anchorId="719E2AAE" wp14:editId="3CCDF27B">
                <wp:simplePos x="0" y="0"/>
                <wp:positionH relativeFrom="column">
                  <wp:posOffset>2000250</wp:posOffset>
                </wp:positionH>
                <wp:positionV relativeFrom="paragraph">
                  <wp:posOffset>719455</wp:posOffset>
                </wp:positionV>
                <wp:extent cx="695325" cy="9525"/>
                <wp:effectExtent l="25400" t="63500" r="0" b="66675"/>
                <wp:wrapNone/>
                <wp:docPr id="613"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9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587CF6" id="Straight Arrow Connector 613" o:spid="_x0000_s1026" type="#_x0000_t32" style="position:absolute;margin-left:157.5pt;margin-top:56.65pt;width:54.75pt;height:.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" strokecolor="windowText" strokeweight="2.25pt">
                <v:stroke endarrow="block" joinstyle="miter"/>
                <o:lock v:ext="edit" shapetype="f"/>
              </v:shape>
            </w:pict>
          </mc:Fallback>
        </mc:AlternateContent>
      </w:r>
      <w:r>
        <w:rPr>
          <w:noProof/>
        </w:rPr>
        <mc:AlternateContent>
          <mc:Choice Requires="wps">
            <w:drawing>
              <wp:anchor distT="4294967293" distB="4294967293" distL="114300" distR="114300" simplePos="0" relativeHeight="251677184" behindDoc="0" locked="0" layoutInCell="1" allowOverlap="1" wp14:anchorId="78AB06E2" wp14:editId="0C413654">
                <wp:simplePos x="0" y="0"/>
                <wp:positionH relativeFrom="column">
                  <wp:posOffset>3350260</wp:posOffset>
                </wp:positionH>
                <wp:positionV relativeFrom="paragraph">
                  <wp:posOffset>718820</wp:posOffset>
                </wp:positionV>
                <wp:extent cx="590550" cy="0"/>
                <wp:effectExtent l="0" t="63500" r="0" b="63500"/>
                <wp:wrapNone/>
                <wp:docPr id="614" name="Straight Arrow Connector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D41AB1A" id="Straight Arrow Connector 614" o:spid="_x0000_s1026" type="#_x0000_t32" style="position:absolute;margin-left:263.8pt;margin-top:56.6pt;width:46.5pt;height:0;z-index:251677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" strokecolor="windowText" strokeweight="2.25pt">
                <v:stroke endarrow="block" joinstyle="miter"/>
                <o:lock v:ext="edit" shapetype="f"/>
              </v:shape>
            </w:pict>
          </mc:Fallback>
        </mc:AlternateContent>
      </w:r>
      <w:r w:rsidR="0084790A">
        <w:t xml:space="preserve"> </w:t>
      </w:r>
    </w:p>
    <w:p w14:paraId="48F3E1AA" w14:textId="1C35EFB4" w:rsidR="00E331F1" w:rsidRPr="00241369" w:rsidRDefault="00E54BAF" w:rsidP="00E331F1">
      <w:pPr>
        <w:spacing w:line="360" w:lineRule="auto"/>
      </w:pPr>
      <w:r>
        <w:rPr>
          <w:noProof/>
        </w:rPr>
        <mc:AlternateContent>
          <mc:Choice Requires="wps">
            <w:drawing>
              <wp:anchor distT="45720" distB="45720" distL="114300" distR="114300" simplePos="0" relativeHeight="251674112" behindDoc="0" locked="0" layoutInCell="1" allowOverlap="1" wp14:anchorId="0BFDBCB0" wp14:editId="15EF4DFB">
                <wp:simplePos x="0" y="0"/>
                <wp:positionH relativeFrom="column">
                  <wp:posOffset>4040261</wp:posOffset>
                </wp:positionH>
                <wp:positionV relativeFrom="paragraph">
                  <wp:posOffset>87972</wp:posOffset>
                </wp:positionV>
                <wp:extent cx="2358390" cy="953770"/>
                <wp:effectExtent l="0" t="0" r="3810" b="0"/>
                <wp:wrapSquare wrapText="bothSides"/>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953770"/>
                        </a:xfrm>
                        <a:prstGeom prst="rect">
                          <a:avLst/>
                        </a:prstGeom>
                        <a:solidFill>
                          <a:srgbClr val="FFFFFF"/>
                        </a:solidFill>
                        <a:ln w="9525">
                          <a:solidFill>
                            <a:srgbClr val="000000"/>
                          </a:solidFill>
                          <a:miter lim="800000"/>
                          <a:headEnd/>
                          <a:tailEnd/>
                        </a:ln>
                      </wps:spPr>
                      <wps:txbx>
                        <w:txbxContent>
                          <w:p w14:paraId="7A84AEFD" w14:textId="77777777" w:rsidR="00600985" w:rsidRPr="00752DA8" w:rsidRDefault="00600985">
                            <w:pPr>
                              <w:pStyle w:val="ListParagraph"/>
                              <w:numPr>
                                <w:ilvl w:val="0"/>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2 replied to text message </w:t>
                            </w:r>
                          </w:p>
                          <w:p w14:paraId="4F3A2AAD" w14:textId="77777777" w:rsidR="00600985" w:rsidRPr="00752DA8" w:rsidRDefault="00600985">
                            <w:pPr>
                              <w:pStyle w:val="ListParagraph"/>
                              <w:numPr>
                                <w:ilvl w:val="1"/>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DNPS would be too unpleasant</w:t>
                            </w:r>
                          </w:p>
                          <w:p w14:paraId="058417FA" w14:textId="77777777" w:rsidR="00600985" w:rsidRPr="00752DA8" w:rsidRDefault="00600985">
                            <w:pPr>
                              <w:pStyle w:val="ListParagraph"/>
                              <w:numPr>
                                <w:ilvl w:val="0"/>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5 no response to text message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FDBCB0" id="Text Box 615" o:spid="_x0000_s1059" type="#_x0000_t202" style="position:absolute;margin-left:318.15pt;margin-top:6.95pt;width:185.7pt;height:75.1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">
                <v:textbox style="mso-fit-shape-to-text:t">
                  <w:txbxContent>
                    <w:p w14:paraId="7A84AEFD" w14:textId="77777777" w:rsidR="00600985" w:rsidRPr="00752DA8" w:rsidRDefault="00600985">
                      <w:pPr>
                        <w:pStyle w:val="ListParagraph"/>
                        <w:numPr>
                          <w:ilvl w:val="0"/>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2 replied to text message </w:t>
                      </w:r>
                    </w:p>
                    <w:p w14:paraId="4F3A2AAD" w14:textId="77777777" w:rsidR="00600985" w:rsidRPr="00752DA8" w:rsidRDefault="00600985">
                      <w:pPr>
                        <w:pStyle w:val="ListParagraph"/>
                        <w:numPr>
                          <w:ilvl w:val="1"/>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DNPS would be too unpleasant</w:t>
                      </w:r>
                    </w:p>
                    <w:p w14:paraId="058417FA" w14:textId="77777777" w:rsidR="00600985" w:rsidRPr="00752DA8" w:rsidRDefault="00600985">
                      <w:pPr>
                        <w:pStyle w:val="ListParagraph"/>
                        <w:numPr>
                          <w:ilvl w:val="0"/>
                          <w:numId w:val="17"/>
                        </w:numPr>
                        <w:rPr>
                          <w:rFonts w:ascii="Times New Roman" w:hAnsi="Times New Roman" w:cs="Times New Roman"/>
                          <w:sz w:val="24"/>
                          <w:szCs w:val="24"/>
                          <w:lang w:val="en-US"/>
                        </w:rPr>
                      </w:pPr>
                      <w:r w:rsidRPr="00752DA8">
                        <w:rPr>
                          <w:rFonts w:ascii="Times New Roman" w:hAnsi="Times New Roman" w:cs="Times New Roman"/>
                          <w:sz w:val="24"/>
                          <w:szCs w:val="24"/>
                          <w:lang w:val="en-US"/>
                        </w:rPr>
                        <w:t>5 no response to text message</w:t>
                      </w:r>
                    </w:p>
                  </w:txbxContent>
                </v:textbox>
                <w10:wrap type="square"/>
              </v:shape>
            </w:pict>
          </mc:Fallback>
        </mc:AlternateContent>
      </w:r>
      <w:r>
        <w:rPr>
          <w:noProof/>
        </w:rPr>
        <mc:AlternateContent>
          <mc:Choice Requires="wps">
            <w:drawing>
              <wp:anchor distT="0" distB="0" distL="114300" distR="114300" simplePos="0" relativeHeight="251675136" behindDoc="0" locked="0" layoutInCell="1" allowOverlap="1" wp14:anchorId="04DB41C0" wp14:editId="4EFF50CA">
                <wp:simplePos x="0" y="0"/>
                <wp:positionH relativeFrom="column">
                  <wp:posOffset>-18805</wp:posOffset>
                </wp:positionH>
                <wp:positionV relativeFrom="paragraph">
                  <wp:posOffset>174576</wp:posOffset>
                </wp:positionV>
                <wp:extent cx="1943100" cy="933450"/>
                <wp:effectExtent l="0" t="0" r="0" b="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33450"/>
                        </a:xfrm>
                        <a:prstGeom prst="rect">
                          <a:avLst/>
                        </a:prstGeom>
                        <a:solidFill>
                          <a:sysClr val="window" lastClr="FFFFFF"/>
                        </a:solidFill>
                        <a:ln w="6350">
                          <a:solidFill>
                            <a:prstClr val="black"/>
                          </a:solidFill>
                        </a:ln>
                      </wps:spPr>
                      <wps:txbx>
                        <w:txbxContent>
                          <w:p w14:paraId="2940460D" w14:textId="77777777" w:rsidR="00600985" w:rsidRPr="00752DA8" w:rsidRDefault="00600985">
                            <w:pPr>
                              <w:pStyle w:val="ListParagraph"/>
                              <w:numPr>
                                <w:ilvl w:val="0"/>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1 replied to text message  </w:t>
                            </w:r>
                          </w:p>
                          <w:p w14:paraId="21CC3A0A" w14:textId="77777777" w:rsidR="00600985" w:rsidRPr="00752DA8" w:rsidRDefault="00600985">
                            <w:pPr>
                              <w:pStyle w:val="ListParagraph"/>
                              <w:numPr>
                                <w:ilvl w:val="1"/>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too busy</w:t>
                            </w:r>
                          </w:p>
                          <w:p w14:paraId="32DB58E4" w14:textId="77777777" w:rsidR="00600985" w:rsidRPr="00752DA8" w:rsidRDefault="00600985">
                            <w:pPr>
                              <w:pStyle w:val="ListParagraph"/>
                              <w:numPr>
                                <w:ilvl w:val="0"/>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68 no response to text 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DB41C0" id="Text Box 616" o:spid="_x0000_s1060" type="#_x0000_t202" style="position:absolute;margin-left:-1.5pt;margin-top:13.75pt;width:153pt;height:7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" fillcolor="window" strokeweight=".5pt">
                <v:path arrowok="t"/>
                <v:textbox>
                  <w:txbxContent>
                    <w:p w14:paraId="2940460D" w14:textId="77777777" w:rsidR="00600985" w:rsidRPr="00752DA8" w:rsidRDefault="00600985">
                      <w:pPr>
                        <w:pStyle w:val="ListParagraph"/>
                        <w:numPr>
                          <w:ilvl w:val="0"/>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 xml:space="preserve">1 replied to text message  </w:t>
                      </w:r>
                    </w:p>
                    <w:p w14:paraId="21CC3A0A" w14:textId="77777777" w:rsidR="00600985" w:rsidRPr="00752DA8" w:rsidRDefault="00600985">
                      <w:pPr>
                        <w:pStyle w:val="ListParagraph"/>
                        <w:numPr>
                          <w:ilvl w:val="1"/>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too busy</w:t>
                      </w:r>
                    </w:p>
                    <w:p w14:paraId="32DB58E4" w14:textId="77777777" w:rsidR="00600985" w:rsidRPr="00752DA8" w:rsidRDefault="00600985">
                      <w:pPr>
                        <w:pStyle w:val="ListParagraph"/>
                        <w:numPr>
                          <w:ilvl w:val="0"/>
                          <w:numId w:val="18"/>
                        </w:numPr>
                        <w:spacing w:after="0" w:line="240" w:lineRule="auto"/>
                        <w:rPr>
                          <w:rFonts w:ascii="Times New Roman" w:hAnsi="Times New Roman" w:cs="Times New Roman"/>
                          <w:sz w:val="24"/>
                          <w:szCs w:val="24"/>
                          <w:lang w:val="en-US"/>
                        </w:rPr>
                      </w:pPr>
                      <w:r w:rsidRPr="00752DA8">
                        <w:rPr>
                          <w:rFonts w:ascii="Times New Roman" w:hAnsi="Times New Roman" w:cs="Times New Roman"/>
                          <w:sz w:val="24"/>
                          <w:szCs w:val="24"/>
                          <w:lang w:val="en-US"/>
                        </w:rPr>
                        <w:t>68 no response to text message</w:t>
                      </w:r>
                    </w:p>
                  </w:txbxContent>
                </v:textbox>
              </v:shape>
            </w:pict>
          </mc:Fallback>
        </mc:AlternateContent>
      </w:r>
    </w:p>
    <w:p w14:paraId="4F25055B" w14:textId="1514CB87" w:rsidR="00E331F1" w:rsidRPr="00241369" w:rsidRDefault="00E331F1" w:rsidP="00E331F1">
      <w:pPr>
        <w:spacing w:line="360" w:lineRule="auto"/>
      </w:pPr>
    </w:p>
    <w:p w14:paraId="5A4B62A7" w14:textId="0D685384" w:rsidR="00E331F1" w:rsidRPr="00241369" w:rsidRDefault="00E331F1" w:rsidP="00E331F1">
      <w:pPr>
        <w:spacing w:line="360" w:lineRule="auto"/>
      </w:pPr>
    </w:p>
    <w:p w14:paraId="19147E68" w14:textId="6B26C0FE" w:rsidR="00E331F1" w:rsidRPr="00241369" w:rsidRDefault="00E331F1" w:rsidP="00E331F1">
      <w:pPr>
        <w:spacing w:line="360" w:lineRule="auto"/>
      </w:pPr>
    </w:p>
    <w:p w14:paraId="4242182C" w14:textId="0C044E21" w:rsidR="00E331F1" w:rsidRPr="00241369" w:rsidRDefault="00E331F1" w:rsidP="00E331F1">
      <w:pPr>
        <w:spacing w:line="360" w:lineRule="auto"/>
      </w:pPr>
    </w:p>
    <w:p w14:paraId="7CA63941" w14:textId="121C5AE2" w:rsidR="00E331F1" w:rsidRPr="00241369" w:rsidRDefault="00E331F1" w:rsidP="00E331F1">
      <w:pPr>
        <w:spacing w:line="360" w:lineRule="auto"/>
      </w:pPr>
    </w:p>
    <w:p w14:paraId="0FEF7AB0" w14:textId="0F48EAF2" w:rsidR="00E331F1" w:rsidRPr="00241369" w:rsidRDefault="00E331F1" w:rsidP="00E331F1">
      <w:pPr>
        <w:spacing w:line="360" w:lineRule="auto"/>
      </w:pPr>
    </w:p>
    <w:p w14:paraId="71426004" w14:textId="29426F8C" w:rsidR="00E331F1" w:rsidRPr="00241369" w:rsidRDefault="00E331F1" w:rsidP="00E331F1">
      <w:pPr>
        <w:spacing w:line="360" w:lineRule="auto"/>
      </w:pPr>
    </w:p>
    <w:p w14:paraId="1A6A6E7E" w14:textId="62CD9862" w:rsidR="00E331F1" w:rsidRPr="00241369" w:rsidRDefault="00C02365" w:rsidP="00E331F1">
      <w:pPr>
        <w:spacing w:line="360" w:lineRule="auto"/>
      </w:pPr>
      <w:r>
        <w:rPr>
          <w:noProof/>
        </w:rPr>
        <mc:AlternateContent>
          <mc:Choice Requires="wps">
            <w:drawing>
              <wp:anchor distT="0" distB="0" distL="114300" distR="114300" simplePos="0" relativeHeight="251671040" behindDoc="0" locked="0" layoutInCell="1" allowOverlap="1" wp14:anchorId="14D7DD83" wp14:editId="041E0C71">
                <wp:simplePos x="0" y="0"/>
                <wp:positionH relativeFrom="column">
                  <wp:posOffset>3352800</wp:posOffset>
                </wp:positionH>
                <wp:positionV relativeFrom="paragraph">
                  <wp:posOffset>36830</wp:posOffset>
                </wp:positionV>
                <wp:extent cx="2171700" cy="450850"/>
                <wp:effectExtent l="0" t="0" r="19050" b="2540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50850"/>
                        </a:xfrm>
                        <a:prstGeom prst="rect">
                          <a:avLst/>
                        </a:prstGeom>
                        <a:solidFill>
                          <a:sysClr val="window" lastClr="FFFFFF"/>
                        </a:solidFill>
                        <a:ln w="6350">
                          <a:solidFill>
                            <a:prstClr val="black"/>
                          </a:solidFill>
                        </a:ln>
                      </wps:spPr>
                      <wps:txbx>
                        <w:txbxContent>
                          <w:p w14:paraId="76C9D5A8" w14:textId="77777777" w:rsidR="00600985" w:rsidRPr="00ED7689" w:rsidRDefault="00600985" w:rsidP="00E331F1">
                            <w:pPr>
                              <w:rPr>
                                <w:lang w:val="en-US"/>
                              </w:rPr>
                            </w:pPr>
                            <w:r>
                              <w:rPr>
                                <w:lang w:val="en-US"/>
                              </w:rPr>
                              <w:t>Azithromycin recruited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DD83" id="Text Box 611" o:spid="_x0000_s1061" type="#_x0000_t202" style="position:absolute;margin-left:264pt;margin-top:2.9pt;width:171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" fillcolor="window" strokeweight=".5pt">
                <v:path arrowok="t"/>
                <v:textbox>
                  <w:txbxContent>
                    <w:p w14:paraId="76C9D5A8" w14:textId="77777777" w:rsidR="00600985" w:rsidRPr="00ED7689" w:rsidRDefault="00600985" w:rsidP="00E331F1">
                      <w:pPr>
                        <w:rPr>
                          <w:lang w:val="en-US"/>
                        </w:rPr>
                      </w:pPr>
                      <w:r>
                        <w:rPr>
                          <w:lang w:val="en-US"/>
                        </w:rPr>
                        <w:t>Azithromycin recruited = 15</w:t>
                      </w:r>
                    </w:p>
                  </w:txbxContent>
                </v:textbox>
              </v:shape>
            </w:pict>
          </mc:Fallback>
        </mc:AlternateContent>
      </w:r>
      <w:r>
        <w:rPr>
          <w:noProof/>
        </w:rPr>
        <mc:AlternateContent>
          <mc:Choice Requires="wps">
            <w:drawing>
              <wp:anchor distT="45720" distB="45720" distL="114300" distR="114300" simplePos="0" relativeHeight="251670016" behindDoc="0" locked="0" layoutInCell="1" allowOverlap="1" wp14:anchorId="06C6A73B" wp14:editId="7703A850">
                <wp:simplePos x="0" y="0"/>
                <wp:positionH relativeFrom="column">
                  <wp:posOffset>819150</wp:posOffset>
                </wp:positionH>
                <wp:positionV relativeFrom="paragraph">
                  <wp:posOffset>46355</wp:posOffset>
                </wp:positionV>
                <wp:extent cx="2028825" cy="386715"/>
                <wp:effectExtent l="0" t="0" r="28575" b="10160"/>
                <wp:wrapSquare wrapText="bothSides"/>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6715"/>
                        </a:xfrm>
                        <a:prstGeom prst="rect">
                          <a:avLst/>
                        </a:prstGeom>
                        <a:solidFill>
                          <a:srgbClr val="FFFFFF"/>
                        </a:solidFill>
                        <a:ln w="9525">
                          <a:solidFill>
                            <a:srgbClr val="000000"/>
                          </a:solidFill>
                          <a:miter lim="800000"/>
                          <a:headEnd/>
                          <a:tailEnd/>
                        </a:ln>
                      </wps:spPr>
                      <wps:txbx>
                        <w:txbxContent>
                          <w:p w14:paraId="7055B0C1" w14:textId="6D862EDB" w:rsidR="00600985" w:rsidRPr="00ED7689" w:rsidRDefault="00600985" w:rsidP="00E331F1">
                            <w:pPr>
                              <w:rPr>
                                <w:lang w:val="en-US"/>
                              </w:rPr>
                            </w:pPr>
                            <w:r>
                              <w:rPr>
                                <w:lang w:val="en-US"/>
                              </w:rPr>
                              <w:t>Co</w:t>
                            </w:r>
                            <w:r w:rsidR="00C02365">
                              <w:rPr>
                                <w:lang w:val="en-US"/>
                              </w:rPr>
                              <w:t>mparators</w:t>
                            </w:r>
                            <w:r>
                              <w:rPr>
                                <w:lang w:val="en-US"/>
                              </w:rPr>
                              <w:t xml:space="preserve"> recruited = 1</w:t>
                            </w:r>
                            <w:r w:rsidR="00C63269">
                              <w:rPr>
                                <w:lang w:val="en-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6A73B" id="Text Box 612" o:spid="_x0000_s1062" type="#_x0000_t202" style="position:absolute;margin-left:64.5pt;margin-top:3.65pt;width:159.75pt;height:30.4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">
                <v:textbox style="mso-fit-shape-to-text:t">
                  <w:txbxContent>
                    <w:p w14:paraId="7055B0C1" w14:textId="6D862EDB" w:rsidR="00600985" w:rsidRPr="00ED7689" w:rsidRDefault="00600985" w:rsidP="00E331F1">
                      <w:pPr>
                        <w:rPr>
                          <w:lang w:val="en-US"/>
                        </w:rPr>
                      </w:pPr>
                      <w:r>
                        <w:rPr>
                          <w:lang w:val="en-US"/>
                        </w:rPr>
                        <w:t>Co</w:t>
                      </w:r>
                      <w:r w:rsidR="00C02365">
                        <w:rPr>
                          <w:lang w:val="en-US"/>
                        </w:rPr>
                        <w:t>mparators</w:t>
                      </w:r>
                      <w:r>
                        <w:rPr>
                          <w:lang w:val="en-US"/>
                        </w:rPr>
                        <w:t xml:space="preserve"> recruited = 1</w:t>
                      </w:r>
                      <w:r w:rsidR="00C63269">
                        <w:rPr>
                          <w:lang w:val="en-US"/>
                        </w:rPr>
                        <w:t>5</w:t>
                      </w:r>
                    </w:p>
                  </w:txbxContent>
                </v:textbox>
                <w10:wrap type="square"/>
              </v:shape>
            </w:pict>
          </mc:Fallback>
        </mc:AlternateContent>
      </w:r>
    </w:p>
    <w:p w14:paraId="001DA720" w14:textId="0BCEF470" w:rsidR="00E331F1" w:rsidRPr="00241369" w:rsidRDefault="00E331F1" w:rsidP="00E331F1">
      <w:pPr>
        <w:spacing w:line="360" w:lineRule="auto"/>
      </w:pPr>
    </w:p>
    <w:p w14:paraId="0CA137D1" w14:textId="389202AE" w:rsidR="00E331F1" w:rsidRPr="00241369" w:rsidRDefault="00E54BAF" w:rsidP="00E331F1">
      <w:pPr>
        <w:spacing w:line="360" w:lineRule="auto"/>
      </w:pPr>
      <w:r>
        <w:rPr>
          <w:noProof/>
        </w:rPr>
        <mc:AlternateContent>
          <mc:Choice Requires="wps">
            <w:drawing>
              <wp:anchor distT="0" distB="0" distL="114299" distR="114299" simplePos="0" relativeHeight="251893248" behindDoc="0" locked="0" layoutInCell="1" allowOverlap="1" wp14:anchorId="7AE0C51A" wp14:editId="30DF5064">
                <wp:simplePos x="0" y="0"/>
                <wp:positionH relativeFrom="column">
                  <wp:posOffset>1988429</wp:posOffset>
                </wp:positionH>
                <wp:positionV relativeFrom="paragraph">
                  <wp:posOffset>30089</wp:posOffset>
                </wp:positionV>
                <wp:extent cx="0" cy="285750"/>
                <wp:effectExtent l="57150" t="0" r="38100" b="19050"/>
                <wp:wrapNone/>
                <wp:docPr id="610" name="Straight Arrow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4DAA4C" id="Straight Arrow Connector 610" o:spid="_x0000_s1026" type="#_x0000_t32" style="position:absolute;margin-left:156.55pt;margin-top:2.35pt;width:0;height:22.5pt;z-index:25189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" strokecolor="windowText" strokeweight="2.25pt">
                <v:stroke endarrow="block" joinstyle="miter"/>
                <o:lock v:ext="edit" shapetype="f"/>
              </v:shape>
            </w:pict>
          </mc:Fallback>
        </mc:AlternateContent>
      </w:r>
      <w:r>
        <w:rPr>
          <w:noProof/>
        </w:rPr>
        <mc:AlternateContent>
          <mc:Choice Requires="wps">
            <w:drawing>
              <wp:anchor distT="0" distB="0" distL="114299" distR="114299" simplePos="0" relativeHeight="251891200" behindDoc="0" locked="0" layoutInCell="1" allowOverlap="1" wp14:anchorId="11371574" wp14:editId="500906F1">
                <wp:simplePos x="0" y="0"/>
                <wp:positionH relativeFrom="column">
                  <wp:posOffset>4137074</wp:posOffset>
                </wp:positionH>
                <wp:positionV relativeFrom="paragraph">
                  <wp:posOffset>45720</wp:posOffset>
                </wp:positionV>
                <wp:extent cx="0" cy="285750"/>
                <wp:effectExtent l="57150" t="0" r="38100" b="19050"/>
                <wp:wrapNone/>
                <wp:docPr id="609" name="Straight Arrow Connector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01E312" id="Straight Arrow Connector 609" o:spid="_x0000_s1026" type="#_x0000_t32" style="position:absolute;margin-left:325.75pt;margin-top:3.6pt;width:0;height:22.5pt;z-index:25189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" strokecolor="black [3200]" strokeweight="2.25pt">
                <v:stroke endarrow="block" joinstyle="miter"/>
                <o:lock v:ext="edit" shapetype="f"/>
              </v:shape>
            </w:pict>
          </mc:Fallback>
        </mc:AlternateContent>
      </w:r>
    </w:p>
    <w:p w14:paraId="1FE70174" w14:textId="3C8E6025" w:rsidR="00E331F1" w:rsidRDefault="004E39EF" w:rsidP="00E331F1">
      <w:pPr>
        <w:spacing w:line="360" w:lineRule="auto"/>
      </w:pPr>
      <w:r>
        <w:rPr>
          <w:noProof/>
        </w:rPr>
        <mc:AlternateContent>
          <mc:Choice Requires="wps">
            <w:drawing>
              <wp:anchor distT="45720" distB="45720" distL="114300" distR="114300" simplePos="0" relativeHeight="251895296" behindDoc="0" locked="0" layoutInCell="1" allowOverlap="1" wp14:anchorId="11120727" wp14:editId="1001B13D">
                <wp:simplePos x="0" y="0"/>
                <wp:positionH relativeFrom="column">
                  <wp:posOffset>3390900</wp:posOffset>
                </wp:positionH>
                <wp:positionV relativeFrom="paragraph">
                  <wp:posOffset>143510</wp:posOffset>
                </wp:positionV>
                <wp:extent cx="1800225" cy="447675"/>
                <wp:effectExtent l="0" t="0" r="28575" b="28575"/>
                <wp:wrapSquare wrapText="bothSides"/>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47675"/>
                        </a:xfrm>
                        <a:prstGeom prst="rect">
                          <a:avLst/>
                        </a:prstGeom>
                        <a:solidFill>
                          <a:srgbClr val="FFFFFF"/>
                        </a:solidFill>
                        <a:ln w="9525">
                          <a:solidFill>
                            <a:srgbClr val="000000"/>
                          </a:solidFill>
                          <a:miter lim="800000"/>
                          <a:headEnd/>
                          <a:tailEnd/>
                        </a:ln>
                      </wps:spPr>
                      <wps:txbx>
                        <w:txbxContent>
                          <w:p w14:paraId="26DA3DFF" w14:textId="76A15EB1" w:rsidR="003C11D5" w:rsidRDefault="003C11D5">
                            <w:r>
                              <w:t>1 child lost to follow up</w:t>
                            </w:r>
                          </w:p>
                          <w:p w14:paraId="27BAACA8" w14:textId="77777777" w:rsidR="003C11D5" w:rsidRDefault="003C11D5"/>
                          <w:p w14:paraId="607EAC35" w14:textId="77777777" w:rsidR="003C11D5" w:rsidRDefault="003C1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20727" id="Text Box 607" o:spid="_x0000_s1063" type="#_x0000_t202" style="position:absolute;margin-left:267pt;margin-top:11.3pt;width:141.75pt;height:35.25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">
                <v:textbox>
                  <w:txbxContent>
                    <w:p w14:paraId="26DA3DFF" w14:textId="76A15EB1" w:rsidR="003C11D5" w:rsidRDefault="003C11D5">
                      <w:r>
                        <w:t>1 child lost to follow up</w:t>
                      </w:r>
                    </w:p>
                    <w:p w14:paraId="27BAACA8" w14:textId="77777777" w:rsidR="003C11D5" w:rsidRDefault="003C11D5"/>
                    <w:p w14:paraId="607EAC35" w14:textId="77777777" w:rsidR="003C11D5" w:rsidRDefault="003C11D5"/>
                  </w:txbxContent>
                </v:textbox>
                <w10:wrap type="square"/>
              </v:shape>
            </w:pict>
          </mc:Fallback>
        </mc:AlternateContent>
      </w:r>
      <w:r w:rsidR="00E54BAF">
        <w:rPr>
          <w:noProof/>
        </w:rPr>
        <mc:AlternateContent>
          <mc:Choice Requires="wps">
            <w:drawing>
              <wp:anchor distT="0" distB="0" distL="114300" distR="114300" simplePos="0" relativeHeight="251896320" behindDoc="0" locked="0" layoutInCell="1" allowOverlap="1" wp14:anchorId="477DBF62" wp14:editId="402FD2A2">
                <wp:simplePos x="0" y="0"/>
                <wp:positionH relativeFrom="column">
                  <wp:posOffset>281305</wp:posOffset>
                </wp:positionH>
                <wp:positionV relativeFrom="paragraph">
                  <wp:posOffset>161290</wp:posOffset>
                </wp:positionV>
                <wp:extent cx="2628900" cy="812800"/>
                <wp:effectExtent l="0" t="0" r="12700" b="1270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812800"/>
                        </a:xfrm>
                        <a:prstGeom prst="rect">
                          <a:avLst/>
                        </a:prstGeom>
                        <a:solidFill>
                          <a:schemeClr val="lt1"/>
                        </a:solidFill>
                        <a:ln w="6350">
                          <a:solidFill>
                            <a:prstClr val="black"/>
                          </a:solidFill>
                        </a:ln>
                      </wps:spPr>
                      <wps:txbx>
                        <w:txbxContent>
                          <w:p w14:paraId="23BCDB93" w14:textId="1183B1A1" w:rsidR="003C11D5" w:rsidRDefault="003C11D5">
                            <w:r>
                              <w:t>1 child left the study due to the high swab burden</w:t>
                            </w:r>
                            <w:r w:rsidR="00143AD3">
                              <w:t>.</w:t>
                            </w:r>
                          </w:p>
                          <w:p w14:paraId="044215BB" w14:textId="5BB6C8A8" w:rsidR="00143AD3" w:rsidRDefault="00143AD3">
                            <w:r>
                              <w:t>2 children required long term antibiotics.</w:t>
                            </w:r>
                          </w:p>
                          <w:p w14:paraId="1AB4802E" w14:textId="77777777" w:rsidR="00143AD3" w:rsidRDefault="00143A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BF62" id="Text Box 608" o:spid="_x0000_s1064" type="#_x0000_t202" style="position:absolute;margin-left:22.15pt;margin-top:12.7pt;width:207pt;height:64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" fillcolor="white [3201]" strokeweight=".5pt">
                <v:path arrowok="t"/>
                <v:textbox>
                  <w:txbxContent>
                    <w:p w14:paraId="23BCDB93" w14:textId="1183B1A1" w:rsidR="003C11D5" w:rsidRDefault="003C11D5">
                      <w:r>
                        <w:t>1 child left the study due to the high swab burden</w:t>
                      </w:r>
                      <w:r w:rsidR="00143AD3">
                        <w:t>.</w:t>
                      </w:r>
                    </w:p>
                    <w:p w14:paraId="044215BB" w14:textId="5BB6C8A8" w:rsidR="00143AD3" w:rsidRDefault="00143AD3">
                      <w:r>
                        <w:t>2 children required long term antibiotics.</w:t>
                      </w:r>
                    </w:p>
                    <w:p w14:paraId="1AB4802E" w14:textId="77777777" w:rsidR="00143AD3" w:rsidRDefault="00143AD3"/>
                  </w:txbxContent>
                </v:textbox>
              </v:shape>
            </w:pict>
          </mc:Fallback>
        </mc:AlternateContent>
      </w:r>
    </w:p>
    <w:p w14:paraId="6AB8A24F" w14:textId="56349570" w:rsidR="003C11D5" w:rsidRDefault="003C11D5" w:rsidP="00E331F1">
      <w:pPr>
        <w:spacing w:line="360" w:lineRule="auto"/>
      </w:pPr>
    </w:p>
    <w:p w14:paraId="3A55CA92" w14:textId="7C49D844" w:rsidR="00BC48B4" w:rsidRDefault="00BC48B4" w:rsidP="00E331F1">
      <w:pPr>
        <w:spacing w:line="360" w:lineRule="auto"/>
      </w:pPr>
    </w:p>
    <w:p w14:paraId="37FA974C" w14:textId="30425F2A" w:rsidR="00E54BAF" w:rsidRDefault="00E54BAF" w:rsidP="00E331F1">
      <w:pPr>
        <w:spacing w:line="360" w:lineRule="auto"/>
      </w:pPr>
    </w:p>
    <w:p w14:paraId="7D49AA1E" w14:textId="77777777" w:rsidR="004E39EF" w:rsidRDefault="004E39EF" w:rsidP="00E331F1">
      <w:pPr>
        <w:spacing w:line="360" w:lineRule="auto"/>
      </w:pPr>
    </w:p>
    <w:p w14:paraId="77199E97" w14:textId="507E4A97" w:rsidR="00BC48B4" w:rsidRPr="00241369" w:rsidRDefault="00BC48B4" w:rsidP="00BC48B4">
      <w:pPr>
        <w:pStyle w:val="Caption"/>
        <w:rPr>
          <w:sz w:val="24"/>
          <w:szCs w:val="24"/>
        </w:rPr>
      </w:pPr>
      <w:bookmarkStart w:id="199" w:name="_Ref105507402"/>
      <w:bookmarkStart w:id="200" w:name="_Toc117780223"/>
      <w:r w:rsidRPr="00BC48B4">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6</w:t>
      </w:r>
      <w:r w:rsidR="00F42C6F">
        <w:rPr>
          <w:b/>
          <w:bCs/>
          <w:i w:val="0"/>
          <w:iCs w:val="0"/>
          <w:color w:val="000000" w:themeColor="text1"/>
          <w:sz w:val="24"/>
          <w:szCs w:val="24"/>
        </w:rPr>
        <w:fldChar w:fldCharType="end"/>
      </w:r>
      <w:bookmarkEnd w:id="199"/>
      <w:r w:rsidRPr="00BC48B4">
        <w:rPr>
          <w:b/>
          <w:bCs/>
          <w:i w:val="0"/>
          <w:iCs w:val="0"/>
          <w:color w:val="000000" w:themeColor="text1"/>
          <w:sz w:val="24"/>
          <w:szCs w:val="24"/>
        </w:rPr>
        <w:t>:</w:t>
      </w:r>
      <w:r w:rsidRPr="00BC48B4">
        <w:rPr>
          <w:rStyle w:val="Heading3Char"/>
          <w:rFonts w:asciiTheme="minorHAnsi" w:hAnsiTheme="minorHAnsi" w:cstheme="minorHAnsi"/>
          <w:i w:val="0"/>
          <w:iCs w:val="0"/>
          <w:color w:val="000000" w:themeColor="text1"/>
        </w:rPr>
        <w:t xml:space="preserve"> </w:t>
      </w:r>
      <w:r w:rsidRPr="00752DA8">
        <w:rPr>
          <w:rStyle w:val="Heading3Char"/>
          <w:rFonts w:ascii="Times New Roman" w:hAnsi="Times New Roman" w:cs="Times New Roman"/>
          <w:i w:val="0"/>
          <w:iCs w:val="0"/>
          <w:color w:val="000000" w:themeColor="text1"/>
          <w:sz w:val="24"/>
          <w:szCs w:val="24"/>
        </w:rPr>
        <w:t>Consort diagram showing the recruitment process for PBB study 2</w:t>
      </w:r>
      <w:bookmarkEnd w:id="200"/>
    </w:p>
    <w:p w14:paraId="475A3E69" w14:textId="012C2A33" w:rsidR="00E331F1" w:rsidRPr="00BC48B4" w:rsidRDefault="00E54BAF" w:rsidP="0064056D">
      <w:pPr>
        <w:spacing w:line="276" w:lineRule="auto"/>
        <w:rPr>
          <w:i/>
          <w:iCs/>
        </w:rPr>
      </w:pPr>
      <w:r>
        <w:rPr>
          <w:i/>
          <w:iCs/>
        </w:rPr>
        <w:lastRenderedPageBreak/>
        <w:t>C</w:t>
      </w:r>
      <w:r w:rsidR="00E331F1" w:rsidRPr="00BC48B4">
        <w:rPr>
          <w:i/>
          <w:iCs/>
        </w:rPr>
        <w:t xml:space="preserve">onsort diagram of the recruitment process. </w:t>
      </w:r>
      <w:r w:rsidR="003B371C">
        <w:rPr>
          <w:i/>
          <w:iCs/>
        </w:rPr>
        <w:t>All p</w:t>
      </w:r>
      <w:r w:rsidR="003B371C" w:rsidRPr="00BC48B4">
        <w:rPr>
          <w:i/>
          <w:iCs/>
        </w:rPr>
        <w:t xml:space="preserve">atients </w:t>
      </w:r>
      <w:r w:rsidR="00E331F1" w:rsidRPr="00BC48B4">
        <w:rPr>
          <w:i/>
          <w:iCs/>
        </w:rPr>
        <w:t>who fulfilled the inclusion criteria were given the study information</w:t>
      </w:r>
      <w:r w:rsidR="00F232AC" w:rsidRPr="00BC48B4">
        <w:rPr>
          <w:i/>
          <w:iCs/>
        </w:rPr>
        <w:t xml:space="preserve"> and invited to participate in the study</w:t>
      </w:r>
      <w:r w:rsidR="00E331F1" w:rsidRPr="00BC48B4">
        <w:rPr>
          <w:i/>
          <w:iCs/>
        </w:rPr>
        <w:t xml:space="preserve">. </w:t>
      </w:r>
    </w:p>
    <w:p w14:paraId="5E910FFA" w14:textId="3D0B4C53" w:rsidR="00E54BAF" w:rsidRDefault="00E54BAF" w:rsidP="00E331F1">
      <w:pPr>
        <w:spacing w:line="360" w:lineRule="auto"/>
      </w:pPr>
    </w:p>
    <w:p w14:paraId="757BE0AB" w14:textId="77777777" w:rsidR="004E39EF" w:rsidRPr="00241369" w:rsidRDefault="004E39EF" w:rsidP="00E331F1">
      <w:pPr>
        <w:spacing w:line="360" w:lineRule="auto"/>
      </w:pPr>
    </w:p>
    <w:p w14:paraId="3EBE5EEA" w14:textId="0AD161AC" w:rsidR="00EF6646" w:rsidRPr="00216903" w:rsidRDefault="00216903" w:rsidP="00216903">
      <w:pPr>
        <w:pStyle w:val="Caption"/>
        <w:rPr>
          <w:i w:val="0"/>
          <w:iCs w:val="0"/>
          <w:color w:val="000000" w:themeColor="text1"/>
          <w:sz w:val="24"/>
          <w:szCs w:val="24"/>
        </w:rPr>
      </w:pPr>
      <w:bookmarkStart w:id="201" w:name="_Toc117780257"/>
      <w:r w:rsidRPr="00216903">
        <w:rPr>
          <w:b/>
          <w:bCs/>
          <w:i w:val="0"/>
          <w:iCs w:val="0"/>
          <w:color w:val="000000" w:themeColor="text1"/>
          <w:sz w:val="24"/>
          <w:szCs w:val="24"/>
        </w:rPr>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16</w:t>
      </w:r>
      <w:r w:rsidR="002C440E">
        <w:rPr>
          <w:b/>
          <w:bCs/>
          <w:i w:val="0"/>
          <w:iCs w:val="0"/>
          <w:color w:val="000000" w:themeColor="text1"/>
          <w:sz w:val="24"/>
          <w:szCs w:val="24"/>
        </w:rPr>
        <w:fldChar w:fldCharType="end"/>
      </w:r>
      <w:r w:rsidR="00EF6646" w:rsidRPr="00216903">
        <w:rPr>
          <w:b/>
          <w:bCs/>
          <w:i w:val="0"/>
          <w:iCs w:val="0"/>
          <w:color w:val="000000" w:themeColor="text1"/>
          <w:sz w:val="24"/>
          <w:szCs w:val="24"/>
        </w:rPr>
        <w:t>:</w:t>
      </w:r>
      <w:r w:rsidR="00EF6646" w:rsidRPr="00216903">
        <w:rPr>
          <w:i w:val="0"/>
          <w:iCs w:val="0"/>
          <w:color w:val="000000" w:themeColor="text1"/>
          <w:sz w:val="24"/>
          <w:szCs w:val="24"/>
        </w:rPr>
        <w:t xml:space="preserve"> Recruitment demographics for children in PBB study 2</w:t>
      </w:r>
      <w:bookmarkEnd w:id="201"/>
      <w:r w:rsidR="00FA65B7" w:rsidRPr="00216903">
        <w:rPr>
          <w:i w:val="0"/>
          <w:iCs w:val="0"/>
          <w:color w:val="000000" w:themeColor="text1"/>
          <w:sz w:val="24"/>
          <w:szCs w:val="24"/>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397"/>
        <w:gridCol w:w="2977"/>
        <w:gridCol w:w="3402"/>
      </w:tblGrid>
      <w:tr w:rsidR="00CF5B55" w:rsidRPr="008F33C8" w14:paraId="78E14C56" w14:textId="77777777" w:rsidTr="00CF5B55">
        <w:trPr>
          <w:trHeight w:val="364"/>
        </w:trPr>
        <w:tc>
          <w:tcPr>
            <w:tcW w:w="3397" w:type="dxa"/>
            <w:shd w:val="clear" w:color="auto" w:fill="5B9BD5"/>
            <w:tcMar>
              <w:top w:w="72" w:type="dxa"/>
              <w:left w:w="144" w:type="dxa"/>
              <w:bottom w:w="72" w:type="dxa"/>
              <w:right w:w="144" w:type="dxa"/>
            </w:tcMar>
            <w:hideMark/>
          </w:tcPr>
          <w:p w14:paraId="1E81F377" w14:textId="0EC11BF7" w:rsidR="00CF5B55" w:rsidRPr="00540937" w:rsidRDefault="00CF5B55" w:rsidP="00FA65B7">
            <w:pPr>
              <w:rPr>
                <w:b/>
                <w:bCs/>
              </w:rPr>
            </w:pPr>
            <w:r w:rsidRPr="00540937">
              <w:rPr>
                <w:b/>
                <w:bCs/>
                <w:color w:val="FFFFFF" w:themeColor="background1"/>
              </w:rPr>
              <w:t>Demographic</w:t>
            </w:r>
          </w:p>
        </w:tc>
        <w:tc>
          <w:tcPr>
            <w:tcW w:w="2977" w:type="dxa"/>
            <w:shd w:val="clear" w:color="auto" w:fill="5B9BD5"/>
          </w:tcPr>
          <w:p w14:paraId="23E9B25D" w14:textId="090FE521" w:rsidR="00CF5B55" w:rsidRDefault="00CF5B55" w:rsidP="00FA65B7">
            <w:pPr>
              <w:rPr>
                <w:rFonts w:ascii="Calibri" w:hAnsi="Calibri" w:cs="Arial"/>
                <w:b/>
                <w:bCs/>
                <w:color w:val="FFFFFF"/>
                <w:kern w:val="24"/>
              </w:rPr>
            </w:pPr>
            <w:r w:rsidRPr="00241369">
              <w:rPr>
                <w:rFonts w:ascii="Calibri" w:hAnsi="Calibri" w:cs="Arial"/>
                <w:b/>
                <w:bCs/>
                <w:color w:val="FFFFFF"/>
                <w:kern w:val="24"/>
              </w:rPr>
              <w:t>Co</w:t>
            </w:r>
            <w:r>
              <w:rPr>
                <w:rFonts w:ascii="Calibri" w:hAnsi="Calibri" w:cs="Arial"/>
                <w:b/>
                <w:bCs/>
                <w:color w:val="FFFFFF"/>
                <w:kern w:val="24"/>
              </w:rPr>
              <w:t>mparison group</w:t>
            </w:r>
            <w:r w:rsidRPr="00241369">
              <w:rPr>
                <w:rFonts w:ascii="Calibri" w:hAnsi="Calibri" w:cs="Arial"/>
                <w:b/>
                <w:bCs/>
                <w:color w:val="FFFFFF"/>
                <w:kern w:val="24"/>
              </w:rPr>
              <w:t xml:space="preserve">    </w:t>
            </w:r>
          </w:p>
          <w:p w14:paraId="328B9467" w14:textId="7AF866EE" w:rsidR="00CF5B55" w:rsidRPr="00241369" w:rsidRDefault="00194415" w:rsidP="00FA65B7">
            <w:pPr>
              <w:rPr>
                <w:rFonts w:ascii="Calibri" w:hAnsi="Calibri" w:cs="Arial"/>
                <w:b/>
                <w:bCs/>
                <w:color w:val="FFFFFF"/>
                <w:kern w:val="24"/>
              </w:rPr>
            </w:pPr>
            <w:r>
              <w:rPr>
                <w:rFonts w:ascii="Calibri" w:hAnsi="Calibri" w:cs="Arial"/>
                <w:b/>
                <w:bCs/>
                <w:color w:val="FFFFFF"/>
                <w:kern w:val="24"/>
              </w:rPr>
              <w:t>N</w:t>
            </w:r>
            <w:r w:rsidR="00CF5B55" w:rsidRPr="00241369">
              <w:rPr>
                <w:rFonts w:ascii="Calibri" w:hAnsi="Calibri" w:cs="Arial"/>
                <w:b/>
                <w:bCs/>
                <w:color w:val="FFFFFF"/>
                <w:kern w:val="24"/>
              </w:rPr>
              <w:t>= 1</w:t>
            </w:r>
            <w:r w:rsidR="00CF5B55">
              <w:rPr>
                <w:rFonts w:ascii="Calibri" w:hAnsi="Calibri" w:cs="Arial"/>
                <w:b/>
                <w:bCs/>
                <w:color w:val="FFFFFF"/>
                <w:kern w:val="24"/>
              </w:rPr>
              <w:t>5</w:t>
            </w:r>
            <w:r>
              <w:rPr>
                <w:rFonts w:ascii="Calibri" w:hAnsi="Calibri" w:cs="Arial"/>
                <w:b/>
                <w:bCs/>
                <w:color w:val="FFFFFF"/>
                <w:kern w:val="24"/>
              </w:rPr>
              <w:t xml:space="preserve"> (%)</w:t>
            </w:r>
          </w:p>
        </w:tc>
        <w:tc>
          <w:tcPr>
            <w:tcW w:w="3402" w:type="dxa"/>
            <w:shd w:val="clear" w:color="auto" w:fill="5B9BD5"/>
          </w:tcPr>
          <w:p w14:paraId="633EE3CF" w14:textId="3973A4BA" w:rsidR="00CF5B55" w:rsidRDefault="00CF5B55" w:rsidP="00FA65B7">
            <w:pPr>
              <w:rPr>
                <w:rFonts w:ascii="Calibri" w:hAnsi="Calibri" w:cs="Arial"/>
                <w:b/>
                <w:bCs/>
                <w:color w:val="FFFFFF"/>
                <w:kern w:val="24"/>
              </w:rPr>
            </w:pPr>
            <w:r w:rsidRPr="00241369">
              <w:rPr>
                <w:rFonts w:ascii="Calibri" w:hAnsi="Calibri" w:cs="Arial"/>
                <w:b/>
                <w:bCs/>
                <w:color w:val="FFFFFF"/>
                <w:kern w:val="24"/>
              </w:rPr>
              <w:t xml:space="preserve">Azithromycin  </w:t>
            </w:r>
            <w:r>
              <w:rPr>
                <w:rFonts w:ascii="Calibri" w:hAnsi="Calibri" w:cs="Arial"/>
                <w:b/>
                <w:bCs/>
                <w:color w:val="FFFFFF"/>
                <w:kern w:val="24"/>
              </w:rPr>
              <w:t>group</w:t>
            </w:r>
          </w:p>
          <w:p w14:paraId="567FB293" w14:textId="2691B1EC" w:rsidR="00CF5B55" w:rsidRPr="00241369" w:rsidRDefault="00194415" w:rsidP="00FA65B7">
            <w:pPr>
              <w:rPr>
                <w:rFonts w:ascii="Calibri" w:hAnsi="Calibri" w:cs="Arial"/>
                <w:b/>
                <w:bCs/>
                <w:color w:val="FFFFFF"/>
                <w:kern w:val="24"/>
              </w:rPr>
            </w:pPr>
            <w:r>
              <w:rPr>
                <w:rFonts w:ascii="Calibri" w:hAnsi="Calibri" w:cs="Arial"/>
                <w:b/>
                <w:bCs/>
                <w:color w:val="FFFFFF"/>
                <w:kern w:val="24"/>
              </w:rPr>
              <w:t>N</w:t>
            </w:r>
            <w:r w:rsidR="00CF5B55" w:rsidRPr="00241369">
              <w:rPr>
                <w:rFonts w:ascii="Calibri" w:hAnsi="Calibri" w:cs="Arial"/>
                <w:b/>
                <w:bCs/>
                <w:color w:val="FFFFFF"/>
                <w:kern w:val="24"/>
              </w:rPr>
              <w:t xml:space="preserve"> =1</w:t>
            </w:r>
            <w:r w:rsidR="00CF5B55">
              <w:rPr>
                <w:rFonts w:ascii="Calibri" w:hAnsi="Calibri" w:cs="Arial"/>
                <w:b/>
                <w:bCs/>
                <w:color w:val="FFFFFF"/>
                <w:kern w:val="24"/>
              </w:rPr>
              <w:t>5</w:t>
            </w:r>
            <w:r>
              <w:rPr>
                <w:rFonts w:ascii="Calibri" w:hAnsi="Calibri" w:cs="Arial"/>
                <w:b/>
                <w:bCs/>
                <w:color w:val="FFFFFF"/>
                <w:kern w:val="24"/>
              </w:rPr>
              <w:t xml:space="preserve"> (%)</w:t>
            </w:r>
          </w:p>
        </w:tc>
      </w:tr>
      <w:tr w:rsidR="00CF5B55" w:rsidRPr="008F33C8" w14:paraId="2E13056C" w14:textId="77777777" w:rsidTr="00CF5B55">
        <w:trPr>
          <w:trHeight w:val="315"/>
        </w:trPr>
        <w:tc>
          <w:tcPr>
            <w:tcW w:w="3397" w:type="dxa"/>
            <w:shd w:val="clear" w:color="auto" w:fill="BDD6EE" w:themeFill="accent1" w:themeFillTint="66"/>
            <w:tcMar>
              <w:top w:w="72" w:type="dxa"/>
              <w:left w:w="144" w:type="dxa"/>
              <w:bottom w:w="72" w:type="dxa"/>
              <w:right w:w="144" w:type="dxa"/>
            </w:tcMar>
            <w:hideMark/>
          </w:tcPr>
          <w:p w14:paraId="562F0424" w14:textId="3E636F25" w:rsidR="00194415" w:rsidRDefault="00194415" w:rsidP="00FA65B7">
            <w:pPr>
              <w:rPr>
                <w:rFonts w:ascii="Calibri" w:hAnsi="Calibri" w:cs="Arial"/>
                <w:color w:val="000000"/>
                <w:kern w:val="24"/>
              </w:rPr>
            </w:pPr>
            <w:bookmarkStart w:id="202" w:name="_Hlk98236504"/>
            <w:r>
              <w:rPr>
                <w:rFonts w:ascii="Calibri" w:hAnsi="Calibri" w:cs="Arial"/>
                <w:color w:val="000000"/>
                <w:kern w:val="24"/>
              </w:rPr>
              <w:t xml:space="preserve">Age: Median </w:t>
            </w:r>
          </w:p>
          <w:p w14:paraId="763A88A8" w14:textId="606678A4" w:rsidR="00CF5B55" w:rsidRPr="008F33C8" w:rsidRDefault="00194415" w:rsidP="00FA65B7">
            <w:pPr>
              <w:rPr>
                <w:rFonts w:ascii="Arial" w:hAnsi="Arial" w:cs="Arial"/>
              </w:rPr>
            </w:pPr>
            <w:r>
              <w:rPr>
                <w:rFonts w:ascii="Calibri" w:hAnsi="Calibri" w:cs="Arial"/>
                <w:color w:val="000000"/>
                <w:kern w:val="24"/>
              </w:rPr>
              <w:t>(25</w:t>
            </w:r>
            <w:r w:rsidRPr="001D04B2">
              <w:rPr>
                <w:rFonts w:ascii="Calibri" w:hAnsi="Calibri" w:cs="Arial"/>
                <w:color w:val="000000"/>
                <w:kern w:val="24"/>
                <w:vertAlign w:val="superscript"/>
              </w:rPr>
              <w:t>th</w:t>
            </w:r>
            <w:r>
              <w:rPr>
                <w:rFonts w:ascii="Calibri" w:hAnsi="Calibri" w:cs="Arial"/>
                <w:color w:val="000000"/>
                <w:kern w:val="24"/>
              </w:rPr>
              <w:t>-75</w:t>
            </w:r>
            <w:r w:rsidRPr="00752DA8">
              <w:rPr>
                <w:rFonts w:ascii="Calibri" w:hAnsi="Calibri" w:cs="Arial"/>
                <w:color w:val="000000"/>
                <w:kern w:val="24"/>
                <w:vertAlign w:val="superscript"/>
              </w:rPr>
              <w:t>th</w:t>
            </w:r>
            <w:r>
              <w:rPr>
                <w:rFonts w:ascii="Calibri" w:hAnsi="Calibri" w:cs="Arial"/>
                <w:color w:val="000000"/>
                <w:kern w:val="24"/>
              </w:rPr>
              <w:t xml:space="preserve"> quartile)</w:t>
            </w:r>
          </w:p>
        </w:tc>
        <w:tc>
          <w:tcPr>
            <w:tcW w:w="2977" w:type="dxa"/>
            <w:shd w:val="clear" w:color="auto" w:fill="BDD6EE" w:themeFill="accent1" w:themeFillTint="66"/>
          </w:tcPr>
          <w:p w14:paraId="3C4DCCA7" w14:textId="03BD213C" w:rsidR="00CF5B55" w:rsidRPr="00752DA8" w:rsidRDefault="00944047" w:rsidP="00752DA8">
            <w:pPr>
              <w:pStyle w:val="ListParagraph"/>
              <w:numPr>
                <w:ilvl w:val="1"/>
                <w:numId w:val="73"/>
              </w:numPr>
              <w:rPr>
                <w:rFonts w:ascii="Calibri" w:hAnsi="Calibri" w:cs="Arial"/>
                <w:color w:val="000000"/>
                <w:kern w:val="24"/>
              </w:rPr>
            </w:pPr>
            <w:r w:rsidRPr="00752DA8">
              <w:rPr>
                <w:rFonts w:ascii="Calibri" w:hAnsi="Calibri" w:cs="Arial"/>
                <w:color w:val="000000"/>
                <w:kern w:val="24"/>
              </w:rPr>
              <w:t>years</w:t>
            </w:r>
          </w:p>
          <w:p w14:paraId="4C4E2E55" w14:textId="60DADE8F" w:rsidR="00CF5B55" w:rsidRPr="00241369" w:rsidRDefault="00944047">
            <w:pPr>
              <w:rPr>
                <w:rFonts w:ascii="Calibri" w:hAnsi="Calibri" w:cs="Arial"/>
                <w:color w:val="000000"/>
                <w:kern w:val="24"/>
              </w:rPr>
            </w:pPr>
            <w:r>
              <w:rPr>
                <w:rFonts w:ascii="Calibri" w:hAnsi="Calibri" w:cs="Arial"/>
                <w:color w:val="000000"/>
                <w:kern w:val="24"/>
              </w:rPr>
              <w:t>(2-3.5)</w:t>
            </w:r>
          </w:p>
        </w:tc>
        <w:tc>
          <w:tcPr>
            <w:tcW w:w="3402" w:type="dxa"/>
            <w:shd w:val="clear" w:color="auto" w:fill="BDD6EE" w:themeFill="accent1" w:themeFillTint="66"/>
          </w:tcPr>
          <w:p w14:paraId="03B176FD" w14:textId="4184E5DA" w:rsidR="00944047" w:rsidRDefault="00944047" w:rsidP="001D04B2">
            <w:r>
              <w:rPr>
                <w:rFonts w:ascii="Calibri" w:hAnsi="Calibri" w:cs="Arial"/>
                <w:color w:val="000000"/>
                <w:kern w:val="24"/>
              </w:rPr>
              <w:t xml:space="preserve">3.4 </w:t>
            </w:r>
            <w:r w:rsidRPr="00944047">
              <w:t>years</w:t>
            </w:r>
          </w:p>
          <w:p w14:paraId="2569BD74" w14:textId="050AA03A" w:rsidR="00944047" w:rsidRPr="00944047" w:rsidRDefault="00944047">
            <w:r>
              <w:rPr>
                <w:rFonts w:ascii="Calibri" w:hAnsi="Calibri" w:cs="Arial"/>
                <w:color w:val="000000"/>
                <w:kern w:val="24"/>
              </w:rPr>
              <w:t>(2.9-4.1)</w:t>
            </w:r>
          </w:p>
        </w:tc>
      </w:tr>
      <w:tr w:rsidR="00CF5B55" w:rsidRPr="008F33C8" w14:paraId="6428A883" w14:textId="77777777" w:rsidTr="00CF5B55">
        <w:trPr>
          <w:trHeight w:val="315"/>
        </w:trPr>
        <w:tc>
          <w:tcPr>
            <w:tcW w:w="3397" w:type="dxa"/>
            <w:shd w:val="clear" w:color="auto" w:fill="EAEFF7"/>
            <w:tcMar>
              <w:top w:w="72" w:type="dxa"/>
              <w:left w:w="144" w:type="dxa"/>
              <w:bottom w:w="72" w:type="dxa"/>
              <w:right w:w="144" w:type="dxa"/>
            </w:tcMar>
            <w:hideMark/>
          </w:tcPr>
          <w:p w14:paraId="2AC3BD74" w14:textId="77777777" w:rsidR="00CF5B55" w:rsidRPr="00540937" w:rsidRDefault="00CF5B55" w:rsidP="00FA65B7">
            <w:pPr>
              <w:rPr>
                <w:rFonts w:cstheme="minorHAnsi"/>
              </w:rPr>
            </w:pPr>
            <w:r w:rsidRPr="00540937">
              <w:rPr>
                <w:rFonts w:cstheme="minorHAnsi"/>
                <w:color w:val="000000"/>
                <w:kern w:val="24"/>
              </w:rPr>
              <w:t>Female</w:t>
            </w:r>
          </w:p>
        </w:tc>
        <w:tc>
          <w:tcPr>
            <w:tcW w:w="2977" w:type="dxa"/>
            <w:shd w:val="clear" w:color="auto" w:fill="EAEFF7"/>
          </w:tcPr>
          <w:p w14:paraId="34D34C36" w14:textId="3695DD67" w:rsidR="00CF5B55" w:rsidRPr="00540937" w:rsidRDefault="00CF5B55" w:rsidP="00FA65B7">
            <w:pPr>
              <w:rPr>
                <w:rFonts w:cstheme="minorHAnsi"/>
              </w:rPr>
            </w:pPr>
            <w:r w:rsidRPr="00540937">
              <w:rPr>
                <w:rFonts w:cstheme="minorHAnsi"/>
              </w:rPr>
              <w:t>8</w:t>
            </w:r>
            <w:r w:rsidR="00E772B1">
              <w:rPr>
                <w:rFonts w:cstheme="minorHAnsi"/>
              </w:rPr>
              <w:t xml:space="preserve"> (53)</w:t>
            </w:r>
          </w:p>
        </w:tc>
        <w:tc>
          <w:tcPr>
            <w:tcW w:w="3402" w:type="dxa"/>
            <w:shd w:val="clear" w:color="auto" w:fill="EAEFF7"/>
          </w:tcPr>
          <w:p w14:paraId="615C7272" w14:textId="4531374D" w:rsidR="00CF5B55" w:rsidRPr="00540937" w:rsidRDefault="00CF5B55" w:rsidP="00FA65B7">
            <w:pPr>
              <w:rPr>
                <w:rFonts w:cstheme="minorHAnsi"/>
              </w:rPr>
            </w:pPr>
            <w:r w:rsidRPr="00540937">
              <w:rPr>
                <w:rFonts w:cstheme="minorHAnsi"/>
              </w:rPr>
              <w:t>5</w:t>
            </w:r>
            <w:r w:rsidR="00194415">
              <w:rPr>
                <w:rFonts w:cstheme="minorHAnsi"/>
              </w:rPr>
              <w:t xml:space="preserve"> (33)</w:t>
            </w:r>
          </w:p>
        </w:tc>
      </w:tr>
      <w:tr w:rsidR="00CF5B55" w:rsidRPr="008F33C8" w14:paraId="5F68E556" w14:textId="77777777" w:rsidTr="00CF5B55">
        <w:trPr>
          <w:trHeight w:val="315"/>
        </w:trPr>
        <w:tc>
          <w:tcPr>
            <w:tcW w:w="3397" w:type="dxa"/>
            <w:shd w:val="clear" w:color="auto" w:fill="BDD6EE" w:themeFill="accent1" w:themeFillTint="66"/>
            <w:tcMar>
              <w:top w:w="72" w:type="dxa"/>
              <w:left w:w="144" w:type="dxa"/>
              <w:bottom w:w="72" w:type="dxa"/>
              <w:right w:w="144" w:type="dxa"/>
            </w:tcMar>
          </w:tcPr>
          <w:p w14:paraId="06D59E42"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Vaginal delivery</w:t>
            </w:r>
          </w:p>
        </w:tc>
        <w:tc>
          <w:tcPr>
            <w:tcW w:w="2977" w:type="dxa"/>
            <w:shd w:val="clear" w:color="auto" w:fill="BDD6EE" w:themeFill="accent1" w:themeFillTint="66"/>
          </w:tcPr>
          <w:p w14:paraId="3B3A8AE6" w14:textId="0C56CC77" w:rsidR="00CF5B55" w:rsidRDefault="00CF5B55" w:rsidP="00FA65B7">
            <w:pPr>
              <w:rPr>
                <w:rFonts w:ascii="Calibri" w:hAnsi="Calibri" w:cs="Arial"/>
                <w:color w:val="000000"/>
                <w:kern w:val="24"/>
              </w:rPr>
            </w:pPr>
            <w:r>
              <w:rPr>
                <w:rFonts w:ascii="Calibri" w:hAnsi="Calibri" w:cs="Arial"/>
                <w:color w:val="000000"/>
                <w:kern w:val="24"/>
              </w:rPr>
              <w:t>13</w:t>
            </w:r>
            <w:r w:rsidR="00194415">
              <w:rPr>
                <w:rFonts w:ascii="Calibri" w:hAnsi="Calibri" w:cs="Arial"/>
                <w:color w:val="000000"/>
                <w:kern w:val="24"/>
              </w:rPr>
              <w:t xml:space="preserve"> (87)</w:t>
            </w:r>
          </w:p>
        </w:tc>
        <w:tc>
          <w:tcPr>
            <w:tcW w:w="3402" w:type="dxa"/>
            <w:shd w:val="clear" w:color="auto" w:fill="BDD6EE" w:themeFill="accent1" w:themeFillTint="66"/>
          </w:tcPr>
          <w:p w14:paraId="292C81E3" w14:textId="78E34C3A" w:rsidR="00CF5B55" w:rsidRDefault="00CF5B55" w:rsidP="00FA65B7">
            <w:pPr>
              <w:rPr>
                <w:rFonts w:ascii="Calibri" w:hAnsi="Calibri" w:cs="Arial"/>
                <w:color w:val="000000"/>
                <w:kern w:val="24"/>
              </w:rPr>
            </w:pPr>
            <w:r w:rsidRPr="00241369">
              <w:rPr>
                <w:rFonts w:ascii="Calibri" w:hAnsi="Calibri" w:cs="Arial"/>
                <w:color w:val="000000"/>
                <w:kern w:val="24"/>
              </w:rPr>
              <w:t>1</w:t>
            </w:r>
            <w:r>
              <w:rPr>
                <w:rFonts w:ascii="Calibri" w:hAnsi="Calibri" w:cs="Arial"/>
                <w:color w:val="000000"/>
                <w:kern w:val="24"/>
              </w:rPr>
              <w:t>1</w:t>
            </w:r>
            <w:r w:rsidR="00194415">
              <w:rPr>
                <w:rFonts w:ascii="Calibri" w:hAnsi="Calibri" w:cs="Arial"/>
                <w:color w:val="000000"/>
                <w:kern w:val="24"/>
              </w:rPr>
              <w:t xml:space="preserve"> (73)</w:t>
            </w:r>
          </w:p>
        </w:tc>
      </w:tr>
      <w:tr w:rsidR="00CF5B55" w:rsidRPr="008F33C8" w14:paraId="19EEB9FA" w14:textId="77777777" w:rsidTr="00CF5B55">
        <w:trPr>
          <w:trHeight w:val="315"/>
        </w:trPr>
        <w:tc>
          <w:tcPr>
            <w:tcW w:w="3397" w:type="dxa"/>
            <w:shd w:val="clear" w:color="auto" w:fill="DEEAF6" w:themeFill="accent1" w:themeFillTint="33"/>
            <w:tcMar>
              <w:top w:w="72" w:type="dxa"/>
              <w:left w:w="144" w:type="dxa"/>
              <w:bottom w:w="72" w:type="dxa"/>
              <w:right w:w="144" w:type="dxa"/>
            </w:tcMar>
          </w:tcPr>
          <w:p w14:paraId="56330B9A"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Breast fed</w:t>
            </w:r>
          </w:p>
        </w:tc>
        <w:tc>
          <w:tcPr>
            <w:tcW w:w="2977" w:type="dxa"/>
            <w:shd w:val="clear" w:color="auto" w:fill="DEEAF6" w:themeFill="accent1" w:themeFillTint="33"/>
          </w:tcPr>
          <w:p w14:paraId="30D173DD" w14:textId="48764F51" w:rsidR="00CF5B55" w:rsidRDefault="00CF5B55" w:rsidP="00FA65B7">
            <w:pPr>
              <w:rPr>
                <w:rFonts w:ascii="Calibri" w:hAnsi="Calibri" w:cs="Arial"/>
                <w:color w:val="000000"/>
                <w:kern w:val="24"/>
              </w:rPr>
            </w:pPr>
            <w:r>
              <w:rPr>
                <w:rFonts w:ascii="Calibri" w:hAnsi="Calibri" w:cs="Arial"/>
                <w:color w:val="000000"/>
                <w:kern w:val="24"/>
              </w:rPr>
              <w:t>8</w:t>
            </w:r>
            <w:r w:rsidR="00E772B1">
              <w:rPr>
                <w:rFonts w:ascii="Calibri" w:hAnsi="Calibri" w:cs="Arial"/>
                <w:color w:val="000000"/>
                <w:kern w:val="24"/>
              </w:rPr>
              <w:t xml:space="preserve"> (53)</w:t>
            </w:r>
          </w:p>
        </w:tc>
        <w:tc>
          <w:tcPr>
            <w:tcW w:w="3402" w:type="dxa"/>
            <w:shd w:val="clear" w:color="auto" w:fill="DEEAF6" w:themeFill="accent1" w:themeFillTint="33"/>
          </w:tcPr>
          <w:p w14:paraId="5AE317CE" w14:textId="2010D053" w:rsidR="00CF5B55" w:rsidRDefault="00CF5B55" w:rsidP="00FA65B7">
            <w:pPr>
              <w:rPr>
                <w:rFonts w:ascii="Calibri" w:hAnsi="Calibri" w:cs="Arial"/>
                <w:color w:val="000000"/>
                <w:kern w:val="24"/>
              </w:rPr>
            </w:pPr>
            <w:r>
              <w:rPr>
                <w:rFonts w:ascii="Calibri" w:hAnsi="Calibri" w:cs="Arial"/>
                <w:color w:val="000000"/>
                <w:kern w:val="24"/>
              </w:rPr>
              <w:t>7</w:t>
            </w:r>
            <w:r w:rsidR="00194415">
              <w:rPr>
                <w:rFonts w:ascii="Calibri" w:hAnsi="Calibri" w:cs="Arial"/>
                <w:color w:val="000000"/>
                <w:kern w:val="24"/>
              </w:rPr>
              <w:t xml:space="preserve"> (47)</w:t>
            </w:r>
          </w:p>
        </w:tc>
      </w:tr>
      <w:tr w:rsidR="00CF5B55" w:rsidRPr="008F33C8" w14:paraId="17DA0B13" w14:textId="77777777" w:rsidTr="00CF5B55">
        <w:trPr>
          <w:trHeight w:val="315"/>
        </w:trPr>
        <w:tc>
          <w:tcPr>
            <w:tcW w:w="3397" w:type="dxa"/>
            <w:shd w:val="clear" w:color="auto" w:fill="BDD6EE" w:themeFill="accent1" w:themeFillTint="66"/>
            <w:tcMar>
              <w:top w:w="72" w:type="dxa"/>
              <w:left w:w="144" w:type="dxa"/>
              <w:bottom w:w="72" w:type="dxa"/>
              <w:right w:w="144" w:type="dxa"/>
            </w:tcMar>
          </w:tcPr>
          <w:p w14:paraId="76617818"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Microbiological diagnosis</w:t>
            </w:r>
          </w:p>
        </w:tc>
        <w:tc>
          <w:tcPr>
            <w:tcW w:w="2977" w:type="dxa"/>
            <w:shd w:val="clear" w:color="auto" w:fill="BDD6EE" w:themeFill="accent1" w:themeFillTint="66"/>
          </w:tcPr>
          <w:p w14:paraId="0F8A9056" w14:textId="7867C916" w:rsidR="00CF5B55" w:rsidRDefault="00CF5B55" w:rsidP="00FA65B7">
            <w:pPr>
              <w:rPr>
                <w:rFonts w:ascii="Calibri" w:hAnsi="Calibri" w:cs="Arial"/>
                <w:color w:val="000000"/>
                <w:kern w:val="24"/>
              </w:rPr>
            </w:pPr>
            <w:r>
              <w:rPr>
                <w:rFonts w:ascii="Calibri" w:hAnsi="Calibri" w:cs="Arial"/>
                <w:color w:val="000000"/>
                <w:kern w:val="24"/>
              </w:rPr>
              <w:t>8</w:t>
            </w:r>
            <w:r w:rsidR="00E772B1">
              <w:rPr>
                <w:rFonts w:ascii="Calibri" w:hAnsi="Calibri" w:cs="Arial"/>
                <w:color w:val="000000"/>
                <w:kern w:val="24"/>
              </w:rPr>
              <w:t xml:space="preserve"> (53)</w:t>
            </w:r>
          </w:p>
        </w:tc>
        <w:tc>
          <w:tcPr>
            <w:tcW w:w="3402" w:type="dxa"/>
            <w:shd w:val="clear" w:color="auto" w:fill="BDD6EE" w:themeFill="accent1" w:themeFillTint="66"/>
          </w:tcPr>
          <w:p w14:paraId="25DCD74C" w14:textId="3C08AAF5" w:rsidR="00CF5B55" w:rsidRDefault="00CF5B55" w:rsidP="00FA65B7">
            <w:pPr>
              <w:rPr>
                <w:rFonts w:ascii="Calibri" w:hAnsi="Calibri" w:cs="Arial"/>
                <w:color w:val="000000"/>
                <w:kern w:val="24"/>
              </w:rPr>
            </w:pPr>
            <w:r w:rsidRPr="00241369">
              <w:rPr>
                <w:rFonts w:ascii="Calibri" w:hAnsi="Calibri" w:cs="Arial"/>
                <w:color w:val="000000"/>
                <w:kern w:val="24"/>
              </w:rPr>
              <w:t>1</w:t>
            </w:r>
            <w:r>
              <w:rPr>
                <w:rFonts w:ascii="Calibri" w:hAnsi="Calibri" w:cs="Arial"/>
                <w:color w:val="000000"/>
                <w:kern w:val="24"/>
              </w:rPr>
              <w:t>4</w:t>
            </w:r>
            <w:r w:rsidR="00194415">
              <w:rPr>
                <w:rFonts w:ascii="Calibri" w:hAnsi="Calibri" w:cs="Arial"/>
                <w:color w:val="000000"/>
                <w:kern w:val="24"/>
              </w:rPr>
              <w:t xml:space="preserve"> (93)</w:t>
            </w:r>
          </w:p>
        </w:tc>
      </w:tr>
      <w:tr w:rsidR="00CF5B55" w:rsidRPr="008F33C8" w14:paraId="44004B18" w14:textId="77777777" w:rsidTr="00CF5B55">
        <w:trPr>
          <w:trHeight w:val="315"/>
        </w:trPr>
        <w:tc>
          <w:tcPr>
            <w:tcW w:w="3397" w:type="dxa"/>
            <w:shd w:val="clear" w:color="auto" w:fill="DEEAF6" w:themeFill="accent1" w:themeFillTint="33"/>
            <w:tcMar>
              <w:top w:w="72" w:type="dxa"/>
              <w:left w:w="144" w:type="dxa"/>
              <w:bottom w:w="72" w:type="dxa"/>
              <w:right w:w="144" w:type="dxa"/>
            </w:tcMar>
          </w:tcPr>
          <w:p w14:paraId="22E790C6"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Premature &lt;37</w:t>
            </w:r>
          </w:p>
        </w:tc>
        <w:tc>
          <w:tcPr>
            <w:tcW w:w="2977" w:type="dxa"/>
            <w:shd w:val="clear" w:color="auto" w:fill="DEEAF6" w:themeFill="accent1" w:themeFillTint="33"/>
          </w:tcPr>
          <w:p w14:paraId="319EDDD3" w14:textId="5E37BB52" w:rsidR="00CF5B55" w:rsidRPr="00241369" w:rsidRDefault="00CF5B55" w:rsidP="00FA65B7">
            <w:pPr>
              <w:rPr>
                <w:rFonts w:ascii="Calibri" w:hAnsi="Calibri" w:cs="Arial"/>
                <w:color w:val="000000"/>
                <w:kern w:val="24"/>
              </w:rPr>
            </w:pPr>
            <w:r w:rsidRPr="00241369">
              <w:rPr>
                <w:rFonts w:ascii="Calibri" w:hAnsi="Calibri" w:cs="Arial"/>
                <w:color w:val="000000"/>
                <w:kern w:val="24"/>
              </w:rPr>
              <w:t>1</w:t>
            </w:r>
            <w:r w:rsidR="00194415">
              <w:rPr>
                <w:rFonts w:ascii="Calibri" w:hAnsi="Calibri" w:cs="Arial"/>
                <w:color w:val="000000"/>
                <w:kern w:val="24"/>
              </w:rPr>
              <w:t xml:space="preserve"> (7)</w:t>
            </w:r>
          </w:p>
        </w:tc>
        <w:tc>
          <w:tcPr>
            <w:tcW w:w="3402" w:type="dxa"/>
            <w:shd w:val="clear" w:color="auto" w:fill="DEEAF6" w:themeFill="accent1" w:themeFillTint="33"/>
          </w:tcPr>
          <w:p w14:paraId="35573C49" w14:textId="41C794AE" w:rsidR="00CF5B55" w:rsidRPr="00241369" w:rsidRDefault="00CF5B55" w:rsidP="00FA65B7">
            <w:pPr>
              <w:rPr>
                <w:rFonts w:ascii="Calibri" w:hAnsi="Calibri" w:cs="Arial"/>
                <w:color w:val="000000"/>
                <w:kern w:val="24"/>
              </w:rPr>
            </w:pPr>
            <w:r>
              <w:rPr>
                <w:rFonts w:ascii="Calibri" w:hAnsi="Calibri" w:cs="Arial"/>
                <w:color w:val="000000"/>
                <w:kern w:val="24"/>
              </w:rPr>
              <w:t>3</w:t>
            </w:r>
            <w:r w:rsidR="00194415">
              <w:rPr>
                <w:rFonts w:ascii="Calibri" w:hAnsi="Calibri" w:cs="Arial"/>
                <w:color w:val="000000"/>
                <w:kern w:val="24"/>
              </w:rPr>
              <w:t xml:space="preserve"> (20)</w:t>
            </w:r>
          </w:p>
        </w:tc>
      </w:tr>
      <w:tr w:rsidR="00CF5B55" w:rsidRPr="008F33C8" w14:paraId="00DA2DE8" w14:textId="77777777" w:rsidTr="00CF5B55">
        <w:trPr>
          <w:trHeight w:val="315"/>
        </w:trPr>
        <w:tc>
          <w:tcPr>
            <w:tcW w:w="3397" w:type="dxa"/>
            <w:shd w:val="clear" w:color="auto" w:fill="BDD6EE" w:themeFill="accent1" w:themeFillTint="66"/>
            <w:tcMar>
              <w:top w:w="72" w:type="dxa"/>
              <w:left w:w="144" w:type="dxa"/>
              <w:bottom w:w="72" w:type="dxa"/>
              <w:right w:w="144" w:type="dxa"/>
            </w:tcMar>
          </w:tcPr>
          <w:p w14:paraId="5A4DB275"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Ventilated</w:t>
            </w:r>
          </w:p>
        </w:tc>
        <w:tc>
          <w:tcPr>
            <w:tcW w:w="2977" w:type="dxa"/>
            <w:shd w:val="clear" w:color="auto" w:fill="BDD6EE" w:themeFill="accent1" w:themeFillTint="66"/>
          </w:tcPr>
          <w:p w14:paraId="34D69DA3" w14:textId="1BB7886F" w:rsidR="00CF5B55" w:rsidRPr="00241369" w:rsidRDefault="00CF5B55" w:rsidP="00FA65B7">
            <w:pPr>
              <w:rPr>
                <w:rFonts w:ascii="Calibri" w:hAnsi="Calibri" w:cs="Arial"/>
                <w:color w:val="000000"/>
                <w:kern w:val="24"/>
              </w:rPr>
            </w:pPr>
            <w:r w:rsidRPr="00241369">
              <w:rPr>
                <w:rFonts w:ascii="Calibri" w:hAnsi="Calibri" w:cs="Arial"/>
                <w:color w:val="000000"/>
                <w:kern w:val="24"/>
              </w:rPr>
              <w:t>0</w:t>
            </w:r>
            <w:r w:rsidR="00194415">
              <w:rPr>
                <w:rFonts w:ascii="Calibri" w:hAnsi="Calibri" w:cs="Arial"/>
                <w:color w:val="000000"/>
                <w:kern w:val="24"/>
              </w:rPr>
              <w:t xml:space="preserve"> (0)</w:t>
            </w:r>
          </w:p>
        </w:tc>
        <w:tc>
          <w:tcPr>
            <w:tcW w:w="3402" w:type="dxa"/>
            <w:shd w:val="clear" w:color="auto" w:fill="BDD6EE" w:themeFill="accent1" w:themeFillTint="66"/>
          </w:tcPr>
          <w:p w14:paraId="04D8F7E1" w14:textId="231A1713" w:rsidR="00CF5B55" w:rsidRPr="00241369" w:rsidRDefault="00CF5B55" w:rsidP="00FA65B7">
            <w:pPr>
              <w:rPr>
                <w:rFonts w:ascii="Calibri" w:hAnsi="Calibri" w:cs="Arial"/>
                <w:color w:val="000000"/>
                <w:kern w:val="24"/>
              </w:rPr>
            </w:pPr>
            <w:r w:rsidRPr="00241369">
              <w:rPr>
                <w:rFonts w:ascii="Calibri" w:hAnsi="Calibri" w:cs="Arial"/>
                <w:color w:val="000000"/>
                <w:kern w:val="24"/>
              </w:rPr>
              <w:t>1</w:t>
            </w:r>
            <w:r w:rsidR="00194415">
              <w:rPr>
                <w:rFonts w:ascii="Calibri" w:hAnsi="Calibri" w:cs="Arial"/>
                <w:color w:val="000000"/>
                <w:kern w:val="24"/>
              </w:rPr>
              <w:t xml:space="preserve"> (7)</w:t>
            </w:r>
          </w:p>
        </w:tc>
      </w:tr>
      <w:tr w:rsidR="00CF5B55" w:rsidRPr="008F33C8" w14:paraId="77AF9DCB" w14:textId="77777777" w:rsidTr="00CF5B55">
        <w:trPr>
          <w:trHeight w:val="315"/>
        </w:trPr>
        <w:tc>
          <w:tcPr>
            <w:tcW w:w="3397" w:type="dxa"/>
            <w:shd w:val="clear" w:color="auto" w:fill="DEEAF6" w:themeFill="accent1" w:themeFillTint="33"/>
            <w:tcMar>
              <w:top w:w="72" w:type="dxa"/>
              <w:left w:w="144" w:type="dxa"/>
              <w:bottom w:w="72" w:type="dxa"/>
              <w:right w:w="144" w:type="dxa"/>
            </w:tcMar>
          </w:tcPr>
          <w:p w14:paraId="4D1FC5BE" w14:textId="77777777" w:rsidR="00CF5B55" w:rsidRPr="002D0226" w:rsidRDefault="00CF5B55" w:rsidP="00FA65B7">
            <w:pPr>
              <w:rPr>
                <w:rFonts w:ascii="Calibri" w:hAnsi="Calibri" w:cs="Arial"/>
                <w:color w:val="000000"/>
                <w:kern w:val="24"/>
              </w:rPr>
            </w:pPr>
            <w:r w:rsidRPr="00540937">
              <w:rPr>
                <w:rFonts w:ascii="Calibri" w:hAnsi="Calibri" w:cs="Arial"/>
                <w:color w:val="000000"/>
                <w:kern w:val="24"/>
              </w:rPr>
              <w:t>Parent smoker</w:t>
            </w:r>
          </w:p>
        </w:tc>
        <w:tc>
          <w:tcPr>
            <w:tcW w:w="2977" w:type="dxa"/>
            <w:shd w:val="clear" w:color="auto" w:fill="DEEAF6" w:themeFill="accent1" w:themeFillTint="33"/>
          </w:tcPr>
          <w:p w14:paraId="113D7E62" w14:textId="7986EFDB" w:rsidR="00CF5B55" w:rsidRDefault="00CF5B55" w:rsidP="00FA65B7">
            <w:pPr>
              <w:rPr>
                <w:rFonts w:ascii="Calibri" w:hAnsi="Calibri" w:cs="Arial"/>
                <w:color w:val="000000"/>
                <w:kern w:val="24"/>
              </w:rPr>
            </w:pPr>
            <w:r>
              <w:rPr>
                <w:rFonts w:ascii="Calibri" w:hAnsi="Calibri" w:cs="Arial"/>
                <w:color w:val="000000"/>
                <w:kern w:val="24"/>
              </w:rPr>
              <w:t>4</w:t>
            </w:r>
            <w:r w:rsidR="00194415">
              <w:rPr>
                <w:rFonts w:ascii="Calibri" w:hAnsi="Calibri" w:cs="Arial"/>
                <w:color w:val="000000"/>
                <w:kern w:val="24"/>
              </w:rPr>
              <w:t xml:space="preserve"> (27)</w:t>
            </w:r>
          </w:p>
        </w:tc>
        <w:tc>
          <w:tcPr>
            <w:tcW w:w="3402" w:type="dxa"/>
            <w:shd w:val="clear" w:color="auto" w:fill="DEEAF6" w:themeFill="accent1" w:themeFillTint="33"/>
          </w:tcPr>
          <w:p w14:paraId="21F97B24" w14:textId="469430BE" w:rsidR="00CF5B55" w:rsidRDefault="00CF5B55" w:rsidP="00FA65B7">
            <w:pPr>
              <w:rPr>
                <w:rFonts w:ascii="Calibri" w:hAnsi="Calibri" w:cs="Arial"/>
                <w:color w:val="000000"/>
                <w:kern w:val="24"/>
              </w:rPr>
            </w:pPr>
            <w:r>
              <w:rPr>
                <w:rFonts w:ascii="Calibri" w:hAnsi="Calibri" w:cs="Arial"/>
                <w:color w:val="000000"/>
                <w:kern w:val="24"/>
              </w:rPr>
              <w:t>3</w:t>
            </w:r>
            <w:r w:rsidR="00194415">
              <w:rPr>
                <w:rFonts w:ascii="Calibri" w:hAnsi="Calibri" w:cs="Arial"/>
                <w:color w:val="000000"/>
                <w:kern w:val="24"/>
              </w:rPr>
              <w:t xml:space="preserve"> (20)</w:t>
            </w:r>
          </w:p>
        </w:tc>
      </w:tr>
      <w:tr w:rsidR="00CF5B55" w:rsidRPr="008F33C8" w14:paraId="0B5C4634" w14:textId="77777777" w:rsidTr="00CF5B55">
        <w:trPr>
          <w:trHeight w:val="315"/>
        </w:trPr>
        <w:tc>
          <w:tcPr>
            <w:tcW w:w="3397" w:type="dxa"/>
            <w:shd w:val="clear" w:color="auto" w:fill="BDD6EE" w:themeFill="accent1" w:themeFillTint="66"/>
            <w:tcMar>
              <w:top w:w="72" w:type="dxa"/>
              <w:left w:w="144" w:type="dxa"/>
              <w:bottom w:w="72" w:type="dxa"/>
              <w:right w:w="144" w:type="dxa"/>
            </w:tcMar>
          </w:tcPr>
          <w:p w14:paraId="7D655F72" w14:textId="77777777" w:rsidR="00052DD6" w:rsidRDefault="00CF5B55" w:rsidP="00FA65B7">
            <w:pPr>
              <w:rPr>
                <w:rFonts w:ascii="Calibri" w:hAnsi="Calibri" w:cs="Arial"/>
                <w:color w:val="000000"/>
                <w:kern w:val="24"/>
              </w:rPr>
            </w:pPr>
            <w:r w:rsidRPr="00540937">
              <w:rPr>
                <w:rFonts w:ascii="Calibri" w:hAnsi="Calibri" w:cs="Arial"/>
                <w:color w:val="000000"/>
                <w:kern w:val="24"/>
              </w:rPr>
              <w:t>Fully immunised</w:t>
            </w:r>
            <w:r w:rsidR="00052DD6">
              <w:rPr>
                <w:rFonts w:ascii="Calibri" w:hAnsi="Calibri" w:cs="Arial"/>
                <w:color w:val="000000"/>
                <w:kern w:val="24"/>
              </w:rPr>
              <w:t xml:space="preserve"> for age </w:t>
            </w:r>
          </w:p>
          <w:p w14:paraId="2745691D" w14:textId="7CE52264" w:rsidR="00CF5B55" w:rsidRPr="002D0226" w:rsidRDefault="00052DD6" w:rsidP="00FA65B7">
            <w:pPr>
              <w:rPr>
                <w:rFonts w:ascii="Calibri" w:hAnsi="Calibri" w:cs="Arial"/>
                <w:color w:val="000000"/>
                <w:kern w:val="24"/>
              </w:rPr>
            </w:pPr>
            <w:r>
              <w:rPr>
                <w:rFonts w:ascii="Calibri" w:hAnsi="Calibri" w:cs="Arial"/>
                <w:color w:val="000000"/>
                <w:kern w:val="24"/>
              </w:rPr>
              <w:t>(UK immunisation schedule)</w:t>
            </w:r>
          </w:p>
        </w:tc>
        <w:tc>
          <w:tcPr>
            <w:tcW w:w="2977" w:type="dxa"/>
            <w:shd w:val="clear" w:color="auto" w:fill="BDD6EE" w:themeFill="accent1" w:themeFillTint="66"/>
          </w:tcPr>
          <w:p w14:paraId="75FCF631" w14:textId="4449E3B4" w:rsidR="00CF5B55" w:rsidRPr="00241369" w:rsidRDefault="00CF5B55" w:rsidP="00FA65B7">
            <w:pPr>
              <w:rPr>
                <w:rFonts w:ascii="Calibri" w:hAnsi="Calibri" w:cs="Arial"/>
                <w:color w:val="000000"/>
                <w:kern w:val="24"/>
              </w:rPr>
            </w:pPr>
            <w:r w:rsidRPr="00241369">
              <w:rPr>
                <w:rFonts w:ascii="Calibri" w:hAnsi="Calibri" w:cs="Arial"/>
                <w:color w:val="000000"/>
                <w:kern w:val="24"/>
              </w:rPr>
              <w:t>1</w:t>
            </w:r>
            <w:r>
              <w:rPr>
                <w:rFonts w:ascii="Calibri" w:hAnsi="Calibri" w:cs="Arial"/>
                <w:color w:val="000000"/>
                <w:kern w:val="24"/>
              </w:rPr>
              <w:t>5</w:t>
            </w:r>
            <w:r w:rsidR="00194415">
              <w:rPr>
                <w:rFonts w:ascii="Calibri" w:hAnsi="Calibri" w:cs="Arial"/>
                <w:color w:val="000000"/>
                <w:kern w:val="24"/>
              </w:rPr>
              <w:t xml:space="preserve"> (100)</w:t>
            </w:r>
          </w:p>
        </w:tc>
        <w:tc>
          <w:tcPr>
            <w:tcW w:w="3402" w:type="dxa"/>
            <w:shd w:val="clear" w:color="auto" w:fill="BDD6EE" w:themeFill="accent1" w:themeFillTint="66"/>
          </w:tcPr>
          <w:p w14:paraId="44B88472" w14:textId="49DA6DE8" w:rsidR="00CF5B55" w:rsidRPr="00241369" w:rsidRDefault="00CF5B55" w:rsidP="00FA65B7">
            <w:pPr>
              <w:rPr>
                <w:rFonts w:ascii="Calibri" w:hAnsi="Calibri" w:cs="Arial"/>
                <w:color w:val="000000"/>
                <w:kern w:val="24"/>
              </w:rPr>
            </w:pPr>
            <w:r w:rsidRPr="00241369">
              <w:rPr>
                <w:rFonts w:ascii="Calibri" w:hAnsi="Calibri" w:cs="Arial"/>
                <w:color w:val="000000"/>
                <w:kern w:val="24"/>
              </w:rPr>
              <w:t>1</w:t>
            </w:r>
            <w:r>
              <w:rPr>
                <w:rFonts w:ascii="Calibri" w:hAnsi="Calibri" w:cs="Arial"/>
                <w:color w:val="000000"/>
                <w:kern w:val="24"/>
              </w:rPr>
              <w:t>5</w:t>
            </w:r>
            <w:r w:rsidR="00194415">
              <w:rPr>
                <w:rFonts w:ascii="Calibri" w:hAnsi="Calibri" w:cs="Arial"/>
                <w:color w:val="000000"/>
                <w:kern w:val="24"/>
              </w:rPr>
              <w:t xml:space="preserve"> (100)</w:t>
            </w:r>
          </w:p>
        </w:tc>
      </w:tr>
      <w:tr w:rsidR="00CF5B55" w:rsidRPr="008F33C8" w14:paraId="1B127B7E" w14:textId="77777777" w:rsidTr="00CF5B55">
        <w:trPr>
          <w:trHeight w:val="315"/>
        </w:trPr>
        <w:tc>
          <w:tcPr>
            <w:tcW w:w="3397" w:type="dxa"/>
            <w:shd w:val="clear" w:color="auto" w:fill="DEEAF6" w:themeFill="accent1" w:themeFillTint="33"/>
            <w:tcMar>
              <w:top w:w="72" w:type="dxa"/>
              <w:left w:w="144" w:type="dxa"/>
              <w:bottom w:w="72" w:type="dxa"/>
              <w:right w:w="144" w:type="dxa"/>
            </w:tcMar>
          </w:tcPr>
          <w:p w14:paraId="05D62284" w14:textId="186BA3DF" w:rsidR="00CF5B55" w:rsidRPr="002D0226" w:rsidRDefault="00CF5B55" w:rsidP="00FA65B7">
            <w:pPr>
              <w:rPr>
                <w:rFonts w:ascii="Calibri" w:hAnsi="Calibri" w:cs="Arial"/>
                <w:color w:val="000000"/>
                <w:kern w:val="24"/>
              </w:rPr>
            </w:pPr>
            <w:r w:rsidRPr="00540937">
              <w:rPr>
                <w:rFonts w:ascii="Calibri" w:hAnsi="Calibri" w:cs="Arial"/>
                <w:color w:val="000000"/>
                <w:kern w:val="24"/>
              </w:rPr>
              <w:t>Penicillin allergy</w:t>
            </w:r>
            <w:r w:rsidRPr="002D0226">
              <w:rPr>
                <w:rFonts w:ascii="Calibri" w:hAnsi="Calibri" w:cs="Arial"/>
                <w:color w:val="000000"/>
                <w:kern w:val="24"/>
              </w:rPr>
              <w:t xml:space="preserve"> </w:t>
            </w:r>
          </w:p>
        </w:tc>
        <w:tc>
          <w:tcPr>
            <w:tcW w:w="2977" w:type="dxa"/>
            <w:shd w:val="clear" w:color="auto" w:fill="DEEAF6" w:themeFill="accent1" w:themeFillTint="33"/>
          </w:tcPr>
          <w:p w14:paraId="66E708A8" w14:textId="567501D4" w:rsidR="00CF5B55" w:rsidRDefault="00CF5B55" w:rsidP="00FA65B7">
            <w:pPr>
              <w:rPr>
                <w:rFonts w:ascii="Calibri" w:hAnsi="Calibri" w:cs="Arial"/>
                <w:color w:val="000000"/>
                <w:kern w:val="24"/>
              </w:rPr>
            </w:pPr>
            <w:r>
              <w:rPr>
                <w:rFonts w:ascii="Calibri" w:hAnsi="Calibri" w:cs="Arial"/>
                <w:color w:val="000000"/>
                <w:kern w:val="24"/>
              </w:rPr>
              <w:t>1</w:t>
            </w:r>
            <w:r w:rsidR="00194415">
              <w:rPr>
                <w:rFonts w:ascii="Calibri" w:hAnsi="Calibri" w:cs="Arial"/>
                <w:color w:val="000000"/>
                <w:kern w:val="24"/>
              </w:rPr>
              <w:t xml:space="preserve"> (7)</w:t>
            </w:r>
          </w:p>
        </w:tc>
        <w:tc>
          <w:tcPr>
            <w:tcW w:w="3402" w:type="dxa"/>
            <w:shd w:val="clear" w:color="auto" w:fill="DEEAF6" w:themeFill="accent1" w:themeFillTint="33"/>
          </w:tcPr>
          <w:p w14:paraId="0E402342" w14:textId="0C7104D5" w:rsidR="00CF5B55" w:rsidRDefault="00CF5B55" w:rsidP="00FA65B7">
            <w:pPr>
              <w:rPr>
                <w:rFonts w:ascii="Calibri" w:hAnsi="Calibri" w:cs="Arial"/>
                <w:color w:val="000000"/>
                <w:kern w:val="24"/>
              </w:rPr>
            </w:pPr>
            <w:r>
              <w:rPr>
                <w:rFonts w:ascii="Calibri" w:hAnsi="Calibri" w:cs="Arial"/>
                <w:color w:val="000000"/>
                <w:kern w:val="24"/>
              </w:rPr>
              <w:t>0</w:t>
            </w:r>
            <w:r w:rsidR="00194415">
              <w:rPr>
                <w:rFonts w:ascii="Calibri" w:hAnsi="Calibri" w:cs="Arial"/>
                <w:color w:val="000000"/>
                <w:kern w:val="24"/>
              </w:rPr>
              <w:t xml:space="preserve"> (0)</w:t>
            </w:r>
          </w:p>
        </w:tc>
      </w:tr>
      <w:tr w:rsidR="00CF5B55" w:rsidRPr="008F33C8" w14:paraId="104839D5" w14:textId="77777777" w:rsidTr="00CF5B55">
        <w:trPr>
          <w:trHeight w:val="315"/>
        </w:trPr>
        <w:tc>
          <w:tcPr>
            <w:tcW w:w="3397" w:type="dxa"/>
            <w:shd w:val="clear" w:color="auto" w:fill="BDD6EE" w:themeFill="accent1" w:themeFillTint="66"/>
            <w:tcMar>
              <w:top w:w="72" w:type="dxa"/>
              <w:left w:w="144" w:type="dxa"/>
              <w:bottom w:w="72" w:type="dxa"/>
              <w:right w:w="144" w:type="dxa"/>
            </w:tcMar>
          </w:tcPr>
          <w:p w14:paraId="6B3685E1" w14:textId="1DDF9886" w:rsidR="00CF5B55" w:rsidRPr="002D0226" w:rsidRDefault="00CF5B55" w:rsidP="00FA65B7">
            <w:pPr>
              <w:rPr>
                <w:rFonts w:ascii="Calibri" w:hAnsi="Calibri" w:cs="Arial"/>
                <w:color w:val="000000"/>
                <w:kern w:val="24"/>
              </w:rPr>
            </w:pPr>
            <w:r w:rsidRPr="00540937">
              <w:rPr>
                <w:rFonts w:ascii="Calibri" w:hAnsi="Calibri" w:cs="Arial"/>
                <w:color w:val="000000"/>
                <w:kern w:val="24"/>
              </w:rPr>
              <w:t>Family member on prophylactic antibiotics</w:t>
            </w:r>
          </w:p>
        </w:tc>
        <w:tc>
          <w:tcPr>
            <w:tcW w:w="2977" w:type="dxa"/>
            <w:shd w:val="clear" w:color="auto" w:fill="BDD6EE" w:themeFill="accent1" w:themeFillTint="66"/>
          </w:tcPr>
          <w:p w14:paraId="76EC9098" w14:textId="1CE82C51" w:rsidR="00CF5B55" w:rsidRDefault="00CF5B55" w:rsidP="00FA65B7">
            <w:pPr>
              <w:rPr>
                <w:rFonts w:ascii="Calibri" w:hAnsi="Calibri" w:cs="Arial"/>
                <w:color w:val="000000"/>
                <w:kern w:val="24"/>
              </w:rPr>
            </w:pPr>
            <w:r>
              <w:rPr>
                <w:rFonts w:ascii="Calibri" w:hAnsi="Calibri" w:cs="Arial"/>
                <w:color w:val="000000"/>
                <w:kern w:val="24"/>
              </w:rPr>
              <w:t>0</w:t>
            </w:r>
            <w:r w:rsidR="00194415">
              <w:rPr>
                <w:rFonts w:ascii="Calibri" w:hAnsi="Calibri" w:cs="Arial"/>
                <w:color w:val="000000"/>
                <w:kern w:val="24"/>
              </w:rPr>
              <w:t xml:space="preserve"> (0)</w:t>
            </w:r>
          </w:p>
        </w:tc>
        <w:tc>
          <w:tcPr>
            <w:tcW w:w="3402" w:type="dxa"/>
            <w:shd w:val="clear" w:color="auto" w:fill="BDD6EE" w:themeFill="accent1" w:themeFillTint="66"/>
          </w:tcPr>
          <w:p w14:paraId="74400630" w14:textId="69413FA5" w:rsidR="00CF5B55" w:rsidRDefault="00CF5B55" w:rsidP="00FA65B7">
            <w:pPr>
              <w:rPr>
                <w:rFonts w:ascii="Calibri" w:hAnsi="Calibri" w:cs="Arial"/>
                <w:color w:val="000000"/>
                <w:kern w:val="24"/>
              </w:rPr>
            </w:pPr>
            <w:r>
              <w:rPr>
                <w:rFonts w:ascii="Calibri" w:hAnsi="Calibri" w:cs="Arial"/>
                <w:color w:val="000000"/>
                <w:kern w:val="24"/>
              </w:rPr>
              <w:t>1</w:t>
            </w:r>
            <w:r w:rsidR="00194415">
              <w:rPr>
                <w:rFonts w:ascii="Calibri" w:hAnsi="Calibri" w:cs="Arial"/>
                <w:color w:val="000000"/>
                <w:kern w:val="24"/>
              </w:rPr>
              <w:t xml:space="preserve"> (7)</w:t>
            </w:r>
          </w:p>
        </w:tc>
      </w:tr>
      <w:bookmarkEnd w:id="202"/>
    </w:tbl>
    <w:p w14:paraId="7EB940E1" w14:textId="5E01BB03" w:rsidR="00E54BAF" w:rsidRDefault="00E54BAF" w:rsidP="00E54BAF"/>
    <w:p w14:paraId="03703FE7" w14:textId="04504448" w:rsidR="00E54BAF" w:rsidRDefault="00E54BAF" w:rsidP="00E54BAF"/>
    <w:p w14:paraId="16583CF3" w14:textId="5226F1FF" w:rsidR="00E54BAF" w:rsidRDefault="00E54BAF" w:rsidP="00E54BAF"/>
    <w:p w14:paraId="3B1E948F" w14:textId="1F361262" w:rsidR="00E54BAF" w:rsidRDefault="00E54BAF" w:rsidP="00E54BAF"/>
    <w:p w14:paraId="786C0AAC" w14:textId="167F8846" w:rsidR="00E54BAF" w:rsidRDefault="00E54BAF" w:rsidP="00E54BAF"/>
    <w:p w14:paraId="359BB348" w14:textId="3139A06E" w:rsidR="00E54BAF" w:rsidRDefault="00E54BAF" w:rsidP="00E54BAF"/>
    <w:p w14:paraId="0ACC7C8C" w14:textId="74680197" w:rsidR="00E54BAF" w:rsidRDefault="00E54BAF" w:rsidP="00E54BAF"/>
    <w:p w14:paraId="551206D3" w14:textId="2F9CA7FE" w:rsidR="00E54BAF" w:rsidRDefault="00E54BAF" w:rsidP="00E54BAF"/>
    <w:p w14:paraId="27E57EDC" w14:textId="2A40919E" w:rsidR="00E54BAF" w:rsidRDefault="00E54BAF" w:rsidP="00E54BAF"/>
    <w:p w14:paraId="0A1F301F" w14:textId="3DDF34BB" w:rsidR="00E54BAF" w:rsidRDefault="00E54BAF" w:rsidP="00E54BAF"/>
    <w:p w14:paraId="36F6BF81" w14:textId="331D7BF9" w:rsidR="00E54BAF" w:rsidRDefault="00E54BAF" w:rsidP="00E54BAF"/>
    <w:p w14:paraId="0D29DD92" w14:textId="1A25E2EA" w:rsidR="00E54BAF" w:rsidRDefault="00E54BAF" w:rsidP="00E54BAF"/>
    <w:p w14:paraId="042734C1" w14:textId="77777777" w:rsidR="00E54BAF" w:rsidRPr="0064056D" w:rsidRDefault="00E54BAF" w:rsidP="00E54BAF"/>
    <w:p w14:paraId="55171D66" w14:textId="07C6E474" w:rsidR="00216903" w:rsidRPr="00216903" w:rsidRDefault="00216903" w:rsidP="00216903">
      <w:pPr>
        <w:pStyle w:val="Caption"/>
        <w:keepNext/>
        <w:rPr>
          <w:i w:val="0"/>
          <w:iCs w:val="0"/>
          <w:color w:val="000000" w:themeColor="text1"/>
          <w:sz w:val="24"/>
          <w:szCs w:val="24"/>
        </w:rPr>
      </w:pPr>
      <w:bookmarkStart w:id="203" w:name="_Toc117780258"/>
      <w:r w:rsidRPr="00216903">
        <w:rPr>
          <w:b/>
          <w:bCs/>
          <w:i w:val="0"/>
          <w:iCs w:val="0"/>
          <w:color w:val="000000" w:themeColor="text1"/>
          <w:sz w:val="24"/>
          <w:szCs w:val="24"/>
        </w:rPr>
        <w:lastRenderedPageBreak/>
        <w:t xml:space="preserve">Table </w:t>
      </w:r>
      <w:r w:rsidR="002C440E">
        <w:rPr>
          <w:b/>
          <w:bCs/>
          <w:i w:val="0"/>
          <w:iCs w:val="0"/>
          <w:color w:val="000000" w:themeColor="text1"/>
          <w:sz w:val="24"/>
          <w:szCs w:val="24"/>
        </w:rPr>
        <w:fldChar w:fldCharType="begin"/>
      </w:r>
      <w:r w:rsidR="002C440E">
        <w:rPr>
          <w:b/>
          <w:bCs/>
          <w:i w:val="0"/>
          <w:iCs w:val="0"/>
          <w:color w:val="000000" w:themeColor="text1"/>
          <w:sz w:val="24"/>
          <w:szCs w:val="24"/>
        </w:rPr>
        <w:instrText xml:space="preserve"> SEQ Table \* ARABIC </w:instrText>
      </w:r>
      <w:r w:rsidR="002C440E">
        <w:rPr>
          <w:b/>
          <w:bCs/>
          <w:i w:val="0"/>
          <w:iCs w:val="0"/>
          <w:color w:val="000000" w:themeColor="text1"/>
          <w:sz w:val="24"/>
          <w:szCs w:val="24"/>
        </w:rPr>
        <w:fldChar w:fldCharType="separate"/>
      </w:r>
      <w:r w:rsidR="00592CBF">
        <w:rPr>
          <w:b/>
          <w:bCs/>
          <w:i w:val="0"/>
          <w:iCs w:val="0"/>
          <w:noProof/>
          <w:color w:val="000000" w:themeColor="text1"/>
          <w:sz w:val="24"/>
          <w:szCs w:val="24"/>
        </w:rPr>
        <w:t>17</w:t>
      </w:r>
      <w:r w:rsidR="002C440E">
        <w:rPr>
          <w:b/>
          <w:bCs/>
          <w:i w:val="0"/>
          <w:iCs w:val="0"/>
          <w:color w:val="000000" w:themeColor="text1"/>
          <w:sz w:val="24"/>
          <w:szCs w:val="24"/>
        </w:rPr>
        <w:fldChar w:fldCharType="end"/>
      </w:r>
      <w:r w:rsidRPr="00216903">
        <w:rPr>
          <w:b/>
          <w:bCs/>
          <w:i w:val="0"/>
          <w:iCs w:val="0"/>
          <w:color w:val="000000" w:themeColor="text1"/>
          <w:sz w:val="24"/>
          <w:szCs w:val="24"/>
        </w:rPr>
        <w:t>:</w:t>
      </w:r>
      <w:r w:rsidRPr="00216903">
        <w:rPr>
          <w:i w:val="0"/>
          <w:iCs w:val="0"/>
          <w:color w:val="000000" w:themeColor="text1"/>
          <w:sz w:val="24"/>
          <w:szCs w:val="24"/>
        </w:rPr>
        <w:t xml:space="preserve"> Antibiotic exposure of participants prior to commencing the study</w:t>
      </w:r>
      <w:bookmarkEnd w:id="203"/>
    </w:p>
    <w:tbl>
      <w:tblPr>
        <w:tblStyle w:val="TableGrid"/>
        <w:tblW w:w="9639" w:type="dxa"/>
        <w:tblInd w:w="-5" w:type="dxa"/>
        <w:tblLook w:val="04A0" w:firstRow="1" w:lastRow="0" w:firstColumn="1" w:lastColumn="0" w:noHBand="0" w:noVBand="1"/>
      </w:tblPr>
      <w:tblGrid>
        <w:gridCol w:w="4536"/>
        <w:gridCol w:w="2552"/>
        <w:gridCol w:w="2551"/>
      </w:tblGrid>
      <w:tr w:rsidR="00CF5B55" w:rsidRPr="001C7349" w14:paraId="7428D622" w14:textId="77777777" w:rsidTr="00CF5B55">
        <w:tc>
          <w:tcPr>
            <w:tcW w:w="4536" w:type="dxa"/>
            <w:shd w:val="clear" w:color="auto" w:fill="9CC2E5"/>
          </w:tcPr>
          <w:p w14:paraId="60CC626C" w14:textId="77777777" w:rsidR="00CF5B55" w:rsidRPr="001C7349" w:rsidRDefault="00CF5B55" w:rsidP="00540937">
            <w:pPr>
              <w:rPr>
                <w:rFonts w:ascii="Calibri" w:eastAsia="Calibri" w:hAnsi="Calibri"/>
              </w:rPr>
            </w:pPr>
          </w:p>
        </w:tc>
        <w:tc>
          <w:tcPr>
            <w:tcW w:w="2552" w:type="dxa"/>
            <w:shd w:val="clear" w:color="auto" w:fill="9CC2E5"/>
          </w:tcPr>
          <w:p w14:paraId="0E05AFA1" w14:textId="10F03FC2" w:rsidR="00CF5B55" w:rsidRPr="001C7349" w:rsidRDefault="00CF5B55" w:rsidP="00540937">
            <w:pPr>
              <w:rPr>
                <w:rFonts w:ascii="Calibri" w:eastAsia="Calibri" w:hAnsi="Calibri"/>
                <w:b/>
                <w:bCs/>
              </w:rPr>
            </w:pPr>
            <w:r w:rsidRPr="001C7349">
              <w:rPr>
                <w:rFonts w:ascii="Calibri" w:eastAsia="Calibri" w:hAnsi="Calibri"/>
                <w:b/>
                <w:bCs/>
              </w:rPr>
              <w:t>Comparison group</w:t>
            </w:r>
          </w:p>
          <w:p w14:paraId="6FF39484" w14:textId="5F90CD60" w:rsidR="00CF5B55" w:rsidRPr="001C7349" w:rsidRDefault="00CF5B55" w:rsidP="00540937">
            <w:pPr>
              <w:rPr>
                <w:rFonts w:ascii="Calibri" w:eastAsia="Calibri" w:hAnsi="Calibri"/>
                <w:b/>
                <w:bCs/>
              </w:rPr>
            </w:pPr>
            <w:r w:rsidRPr="001C7349">
              <w:rPr>
                <w:rFonts w:ascii="Calibri" w:eastAsia="Calibri" w:hAnsi="Calibri"/>
              </w:rPr>
              <w:t xml:space="preserve">N= </w:t>
            </w:r>
            <w:r>
              <w:rPr>
                <w:rFonts w:ascii="Calibri" w:eastAsia="Calibri" w:hAnsi="Calibri"/>
              </w:rPr>
              <w:t>15</w:t>
            </w:r>
          </w:p>
        </w:tc>
        <w:tc>
          <w:tcPr>
            <w:tcW w:w="2551" w:type="dxa"/>
            <w:shd w:val="clear" w:color="auto" w:fill="9CC2E5"/>
          </w:tcPr>
          <w:p w14:paraId="3145F9A4" w14:textId="60D2B921" w:rsidR="00CF5B55" w:rsidRPr="001C7349" w:rsidRDefault="00CF5B55" w:rsidP="00540937">
            <w:pPr>
              <w:rPr>
                <w:rFonts w:ascii="Calibri" w:eastAsia="Calibri" w:hAnsi="Calibri"/>
                <w:b/>
                <w:bCs/>
              </w:rPr>
            </w:pPr>
            <w:r w:rsidRPr="001C7349">
              <w:rPr>
                <w:rFonts w:ascii="Calibri" w:eastAsia="Calibri" w:hAnsi="Calibri"/>
                <w:b/>
                <w:bCs/>
              </w:rPr>
              <w:t>Azithromycin group</w:t>
            </w:r>
          </w:p>
          <w:p w14:paraId="0627D9D3" w14:textId="024C306E" w:rsidR="00CF5B55" w:rsidRPr="001C7349" w:rsidRDefault="00CF5B55" w:rsidP="00540937">
            <w:pPr>
              <w:rPr>
                <w:rFonts w:ascii="Calibri" w:eastAsia="Calibri" w:hAnsi="Calibri"/>
                <w:b/>
                <w:bCs/>
              </w:rPr>
            </w:pPr>
            <w:r w:rsidRPr="001C7349">
              <w:rPr>
                <w:rFonts w:ascii="Calibri" w:eastAsia="Calibri" w:hAnsi="Calibri"/>
              </w:rPr>
              <w:t xml:space="preserve">N= </w:t>
            </w:r>
            <w:r>
              <w:rPr>
                <w:rFonts w:ascii="Calibri" w:eastAsia="Calibri" w:hAnsi="Calibri"/>
              </w:rPr>
              <w:t>15</w:t>
            </w:r>
            <w:r w:rsidRPr="001C7349">
              <w:rPr>
                <w:rFonts w:ascii="Calibri" w:eastAsia="Calibri" w:hAnsi="Calibri"/>
              </w:rPr>
              <w:t xml:space="preserve"> </w:t>
            </w:r>
          </w:p>
        </w:tc>
      </w:tr>
      <w:tr w:rsidR="00CF5B55" w:rsidRPr="001C7349" w14:paraId="21471A8B" w14:textId="77777777" w:rsidTr="0004488B">
        <w:tc>
          <w:tcPr>
            <w:tcW w:w="4536" w:type="dxa"/>
            <w:shd w:val="clear" w:color="auto" w:fill="auto"/>
          </w:tcPr>
          <w:p w14:paraId="508CFA4E" w14:textId="77777777" w:rsidR="0004488B" w:rsidRDefault="00CF5B55" w:rsidP="00BA5231">
            <w:pPr>
              <w:spacing w:line="360" w:lineRule="auto"/>
              <w:rPr>
                <w:rFonts w:ascii="Calibri" w:eastAsia="Calibri" w:hAnsi="Calibri"/>
              </w:rPr>
            </w:pPr>
            <w:r w:rsidRPr="0004488B">
              <w:rPr>
                <w:rFonts w:ascii="Calibri" w:eastAsia="Calibri" w:hAnsi="Calibri"/>
              </w:rPr>
              <w:t>Median n</w:t>
            </w:r>
            <w:r>
              <w:rPr>
                <w:rFonts w:ascii="Calibri" w:eastAsia="Calibri" w:hAnsi="Calibri"/>
              </w:rPr>
              <w:t>umber of a</w:t>
            </w:r>
            <w:r w:rsidRPr="001C7349">
              <w:rPr>
                <w:rFonts w:ascii="Calibri" w:eastAsia="Calibri" w:hAnsi="Calibri"/>
              </w:rPr>
              <w:t xml:space="preserve">cute courses of antibiotics </w:t>
            </w:r>
            <w:r>
              <w:rPr>
                <w:rFonts w:ascii="Calibri" w:eastAsia="Calibri" w:hAnsi="Calibri"/>
              </w:rPr>
              <w:t xml:space="preserve">/ participant age in years </w:t>
            </w:r>
          </w:p>
          <w:p w14:paraId="5DABDE0C" w14:textId="7DDE3465" w:rsidR="00CF5B55" w:rsidRPr="001C7349" w:rsidRDefault="00CF5B55" w:rsidP="00BA5231">
            <w:pPr>
              <w:spacing w:line="360" w:lineRule="auto"/>
              <w:rPr>
                <w:rFonts w:ascii="Calibri" w:eastAsia="Calibri" w:hAnsi="Calibri"/>
              </w:rPr>
            </w:pPr>
            <w:r>
              <w:rPr>
                <w:rFonts w:ascii="Calibri" w:eastAsia="Calibri" w:hAnsi="Calibri"/>
              </w:rPr>
              <w:t>(</w:t>
            </w:r>
            <w:r w:rsidR="0004488B">
              <w:rPr>
                <w:rFonts w:ascii="Calibri" w:eastAsia="Calibri" w:hAnsi="Calibri"/>
              </w:rPr>
              <w:t>25</w:t>
            </w:r>
            <w:r w:rsidR="0004488B" w:rsidRPr="0004488B">
              <w:rPr>
                <w:rFonts w:ascii="Calibri" w:eastAsia="Calibri" w:hAnsi="Calibri"/>
                <w:vertAlign w:val="superscript"/>
              </w:rPr>
              <w:t>th</w:t>
            </w:r>
            <w:r w:rsidR="0004488B">
              <w:rPr>
                <w:rFonts w:ascii="Calibri" w:eastAsia="Calibri" w:hAnsi="Calibri"/>
              </w:rPr>
              <w:t>-75</w:t>
            </w:r>
            <w:r w:rsidR="0004488B" w:rsidRPr="0004488B">
              <w:rPr>
                <w:rFonts w:ascii="Calibri" w:eastAsia="Calibri" w:hAnsi="Calibri"/>
                <w:vertAlign w:val="superscript"/>
              </w:rPr>
              <w:t>th</w:t>
            </w:r>
            <w:r w:rsidR="0004488B">
              <w:rPr>
                <w:rFonts w:ascii="Calibri" w:eastAsia="Calibri" w:hAnsi="Calibri"/>
              </w:rPr>
              <w:t xml:space="preserve"> quartile</w:t>
            </w:r>
            <w:r>
              <w:rPr>
                <w:rFonts w:ascii="Calibri" w:eastAsia="Calibri" w:hAnsi="Calibri"/>
              </w:rPr>
              <w:t>)</w:t>
            </w:r>
          </w:p>
        </w:tc>
        <w:tc>
          <w:tcPr>
            <w:tcW w:w="2552" w:type="dxa"/>
          </w:tcPr>
          <w:p w14:paraId="171FC0D7" w14:textId="6E85C470" w:rsidR="00CF5B55" w:rsidRDefault="00CF5B55" w:rsidP="00BA5231">
            <w:pPr>
              <w:spacing w:line="360" w:lineRule="auto"/>
              <w:rPr>
                <w:rFonts w:ascii="Calibri" w:eastAsia="Calibri" w:hAnsi="Calibri"/>
              </w:rPr>
            </w:pPr>
            <w:r w:rsidRPr="001D04B2">
              <w:rPr>
                <w:rFonts w:ascii="Calibri" w:eastAsia="Calibri" w:hAnsi="Calibri"/>
              </w:rPr>
              <w:t xml:space="preserve"> </w:t>
            </w:r>
            <w:r>
              <w:rPr>
                <w:rFonts w:ascii="Calibri" w:eastAsia="Calibri" w:hAnsi="Calibri"/>
              </w:rPr>
              <w:t>1.89</w:t>
            </w:r>
          </w:p>
          <w:p w14:paraId="75F8BCB3" w14:textId="58581340" w:rsidR="00CF5B55" w:rsidRPr="002D0226" w:rsidRDefault="00CF5B55" w:rsidP="00BA5231">
            <w:pPr>
              <w:spacing w:line="360" w:lineRule="auto"/>
              <w:rPr>
                <w:rFonts w:ascii="Calibri" w:eastAsia="Calibri" w:hAnsi="Calibri"/>
              </w:rPr>
            </w:pPr>
            <w:r>
              <w:rPr>
                <w:rFonts w:ascii="Calibri" w:eastAsia="Calibri" w:hAnsi="Calibri"/>
              </w:rPr>
              <w:t>(</w:t>
            </w:r>
            <w:r w:rsidR="0004488B">
              <w:rPr>
                <w:rFonts w:ascii="Calibri" w:eastAsia="Calibri" w:hAnsi="Calibri"/>
              </w:rPr>
              <w:t>1.18-2.92</w:t>
            </w:r>
            <w:r>
              <w:rPr>
                <w:rFonts w:ascii="Calibri" w:eastAsia="Calibri" w:hAnsi="Calibri"/>
              </w:rPr>
              <w:t>)</w:t>
            </w:r>
          </w:p>
        </w:tc>
        <w:tc>
          <w:tcPr>
            <w:tcW w:w="2551" w:type="dxa"/>
          </w:tcPr>
          <w:p w14:paraId="10686195" w14:textId="77777777" w:rsidR="00CF5B55" w:rsidRDefault="00CF5B55" w:rsidP="00081DBB">
            <w:pPr>
              <w:spacing w:line="360" w:lineRule="auto"/>
              <w:rPr>
                <w:rFonts w:ascii="Calibri" w:eastAsia="Calibri" w:hAnsi="Calibri"/>
              </w:rPr>
            </w:pPr>
            <w:r>
              <w:rPr>
                <w:rFonts w:ascii="Calibri" w:eastAsia="Calibri" w:hAnsi="Calibri"/>
              </w:rPr>
              <w:t>2.4</w:t>
            </w:r>
          </w:p>
          <w:p w14:paraId="35A7F0BB" w14:textId="471B62B4" w:rsidR="00CF5B55" w:rsidRPr="002D0226" w:rsidRDefault="0004488B" w:rsidP="00081DBB">
            <w:pPr>
              <w:spacing w:line="360" w:lineRule="auto"/>
              <w:rPr>
                <w:rFonts w:ascii="Calibri" w:eastAsia="Calibri" w:hAnsi="Calibri"/>
              </w:rPr>
            </w:pPr>
            <w:r>
              <w:rPr>
                <w:rFonts w:ascii="Calibri" w:eastAsia="Calibri" w:hAnsi="Calibri"/>
              </w:rPr>
              <w:t>(1.83-3.71</w:t>
            </w:r>
            <w:r w:rsidR="00CF5B55">
              <w:rPr>
                <w:rFonts w:ascii="Calibri" w:eastAsia="Calibri" w:hAnsi="Calibri"/>
              </w:rPr>
              <w:t>)</w:t>
            </w:r>
          </w:p>
        </w:tc>
      </w:tr>
      <w:tr w:rsidR="00CF5B55" w:rsidRPr="001C7349" w14:paraId="6272E5AB" w14:textId="77777777" w:rsidTr="00CF5B55">
        <w:tc>
          <w:tcPr>
            <w:tcW w:w="4536" w:type="dxa"/>
            <w:shd w:val="clear" w:color="auto" w:fill="DEEAF6"/>
          </w:tcPr>
          <w:p w14:paraId="2AE191E8" w14:textId="77777777" w:rsidR="00884DA9" w:rsidRDefault="00CF5B55" w:rsidP="00BA5231">
            <w:pPr>
              <w:spacing w:line="360" w:lineRule="auto"/>
              <w:rPr>
                <w:rFonts w:ascii="Calibri" w:eastAsia="Calibri" w:hAnsi="Calibri"/>
              </w:rPr>
            </w:pPr>
            <w:r w:rsidRPr="006C48FE">
              <w:rPr>
                <w:rFonts w:ascii="Calibri" w:eastAsia="Calibri" w:hAnsi="Calibri"/>
              </w:rPr>
              <w:t xml:space="preserve">Median </w:t>
            </w:r>
            <w:r>
              <w:rPr>
                <w:rFonts w:ascii="Calibri" w:eastAsia="Calibri" w:hAnsi="Calibri"/>
              </w:rPr>
              <w:t>number of c</w:t>
            </w:r>
            <w:r w:rsidRPr="001C7349">
              <w:rPr>
                <w:rFonts w:ascii="Calibri" w:eastAsia="Calibri" w:hAnsi="Calibri"/>
              </w:rPr>
              <w:t xml:space="preserve">ourses of antibiotics &gt; 2 weeks </w:t>
            </w:r>
            <w:r>
              <w:rPr>
                <w:rFonts w:ascii="Calibri" w:eastAsia="Calibri" w:hAnsi="Calibri"/>
              </w:rPr>
              <w:t xml:space="preserve">/ participant age in years </w:t>
            </w:r>
          </w:p>
          <w:p w14:paraId="3FD20BBB" w14:textId="09EED803" w:rsidR="00CF5B55" w:rsidRPr="001C7349" w:rsidRDefault="00CF5B55" w:rsidP="00BA5231">
            <w:pPr>
              <w:spacing w:line="360" w:lineRule="auto"/>
              <w:rPr>
                <w:rFonts w:ascii="Calibri" w:eastAsia="Calibri" w:hAnsi="Calibri"/>
              </w:rPr>
            </w:pPr>
            <w:r>
              <w:rPr>
                <w:rFonts w:ascii="Calibri" w:eastAsia="Calibri" w:hAnsi="Calibri"/>
              </w:rPr>
              <w:t>(</w:t>
            </w:r>
            <w:r w:rsidR="0004488B">
              <w:rPr>
                <w:rFonts w:ascii="Calibri" w:eastAsia="Calibri" w:hAnsi="Calibri"/>
              </w:rPr>
              <w:t>25</w:t>
            </w:r>
            <w:r w:rsidR="0004488B" w:rsidRPr="0004488B">
              <w:rPr>
                <w:rFonts w:ascii="Calibri" w:eastAsia="Calibri" w:hAnsi="Calibri"/>
                <w:vertAlign w:val="superscript"/>
              </w:rPr>
              <w:t>th</w:t>
            </w:r>
            <w:r w:rsidR="0004488B">
              <w:rPr>
                <w:rFonts w:ascii="Calibri" w:eastAsia="Calibri" w:hAnsi="Calibri"/>
              </w:rPr>
              <w:t>-75</w:t>
            </w:r>
            <w:r w:rsidR="0004488B" w:rsidRPr="0004488B">
              <w:rPr>
                <w:rFonts w:ascii="Calibri" w:eastAsia="Calibri" w:hAnsi="Calibri"/>
                <w:vertAlign w:val="superscript"/>
              </w:rPr>
              <w:t>th</w:t>
            </w:r>
            <w:r w:rsidR="0004488B">
              <w:rPr>
                <w:rFonts w:ascii="Calibri" w:eastAsia="Calibri" w:hAnsi="Calibri"/>
              </w:rPr>
              <w:t xml:space="preserve"> quartile</w:t>
            </w:r>
            <w:r>
              <w:rPr>
                <w:rFonts w:ascii="Calibri" w:eastAsia="Calibri" w:hAnsi="Calibri"/>
              </w:rPr>
              <w:t>)</w:t>
            </w:r>
          </w:p>
        </w:tc>
        <w:tc>
          <w:tcPr>
            <w:tcW w:w="2552" w:type="dxa"/>
            <w:shd w:val="clear" w:color="auto" w:fill="DEEAF6"/>
          </w:tcPr>
          <w:p w14:paraId="33590BBA" w14:textId="77777777" w:rsidR="00CF5B55" w:rsidRDefault="00CF5B55" w:rsidP="00BA5231">
            <w:pPr>
              <w:spacing w:line="360" w:lineRule="auto"/>
              <w:rPr>
                <w:rFonts w:ascii="Calibri" w:eastAsia="Calibri" w:hAnsi="Calibri"/>
              </w:rPr>
            </w:pPr>
            <w:r>
              <w:rPr>
                <w:rFonts w:ascii="Calibri" w:eastAsia="Calibri" w:hAnsi="Calibri"/>
              </w:rPr>
              <w:t>0.51</w:t>
            </w:r>
          </w:p>
          <w:p w14:paraId="64C99C4A" w14:textId="06E0E5B2" w:rsidR="00CF5B55" w:rsidRPr="002D0226" w:rsidRDefault="00CF5B55" w:rsidP="00BA5231">
            <w:pPr>
              <w:spacing w:line="360" w:lineRule="auto"/>
              <w:rPr>
                <w:rFonts w:ascii="Calibri" w:eastAsia="Calibri" w:hAnsi="Calibri"/>
              </w:rPr>
            </w:pPr>
            <w:r>
              <w:rPr>
                <w:rFonts w:ascii="Calibri" w:eastAsia="Calibri" w:hAnsi="Calibri"/>
              </w:rPr>
              <w:t>(0.</w:t>
            </w:r>
            <w:r w:rsidR="00884DA9">
              <w:rPr>
                <w:rFonts w:ascii="Calibri" w:eastAsia="Calibri" w:hAnsi="Calibri"/>
              </w:rPr>
              <w:t>42-0.84</w:t>
            </w:r>
            <w:r>
              <w:rPr>
                <w:rFonts w:ascii="Calibri" w:eastAsia="Calibri" w:hAnsi="Calibri"/>
              </w:rPr>
              <w:t>)</w:t>
            </w:r>
          </w:p>
        </w:tc>
        <w:tc>
          <w:tcPr>
            <w:tcW w:w="2551" w:type="dxa"/>
            <w:shd w:val="clear" w:color="auto" w:fill="DEEAF6"/>
          </w:tcPr>
          <w:p w14:paraId="284807B8" w14:textId="77777777" w:rsidR="00CF5B55" w:rsidRDefault="00CF5B55" w:rsidP="00BA5231">
            <w:pPr>
              <w:spacing w:line="360" w:lineRule="auto"/>
              <w:rPr>
                <w:rFonts w:ascii="Calibri" w:eastAsia="Calibri" w:hAnsi="Calibri"/>
              </w:rPr>
            </w:pPr>
            <w:r>
              <w:rPr>
                <w:rFonts w:ascii="Calibri" w:eastAsia="Calibri" w:hAnsi="Calibri"/>
              </w:rPr>
              <w:t>0.8</w:t>
            </w:r>
          </w:p>
          <w:p w14:paraId="3579C400" w14:textId="311FFD67" w:rsidR="00CF5B55" w:rsidRPr="002D0226" w:rsidRDefault="00CF5B55" w:rsidP="00BA5231">
            <w:pPr>
              <w:spacing w:line="360" w:lineRule="auto"/>
              <w:rPr>
                <w:rFonts w:ascii="Calibri" w:eastAsia="Calibri" w:hAnsi="Calibri"/>
              </w:rPr>
            </w:pPr>
            <w:r>
              <w:rPr>
                <w:rFonts w:ascii="Calibri" w:eastAsia="Calibri" w:hAnsi="Calibri"/>
              </w:rPr>
              <w:t>(0.</w:t>
            </w:r>
            <w:r w:rsidR="00884DA9">
              <w:rPr>
                <w:rFonts w:ascii="Calibri" w:eastAsia="Calibri" w:hAnsi="Calibri"/>
              </w:rPr>
              <w:t>59-0.98</w:t>
            </w:r>
            <w:r>
              <w:rPr>
                <w:rFonts w:ascii="Calibri" w:eastAsia="Calibri" w:hAnsi="Calibri"/>
              </w:rPr>
              <w:t>)</w:t>
            </w:r>
          </w:p>
        </w:tc>
      </w:tr>
      <w:tr w:rsidR="00CF5B55" w:rsidRPr="001C7349" w14:paraId="75EE6A90" w14:textId="77777777" w:rsidTr="00CF5B55">
        <w:tc>
          <w:tcPr>
            <w:tcW w:w="4536" w:type="dxa"/>
          </w:tcPr>
          <w:p w14:paraId="4CE5A860" w14:textId="66F4719F" w:rsidR="00CF5B55" w:rsidRPr="001C7349" w:rsidRDefault="00CF5B55" w:rsidP="00BA5231">
            <w:pPr>
              <w:spacing w:line="360" w:lineRule="auto"/>
              <w:rPr>
                <w:rFonts w:ascii="Calibri" w:eastAsia="Calibri" w:hAnsi="Calibri"/>
              </w:rPr>
            </w:pPr>
            <w:r>
              <w:rPr>
                <w:rFonts w:ascii="Calibri" w:eastAsia="Calibri" w:hAnsi="Calibri"/>
              </w:rPr>
              <w:t>Number of participants previously prescribed acute courses of macrolides</w:t>
            </w:r>
          </w:p>
        </w:tc>
        <w:tc>
          <w:tcPr>
            <w:tcW w:w="2552" w:type="dxa"/>
          </w:tcPr>
          <w:p w14:paraId="1FD090E0" w14:textId="0A190299" w:rsidR="00CF5B55" w:rsidRPr="001D04B2" w:rsidRDefault="00CF5B55" w:rsidP="00BA5231">
            <w:pPr>
              <w:spacing w:line="360" w:lineRule="auto"/>
              <w:rPr>
                <w:rFonts w:ascii="Calibri" w:eastAsia="Calibri" w:hAnsi="Calibri"/>
              </w:rPr>
            </w:pPr>
            <w:r>
              <w:rPr>
                <w:rFonts w:ascii="Calibri" w:eastAsia="Calibri" w:hAnsi="Calibri"/>
              </w:rPr>
              <w:t>8</w:t>
            </w:r>
          </w:p>
          <w:p w14:paraId="6985D0CC" w14:textId="7C8558F5" w:rsidR="00CF5B55" w:rsidRPr="002D0226" w:rsidRDefault="00CF5B55" w:rsidP="00BA5231">
            <w:pPr>
              <w:spacing w:line="360" w:lineRule="auto"/>
              <w:rPr>
                <w:rFonts w:ascii="Calibri" w:eastAsia="Calibri" w:hAnsi="Calibri"/>
              </w:rPr>
            </w:pPr>
          </w:p>
        </w:tc>
        <w:tc>
          <w:tcPr>
            <w:tcW w:w="2551" w:type="dxa"/>
          </w:tcPr>
          <w:p w14:paraId="5997C36B" w14:textId="37A0D240" w:rsidR="00CF5B55" w:rsidRPr="002D0226" w:rsidRDefault="00CF5B55" w:rsidP="00BA5231">
            <w:pPr>
              <w:spacing w:line="360" w:lineRule="auto"/>
              <w:rPr>
                <w:rFonts w:ascii="Calibri" w:eastAsia="Calibri" w:hAnsi="Calibri"/>
              </w:rPr>
            </w:pPr>
            <w:r>
              <w:rPr>
                <w:rFonts w:ascii="Calibri" w:eastAsia="Calibri" w:hAnsi="Calibri"/>
              </w:rPr>
              <w:t>6***</w:t>
            </w:r>
          </w:p>
        </w:tc>
      </w:tr>
      <w:tr w:rsidR="00CF5B55" w:rsidRPr="001C7349" w14:paraId="5ABD5670" w14:textId="77777777" w:rsidTr="00CF5B55">
        <w:tc>
          <w:tcPr>
            <w:tcW w:w="4536" w:type="dxa"/>
            <w:shd w:val="clear" w:color="auto" w:fill="DEEAF6"/>
          </w:tcPr>
          <w:p w14:paraId="567B0AD3" w14:textId="070D5A5F" w:rsidR="00CF5B55" w:rsidRPr="001C7349" w:rsidRDefault="00CF5B55" w:rsidP="00BA5231">
            <w:pPr>
              <w:spacing w:line="360" w:lineRule="auto"/>
              <w:rPr>
                <w:rFonts w:ascii="Calibri" w:eastAsia="Calibri" w:hAnsi="Calibri"/>
              </w:rPr>
            </w:pPr>
            <w:r w:rsidRPr="001C7349">
              <w:rPr>
                <w:rFonts w:ascii="Calibri" w:eastAsia="Calibri" w:hAnsi="Calibri"/>
              </w:rPr>
              <w:t>Median time from completing last course of antibiotics to study start</w:t>
            </w:r>
            <w:r w:rsidR="00D21ADA">
              <w:rPr>
                <w:rFonts w:ascii="Calibri" w:eastAsia="Calibri" w:hAnsi="Calibri"/>
              </w:rPr>
              <w:t xml:space="preserve"> (25</w:t>
            </w:r>
            <w:r w:rsidR="00D21ADA" w:rsidRPr="001D04B2">
              <w:rPr>
                <w:rFonts w:ascii="Calibri" w:eastAsia="Calibri" w:hAnsi="Calibri"/>
                <w:vertAlign w:val="superscript"/>
              </w:rPr>
              <w:t>th</w:t>
            </w:r>
            <w:r w:rsidR="00D21ADA">
              <w:rPr>
                <w:rFonts w:ascii="Calibri" w:eastAsia="Calibri" w:hAnsi="Calibri"/>
              </w:rPr>
              <w:t>-75</w:t>
            </w:r>
            <w:r w:rsidR="00D21ADA" w:rsidRPr="001D04B2">
              <w:rPr>
                <w:rFonts w:ascii="Calibri" w:eastAsia="Calibri" w:hAnsi="Calibri"/>
                <w:vertAlign w:val="superscript"/>
              </w:rPr>
              <w:t>th</w:t>
            </w:r>
            <w:r w:rsidR="00D21ADA">
              <w:rPr>
                <w:rFonts w:ascii="Calibri" w:eastAsia="Calibri" w:hAnsi="Calibri"/>
              </w:rPr>
              <w:t xml:space="preserve"> quartile)</w:t>
            </w:r>
          </w:p>
        </w:tc>
        <w:tc>
          <w:tcPr>
            <w:tcW w:w="2552" w:type="dxa"/>
            <w:shd w:val="clear" w:color="auto" w:fill="DEEAF6"/>
          </w:tcPr>
          <w:p w14:paraId="7F93EADF" w14:textId="5FE74A45" w:rsidR="00CF5B55" w:rsidRDefault="00CF5B55" w:rsidP="00BA5231">
            <w:pPr>
              <w:spacing w:line="360" w:lineRule="auto"/>
              <w:rPr>
                <w:rFonts w:ascii="Calibri" w:eastAsia="Calibri" w:hAnsi="Calibri"/>
              </w:rPr>
            </w:pPr>
            <w:r w:rsidRPr="00540937">
              <w:rPr>
                <w:rFonts w:ascii="Calibri" w:eastAsia="Calibri" w:hAnsi="Calibri"/>
              </w:rPr>
              <w:t xml:space="preserve">13 weeks </w:t>
            </w:r>
          </w:p>
          <w:p w14:paraId="433F6B01" w14:textId="7F28FB60" w:rsidR="00D21ADA" w:rsidRPr="002D0226" w:rsidRDefault="00D21ADA" w:rsidP="00BA5231">
            <w:pPr>
              <w:spacing w:line="360" w:lineRule="auto"/>
              <w:rPr>
                <w:rFonts w:ascii="Calibri" w:eastAsia="Calibri" w:hAnsi="Calibri"/>
              </w:rPr>
            </w:pPr>
            <w:r>
              <w:rPr>
                <w:rFonts w:ascii="Calibri" w:eastAsia="Calibri" w:hAnsi="Calibri"/>
              </w:rPr>
              <w:t>(5-25)</w:t>
            </w:r>
          </w:p>
        </w:tc>
        <w:tc>
          <w:tcPr>
            <w:tcW w:w="2551" w:type="dxa"/>
            <w:shd w:val="clear" w:color="auto" w:fill="DEEAF6"/>
          </w:tcPr>
          <w:p w14:paraId="4EEEAD24" w14:textId="09B0A1C3" w:rsidR="00CF5B55" w:rsidRPr="00752DA8" w:rsidRDefault="00CF5B55" w:rsidP="00752DA8">
            <w:pPr>
              <w:pStyle w:val="ListParagraph"/>
              <w:numPr>
                <w:ilvl w:val="0"/>
                <w:numId w:val="74"/>
              </w:numPr>
              <w:spacing w:line="360" w:lineRule="auto"/>
              <w:rPr>
                <w:rFonts w:ascii="Calibri" w:eastAsia="Calibri" w:hAnsi="Calibri"/>
              </w:rPr>
            </w:pPr>
            <w:r w:rsidRPr="00752DA8">
              <w:rPr>
                <w:rFonts w:ascii="Calibri" w:eastAsia="Calibri" w:hAnsi="Calibri"/>
              </w:rPr>
              <w:t xml:space="preserve">weeks </w:t>
            </w:r>
          </w:p>
          <w:p w14:paraId="1E8DAA13" w14:textId="034D359C" w:rsidR="00933737" w:rsidRPr="002D0226" w:rsidRDefault="00933737" w:rsidP="00BA5231">
            <w:pPr>
              <w:spacing w:line="360" w:lineRule="auto"/>
              <w:rPr>
                <w:rFonts w:ascii="Calibri" w:eastAsia="Calibri" w:hAnsi="Calibri"/>
              </w:rPr>
            </w:pPr>
            <w:r>
              <w:rPr>
                <w:rFonts w:ascii="Calibri" w:eastAsia="Calibri" w:hAnsi="Calibri"/>
              </w:rPr>
              <w:t>(4-20)</w:t>
            </w:r>
          </w:p>
        </w:tc>
      </w:tr>
      <w:tr w:rsidR="00CF5B55" w:rsidRPr="001C7349" w14:paraId="11832263" w14:textId="77777777" w:rsidTr="00CF5B55">
        <w:tc>
          <w:tcPr>
            <w:tcW w:w="4536" w:type="dxa"/>
          </w:tcPr>
          <w:p w14:paraId="3DC98F85" w14:textId="77777777" w:rsidR="00CF5B55" w:rsidRDefault="00CF5B55" w:rsidP="00BA5231">
            <w:pPr>
              <w:spacing w:line="360" w:lineRule="auto"/>
              <w:rPr>
                <w:rFonts w:ascii="Calibri" w:eastAsia="Calibri" w:hAnsi="Calibri"/>
              </w:rPr>
            </w:pPr>
            <w:r w:rsidRPr="001C7349">
              <w:rPr>
                <w:rFonts w:ascii="Calibri" w:eastAsia="Calibri" w:hAnsi="Calibri"/>
              </w:rPr>
              <w:t>Median time from completing last course of macrolides to study start</w:t>
            </w:r>
            <w:r>
              <w:rPr>
                <w:rFonts w:ascii="Calibri" w:eastAsia="Calibri" w:hAnsi="Calibri"/>
              </w:rPr>
              <w:t>,</w:t>
            </w:r>
            <w:r w:rsidRPr="001C7349">
              <w:rPr>
                <w:rFonts w:ascii="Calibri" w:eastAsia="Calibri" w:hAnsi="Calibri"/>
              </w:rPr>
              <w:t xml:space="preserve"> </w:t>
            </w:r>
            <w:r>
              <w:rPr>
                <w:rFonts w:ascii="Calibri" w:eastAsia="Calibri" w:hAnsi="Calibri"/>
              </w:rPr>
              <w:t>in those previously exposed to macrolides</w:t>
            </w:r>
          </w:p>
          <w:p w14:paraId="2CA9DF1B" w14:textId="049F7764" w:rsidR="00933737" w:rsidRPr="001C7349" w:rsidRDefault="00933737" w:rsidP="00BA5231">
            <w:pPr>
              <w:spacing w:line="360" w:lineRule="auto"/>
              <w:rPr>
                <w:rFonts w:ascii="Calibri" w:eastAsia="Calibri" w:hAnsi="Calibri"/>
              </w:rPr>
            </w:pPr>
            <w:r>
              <w:rPr>
                <w:rFonts w:ascii="Calibri" w:eastAsia="Calibri" w:hAnsi="Calibri"/>
              </w:rPr>
              <w:t>(25</w:t>
            </w:r>
            <w:r w:rsidRPr="001D04B2">
              <w:rPr>
                <w:rFonts w:ascii="Calibri" w:eastAsia="Calibri" w:hAnsi="Calibri"/>
                <w:vertAlign w:val="superscript"/>
              </w:rPr>
              <w:t>th</w:t>
            </w:r>
            <w:r>
              <w:rPr>
                <w:rFonts w:ascii="Calibri" w:eastAsia="Calibri" w:hAnsi="Calibri"/>
              </w:rPr>
              <w:t>-75</w:t>
            </w:r>
            <w:r w:rsidRPr="001D04B2">
              <w:rPr>
                <w:rFonts w:ascii="Calibri" w:eastAsia="Calibri" w:hAnsi="Calibri"/>
                <w:vertAlign w:val="superscript"/>
              </w:rPr>
              <w:t>th</w:t>
            </w:r>
            <w:r>
              <w:rPr>
                <w:rFonts w:ascii="Calibri" w:eastAsia="Calibri" w:hAnsi="Calibri"/>
              </w:rPr>
              <w:t xml:space="preserve"> quartile)</w:t>
            </w:r>
          </w:p>
        </w:tc>
        <w:tc>
          <w:tcPr>
            <w:tcW w:w="2552" w:type="dxa"/>
          </w:tcPr>
          <w:p w14:paraId="572714A8" w14:textId="2C2F5700" w:rsidR="00CF5B55" w:rsidRDefault="00CF5B55" w:rsidP="00BA5231">
            <w:pPr>
              <w:spacing w:line="360" w:lineRule="auto"/>
              <w:rPr>
                <w:rFonts w:ascii="Calibri" w:eastAsia="Calibri" w:hAnsi="Calibri"/>
              </w:rPr>
            </w:pPr>
            <w:r w:rsidRPr="00280A4C">
              <w:rPr>
                <w:rFonts w:ascii="Calibri" w:eastAsia="Calibri" w:hAnsi="Calibri"/>
              </w:rPr>
              <w:t xml:space="preserve">30 weeks </w:t>
            </w:r>
          </w:p>
          <w:p w14:paraId="1A6B8DC3" w14:textId="5E71682C" w:rsidR="00933737" w:rsidRDefault="00933737" w:rsidP="00BA5231">
            <w:pPr>
              <w:spacing w:line="360" w:lineRule="auto"/>
              <w:rPr>
                <w:rFonts w:ascii="Calibri" w:eastAsia="Calibri" w:hAnsi="Calibri"/>
              </w:rPr>
            </w:pPr>
            <w:r>
              <w:rPr>
                <w:rFonts w:ascii="Calibri" w:eastAsia="Calibri" w:hAnsi="Calibri"/>
              </w:rPr>
              <w:t>(19-41.5)</w:t>
            </w:r>
          </w:p>
          <w:p w14:paraId="5335616E" w14:textId="11505E0E" w:rsidR="00CF5B55" w:rsidRPr="00280A4C" w:rsidRDefault="00CF5B55" w:rsidP="00BA5231">
            <w:pPr>
              <w:spacing w:line="360" w:lineRule="auto"/>
              <w:rPr>
                <w:rFonts w:ascii="Calibri" w:eastAsia="Calibri" w:hAnsi="Calibri"/>
              </w:rPr>
            </w:pPr>
            <w:r>
              <w:rPr>
                <w:rFonts w:ascii="Calibri" w:eastAsia="Calibri" w:hAnsi="Calibri"/>
              </w:rPr>
              <w:t>6 previously had macrolides</w:t>
            </w:r>
          </w:p>
        </w:tc>
        <w:tc>
          <w:tcPr>
            <w:tcW w:w="2551" w:type="dxa"/>
          </w:tcPr>
          <w:p w14:paraId="4C797B77" w14:textId="4B094231" w:rsidR="00CF5B55" w:rsidRDefault="00933737" w:rsidP="00BA5231">
            <w:pPr>
              <w:spacing w:line="360" w:lineRule="auto"/>
              <w:rPr>
                <w:rFonts w:ascii="Calibri" w:eastAsia="Calibri" w:hAnsi="Calibri"/>
              </w:rPr>
            </w:pPr>
            <w:r>
              <w:rPr>
                <w:rFonts w:ascii="Calibri" w:eastAsia="Calibri" w:hAnsi="Calibri"/>
              </w:rPr>
              <w:t>20</w:t>
            </w:r>
            <w:r w:rsidR="00CF5B55" w:rsidRPr="001C7349">
              <w:rPr>
                <w:rFonts w:ascii="Calibri" w:eastAsia="Calibri" w:hAnsi="Calibri"/>
              </w:rPr>
              <w:t xml:space="preserve"> weeks </w:t>
            </w:r>
          </w:p>
          <w:p w14:paraId="0B689E3F" w14:textId="15F1DADE" w:rsidR="00933737" w:rsidRDefault="00933737" w:rsidP="00BA5231">
            <w:pPr>
              <w:spacing w:line="360" w:lineRule="auto"/>
              <w:rPr>
                <w:rFonts w:ascii="Calibri" w:eastAsia="Calibri" w:hAnsi="Calibri"/>
              </w:rPr>
            </w:pPr>
            <w:r>
              <w:rPr>
                <w:rFonts w:ascii="Calibri" w:eastAsia="Calibri" w:hAnsi="Calibri"/>
              </w:rPr>
              <w:t>(12-25)</w:t>
            </w:r>
          </w:p>
          <w:p w14:paraId="2C7BA06A" w14:textId="6B825454" w:rsidR="00CF5B55" w:rsidRPr="00280A4C" w:rsidRDefault="00CF5B55" w:rsidP="00BA5231">
            <w:pPr>
              <w:spacing w:line="360" w:lineRule="auto"/>
              <w:rPr>
                <w:rFonts w:ascii="Calibri" w:eastAsia="Calibri" w:hAnsi="Calibri"/>
              </w:rPr>
            </w:pPr>
            <w:r>
              <w:rPr>
                <w:rFonts w:ascii="Calibri" w:eastAsia="Calibri" w:hAnsi="Calibri"/>
              </w:rPr>
              <w:t>7 previously had macrolides</w:t>
            </w:r>
          </w:p>
        </w:tc>
      </w:tr>
    </w:tbl>
    <w:p w14:paraId="6ECAF1E6" w14:textId="77777777" w:rsidR="001C7349" w:rsidRPr="001C7349" w:rsidRDefault="001C7349" w:rsidP="000E3A5A">
      <w:pPr>
        <w:rPr>
          <w:rFonts w:ascii="Calibri" w:eastAsia="Calibri" w:hAnsi="Calibri" w:cs="Arial"/>
        </w:rPr>
      </w:pPr>
    </w:p>
    <w:p w14:paraId="7AAEFEC2" w14:textId="282C9B67" w:rsidR="001C7349" w:rsidRPr="000E3A5A" w:rsidRDefault="001C7349" w:rsidP="0064056D">
      <w:pPr>
        <w:spacing w:line="276" w:lineRule="auto"/>
        <w:ind w:left="720" w:hanging="720"/>
        <w:contextualSpacing/>
        <w:rPr>
          <w:rFonts w:ascii="Calibri" w:eastAsia="Calibri" w:hAnsi="Calibri" w:cs="Arial"/>
          <w:i/>
          <w:iCs/>
        </w:rPr>
      </w:pPr>
      <w:r w:rsidRPr="000E3A5A">
        <w:rPr>
          <w:rFonts w:ascii="Calibri" w:eastAsia="Calibri" w:hAnsi="Calibri" w:cs="Arial"/>
          <w:i/>
          <w:iCs/>
        </w:rPr>
        <w:t xml:space="preserve">* </w:t>
      </w:r>
      <w:r w:rsidR="000E3A5A" w:rsidRPr="000E3A5A">
        <w:rPr>
          <w:rFonts w:ascii="Calibri" w:eastAsia="Calibri" w:hAnsi="Calibri" w:cs="Arial"/>
          <w:i/>
          <w:iCs/>
        </w:rPr>
        <w:tab/>
      </w:r>
      <w:r w:rsidRPr="000E3A5A">
        <w:rPr>
          <w:rFonts w:ascii="Calibri" w:eastAsia="Calibri" w:hAnsi="Calibri" w:cs="Arial"/>
          <w:i/>
          <w:iCs/>
        </w:rPr>
        <w:t>Breakdown of antibiotics courses lasting longer than 2 weeks: Co-amoxiclav (22 courses; 10x 2 weeks, 10x 4 week, 1x 5 week, 1x 6 week), Azithromycin (2 courses; 2x 2week)</w:t>
      </w:r>
    </w:p>
    <w:p w14:paraId="26706292" w14:textId="525284A0" w:rsidR="001C7349" w:rsidRPr="000E3A5A" w:rsidRDefault="001C7349" w:rsidP="0064056D">
      <w:pPr>
        <w:spacing w:line="276" w:lineRule="auto"/>
        <w:contextualSpacing/>
        <w:rPr>
          <w:rFonts w:ascii="Calibri" w:eastAsia="Calibri" w:hAnsi="Calibri" w:cs="Arial"/>
          <w:i/>
          <w:iCs/>
        </w:rPr>
      </w:pPr>
      <w:r w:rsidRPr="000E3A5A">
        <w:rPr>
          <w:rFonts w:ascii="Calibri" w:eastAsia="Calibri" w:hAnsi="Calibri" w:cs="Arial"/>
          <w:i/>
          <w:iCs/>
        </w:rPr>
        <w:t xml:space="preserve">** </w:t>
      </w:r>
      <w:r w:rsidR="000E3A5A" w:rsidRPr="000E3A5A">
        <w:rPr>
          <w:rFonts w:ascii="Calibri" w:eastAsia="Calibri" w:hAnsi="Calibri" w:cs="Arial"/>
          <w:i/>
          <w:iCs/>
        </w:rPr>
        <w:tab/>
      </w:r>
      <w:r w:rsidRPr="000E3A5A">
        <w:rPr>
          <w:rFonts w:ascii="Calibri" w:eastAsia="Calibri" w:hAnsi="Calibri" w:cs="Arial"/>
          <w:i/>
          <w:iCs/>
        </w:rPr>
        <w:t xml:space="preserve">Breakdown of &gt; 2 week prescriptions: </w:t>
      </w:r>
    </w:p>
    <w:p w14:paraId="1C28C841" w14:textId="7A447356" w:rsidR="001C7349" w:rsidRPr="000E3A5A" w:rsidRDefault="001C7349" w:rsidP="0064056D">
      <w:pPr>
        <w:spacing w:line="276" w:lineRule="auto"/>
        <w:ind w:left="720" w:hanging="720"/>
        <w:rPr>
          <w:i/>
          <w:iCs/>
        </w:rPr>
      </w:pPr>
      <w:r w:rsidRPr="000E3A5A">
        <w:rPr>
          <w:rFonts w:ascii="Calibri" w:eastAsia="Calibri" w:hAnsi="Calibri" w:cs="Arial"/>
          <w:i/>
          <w:iCs/>
        </w:rPr>
        <w:t xml:space="preserve">*** </w:t>
      </w:r>
      <w:r w:rsidR="000E3A5A" w:rsidRPr="000E3A5A">
        <w:rPr>
          <w:rFonts w:ascii="Calibri" w:eastAsia="Calibri" w:hAnsi="Calibri" w:cs="Arial"/>
          <w:i/>
          <w:iCs/>
        </w:rPr>
        <w:tab/>
      </w:r>
      <w:r w:rsidRPr="000E3A5A">
        <w:rPr>
          <w:rFonts w:ascii="Calibri" w:eastAsia="Calibri" w:hAnsi="Calibri" w:cs="Arial"/>
          <w:i/>
          <w:iCs/>
        </w:rPr>
        <w:t xml:space="preserve">Not including the previous prophylactic azithromycin courses received by </w:t>
      </w:r>
      <w:r w:rsidR="00134540" w:rsidRPr="000E3A5A">
        <w:rPr>
          <w:rFonts w:ascii="Calibri" w:eastAsia="Calibri" w:hAnsi="Calibri" w:cs="Arial"/>
          <w:i/>
          <w:iCs/>
        </w:rPr>
        <w:t>6</w:t>
      </w:r>
      <w:r w:rsidRPr="000E3A5A">
        <w:rPr>
          <w:rFonts w:ascii="Calibri" w:eastAsia="Calibri" w:hAnsi="Calibri" w:cs="Arial"/>
          <w:i/>
          <w:iCs/>
        </w:rPr>
        <w:t xml:space="preserve"> children</w:t>
      </w:r>
      <w:r w:rsidR="00134540" w:rsidRPr="000E3A5A">
        <w:rPr>
          <w:rFonts w:ascii="Calibri" w:eastAsia="Calibri" w:hAnsi="Calibri" w:cs="Arial"/>
          <w:i/>
          <w:iCs/>
        </w:rPr>
        <w:t xml:space="preserve">. Total of 7 children previously exposed to macrolides. </w:t>
      </w:r>
    </w:p>
    <w:p w14:paraId="5650FE0A" w14:textId="77777777" w:rsidR="000E3A5A" w:rsidRPr="00241369" w:rsidRDefault="000E3A5A" w:rsidP="001C7349">
      <w:pPr>
        <w:spacing w:line="360" w:lineRule="auto"/>
      </w:pPr>
    </w:p>
    <w:p w14:paraId="707782ED" w14:textId="7E7B0D04" w:rsidR="001C7349" w:rsidRDefault="001C7349" w:rsidP="004E39EF">
      <w:pPr>
        <w:pStyle w:val="Heading3"/>
        <w:spacing w:line="360" w:lineRule="auto"/>
      </w:pPr>
      <w:bookmarkStart w:id="204" w:name="_Toc117765980"/>
      <w:r w:rsidRPr="00241369">
        <w:t>Nasopharyngeal swab results</w:t>
      </w:r>
      <w:bookmarkEnd w:id="204"/>
    </w:p>
    <w:p w14:paraId="0FB71A5D" w14:textId="7D5E0B01" w:rsidR="00DC6C41" w:rsidRPr="00356E56" w:rsidRDefault="00DC6C41" w:rsidP="004E39EF">
      <w:pPr>
        <w:spacing w:line="360" w:lineRule="auto"/>
      </w:pPr>
      <w:bookmarkStart w:id="205" w:name="_Hlk105505708"/>
      <w:r w:rsidRPr="00356E56">
        <w:t xml:space="preserve">DNPS were collected at baseline from all participants. Following this a further three swabs were to be collected at 4 monthly intervals with additional swabs around exacerbations. </w:t>
      </w:r>
      <w:r w:rsidR="00356E56" w:rsidRPr="00356E56">
        <w:t>As discussed previously (section 2.3.6) a number of swabs were missed due to the COVID pandemic and the swab schedule had to be amended (see</w:t>
      </w:r>
      <w:r w:rsidR="00BC48B4">
        <w:t xml:space="preserve"> </w:t>
      </w:r>
      <w:r w:rsidR="00BC48B4" w:rsidRPr="00BC48B4">
        <w:fldChar w:fldCharType="begin"/>
      </w:r>
      <w:r w:rsidR="00BC48B4" w:rsidRPr="00BC48B4">
        <w:instrText xml:space="preserve"> REF _Ref105446931 \h  \* MERGEFORMAT </w:instrText>
      </w:r>
      <w:r w:rsidR="00BC48B4" w:rsidRPr="00BC48B4">
        <w:fldChar w:fldCharType="separate"/>
      </w:r>
      <w:r w:rsidR="001A066D" w:rsidRPr="001A066D">
        <w:rPr>
          <w:color w:val="000000" w:themeColor="text1"/>
        </w:rPr>
        <w:t xml:space="preserve">Figure </w:t>
      </w:r>
      <w:r w:rsidR="001A066D" w:rsidRPr="001A066D">
        <w:rPr>
          <w:noProof/>
          <w:color w:val="000000" w:themeColor="text1"/>
        </w:rPr>
        <w:t>4</w:t>
      </w:r>
      <w:r w:rsidR="001A066D" w:rsidRPr="001A066D">
        <w:rPr>
          <w:noProof/>
          <w:color w:val="000000" w:themeColor="text1"/>
        </w:rPr>
        <w:noBreakHyphen/>
        <w:t>7</w:t>
      </w:r>
      <w:r w:rsidR="00BC48B4" w:rsidRPr="00BC48B4">
        <w:fldChar w:fldCharType="end"/>
      </w:r>
      <w:r w:rsidR="00BC48B4" w:rsidRPr="00BC48B4">
        <w:t>)</w:t>
      </w:r>
      <w:r w:rsidR="0053438B">
        <w:t xml:space="preserve">. The median duration of </w:t>
      </w:r>
      <w:r w:rsidR="001409A4">
        <w:t>long-term</w:t>
      </w:r>
      <w:r w:rsidR="0053438B">
        <w:t xml:space="preserve"> azithromycin over the study period was 12 months (IQR 7.25-</w:t>
      </w:r>
      <w:r w:rsidR="00F86584">
        <w:t>12</w:t>
      </w:r>
      <w:r w:rsidR="0053438B">
        <w:t>), mean 10.</w:t>
      </w:r>
      <w:r w:rsidR="00F86584">
        <w:t>3</w:t>
      </w:r>
      <w:r w:rsidR="0053438B">
        <w:t xml:space="preserve"> months)</w:t>
      </w:r>
      <w:r w:rsidR="006956D3">
        <w:t xml:space="preserve">. Of the 15 participants in the azithromycin group, 9 had a single episode of continuous azithromycin </w:t>
      </w:r>
      <w:r w:rsidR="006956D3">
        <w:lastRenderedPageBreak/>
        <w:t>exposure ranging from 2 to 17 months. The study period covered 2 winter periods for some participants and hence 5 participants had 2 episodes of azithromycin with a break over the summer months</w:t>
      </w:r>
      <w:r w:rsidR="00592CBF">
        <w:t xml:space="preserve">. A single participant had 3 discrete episodes of azithromycin and 1 participant left the study. For further details see </w:t>
      </w:r>
      <w:r w:rsidR="005C0B5B" w:rsidRPr="005C0B5B">
        <w:fldChar w:fldCharType="begin"/>
      </w:r>
      <w:r w:rsidR="005C0B5B" w:rsidRPr="005C0B5B">
        <w:instrText xml:space="preserve"> REF _Ref107600165 \h  \* MERGEFORMAT </w:instrText>
      </w:r>
      <w:r w:rsidR="005C0B5B" w:rsidRPr="005C0B5B">
        <w:fldChar w:fldCharType="separate"/>
      </w:r>
      <w:r w:rsidR="005C0B5B" w:rsidRPr="005C0B5B">
        <w:rPr>
          <w:color w:val="000000" w:themeColor="text1"/>
        </w:rPr>
        <w:t xml:space="preserve">Table </w:t>
      </w:r>
      <w:r w:rsidR="005C0B5B" w:rsidRPr="005C0B5B">
        <w:rPr>
          <w:noProof/>
          <w:color w:val="000000" w:themeColor="text1"/>
        </w:rPr>
        <w:t>34</w:t>
      </w:r>
      <w:r w:rsidR="005C0B5B" w:rsidRPr="005C0B5B">
        <w:fldChar w:fldCharType="end"/>
      </w:r>
      <w:r w:rsidR="00592CBF">
        <w:t xml:space="preserve"> in section 5.</w:t>
      </w:r>
      <w:r w:rsidR="005C0B5B">
        <w:t>2.2.</w:t>
      </w:r>
    </w:p>
    <w:bookmarkEnd w:id="205"/>
    <w:p w14:paraId="6386A218" w14:textId="67295195" w:rsidR="00DC6C41" w:rsidRPr="00130374" w:rsidRDefault="00DC6C41" w:rsidP="00DC6C41"/>
    <w:p w14:paraId="3F055DA4" w14:textId="77777777" w:rsidR="00DC6C41" w:rsidRPr="008F33C8" w:rsidRDefault="00DC6C41" w:rsidP="00DC6C41">
      <w:pPr>
        <w:shd w:val="clear" w:color="auto" w:fill="FFFFFF" w:themeFill="background1"/>
        <w:spacing w:line="360" w:lineRule="auto"/>
        <w:rPr>
          <w:rFonts w:eastAsia="Calibri" w:cs="Calibri"/>
        </w:rPr>
      </w:pPr>
    </w:p>
    <w:p w14:paraId="4BE63E22" w14:textId="37613FD8"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297" distR="114297" simplePos="0" relativeHeight="251935232" behindDoc="0" locked="0" layoutInCell="1" allowOverlap="1" wp14:anchorId="7D935077" wp14:editId="580AF4E1">
                <wp:simplePos x="0" y="0"/>
                <wp:positionH relativeFrom="column">
                  <wp:posOffset>3357244</wp:posOffset>
                </wp:positionH>
                <wp:positionV relativeFrom="paragraph">
                  <wp:posOffset>119380</wp:posOffset>
                </wp:positionV>
                <wp:extent cx="0" cy="278765"/>
                <wp:effectExtent l="19050" t="0" r="19050" b="26035"/>
                <wp:wrapNone/>
                <wp:docPr id="606" name="Connector: Curved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curvedConnector3">
                          <a:avLst/>
                        </a:prstGeom>
                        <a:noFill/>
                        <a:ln w="57150" cap="flat" cmpd="sng" algn="ctr">
                          <a:solidFill>
                            <a:srgbClr val="FFC000">
                              <a:lumMod val="75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595FF93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606" o:spid="_x0000_s1026" type="#_x0000_t38" style="position:absolute;margin-left:264.35pt;margin-top:9.4pt;width:0;height:21.95pt;z-index:251935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" adj="10800" strokecolor="#bf9000" strokeweight="4.5pt">
                <v:stroke joinstyle="miter"/>
                <o:lock v:ext="edit" shapetype="f"/>
              </v:shape>
            </w:pict>
          </mc:Fallback>
        </mc:AlternateContent>
      </w:r>
      <w:r>
        <w:rPr>
          <w:noProof/>
        </w:rPr>
        <mc:AlternateContent>
          <mc:Choice Requires="wps">
            <w:drawing>
              <wp:anchor distT="0" distB="0" distL="114297" distR="114297" simplePos="0" relativeHeight="251934208" behindDoc="0" locked="0" layoutInCell="1" allowOverlap="1" wp14:anchorId="7B00A450" wp14:editId="532006F3">
                <wp:simplePos x="0" y="0"/>
                <wp:positionH relativeFrom="column">
                  <wp:posOffset>2968624</wp:posOffset>
                </wp:positionH>
                <wp:positionV relativeFrom="paragraph">
                  <wp:posOffset>119380</wp:posOffset>
                </wp:positionV>
                <wp:extent cx="0" cy="278765"/>
                <wp:effectExtent l="19050" t="0" r="19050" b="26035"/>
                <wp:wrapNone/>
                <wp:docPr id="605" name="Connector: Curved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curvedConnector3">
                          <a:avLst/>
                        </a:prstGeom>
                        <a:noFill/>
                        <a:ln w="57150" cap="flat" cmpd="sng" algn="ctr">
                          <a:solidFill>
                            <a:srgbClr val="FFC000">
                              <a:lumMod val="75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58C2A480" id="Connector: Curved 605" o:spid="_x0000_s1026" type="#_x0000_t38" style="position:absolute;margin-left:233.75pt;margin-top:9.4pt;width:0;height:21.95pt;z-index:25193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" adj="10800" strokecolor="#bf9000" strokeweight="4.5pt">
                <v:stroke joinstyle="miter"/>
                <o:lock v:ext="edit" shapetype="f"/>
              </v:shape>
            </w:pict>
          </mc:Fallback>
        </mc:AlternateContent>
      </w:r>
      <w:r>
        <w:rPr>
          <w:noProof/>
        </w:rPr>
        <mc:AlternateContent>
          <mc:Choice Requires="wps">
            <w:drawing>
              <wp:anchor distT="0" distB="0" distL="114297" distR="114297" simplePos="0" relativeHeight="251933184" behindDoc="0" locked="0" layoutInCell="1" allowOverlap="1" wp14:anchorId="5F7AEBF7" wp14:editId="28681B55">
                <wp:simplePos x="0" y="0"/>
                <wp:positionH relativeFrom="column">
                  <wp:posOffset>1739899</wp:posOffset>
                </wp:positionH>
                <wp:positionV relativeFrom="paragraph">
                  <wp:posOffset>119380</wp:posOffset>
                </wp:positionV>
                <wp:extent cx="0" cy="278765"/>
                <wp:effectExtent l="19050" t="0" r="19050" b="26035"/>
                <wp:wrapNone/>
                <wp:docPr id="604" name="Connector: Curved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curvedConnector3">
                          <a:avLst/>
                        </a:prstGeom>
                        <a:noFill/>
                        <a:ln w="57150" cap="flat" cmpd="sng" algn="ctr">
                          <a:solidFill>
                            <a:srgbClr val="FFC000">
                              <a:lumMod val="75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1EC0BE49" id="Connector: Curved 604" o:spid="_x0000_s1026" type="#_x0000_t38" style="position:absolute;margin-left:137pt;margin-top:9.4pt;width:0;height:21.95pt;z-index:251933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" adj="10800" strokecolor="#bf9000" strokeweight="4.5pt">
                <v:stroke joinstyle="miter"/>
                <o:lock v:ext="edit" shapetype="f"/>
              </v:shape>
            </w:pict>
          </mc:Fallback>
        </mc:AlternateContent>
      </w:r>
      <w:r>
        <w:rPr>
          <w:noProof/>
        </w:rPr>
        <mc:AlternateContent>
          <mc:Choice Requires="wps">
            <w:drawing>
              <wp:anchor distT="0" distB="0" distL="114297" distR="114297" simplePos="0" relativeHeight="251932160" behindDoc="0" locked="0" layoutInCell="1" allowOverlap="1" wp14:anchorId="6BA650FD" wp14:editId="060170FB">
                <wp:simplePos x="0" y="0"/>
                <wp:positionH relativeFrom="column">
                  <wp:posOffset>1314449</wp:posOffset>
                </wp:positionH>
                <wp:positionV relativeFrom="paragraph">
                  <wp:posOffset>118110</wp:posOffset>
                </wp:positionV>
                <wp:extent cx="0" cy="278765"/>
                <wp:effectExtent l="19050" t="0" r="19050" b="26035"/>
                <wp:wrapNone/>
                <wp:docPr id="603" name="Connector: Curved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curvedConnector3">
                          <a:avLst/>
                        </a:prstGeom>
                        <a:noFill/>
                        <a:ln w="57150" cap="flat" cmpd="sng" algn="ctr">
                          <a:solidFill>
                            <a:srgbClr val="FFC000">
                              <a:lumMod val="75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079D235D" id="Connector: Curved 603" o:spid="_x0000_s1026" type="#_x0000_t38" style="position:absolute;margin-left:103.5pt;margin-top:9.3pt;width:0;height:21.95pt;z-index:251932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" adj="10800" strokecolor="#bf9000" strokeweight="4.5pt">
                <v:stroke joinstyle="miter"/>
                <o:lock v:ext="edit" shapetype="f"/>
              </v:shape>
            </w:pict>
          </mc:Fallback>
        </mc:AlternateContent>
      </w:r>
      <w:r>
        <w:rPr>
          <w:noProof/>
        </w:rPr>
        <mc:AlternateContent>
          <mc:Choice Requires="wps">
            <w:drawing>
              <wp:anchor distT="0" distB="0" distL="114300" distR="114300" simplePos="0" relativeHeight="251931136" behindDoc="0" locked="0" layoutInCell="1" allowOverlap="1" wp14:anchorId="662F53C2" wp14:editId="31201E24">
                <wp:simplePos x="0" y="0"/>
                <wp:positionH relativeFrom="column">
                  <wp:posOffset>5610225</wp:posOffset>
                </wp:positionH>
                <wp:positionV relativeFrom="paragraph">
                  <wp:posOffset>116840</wp:posOffset>
                </wp:positionV>
                <wp:extent cx="174625" cy="270510"/>
                <wp:effectExtent l="19050" t="19050" r="15875" b="0"/>
                <wp:wrapNone/>
                <wp:docPr id="602" name="Arrow: Up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FFC000">
                            <a:lumMod val="75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3DB7A" id="Arrow: Up 602" o:spid="_x0000_s1026" type="#_x0000_t68" style="position:absolute;margin-left:441.75pt;margin-top:9.2pt;width:13.75pt;height:21.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" fillcolor="#bf9000">
                <v:textbox style="layout-flow:vertical-ideographic"/>
              </v:shape>
            </w:pict>
          </mc:Fallback>
        </mc:AlternateContent>
      </w:r>
      <w:r>
        <w:rPr>
          <w:noProof/>
        </w:rPr>
        <mc:AlternateContent>
          <mc:Choice Requires="wps">
            <w:drawing>
              <wp:anchor distT="0" distB="0" distL="114300" distR="114300" simplePos="0" relativeHeight="251920896" behindDoc="0" locked="0" layoutInCell="1" allowOverlap="1" wp14:anchorId="0F1110F7" wp14:editId="173F157D">
                <wp:simplePos x="0" y="0"/>
                <wp:positionH relativeFrom="column">
                  <wp:posOffset>4797425</wp:posOffset>
                </wp:positionH>
                <wp:positionV relativeFrom="paragraph">
                  <wp:posOffset>122555</wp:posOffset>
                </wp:positionV>
                <wp:extent cx="174625" cy="270510"/>
                <wp:effectExtent l="19050" t="19050" r="15875" b="0"/>
                <wp:wrapNone/>
                <wp:docPr id="601" name="Arrow: Up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061DF" id="Arrow: Up 601" o:spid="_x0000_s1026" type="#_x0000_t68" style="position:absolute;margin-left:377.75pt;margin-top:9.65pt;width:13.75pt;height:21.3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" fillcolor="#00b0f0">
                <v:textbox style="layout-flow:vertical-ideographic"/>
              </v:shape>
            </w:pict>
          </mc:Fallback>
        </mc:AlternateContent>
      </w:r>
      <w:r>
        <w:rPr>
          <w:noProof/>
        </w:rPr>
        <mc:AlternateContent>
          <mc:Choice Requires="wps">
            <w:drawing>
              <wp:anchor distT="0" distB="0" distL="114300" distR="114300" simplePos="0" relativeHeight="251918848" behindDoc="0" locked="0" layoutInCell="1" allowOverlap="1" wp14:anchorId="073FC5A7" wp14:editId="4838F904">
                <wp:simplePos x="0" y="0"/>
                <wp:positionH relativeFrom="column">
                  <wp:posOffset>1424940</wp:posOffset>
                </wp:positionH>
                <wp:positionV relativeFrom="paragraph">
                  <wp:posOffset>122555</wp:posOffset>
                </wp:positionV>
                <wp:extent cx="174625" cy="270510"/>
                <wp:effectExtent l="19050" t="19050" r="15875" b="0"/>
                <wp:wrapNone/>
                <wp:docPr id="600" name="Arrow: Up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5AAAD" id="Arrow: Up 600" o:spid="_x0000_s1026" type="#_x0000_t68" style="position:absolute;margin-left:112.2pt;margin-top:9.65pt;width:13.75pt;height:21.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" fillcolor="#00b0f0">
                <v:textbox style="layout-flow:vertical-ideographic"/>
              </v:shape>
            </w:pict>
          </mc:Fallback>
        </mc:AlternateContent>
      </w:r>
      <w:r>
        <w:rPr>
          <w:noProof/>
        </w:rPr>
        <mc:AlternateContent>
          <mc:Choice Requires="wps">
            <w:drawing>
              <wp:anchor distT="0" distB="0" distL="114300" distR="114300" simplePos="0" relativeHeight="251919872" behindDoc="0" locked="0" layoutInCell="1" allowOverlap="1" wp14:anchorId="6B65420D" wp14:editId="2CD754EA">
                <wp:simplePos x="0" y="0"/>
                <wp:positionH relativeFrom="column">
                  <wp:posOffset>3079115</wp:posOffset>
                </wp:positionH>
                <wp:positionV relativeFrom="paragraph">
                  <wp:posOffset>122555</wp:posOffset>
                </wp:positionV>
                <wp:extent cx="174625" cy="270510"/>
                <wp:effectExtent l="19050" t="19050" r="15875" b="0"/>
                <wp:wrapNone/>
                <wp:docPr id="599" name="Arrow: Up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13A1" id="Arrow: Up 599" o:spid="_x0000_s1026" type="#_x0000_t68" style="position:absolute;margin-left:242.45pt;margin-top:9.65pt;width:13.75pt;height:21.3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" fillcolor="#00b0f0">
                <v:textbox style="layout-flow:vertical-ideographic"/>
              </v:shape>
            </w:pict>
          </mc:Fallback>
        </mc:AlternateContent>
      </w:r>
      <w:r>
        <w:rPr>
          <w:noProof/>
        </w:rPr>
        <mc:AlternateContent>
          <mc:Choice Requires="wps">
            <w:drawing>
              <wp:anchor distT="0" distB="0" distL="114300" distR="114300" simplePos="0" relativeHeight="251921920" behindDoc="0" locked="0" layoutInCell="1" allowOverlap="1" wp14:anchorId="797F2593" wp14:editId="33E55F71">
                <wp:simplePos x="0" y="0"/>
                <wp:positionH relativeFrom="column">
                  <wp:posOffset>-22860</wp:posOffset>
                </wp:positionH>
                <wp:positionV relativeFrom="paragraph">
                  <wp:posOffset>122555</wp:posOffset>
                </wp:positionV>
                <wp:extent cx="174625" cy="270510"/>
                <wp:effectExtent l="19050" t="19050" r="15875" b="0"/>
                <wp:wrapNone/>
                <wp:docPr id="598" name="Arrow: Up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70510"/>
                        </a:xfrm>
                        <a:prstGeom prst="upArrow">
                          <a:avLst>
                            <a:gd name="adj1" fmla="val 50000"/>
                            <a:gd name="adj2" fmla="val 387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FA7F" id="Arrow: Up 598" o:spid="_x0000_s1026" type="#_x0000_t68" style="position:absolute;margin-left:-1.8pt;margin-top:9.65pt;width:13.75pt;height:21.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" fillcolor="#00b0f0">
                <v:textbox style="layout-flow:vertical-ideographic"/>
              </v:shape>
            </w:pict>
          </mc:Fallback>
        </mc:AlternateContent>
      </w:r>
    </w:p>
    <w:p w14:paraId="5AEA8B39" w14:textId="77777777" w:rsidR="00DC6C41" w:rsidRPr="008F33C8" w:rsidRDefault="00DC6C41" w:rsidP="00DC6C41">
      <w:pPr>
        <w:shd w:val="clear" w:color="auto" w:fill="FFFFFF" w:themeFill="background1"/>
        <w:spacing w:line="360" w:lineRule="auto"/>
        <w:rPr>
          <w:rFonts w:eastAsia="Calibri" w:cs="Calibri"/>
        </w:rPr>
      </w:pPr>
      <w:r>
        <w:rPr>
          <w:rFonts w:eastAsia="Calibri" w:cs="Calibri"/>
        </w:rPr>
        <w:tab/>
      </w:r>
      <w:r>
        <w:rPr>
          <w:rFonts w:eastAsia="Calibri" w:cs="Calibri"/>
        </w:rPr>
        <w:tab/>
      </w:r>
      <w:r>
        <w:rPr>
          <w:rFonts w:eastAsia="Calibri" w:cs="Calibri"/>
        </w:rPr>
        <w:tab/>
      </w:r>
      <w:r>
        <w:rPr>
          <w:rFonts w:eastAsia="Calibri" w:cs="Calibri"/>
        </w:rPr>
        <w:tab/>
      </w:r>
    </w:p>
    <w:p w14:paraId="72EBE09F" w14:textId="34006037"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4294967293" distB="4294967293" distL="114300" distR="114300" simplePos="0" relativeHeight="251930112" behindDoc="0" locked="0" layoutInCell="1" allowOverlap="1" wp14:anchorId="5CAEC0E6" wp14:editId="42BBA6F2">
                <wp:simplePos x="0" y="0"/>
                <wp:positionH relativeFrom="column">
                  <wp:posOffset>5048250</wp:posOffset>
                </wp:positionH>
                <wp:positionV relativeFrom="paragraph">
                  <wp:posOffset>107314</wp:posOffset>
                </wp:positionV>
                <wp:extent cx="685800" cy="0"/>
                <wp:effectExtent l="0" t="114300" r="0" b="114300"/>
                <wp:wrapNone/>
                <wp:docPr id="597" name="Straight Arrow Connector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straightConnector1">
                          <a:avLst/>
                        </a:prstGeom>
                        <a:noFill/>
                        <a:ln w="57150" cap="flat" cmpd="sng" algn="ctr">
                          <a:solidFill>
                            <a:srgbClr val="FFC000">
                              <a:lumMod val="75000"/>
                            </a:srgbClr>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6C347F" id="Straight Arrow Connector 597" o:spid="_x0000_s1026" type="#_x0000_t32" style="position:absolute;margin-left:397.5pt;margin-top:8.45pt;width:54pt;height:0;z-index:251930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" strokecolor="#bf9000" strokeweight="4.5pt">
                <v:stroke endarrow="block" joinstyle="miter"/>
                <o:lock v:ext="edit" shapetype="f"/>
              </v:shape>
            </w:pict>
          </mc:Fallback>
        </mc:AlternateContent>
      </w:r>
      <w:r>
        <w:rPr>
          <w:noProof/>
        </w:rPr>
        <mc:AlternateContent>
          <mc:Choice Requires="wps">
            <w:drawing>
              <wp:anchor distT="0" distB="0" distL="114300" distR="114300" simplePos="0" relativeHeight="251917824" behindDoc="0" locked="0" layoutInCell="1" allowOverlap="1" wp14:anchorId="0F54A4A2" wp14:editId="53D7DF43">
                <wp:simplePos x="0" y="0"/>
                <wp:positionH relativeFrom="column">
                  <wp:posOffset>-22860</wp:posOffset>
                </wp:positionH>
                <wp:positionV relativeFrom="paragraph">
                  <wp:posOffset>109220</wp:posOffset>
                </wp:positionV>
                <wp:extent cx="4890135" cy="635"/>
                <wp:effectExtent l="0" t="76200" r="5715" b="75565"/>
                <wp:wrapNone/>
                <wp:docPr id="596" name="Straight Arrow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013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944C3C" id="Straight Arrow Connector 596" o:spid="_x0000_s1026" type="#_x0000_t32" style="position:absolute;margin-left:-1.8pt;margin-top:8.6pt;width:385.05pt;height:.0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">
                <v:stroke endarrow="block"/>
              </v:shape>
            </w:pict>
          </mc:Fallback>
        </mc:AlternateContent>
      </w:r>
    </w:p>
    <w:p w14:paraId="5E152893" w14:textId="1A71F77C"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26016" behindDoc="0" locked="0" layoutInCell="1" allowOverlap="1" wp14:anchorId="1E9C5C45" wp14:editId="21F04ACA">
                <wp:simplePos x="0" y="0"/>
                <wp:positionH relativeFrom="column">
                  <wp:posOffset>3837940</wp:posOffset>
                </wp:positionH>
                <wp:positionV relativeFrom="paragraph">
                  <wp:posOffset>14605</wp:posOffset>
                </wp:positionV>
                <wp:extent cx="90805" cy="556260"/>
                <wp:effectExtent l="19050" t="0" r="23495" b="34290"/>
                <wp:wrapNone/>
                <wp:docPr id="595" name="Arrow: Down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56260"/>
                        </a:xfrm>
                        <a:prstGeom prst="downArrow">
                          <a:avLst>
                            <a:gd name="adj1" fmla="val 50000"/>
                            <a:gd name="adj2" fmla="val 153147"/>
                          </a:avLst>
                        </a:prstGeom>
                        <a:solidFill>
                          <a:srgbClr val="7030A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07E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95" o:spid="_x0000_s1026" type="#_x0000_t67" style="position:absolute;margin-left:302.2pt;margin-top:1.15pt;width:7.15pt;height:43.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" fillcolor="#7030a0">
                <v:textbox style="layout-flow:vertical-ideographic"/>
              </v:shape>
            </w:pict>
          </mc:Fallback>
        </mc:AlternateContent>
      </w:r>
      <w:r>
        <w:rPr>
          <w:noProof/>
        </w:rPr>
        <mc:AlternateContent>
          <mc:Choice Requires="wps">
            <w:drawing>
              <wp:anchor distT="0" distB="0" distL="114300" distR="114300" simplePos="0" relativeHeight="251924992" behindDoc="0" locked="0" layoutInCell="1" allowOverlap="1" wp14:anchorId="0626956A" wp14:editId="0F888C69">
                <wp:simplePos x="0" y="0"/>
                <wp:positionH relativeFrom="column">
                  <wp:posOffset>3515360</wp:posOffset>
                </wp:positionH>
                <wp:positionV relativeFrom="paragraph">
                  <wp:posOffset>14605</wp:posOffset>
                </wp:positionV>
                <wp:extent cx="90805" cy="556260"/>
                <wp:effectExtent l="19050" t="0" r="23495" b="34290"/>
                <wp:wrapNone/>
                <wp:docPr id="594" name="Arrow: Down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56260"/>
                        </a:xfrm>
                        <a:prstGeom prst="downArrow">
                          <a:avLst>
                            <a:gd name="adj1" fmla="val 50000"/>
                            <a:gd name="adj2" fmla="val 153147"/>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8FBE5" id="Arrow: Down 594" o:spid="_x0000_s1026" type="#_x0000_t67" style="position:absolute;margin-left:276.8pt;margin-top:1.15pt;width:7.15pt;height:43.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" fillcolor="#00b050">
                <v:textbox style="layout-flow:vertical-ideographic"/>
              </v:shape>
            </w:pict>
          </mc:Fallback>
        </mc:AlternateContent>
      </w:r>
      <w:r>
        <w:rPr>
          <w:noProof/>
        </w:rPr>
        <mc:AlternateContent>
          <mc:Choice Requires="wps">
            <w:drawing>
              <wp:anchor distT="0" distB="0" distL="114300" distR="114300" simplePos="0" relativeHeight="251923968" behindDoc="0" locked="0" layoutInCell="1" allowOverlap="1" wp14:anchorId="0D9415F7" wp14:editId="1E0BCC03">
                <wp:simplePos x="0" y="0"/>
                <wp:positionH relativeFrom="column">
                  <wp:posOffset>970915</wp:posOffset>
                </wp:positionH>
                <wp:positionV relativeFrom="paragraph">
                  <wp:posOffset>14605</wp:posOffset>
                </wp:positionV>
                <wp:extent cx="90805" cy="556260"/>
                <wp:effectExtent l="19050" t="0" r="23495" b="34290"/>
                <wp:wrapNone/>
                <wp:docPr id="593" name="Arrow: Down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56260"/>
                        </a:xfrm>
                        <a:prstGeom prst="downArrow">
                          <a:avLst>
                            <a:gd name="adj1" fmla="val 50000"/>
                            <a:gd name="adj2" fmla="val 153147"/>
                          </a:avLst>
                        </a:prstGeom>
                        <a:solidFill>
                          <a:srgbClr val="7030A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2A5D" id="Arrow: Down 593" o:spid="_x0000_s1026" type="#_x0000_t67" style="position:absolute;margin-left:76.45pt;margin-top:1.15pt;width:7.15pt;height:43.8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" fillcolor="#7030a0">
                <v:textbox style="layout-flow:vertical-ideographic"/>
              </v:shape>
            </w:pict>
          </mc:Fallback>
        </mc:AlternateContent>
      </w:r>
      <w:r>
        <w:rPr>
          <w:noProof/>
        </w:rPr>
        <mc:AlternateContent>
          <mc:Choice Requires="wps">
            <w:drawing>
              <wp:anchor distT="0" distB="0" distL="114300" distR="114300" simplePos="0" relativeHeight="251922944" behindDoc="0" locked="0" layoutInCell="1" allowOverlap="1" wp14:anchorId="7EB9F9CE" wp14:editId="68773446">
                <wp:simplePos x="0" y="0"/>
                <wp:positionH relativeFrom="column">
                  <wp:posOffset>617855</wp:posOffset>
                </wp:positionH>
                <wp:positionV relativeFrom="paragraph">
                  <wp:posOffset>14605</wp:posOffset>
                </wp:positionV>
                <wp:extent cx="90805" cy="556260"/>
                <wp:effectExtent l="19050" t="0" r="23495" b="34290"/>
                <wp:wrapNone/>
                <wp:docPr id="592" name="Arrow: Down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56260"/>
                        </a:xfrm>
                        <a:prstGeom prst="downArrow">
                          <a:avLst>
                            <a:gd name="adj1" fmla="val 50000"/>
                            <a:gd name="adj2" fmla="val 153147"/>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C84A" id="Arrow: Down 592" o:spid="_x0000_s1026" type="#_x0000_t67" style="position:absolute;margin-left:48.65pt;margin-top:1.15pt;width:7.15pt;height:43.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" fillcolor="#00b050">
                <v:textbox style="layout-flow:vertical-ideographic"/>
              </v:shape>
            </w:pict>
          </mc:Fallback>
        </mc:AlternateContent>
      </w:r>
      <w:r w:rsidR="00DC6C41" w:rsidRPr="008F33C8">
        <w:rPr>
          <w:rFonts w:eastAsia="Calibri" w:cs="Calibri"/>
        </w:rPr>
        <w:t>Baseline</w:t>
      </w:r>
      <w:r w:rsidR="00DC6C41" w:rsidRPr="008F33C8">
        <w:rPr>
          <w:rFonts w:eastAsia="Calibri" w:cs="Calibri"/>
        </w:rPr>
        <w:tab/>
      </w:r>
      <w:r w:rsidR="00DC6C41" w:rsidRPr="008F33C8">
        <w:rPr>
          <w:rFonts w:eastAsia="Calibri" w:cs="Calibri"/>
        </w:rPr>
        <w:tab/>
        <w:t>4 months</w:t>
      </w:r>
      <w:r w:rsidR="00DC6C41" w:rsidRPr="008F33C8">
        <w:rPr>
          <w:rFonts w:eastAsia="Calibri" w:cs="Calibri"/>
        </w:rPr>
        <w:tab/>
      </w:r>
      <w:r w:rsidR="00DC6C41" w:rsidRPr="008F33C8">
        <w:rPr>
          <w:rFonts w:eastAsia="Calibri" w:cs="Calibri"/>
        </w:rPr>
        <w:tab/>
        <w:t>8 months</w:t>
      </w:r>
      <w:r w:rsidR="00DC6C41" w:rsidRPr="008F33C8">
        <w:rPr>
          <w:rFonts w:eastAsia="Calibri" w:cs="Calibri"/>
        </w:rPr>
        <w:tab/>
      </w:r>
      <w:r w:rsidR="00DC6C41" w:rsidRPr="008F33C8">
        <w:rPr>
          <w:rFonts w:eastAsia="Calibri" w:cs="Calibri"/>
        </w:rPr>
        <w:tab/>
        <w:t>12 months</w:t>
      </w:r>
      <w:r w:rsidR="00DC6C41">
        <w:rPr>
          <w:rFonts w:eastAsia="Calibri" w:cs="Calibri"/>
        </w:rPr>
        <w:tab/>
        <w:t>18 months</w:t>
      </w:r>
    </w:p>
    <w:p w14:paraId="1EBC02A6" w14:textId="0EC02A09" w:rsidR="00DC6C41" w:rsidRDefault="00DC6C41" w:rsidP="00DC6C41">
      <w:pPr>
        <w:shd w:val="clear" w:color="auto" w:fill="FFFFFF" w:themeFill="background1"/>
        <w:spacing w:line="360" w:lineRule="auto"/>
        <w:rPr>
          <w:rFonts w:eastAsia="Calibri" w:cs="Calibri"/>
        </w:rPr>
      </w:pPr>
    </w:p>
    <w:p w14:paraId="7D1945E6" w14:textId="77777777" w:rsidR="00E54BAF" w:rsidRPr="008F33C8" w:rsidRDefault="00E54BAF" w:rsidP="00DC6C41">
      <w:pPr>
        <w:shd w:val="clear" w:color="auto" w:fill="FFFFFF" w:themeFill="background1"/>
        <w:spacing w:line="360" w:lineRule="auto"/>
        <w:rPr>
          <w:rFonts w:eastAsia="Calibri" w:cs="Calibri"/>
        </w:rPr>
      </w:pPr>
    </w:p>
    <w:p w14:paraId="2DBE4C49" w14:textId="08BCDF94"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27040" behindDoc="0" locked="0" layoutInCell="1" allowOverlap="1" wp14:anchorId="1A0FA58B" wp14:editId="153AB84B">
                <wp:simplePos x="0" y="0"/>
                <wp:positionH relativeFrom="column">
                  <wp:posOffset>32385</wp:posOffset>
                </wp:positionH>
                <wp:positionV relativeFrom="paragraph">
                  <wp:posOffset>40005</wp:posOffset>
                </wp:positionV>
                <wp:extent cx="262890" cy="138430"/>
                <wp:effectExtent l="0" t="19050" r="22860" b="13970"/>
                <wp:wrapNone/>
                <wp:docPr id="591" name="Arrow: Right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38430"/>
                        </a:xfrm>
                        <a:prstGeom prst="rightArrow">
                          <a:avLst>
                            <a:gd name="adj1" fmla="val 50000"/>
                            <a:gd name="adj2" fmla="val 47477"/>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DDFFF" id="Arrow: Right 591" o:spid="_x0000_s1026" type="#_x0000_t13" style="position:absolute;margin-left:2.55pt;margin-top:3.15pt;width:20.7pt;height:10.9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" fillcolor="#00b0f0"/>
            </w:pict>
          </mc:Fallback>
        </mc:AlternateContent>
      </w:r>
      <w:r w:rsidR="00DC6C41" w:rsidRPr="008F33C8">
        <w:rPr>
          <w:rFonts w:eastAsia="Calibri" w:cs="Calibri"/>
        </w:rPr>
        <w:tab/>
        <w:t>Regular background swabs – 4 monthly</w:t>
      </w:r>
      <w:r w:rsidR="00DC6C41">
        <w:rPr>
          <w:rFonts w:eastAsia="Calibri" w:cs="Calibri"/>
        </w:rPr>
        <w:t xml:space="preserve"> (initial study end planned at 12-months)</w:t>
      </w:r>
    </w:p>
    <w:p w14:paraId="788145E9" w14:textId="7477786C" w:rsidR="00DC6C41" w:rsidRPr="008F33C8" w:rsidRDefault="00DC6C41" w:rsidP="00DC6C41">
      <w:pPr>
        <w:shd w:val="clear" w:color="auto" w:fill="FFFFFF" w:themeFill="background1"/>
        <w:spacing w:line="360" w:lineRule="auto"/>
        <w:rPr>
          <w:rFonts w:eastAsia="Calibri" w:cs="Calibri"/>
        </w:rPr>
      </w:pPr>
      <w:r w:rsidRPr="008F33C8">
        <w:rPr>
          <w:rFonts w:eastAsia="Calibri" w:cs="Calibri"/>
        </w:rPr>
        <w:tab/>
        <w:t>Test: Bacterial culture, MIC and 16s analysis</w:t>
      </w:r>
    </w:p>
    <w:p w14:paraId="12640118" w14:textId="4940299B"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28064" behindDoc="0" locked="0" layoutInCell="1" allowOverlap="1" wp14:anchorId="1EC49A3E" wp14:editId="3F62B82B">
                <wp:simplePos x="0" y="0"/>
                <wp:positionH relativeFrom="column">
                  <wp:posOffset>32385</wp:posOffset>
                </wp:positionH>
                <wp:positionV relativeFrom="paragraph">
                  <wp:posOffset>71755</wp:posOffset>
                </wp:positionV>
                <wp:extent cx="262890" cy="138430"/>
                <wp:effectExtent l="0" t="19050" r="22860" b="13970"/>
                <wp:wrapNone/>
                <wp:docPr id="590" name="Arrow: Right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38430"/>
                        </a:xfrm>
                        <a:prstGeom prst="rightArrow">
                          <a:avLst>
                            <a:gd name="adj1" fmla="val 50000"/>
                            <a:gd name="adj2" fmla="val 47477"/>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EF5A" id="Arrow: Right 590" o:spid="_x0000_s1026" type="#_x0000_t13" style="position:absolute;margin-left:2.55pt;margin-top:5.65pt;width:20.7pt;height:10.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" fillcolor="#00b050"/>
            </w:pict>
          </mc:Fallback>
        </mc:AlternateContent>
      </w:r>
      <w:r w:rsidR="00DC6C41" w:rsidRPr="008F33C8">
        <w:rPr>
          <w:rFonts w:eastAsia="Calibri" w:cs="Calibri"/>
        </w:rPr>
        <w:tab/>
        <w:t>Beginning of pulmonary exacerbation – 2 swabs (1x DNPS and 1x viral throat swab)</w:t>
      </w:r>
    </w:p>
    <w:p w14:paraId="218ABC87" w14:textId="77777777" w:rsidR="00DC6C41" w:rsidRPr="008F33C8" w:rsidRDefault="00DC6C41" w:rsidP="00DC6C41">
      <w:pPr>
        <w:shd w:val="clear" w:color="auto" w:fill="FFFFFF" w:themeFill="background1"/>
        <w:spacing w:line="360" w:lineRule="auto"/>
        <w:rPr>
          <w:rFonts w:eastAsia="Calibri" w:cs="Calibri"/>
        </w:rPr>
      </w:pPr>
      <w:r w:rsidRPr="008F33C8">
        <w:rPr>
          <w:rFonts w:eastAsia="Calibri" w:cs="Calibri"/>
        </w:rPr>
        <w:tab/>
        <w:t xml:space="preserve">Tests: Bacterial culture, MIC and 16s analysis + viral PCRs </w:t>
      </w:r>
    </w:p>
    <w:p w14:paraId="626F5378" w14:textId="2EC947E3"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29088" behindDoc="0" locked="0" layoutInCell="1" allowOverlap="1" wp14:anchorId="19C17B9E" wp14:editId="7F7E63D8">
                <wp:simplePos x="0" y="0"/>
                <wp:positionH relativeFrom="column">
                  <wp:posOffset>32385</wp:posOffset>
                </wp:positionH>
                <wp:positionV relativeFrom="paragraph">
                  <wp:posOffset>71755</wp:posOffset>
                </wp:positionV>
                <wp:extent cx="262890" cy="138430"/>
                <wp:effectExtent l="0" t="19050" r="22860" b="13970"/>
                <wp:wrapNone/>
                <wp:docPr id="589" name="Arrow: Right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138430"/>
                        </a:xfrm>
                        <a:prstGeom prst="rightArrow">
                          <a:avLst>
                            <a:gd name="adj1" fmla="val 50000"/>
                            <a:gd name="adj2" fmla="val 47477"/>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FAB87" id="Arrow: Right 589" o:spid="_x0000_s1026" type="#_x0000_t13" style="position:absolute;margin-left:2.55pt;margin-top:5.65pt;width:20.7pt;height:10.9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" fillcolor="#7030a0"/>
            </w:pict>
          </mc:Fallback>
        </mc:AlternateContent>
      </w:r>
      <w:r w:rsidR="00DC6C41" w:rsidRPr="008F33C8">
        <w:rPr>
          <w:rFonts w:eastAsia="Calibri" w:cs="Calibri"/>
        </w:rPr>
        <w:tab/>
        <w:t>End of exacerbation swab – taken on completion of antibiotic course</w:t>
      </w:r>
    </w:p>
    <w:p w14:paraId="63E206EC" w14:textId="59B193EE" w:rsidR="00DC6C41" w:rsidRPr="008F33C8" w:rsidRDefault="00EB0610" w:rsidP="00DC6C41">
      <w:pPr>
        <w:shd w:val="clear" w:color="auto" w:fill="FFFFFF" w:themeFill="background1"/>
        <w:spacing w:line="360" w:lineRule="auto"/>
        <w:rPr>
          <w:rFonts w:eastAsia="Calibri" w:cs="Calibri"/>
        </w:rPr>
      </w:pPr>
      <w:r>
        <w:rPr>
          <w:noProof/>
        </w:rPr>
        <mc:AlternateContent>
          <mc:Choice Requires="wps">
            <w:drawing>
              <wp:anchor distT="0" distB="0" distL="114300" distR="114300" simplePos="0" relativeHeight="251937280" behindDoc="0" locked="0" layoutInCell="1" allowOverlap="1" wp14:anchorId="6ADD186F" wp14:editId="107AFFBC">
                <wp:simplePos x="0" y="0"/>
                <wp:positionH relativeFrom="column">
                  <wp:posOffset>77470</wp:posOffset>
                </wp:positionH>
                <wp:positionV relativeFrom="paragraph">
                  <wp:posOffset>243205</wp:posOffset>
                </wp:positionV>
                <wp:extent cx="174625" cy="270510"/>
                <wp:effectExtent l="57150" t="0" r="34925" b="0"/>
                <wp:wrapNone/>
                <wp:docPr id="588" name="Arrow: Up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625" cy="270510"/>
                        </a:xfrm>
                        <a:prstGeom prst="upArrow">
                          <a:avLst>
                            <a:gd name="adj1" fmla="val 50000"/>
                            <a:gd name="adj2" fmla="val 38727"/>
                          </a:avLst>
                        </a:prstGeom>
                        <a:solidFill>
                          <a:srgbClr val="FFC000">
                            <a:lumMod val="75000"/>
                          </a:srgb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604B6" id="Arrow: Up 588" o:spid="_x0000_s1026" type="#_x0000_t68" style="position:absolute;margin-left:6.1pt;margin-top:19.15pt;width:13.75pt;height:21.3pt;rotation:90;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" fillcolor="#bf9000">
                <v:textbox style="layout-flow:vertical-ideographic"/>
              </v:shape>
            </w:pict>
          </mc:Fallback>
        </mc:AlternateContent>
      </w:r>
      <w:r w:rsidR="00DC6C41" w:rsidRPr="008F33C8">
        <w:rPr>
          <w:rFonts w:eastAsia="Calibri" w:cs="Calibri"/>
        </w:rPr>
        <w:tab/>
        <w:t>Tests: Bacterial culture, MIC and 16s analysis (optional swab)</w:t>
      </w:r>
    </w:p>
    <w:p w14:paraId="71306DE3" w14:textId="25332097" w:rsidR="00DC6C41" w:rsidRDefault="00DC6C41" w:rsidP="00DC6C41">
      <w:pPr>
        <w:pStyle w:val="ListParagraph"/>
        <w:shd w:val="clear" w:color="auto" w:fill="FFFFFF" w:themeFill="background1"/>
        <w:spacing w:line="360" w:lineRule="auto"/>
        <w:ind w:left="0"/>
        <w:rPr>
          <w:sz w:val="24"/>
          <w:szCs w:val="24"/>
        </w:rPr>
      </w:pPr>
      <w:r>
        <w:rPr>
          <w:sz w:val="24"/>
          <w:szCs w:val="24"/>
        </w:rPr>
        <w:tab/>
        <w:t>Changes due to COVID: End of study swab collected at 18-months in some participants</w:t>
      </w:r>
    </w:p>
    <w:p w14:paraId="69F49BB7" w14:textId="4855192E" w:rsidR="00DC6C41" w:rsidRDefault="00EB0610" w:rsidP="00DC6C41">
      <w:pPr>
        <w:pStyle w:val="ListParagraph"/>
        <w:shd w:val="clear" w:color="auto" w:fill="FFFFFF" w:themeFill="background1"/>
        <w:spacing w:line="360" w:lineRule="auto"/>
        <w:ind w:left="0"/>
        <w:rPr>
          <w:sz w:val="24"/>
          <w:szCs w:val="24"/>
        </w:rPr>
      </w:pPr>
      <w:r>
        <w:rPr>
          <w:noProof/>
        </w:rPr>
        <mc:AlternateContent>
          <mc:Choice Requires="wps">
            <w:drawing>
              <wp:anchor distT="0" distB="0" distL="114297" distR="114297" simplePos="0" relativeHeight="251936256" behindDoc="0" locked="0" layoutInCell="1" allowOverlap="1" wp14:anchorId="439B7F9A" wp14:editId="4363021E">
                <wp:simplePos x="0" y="0"/>
                <wp:positionH relativeFrom="column">
                  <wp:posOffset>152399</wp:posOffset>
                </wp:positionH>
                <wp:positionV relativeFrom="paragraph">
                  <wp:posOffset>13335</wp:posOffset>
                </wp:positionV>
                <wp:extent cx="0" cy="278765"/>
                <wp:effectExtent l="19050" t="0" r="19050" b="26035"/>
                <wp:wrapNone/>
                <wp:docPr id="587" name="Connector: Curved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curvedConnector3">
                          <a:avLst/>
                        </a:prstGeom>
                        <a:noFill/>
                        <a:ln w="57150" cap="flat" cmpd="sng" algn="ctr">
                          <a:solidFill>
                            <a:srgbClr val="FFC000">
                              <a:lumMod val="75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015F1836" id="Connector: Curved 587" o:spid="_x0000_s1026" type="#_x0000_t38" style="position:absolute;margin-left:12pt;margin-top:1.05pt;width:0;height:21.95pt;z-index:251936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" adj="10800" strokecolor="#bf9000" strokeweight="4.5pt">
                <v:stroke joinstyle="miter"/>
                <o:lock v:ext="edit" shapetype="f"/>
              </v:shape>
            </w:pict>
          </mc:Fallback>
        </mc:AlternateContent>
      </w:r>
      <w:r w:rsidR="00DC6C41">
        <w:rPr>
          <w:sz w:val="24"/>
          <w:szCs w:val="24"/>
        </w:rPr>
        <w:tab/>
        <w:t>Changes due to COVID: Some swabs at 4- and 8-months were missed</w:t>
      </w:r>
    </w:p>
    <w:p w14:paraId="3627A9E0" w14:textId="6AC27A0E" w:rsidR="00DB304A" w:rsidRPr="00241369" w:rsidRDefault="00D054C5" w:rsidP="00DC6C41">
      <w:pPr>
        <w:pStyle w:val="ListParagraph"/>
        <w:shd w:val="clear" w:color="auto" w:fill="FFFFFF" w:themeFill="background1"/>
        <w:spacing w:line="360" w:lineRule="auto"/>
        <w:ind w:left="0"/>
        <w:rPr>
          <w:sz w:val="24"/>
          <w:szCs w:val="24"/>
        </w:rPr>
      </w:pPr>
      <w:r>
        <w:rPr>
          <w:sz w:val="24"/>
          <w:szCs w:val="24"/>
        </w:rPr>
        <w:tab/>
      </w:r>
    </w:p>
    <w:p w14:paraId="6806BE3A" w14:textId="4B2827D8" w:rsidR="00DC6C41" w:rsidRPr="00BC48B4" w:rsidRDefault="00BC48B4" w:rsidP="00BC48B4">
      <w:pPr>
        <w:pStyle w:val="Caption"/>
        <w:rPr>
          <w:i w:val="0"/>
          <w:iCs w:val="0"/>
          <w:noProof/>
          <w:color w:val="000000" w:themeColor="text1"/>
          <w:sz w:val="24"/>
          <w:szCs w:val="24"/>
        </w:rPr>
      </w:pPr>
      <w:bookmarkStart w:id="206" w:name="_Ref105446931"/>
      <w:bookmarkStart w:id="207" w:name="_Toc117780224"/>
      <w:r w:rsidRPr="00BC48B4">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7</w:t>
      </w:r>
      <w:r w:rsidR="00F42C6F">
        <w:rPr>
          <w:b/>
          <w:bCs/>
          <w:i w:val="0"/>
          <w:iCs w:val="0"/>
          <w:color w:val="000000" w:themeColor="text1"/>
          <w:sz w:val="24"/>
          <w:szCs w:val="24"/>
        </w:rPr>
        <w:fldChar w:fldCharType="end"/>
      </w:r>
      <w:bookmarkEnd w:id="206"/>
      <w:r w:rsidRPr="00BC48B4">
        <w:rPr>
          <w:b/>
          <w:bCs/>
          <w:i w:val="0"/>
          <w:iCs w:val="0"/>
          <w:color w:val="000000" w:themeColor="text1"/>
          <w:sz w:val="24"/>
          <w:szCs w:val="24"/>
        </w:rPr>
        <w:t>:</w:t>
      </w:r>
      <w:r w:rsidRPr="00BC48B4">
        <w:rPr>
          <w:i w:val="0"/>
          <w:iCs w:val="0"/>
          <w:color w:val="000000" w:themeColor="text1"/>
          <w:sz w:val="24"/>
          <w:szCs w:val="24"/>
        </w:rPr>
        <w:t xml:space="preserve"> Timeline for taking deep nasopharyngeal and throat swabs</w:t>
      </w:r>
      <w:r>
        <w:rPr>
          <w:i w:val="0"/>
          <w:iCs w:val="0"/>
          <w:color w:val="000000" w:themeColor="text1"/>
          <w:sz w:val="24"/>
          <w:szCs w:val="24"/>
        </w:rPr>
        <w:t xml:space="preserve"> in study PBB 2</w:t>
      </w:r>
      <w:bookmarkEnd w:id="207"/>
    </w:p>
    <w:p w14:paraId="3E9195D7" w14:textId="6FE40898" w:rsidR="00D51BA7" w:rsidRDefault="00DC6C41" w:rsidP="004E39EF">
      <w:pPr>
        <w:pStyle w:val="ListParagraph"/>
        <w:shd w:val="clear" w:color="auto" w:fill="FFFFFF" w:themeFill="background1"/>
        <w:spacing w:after="0" w:line="360" w:lineRule="auto"/>
        <w:ind w:left="0"/>
        <w:rPr>
          <w:i/>
          <w:iCs/>
          <w:sz w:val="24"/>
          <w:szCs w:val="24"/>
        </w:rPr>
      </w:pPr>
      <w:r w:rsidRPr="00356E56">
        <w:rPr>
          <w:i/>
          <w:iCs/>
          <w:sz w:val="24"/>
          <w:szCs w:val="24"/>
        </w:rPr>
        <w:t>Timings of sample acquisition for participants in study 2. Protocol is identical for Azithromycin and Comparison groups. All children were planned to undergo 4 swabs taken at 4-monthly intervals. Those children experiencing exacerbations of PBB over the 12-month period were to have additional swabs taken at the time of these exacerbations. Due to the COVID pandemic, swabs at 4- and 8-months were missed in a number of participants. The final swab had to be collected at 18-months in some participants rather than 12-months</w:t>
      </w:r>
      <w:r w:rsidR="001E5360">
        <w:rPr>
          <w:i/>
          <w:iCs/>
          <w:sz w:val="24"/>
          <w:szCs w:val="24"/>
        </w:rPr>
        <w:t>. The median duration of long term azithromycin administration was 12</w:t>
      </w:r>
      <w:r w:rsidR="0014794B">
        <w:rPr>
          <w:i/>
          <w:iCs/>
          <w:sz w:val="24"/>
          <w:szCs w:val="24"/>
        </w:rPr>
        <w:t>-</w:t>
      </w:r>
      <w:r w:rsidR="001E5360">
        <w:rPr>
          <w:i/>
          <w:iCs/>
          <w:sz w:val="24"/>
          <w:szCs w:val="24"/>
        </w:rPr>
        <w:t>months in the azithromycin group.</w:t>
      </w:r>
    </w:p>
    <w:p w14:paraId="1A2AB09F" w14:textId="77777777" w:rsidR="001409A4" w:rsidRPr="00592CBF" w:rsidRDefault="001409A4" w:rsidP="004E39EF">
      <w:pPr>
        <w:pStyle w:val="ListParagraph"/>
        <w:shd w:val="clear" w:color="auto" w:fill="FFFFFF" w:themeFill="background1"/>
        <w:spacing w:after="0" w:line="360" w:lineRule="auto"/>
        <w:ind w:left="0"/>
        <w:rPr>
          <w:i/>
          <w:iCs/>
          <w:sz w:val="24"/>
          <w:szCs w:val="24"/>
        </w:rPr>
      </w:pPr>
    </w:p>
    <w:p w14:paraId="17DF166B" w14:textId="3B947DEE" w:rsidR="00A268AD" w:rsidRDefault="001C7349" w:rsidP="001C7349">
      <w:pPr>
        <w:spacing w:line="360" w:lineRule="auto"/>
      </w:pPr>
      <w:r w:rsidRPr="004578E6">
        <w:lastRenderedPageBreak/>
        <w:t>From the 30 children participating in the study</w:t>
      </w:r>
      <w:r w:rsidR="006B512C">
        <w:t>,</w:t>
      </w:r>
      <w:r w:rsidRPr="004578E6">
        <w:t xml:space="preserve"> </w:t>
      </w:r>
      <w:r w:rsidR="007B48EE">
        <w:t>10</w:t>
      </w:r>
      <w:r w:rsidR="009E58ED">
        <w:t>0</w:t>
      </w:r>
      <w:r w:rsidR="00A16603" w:rsidRPr="004578E6">
        <w:t xml:space="preserve"> </w:t>
      </w:r>
      <w:r w:rsidRPr="004578E6">
        <w:t>deep nasopharyngeal swabs were collected</w:t>
      </w:r>
      <w:r w:rsidR="00113678">
        <w:t xml:space="preserve">, 54 in the comparison group and 46 in the azithromycin group. </w:t>
      </w:r>
      <w:r w:rsidR="004A7E48">
        <w:t>Included in this total were</w:t>
      </w:r>
      <w:r>
        <w:t xml:space="preserve"> 7 DNPS</w:t>
      </w:r>
      <w:r w:rsidR="004A7E48">
        <w:t xml:space="preserve"> </w:t>
      </w:r>
      <w:r>
        <w:t>taken at the beginning of exacerbations</w:t>
      </w:r>
      <w:r w:rsidR="00113678">
        <w:t xml:space="preserve">, 5 from participants within </w:t>
      </w:r>
      <w:r w:rsidR="00623D68">
        <w:t>t</w:t>
      </w:r>
      <w:r w:rsidR="00113678">
        <w:t xml:space="preserve">he comparison group and 2 from participants within the azithromycin group. </w:t>
      </w:r>
      <w:r>
        <w:t xml:space="preserve"> A single post exacerbation DNPS was collected in the comparison group. </w:t>
      </w:r>
    </w:p>
    <w:p w14:paraId="32F4C631" w14:textId="77777777" w:rsidR="001C7349" w:rsidRDefault="001C7349" w:rsidP="001C7349">
      <w:pPr>
        <w:spacing w:line="360" w:lineRule="auto"/>
      </w:pPr>
    </w:p>
    <w:p w14:paraId="73640B08" w14:textId="487A1C7D" w:rsidR="001C7349" w:rsidRDefault="001C7349" w:rsidP="001C7349">
      <w:pPr>
        <w:spacing w:line="360" w:lineRule="auto"/>
      </w:pPr>
      <w:r w:rsidRPr="00A16603">
        <w:t xml:space="preserve">Of the </w:t>
      </w:r>
      <w:r w:rsidR="007B48EE">
        <w:t>10</w:t>
      </w:r>
      <w:r w:rsidR="004A7E48">
        <w:t>0</w:t>
      </w:r>
      <w:r w:rsidRPr="00A16603">
        <w:t xml:space="preserve"> swabs</w:t>
      </w:r>
      <w:r>
        <w:t xml:space="preserve"> collected, </w:t>
      </w:r>
      <w:r w:rsidR="007B48EE">
        <w:t>5</w:t>
      </w:r>
      <w:r w:rsidR="009E58ED">
        <w:t>6</w:t>
      </w:r>
      <w:r>
        <w:t xml:space="preserve"> grew one or more of the following bacteria</w:t>
      </w:r>
      <w:r w:rsidRPr="00241369">
        <w:t xml:space="preserve">: </w:t>
      </w:r>
      <w:r w:rsidRPr="00241369">
        <w:rPr>
          <w:i/>
        </w:rPr>
        <w:t>S. pneumoniae</w:t>
      </w:r>
      <w:r w:rsidR="002324B9">
        <w:rPr>
          <w:i/>
        </w:rPr>
        <w:t xml:space="preserve"> (33 isolates)</w:t>
      </w:r>
      <w:r w:rsidRPr="00241369">
        <w:t xml:space="preserve">, </w:t>
      </w:r>
      <w:r w:rsidRPr="00241369">
        <w:rPr>
          <w:i/>
        </w:rPr>
        <w:t>H. influenzae</w:t>
      </w:r>
      <w:r w:rsidR="002324B9">
        <w:rPr>
          <w:i/>
        </w:rPr>
        <w:t xml:space="preserve"> (25 isolates)</w:t>
      </w:r>
      <w:r w:rsidRPr="00241369">
        <w:t xml:space="preserve">, </w:t>
      </w:r>
      <w:r w:rsidRPr="00241369">
        <w:rPr>
          <w:i/>
        </w:rPr>
        <w:t>M. catarrhalis</w:t>
      </w:r>
      <w:r w:rsidR="002324B9">
        <w:rPr>
          <w:i/>
        </w:rPr>
        <w:t xml:space="preserve"> (13 isolates)</w:t>
      </w:r>
      <w:r w:rsidRPr="00241369">
        <w:t xml:space="preserve"> or </w:t>
      </w:r>
      <w:r w:rsidRPr="00241369">
        <w:rPr>
          <w:i/>
        </w:rPr>
        <w:t>S. aureus</w:t>
      </w:r>
      <w:r w:rsidR="002324B9">
        <w:rPr>
          <w:i/>
        </w:rPr>
        <w:t xml:space="preserve"> (9 isolates)</w:t>
      </w:r>
      <w:r w:rsidR="00604435">
        <w:rPr>
          <w:iCs/>
        </w:rPr>
        <w:t xml:space="preserve">. The distribution of azithromycin </w:t>
      </w:r>
      <w:r w:rsidR="001507EE">
        <w:rPr>
          <w:iCs/>
        </w:rPr>
        <w:t xml:space="preserve">resistant </w:t>
      </w:r>
      <w:r w:rsidR="00604435">
        <w:rPr>
          <w:iCs/>
        </w:rPr>
        <w:t xml:space="preserve">isolates between the groups can be seen in </w:t>
      </w:r>
      <w:r w:rsidR="001A066D" w:rsidRPr="001A066D">
        <w:rPr>
          <w:highlight w:val="yellow"/>
        </w:rPr>
        <w:fldChar w:fldCharType="begin"/>
      </w:r>
      <w:r w:rsidR="001A066D" w:rsidRPr="001A066D">
        <w:instrText xml:space="preserve"> REF _Ref105507468 \h </w:instrText>
      </w:r>
      <w:r w:rsidR="001A066D" w:rsidRPr="001A066D">
        <w:rPr>
          <w:highlight w:val="yellow"/>
        </w:rPr>
        <w:instrText xml:space="preserve"> \* MERGEFORMAT </w:instrText>
      </w:r>
      <w:r w:rsidR="001A066D" w:rsidRPr="001A066D">
        <w:rPr>
          <w:highlight w:val="yellow"/>
        </w:rPr>
      </w:r>
      <w:r w:rsidR="001A066D" w:rsidRPr="001A066D">
        <w:rPr>
          <w:highlight w:val="yellow"/>
        </w:rPr>
        <w:fldChar w:fldCharType="separate"/>
      </w:r>
      <w:r w:rsidR="001A066D" w:rsidRPr="001A066D">
        <w:rPr>
          <w:color w:val="000000" w:themeColor="text1"/>
        </w:rPr>
        <w:t xml:space="preserve">Figure </w:t>
      </w:r>
      <w:r w:rsidR="001A066D" w:rsidRPr="001A066D">
        <w:rPr>
          <w:noProof/>
          <w:color w:val="000000" w:themeColor="text1"/>
        </w:rPr>
        <w:t>4</w:t>
      </w:r>
      <w:r w:rsidR="001A066D" w:rsidRPr="001A066D">
        <w:rPr>
          <w:color w:val="000000" w:themeColor="text1"/>
        </w:rPr>
        <w:noBreakHyphen/>
      </w:r>
      <w:r w:rsidR="001A066D" w:rsidRPr="001A066D">
        <w:rPr>
          <w:noProof/>
          <w:color w:val="000000" w:themeColor="text1"/>
        </w:rPr>
        <w:t>8</w:t>
      </w:r>
      <w:r w:rsidR="001A066D" w:rsidRPr="001A066D">
        <w:rPr>
          <w:highlight w:val="yellow"/>
        </w:rPr>
        <w:fldChar w:fldCharType="end"/>
      </w:r>
      <w:r w:rsidRPr="00241369">
        <w:t xml:space="preserve">.  </w:t>
      </w:r>
      <w:r>
        <w:t xml:space="preserve">Due to laboratory protocol errors, </w:t>
      </w:r>
      <w:r w:rsidR="007B48EE">
        <w:t>1</w:t>
      </w:r>
      <w:r>
        <w:t xml:space="preserve"> sample </w:t>
      </w:r>
      <w:r w:rsidR="00EC0E00">
        <w:t xml:space="preserve">was lost </w:t>
      </w:r>
      <w:r>
        <w:t xml:space="preserve">and </w:t>
      </w:r>
      <w:r w:rsidR="00094869">
        <w:t>6</w:t>
      </w:r>
      <w:r>
        <w:t xml:space="preserve"> isolates were not susceptibility tested to azithromycin.</w:t>
      </w:r>
    </w:p>
    <w:p w14:paraId="31F3D6F3" w14:textId="77777777" w:rsidR="00795A33" w:rsidRPr="00241369" w:rsidRDefault="00795A33" w:rsidP="001C7349">
      <w:pPr>
        <w:spacing w:line="360" w:lineRule="auto"/>
      </w:pPr>
    </w:p>
    <w:p w14:paraId="350F63DE" w14:textId="77777777" w:rsidR="00795A33" w:rsidRDefault="00795A33" w:rsidP="00795A33">
      <w:pPr>
        <w:spacing w:line="360" w:lineRule="auto"/>
      </w:pPr>
      <w:r w:rsidRPr="007176C0">
        <w:t>At baseline, there was positive bacterial culture from 13/15 swabs (87%) in the comparison group compared to 10/15 in the azithromycin group (67%). Of the 24 isolates obtained in the comparison group, 13 were resistant to azithromycin (54%) compared to 12 out of the 15 isolates in the azithromycin group (80%). See</w:t>
      </w:r>
      <w:r>
        <w:t xml:space="preserve"> </w:t>
      </w:r>
      <w:r w:rsidRPr="004B5464">
        <w:fldChar w:fldCharType="begin"/>
      </w:r>
      <w:r w:rsidRPr="004B5464">
        <w:instrText xml:space="preserve"> REF _Ref105613770 \h  \* MERGEFORMAT </w:instrText>
      </w:r>
      <w:r w:rsidRPr="004B5464">
        <w:fldChar w:fldCharType="separate"/>
      </w:r>
      <w:r w:rsidRPr="004B5464">
        <w:rPr>
          <w:color w:val="000000" w:themeColor="text1"/>
        </w:rPr>
        <w:t xml:space="preserve">Table </w:t>
      </w:r>
      <w:r w:rsidRPr="004B5464">
        <w:rPr>
          <w:noProof/>
          <w:color w:val="000000" w:themeColor="text1"/>
        </w:rPr>
        <w:t>18</w:t>
      </w:r>
      <w:r w:rsidRPr="004B5464">
        <w:fldChar w:fldCharType="end"/>
      </w:r>
      <w:r w:rsidRPr="007176C0">
        <w:t xml:space="preserve">. There was one laboratory error in the comparison group where one swab had a bacterial growth however was not susceptibility tested to azithromycin. </w:t>
      </w:r>
    </w:p>
    <w:p w14:paraId="07CFF5F1" w14:textId="360C79C7" w:rsidR="00216903" w:rsidRDefault="00216903" w:rsidP="00216903">
      <w:pPr>
        <w:spacing w:line="360" w:lineRule="auto"/>
        <w:rPr>
          <w:u w:val="single"/>
        </w:rPr>
      </w:pPr>
    </w:p>
    <w:p w14:paraId="284E147C" w14:textId="7D70633E" w:rsidR="00795A33" w:rsidRPr="007176C0" w:rsidRDefault="00795A33" w:rsidP="00795A33">
      <w:pPr>
        <w:pStyle w:val="Caption"/>
        <w:keepNext/>
        <w:rPr>
          <w:i w:val="0"/>
          <w:iCs w:val="0"/>
          <w:color w:val="000000" w:themeColor="text1"/>
          <w:sz w:val="24"/>
          <w:szCs w:val="24"/>
        </w:rPr>
      </w:pPr>
      <w:bookmarkStart w:id="208" w:name="_Ref105613770"/>
      <w:bookmarkStart w:id="209" w:name="_Toc117780259"/>
      <w:r w:rsidRPr="007176C0">
        <w:rPr>
          <w:b/>
          <w:bCs/>
          <w:i w:val="0"/>
          <w:iCs w:val="0"/>
          <w:color w:val="000000" w:themeColor="text1"/>
          <w:sz w:val="24"/>
          <w:szCs w:val="24"/>
        </w:rPr>
        <w:t xml:space="preserve">Table </w:t>
      </w:r>
      <w:r w:rsidRPr="007176C0">
        <w:rPr>
          <w:b/>
          <w:bCs/>
          <w:i w:val="0"/>
          <w:iCs w:val="0"/>
          <w:color w:val="000000" w:themeColor="text1"/>
          <w:sz w:val="24"/>
          <w:szCs w:val="24"/>
        </w:rPr>
        <w:fldChar w:fldCharType="begin"/>
      </w:r>
      <w:r w:rsidRPr="007176C0">
        <w:rPr>
          <w:b/>
          <w:bCs/>
          <w:i w:val="0"/>
          <w:iCs w:val="0"/>
          <w:color w:val="000000" w:themeColor="text1"/>
          <w:sz w:val="24"/>
          <w:szCs w:val="24"/>
        </w:rPr>
        <w:instrText xml:space="preserve"> SEQ Table \* ARABIC </w:instrText>
      </w:r>
      <w:r w:rsidRPr="007176C0">
        <w:rPr>
          <w:b/>
          <w:bCs/>
          <w:i w:val="0"/>
          <w:iCs w:val="0"/>
          <w:color w:val="000000" w:themeColor="text1"/>
          <w:sz w:val="24"/>
          <w:szCs w:val="24"/>
        </w:rPr>
        <w:fldChar w:fldCharType="separate"/>
      </w:r>
      <w:r w:rsidR="00592CBF">
        <w:rPr>
          <w:b/>
          <w:bCs/>
          <w:i w:val="0"/>
          <w:iCs w:val="0"/>
          <w:noProof/>
          <w:color w:val="000000" w:themeColor="text1"/>
          <w:sz w:val="24"/>
          <w:szCs w:val="24"/>
        </w:rPr>
        <w:t>18</w:t>
      </w:r>
      <w:r w:rsidRPr="007176C0">
        <w:rPr>
          <w:b/>
          <w:bCs/>
          <w:i w:val="0"/>
          <w:iCs w:val="0"/>
          <w:color w:val="000000" w:themeColor="text1"/>
          <w:sz w:val="24"/>
          <w:szCs w:val="24"/>
        </w:rPr>
        <w:fldChar w:fldCharType="end"/>
      </w:r>
      <w:bookmarkEnd w:id="208"/>
      <w:r w:rsidRPr="007176C0">
        <w:rPr>
          <w:i w:val="0"/>
          <w:iCs w:val="0"/>
          <w:color w:val="000000" w:themeColor="text1"/>
          <w:sz w:val="24"/>
          <w:szCs w:val="24"/>
        </w:rPr>
        <w:t>: Baseline azithromycin resistance in PBB study 2</w:t>
      </w:r>
      <w:bookmarkEnd w:id="209"/>
    </w:p>
    <w:tbl>
      <w:tblPr>
        <w:tblStyle w:val="TableGrid"/>
        <w:tblW w:w="9918" w:type="dxa"/>
        <w:tblLook w:val="04A0" w:firstRow="1" w:lastRow="0" w:firstColumn="1" w:lastColumn="0" w:noHBand="0" w:noVBand="1"/>
      </w:tblPr>
      <w:tblGrid>
        <w:gridCol w:w="1550"/>
        <w:gridCol w:w="1275"/>
        <w:gridCol w:w="1457"/>
        <w:gridCol w:w="2399"/>
        <w:gridCol w:w="3237"/>
      </w:tblGrid>
      <w:tr w:rsidR="00795A33" w14:paraId="4878BB89" w14:textId="77777777" w:rsidTr="00703D08">
        <w:tc>
          <w:tcPr>
            <w:tcW w:w="1505" w:type="dxa"/>
            <w:shd w:val="clear" w:color="auto" w:fill="9CC2E5" w:themeFill="accent1" w:themeFillTint="99"/>
          </w:tcPr>
          <w:p w14:paraId="5674B19C" w14:textId="77777777" w:rsidR="00795A33" w:rsidRDefault="00795A33" w:rsidP="00703D08">
            <w:r>
              <w:t>Group</w:t>
            </w:r>
          </w:p>
          <w:p w14:paraId="55CEA256" w14:textId="77777777" w:rsidR="00795A33" w:rsidRDefault="00795A33" w:rsidP="00703D08">
            <w:r>
              <w:t>(Total number of swabs)</w:t>
            </w:r>
          </w:p>
        </w:tc>
        <w:tc>
          <w:tcPr>
            <w:tcW w:w="1279" w:type="dxa"/>
            <w:shd w:val="clear" w:color="auto" w:fill="9CC2E5" w:themeFill="accent1" w:themeFillTint="99"/>
          </w:tcPr>
          <w:p w14:paraId="73368FF6" w14:textId="77777777" w:rsidR="00795A33" w:rsidRDefault="00795A33" w:rsidP="00703D08">
            <w:r>
              <w:t>DNPS with positive growth</w:t>
            </w:r>
          </w:p>
        </w:tc>
        <w:tc>
          <w:tcPr>
            <w:tcW w:w="1464" w:type="dxa"/>
            <w:shd w:val="clear" w:color="auto" w:fill="9CC2E5" w:themeFill="accent1" w:themeFillTint="99"/>
          </w:tcPr>
          <w:p w14:paraId="0F3DBE97" w14:textId="77777777" w:rsidR="00795A33" w:rsidRDefault="00795A33" w:rsidP="00703D08">
            <w:r>
              <w:t>Total number of isolates</w:t>
            </w:r>
          </w:p>
        </w:tc>
        <w:tc>
          <w:tcPr>
            <w:tcW w:w="2410" w:type="dxa"/>
            <w:shd w:val="clear" w:color="auto" w:fill="9CC2E5" w:themeFill="accent1" w:themeFillTint="99"/>
          </w:tcPr>
          <w:p w14:paraId="4EC561D3" w14:textId="5B67E74E" w:rsidR="00795A33" w:rsidRDefault="00795A33" w:rsidP="00703D08">
            <w:r>
              <w:t>Number of azithromycin</w:t>
            </w:r>
            <w:r w:rsidR="00DB069C">
              <w:t>-</w:t>
            </w:r>
            <w:r>
              <w:t>resistant isolates</w:t>
            </w:r>
          </w:p>
        </w:tc>
        <w:tc>
          <w:tcPr>
            <w:tcW w:w="3260" w:type="dxa"/>
            <w:shd w:val="clear" w:color="auto" w:fill="9CC2E5" w:themeFill="accent1" w:themeFillTint="99"/>
          </w:tcPr>
          <w:p w14:paraId="0546B39F" w14:textId="65114A19" w:rsidR="00795A33" w:rsidRDefault="00795A33" w:rsidP="00703D08">
            <w:r>
              <w:t>Number of swabs with azithromycin</w:t>
            </w:r>
            <w:r w:rsidR="00DB069C">
              <w:t>-</w:t>
            </w:r>
            <w:r>
              <w:t>resistant isolates</w:t>
            </w:r>
          </w:p>
          <w:p w14:paraId="046597AF" w14:textId="77777777" w:rsidR="00795A33" w:rsidRDefault="00795A33" w:rsidP="00703D08">
            <w:r>
              <w:t>(Number of children)</w:t>
            </w:r>
          </w:p>
        </w:tc>
      </w:tr>
      <w:tr w:rsidR="00795A33" w14:paraId="276D8569" w14:textId="77777777" w:rsidTr="00703D08">
        <w:tc>
          <w:tcPr>
            <w:tcW w:w="1505" w:type="dxa"/>
          </w:tcPr>
          <w:p w14:paraId="5ABF61FE" w14:textId="77777777" w:rsidR="00795A33" w:rsidRDefault="00795A33" w:rsidP="00703D08">
            <w:r>
              <w:t>Comparison</w:t>
            </w:r>
          </w:p>
          <w:p w14:paraId="7B1F2456" w14:textId="77777777" w:rsidR="00795A33" w:rsidRDefault="00795A33" w:rsidP="00703D08">
            <w:r>
              <w:t>(15 swabs)</w:t>
            </w:r>
          </w:p>
        </w:tc>
        <w:tc>
          <w:tcPr>
            <w:tcW w:w="1279" w:type="dxa"/>
          </w:tcPr>
          <w:p w14:paraId="74C1F9FD" w14:textId="77777777" w:rsidR="00795A33" w:rsidRDefault="00795A33" w:rsidP="00703D08">
            <w:r>
              <w:t>13</w:t>
            </w:r>
          </w:p>
        </w:tc>
        <w:tc>
          <w:tcPr>
            <w:tcW w:w="1464" w:type="dxa"/>
          </w:tcPr>
          <w:p w14:paraId="50A05DC3" w14:textId="77777777" w:rsidR="00795A33" w:rsidRDefault="00795A33" w:rsidP="00703D08">
            <w:r>
              <w:t>24</w:t>
            </w:r>
          </w:p>
        </w:tc>
        <w:tc>
          <w:tcPr>
            <w:tcW w:w="2410" w:type="dxa"/>
          </w:tcPr>
          <w:p w14:paraId="3339EF9C" w14:textId="77777777" w:rsidR="00795A33" w:rsidRDefault="00795A33" w:rsidP="00703D08">
            <w:r>
              <w:t>13</w:t>
            </w:r>
          </w:p>
        </w:tc>
        <w:tc>
          <w:tcPr>
            <w:tcW w:w="3260" w:type="dxa"/>
          </w:tcPr>
          <w:p w14:paraId="50AA117B" w14:textId="77777777" w:rsidR="00795A33" w:rsidRDefault="00795A33" w:rsidP="00703D08">
            <w:r>
              <w:t>10 (10)</w:t>
            </w:r>
          </w:p>
        </w:tc>
      </w:tr>
      <w:tr w:rsidR="00795A33" w14:paraId="2D70C8FD" w14:textId="77777777" w:rsidTr="00703D08">
        <w:tc>
          <w:tcPr>
            <w:tcW w:w="1505" w:type="dxa"/>
            <w:shd w:val="clear" w:color="auto" w:fill="DEEAF6" w:themeFill="accent1" w:themeFillTint="33"/>
          </w:tcPr>
          <w:p w14:paraId="2FA3CBF0" w14:textId="77777777" w:rsidR="00795A33" w:rsidRDefault="00795A33" w:rsidP="00703D08">
            <w:r>
              <w:t>Azithromycin</w:t>
            </w:r>
          </w:p>
          <w:p w14:paraId="39D371E8" w14:textId="77777777" w:rsidR="00795A33" w:rsidRDefault="00795A33" w:rsidP="00703D08">
            <w:r>
              <w:t>(15 swabs)</w:t>
            </w:r>
          </w:p>
        </w:tc>
        <w:tc>
          <w:tcPr>
            <w:tcW w:w="1279" w:type="dxa"/>
            <w:shd w:val="clear" w:color="auto" w:fill="DEEAF6" w:themeFill="accent1" w:themeFillTint="33"/>
          </w:tcPr>
          <w:p w14:paraId="7FC5A233" w14:textId="77777777" w:rsidR="00795A33" w:rsidRDefault="00795A33" w:rsidP="00703D08">
            <w:r>
              <w:t>10</w:t>
            </w:r>
          </w:p>
        </w:tc>
        <w:tc>
          <w:tcPr>
            <w:tcW w:w="1464" w:type="dxa"/>
            <w:shd w:val="clear" w:color="auto" w:fill="DEEAF6" w:themeFill="accent1" w:themeFillTint="33"/>
          </w:tcPr>
          <w:p w14:paraId="5BEC8552" w14:textId="77777777" w:rsidR="00795A33" w:rsidRDefault="00795A33" w:rsidP="00703D08">
            <w:r>
              <w:t>15</w:t>
            </w:r>
          </w:p>
        </w:tc>
        <w:tc>
          <w:tcPr>
            <w:tcW w:w="2410" w:type="dxa"/>
            <w:shd w:val="clear" w:color="auto" w:fill="DEEAF6" w:themeFill="accent1" w:themeFillTint="33"/>
          </w:tcPr>
          <w:p w14:paraId="1BC3924D" w14:textId="77777777" w:rsidR="00795A33" w:rsidRDefault="00795A33" w:rsidP="00703D08">
            <w:r>
              <w:t>12</w:t>
            </w:r>
          </w:p>
        </w:tc>
        <w:tc>
          <w:tcPr>
            <w:tcW w:w="3260" w:type="dxa"/>
            <w:shd w:val="clear" w:color="auto" w:fill="DEEAF6" w:themeFill="accent1" w:themeFillTint="33"/>
          </w:tcPr>
          <w:p w14:paraId="38D062F3" w14:textId="77777777" w:rsidR="00795A33" w:rsidRDefault="00795A33" w:rsidP="00703D08">
            <w:r>
              <w:t>9 (9)</w:t>
            </w:r>
          </w:p>
        </w:tc>
      </w:tr>
    </w:tbl>
    <w:p w14:paraId="0C516577" w14:textId="77777777" w:rsidR="000E3A5A" w:rsidRDefault="000E3A5A" w:rsidP="00216903">
      <w:pPr>
        <w:spacing w:line="360" w:lineRule="auto"/>
        <w:rPr>
          <w:b/>
          <w:bCs/>
        </w:rPr>
      </w:pPr>
    </w:p>
    <w:p w14:paraId="08DD9AC0" w14:textId="0D185909" w:rsidR="00E331F1" w:rsidRPr="00241369" w:rsidRDefault="00EB0610" w:rsidP="00E331F1">
      <w:pPr>
        <w:spacing w:line="360" w:lineRule="auto"/>
      </w:pPr>
      <w:r>
        <w:rPr>
          <w:noProof/>
        </w:rPr>
        <w:lastRenderedPageBreak/>
        <mc:AlternateContent>
          <mc:Choice Requires="wps">
            <w:drawing>
              <wp:anchor distT="0" distB="0" distL="114300" distR="114300" simplePos="0" relativeHeight="251829760" behindDoc="0" locked="0" layoutInCell="1" allowOverlap="1" wp14:anchorId="34FD89EC" wp14:editId="7F983439">
                <wp:simplePos x="0" y="0"/>
                <wp:positionH relativeFrom="column">
                  <wp:posOffset>5736590</wp:posOffset>
                </wp:positionH>
                <wp:positionV relativeFrom="paragraph">
                  <wp:posOffset>1066165</wp:posOffset>
                </wp:positionV>
                <wp:extent cx="200025" cy="161925"/>
                <wp:effectExtent l="19050" t="19050" r="28575" b="9525"/>
                <wp:wrapNone/>
                <wp:docPr id="586" name="Isosceles Tri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44F53A3" id="Isosceles Triangle 586" o:spid="_x0000_s1026" type="#_x0000_t5" style="position:absolute;margin-left:451.7pt;margin-top:83.95pt;width:15.75pt;height:12.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" fillcolor="#203864" strokecolor="red" strokeweight="1pt">
                <v:path arrowok="t"/>
              </v:shape>
            </w:pict>
          </mc:Fallback>
        </mc:AlternateContent>
      </w:r>
      <w:r>
        <w:rPr>
          <w:noProof/>
        </w:rPr>
        <mc:AlternateContent>
          <mc:Choice Requires="wps">
            <w:drawing>
              <wp:anchor distT="0" distB="0" distL="114300" distR="114300" simplePos="0" relativeHeight="251825664" behindDoc="0" locked="0" layoutInCell="1" allowOverlap="1" wp14:anchorId="7818CCAC" wp14:editId="117D7851">
                <wp:simplePos x="0" y="0"/>
                <wp:positionH relativeFrom="column">
                  <wp:posOffset>2428875</wp:posOffset>
                </wp:positionH>
                <wp:positionV relativeFrom="paragraph">
                  <wp:posOffset>881380</wp:posOffset>
                </wp:positionV>
                <wp:extent cx="200025" cy="161925"/>
                <wp:effectExtent l="19050" t="19050" r="28575" b="9525"/>
                <wp:wrapNone/>
                <wp:docPr id="585" name="Isosceles Tri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66DF54" id="Isosceles Triangle 585" o:spid="_x0000_s1026" type="#_x0000_t5" style="position:absolute;margin-left:191.25pt;margin-top:69.4pt;width:15.75pt;height:12.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" fillcolor="#203864" strokecolor="red" strokeweight="1pt">
                <v:path arrowok="t"/>
              </v:shape>
            </w:pict>
          </mc:Fallback>
        </mc:AlternateContent>
      </w:r>
      <w:r>
        <w:rPr>
          <w:noProof/>
        </w:rPr>
        <mc:AlternateContent>
          <mc:Choice Requires="wps">
            <w:drawing>
              <wp:anchor distT="0" distB="0" distL="114300" distR="114300" simplePos="0" relativeHeight="251827712" behindDoc="0" locked="0" layoutInCell="1" allowOverlap="1" wp14:anchorId="0712C4C8" wp14:editId="775F7778">
                <wp:simplePos x="0" y="0"/>
                <wp:positionH relativeFrom="column">
                  <wp:posOffset>2009775</wp:posOffset>
                </wp:positionH>
                <wp:positionV relativeFrom="paragraph">
                  <wp:posOffset>1471930</wp:posOffset>
                </wp:positionV>
                <wp:extent cx="200025" cy="161925"/>
                <wp:effectExtent l="19050" t="19050" r="28575" b="9525"/>
                <wp:wrapNone/>
                <wp:docPr id="584" name="Isosceles Tri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D59EE4C" id="Isosceles Triangle 584" o:spid="_x0000_s1026" type="#_x0000_t5" style="position:absolute;margin-left:158.25pt;margin-top:115.9pt;width:15.75pt;height:12.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" fillcolor="#203864" strokecolor="red" strokeweight="1pt">
                <v:path arrowok="t"/>
              </v:shape>
            </w:pict>
          </mc:Fallback>
        </mc:AlternateContent>
      </w:r>
      <w:r>
        <w:rPr>
          <w:noProof/>
        </w:rPr>
        <mc:AlternateContent>
          <mc:Choice Requires="wps">
            <w:drawing>
              <wp:anchor distT="0" distB="0" distL="114300" distR="114300" simplePos="0" relativeHeight="251823616" behindDoc="0" locked="0" layoutInCell="1" allowOverlap="1" wp14:anchorId="1F4D834D" wp14:editId="14A90080">
                <wp:simplePos x="0" y="0"/>
                <wp:positionH relativeFrom="column">
                  <wp:posOffset>1409700</wp:posOffset>
                </wp:positionH>
                <wp:positionV relativeFrom="paragraph">
                  <wp:posOffset>1637030</wp:posOffset>
                </wp:positionV>
                <wp:extent cx="200025" cy="161925"/>
                <wp:effectExtent l="19050" t="19050" r="28575" b="9525"/>
                <wp:wrapNone/>
                <wp:docPr id="583" name="Isosceles Tri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2486F27" id="Isosceles Triangle 583" o:spid="_x0000_s1026" type="#_x0000_t5" style="position:absolute;margin-left:111pt;margin-top:128.9pt;width:15.75pt;height:12.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" fillcolor="#203864" strokecolor="red" strokeweight="1pt">
                <v:path arrowok="t"/>
              </v:shape>
            </w:pict>
          </mc:Fallback>
        </mc:AlternateContent>
      </w:r>
      <w:r>
        <w:rPr>
          <w:noProof/>
        </w:rPr>
        <mc:AlternateContent>
          <mc:Choice Requires="wps">
            <w:drawing>
              <wp:anchor distT="0" distB="0" distL="114300" distR="114300" simplePos="0" relativeHeight="251811328" behindDoc="0" locked="0" layoutInCell="1" allowOverlap="1" wp14:anchorId="7DBB991A" wp14:editId="74AB7540">
                <wp:simplePos x="0" y="0"/>
                <wp:positionH relativeFrom="column">
                  <wp:posOffset>1475740</wp:posOffset>
                </wp:positionH>
                <wp:positionV relativeFrom="paragraph">
                  <wp:posOffset>2352040</wp:posOffset>
                </wp:positionV>
                <wp:extent cx="60325" cy="60325"/>
                <wp:effectExtent l="0" t="0" r="0" b="0"/>
                <wp:wrapNone/>
                <wp:docPr id="582" name="Oval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60325"/>
                        </a:xfrm>
                        <a:prstGeom prst="ellipse">
                          <a:avLst/>
                        </a:prstGeom>
                        <a:solidFill>
                          <a:srgbClr val="F9CB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5A5495" id="Oval 582" o:spid="_x0000_s1026" style="position:absolute;margin-left:116.2pt;margin-top:185.2pt;width:4.75pt;height:4.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" fillcolor="#f9cbf2" strokecolor="black [3213]" strokeweight="1pt">
                <v:stroke joinstyle="miter"/>
                <v:path arrowok="t"/>
              </v:oval>
            </w:pict>
          </mc:Fallback>
        </mc:AlternateContent>
      </w:r>
      <w:r w:rsidR="00D26B3C" w:rsidRPr="001D04B2">
        <w:rPr>
          <w:b/>
          <w:bCs/>
          <w:noProof/>
        </w:rPr>
        <w:drawing>
          <wp:inline distT="0" distB="0" distL="0" distR="0" wp14:anchorId="17E04992" wp14:editId="44789C36">
            <wp:extent cx="6429375" cy="2609850"/>
            <wp:effectExtent l="0" t="0" r="9525" b="0"/>
            <wp:docPr id="14" name="Chart 14">
              <a:extLst xmlns:a="http://schemas.openxmlformats.org/drawingml/2006/main">
                <a:ext uri="{FF2B5EF4-FFF2-40B4-BE49-F238E27FC236}">
                  <a16:creationId xmlns:a16="http://schemas.microsoft.com/office/drawing/2014/main" id="{55AD0164-A609-49FE-8FF1-45CD404C3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1137D3" w14:textId="4C0D56F9" w:rsidR="00D5398E" w:rsidRDefault="00D5398E" w:rsidP="00D5398E">
      <w:pPr>
        <w:spacing w:line="360" w:lineRule="auto"/>
        <w:rPr>
          <w:b/>
          <w:noProof/>
        </w:rPr>
      </w:pPr>
      <w:r w:rsidRPr="008F33C8">
        <w:rPr>
          <w:b/>
          <w:noProof/>
        </w:rPr>
        <w:t>Key:</w:t>
      </w:r>
    </w:p>
    <w:p w14:paraId="5E979788" w14:textId="4CC29818" w:rsidR="00D5398E" w:rsidRDefault="00D5398E" w:rsidP="00D5398E">
      <w:pPr>
        <w:spacing w:line="360" w:lineRule="auto"/>
        <w:rPr>
          <w:b/>
          <w:noProof/>
        </w:rPr>
      </w:pPr>
      <w:r>
        <w:rPr>
          <w:b/>
          <w:noProof/>
        </w:rPr>
        <w:t>Azithromycin susceptibility</w:t>
      </w:r>
      <w:r>
        <w:rPr>
          <w:b/>
          <w:noProof/>
        </w:rPr>
        <w:tab/>
      </w:r>
      <w:r>
        <w:rPr>
          <w:b/>
          <w:noProof/>
        </w:rPr>
        <w:tab/>
        <w:t>Duration from last macrolide exposure to start of study</w:t>
      </w:r>
    </w:p>
    <w:tbl>
      <w:tblPr>
        <w:tblStyle w:val="TableGrid"/>
        <w:tblpPr w:leftFromText="180" w:rightFromText="180" w:vertAnchor="text" w:horzAnchor="margin" w:tblpXSpec="right" w:tblpY="5"/>
        <w:tblW w:w="0" w:type="auto"/>
        <w:tblLook w:val="04A0" w:firstRow="1" w:lastRow="0" w:firstColumn="1" w:lastColumn="0" w:noHBand="0" w:noVBand="1"/>
      </w:tblPr>
      <w:tblGrid>
        <w:gridCol w:w="846"/>
        <w:gridCol w:w="1984"/>
        <w:gridCol w:w="709"/>
        <w:gridCol w:w="2552"/>
      </w:tblGrid>
      <w:tr w:rsidR="00D5398E" w14:paraId="428D992D" w14:textId="77777777" w:rsidTr="00647E5D">
        <w:tc>
          <w:tcPr>
            <w:tcW w:w="846" w:type="dxa"/>
            <w:shd w:val="clear" w:color="auto" w:fill="auto"/>
          </w:tcPr>
          <w:p w14:paraId="789D3350" w14:textId="7894041A" w:rsidR="00D5398E" w:rsidRPr="00B209F5" w:rsidRDefault="00EB0610" w:rsidP="00647E5D">
            <w:pPr>
              <w:rPr>
                <w:sz w:val="20"/>
                <w:szCs w:val="20"/>
              </w:rPr>
            </w:pPr>
            <w:r>
              <w:rPr>
                <w:noProof/>
              </w:rPr>
              <mc:AlternateContent>
                <mc:Choice Requires="wps">
                  <w:drawing>
                    <wp:anchor distT="0" distB="0" distL="114300" distR="114300" simplePos="0" relativeHeight="251803136" behindDoc="0" locked="0" layoutInCell="1" allowOverlap="1" wp14:anchorId="7E52820F" wp14:editId="2E5E73FA">
                      <wp:simplePos x="0" y="0"/>
                      <wp:positionH relativeFrom="column">
                        <wp:posOffset>56515</wp:posOffset>
                      </wp:positionH>
                      <wp:positionV relativeFrom="paragraph">
                        <wp:posOffset>5080</wp:posOffset>
                      </wp:positionV>
                      <wp:extent cx="171450" cy="152400"/>
                      <wp:effectExtent l="0" t="0" r="0" b="0"/>
                      <wp:wrapNone/>
                      <wp:docPr id="581" name="Oval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00D929" id="Oval 581" o:spid="_x0000_s1026" style="position:absolute;margin-left:4.45pt;margin-top:.4pt;width:13.5pt;height:1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" fillcolor="#ffc000" strokecolor="windowText" strokeweight="1pt">
                      <v:stroke joinstyle="miter"/>
                      <v:path arrowok="t"/>
                    </v:oval>
                  </w:pict>
                </mc:Fallback>
              </mc:AlternateContent>
            </w:r>
          </w:p>
        </w:tc>
        <w:tc>
          <w:tcPr>
            <w:tcW w:w="1984" w:type="dxa"/>
          </w:tcPr>
          <w:p w14:paraId="41C68E61" w14:textId="77777777" w:rsidR="00D5398E" w:rsidRDefault="00D5398E" w:rsidP="00647E5D">
            <w:pPr>
              <w:rPr>
                <w:sz w:val="20"/>
                <w:szCs w:val="20"/>
              </w:rPr>
            </w:pPr>
            <w:r w:rsidRPr="00B209F5">
              <w:rPr>
                <w:sz w:val="20"/>
                <w:szCs w:val="20"/>
              </w:rPr>
              <w:t>Never had macrolide</w:t>
            </w:r>
          </w:p>
          <w:p w14:paraId="79510510" w14:textId="77777777" w:rsidR="00D5398E" w:rsidRPr="00332E75" w:rsidRDefault="00D5398E" w:rsidP="00647E5D">
            <w:pPr>
              <w:rPr>
                <w:sz w:val="4"/>
                <w:szCs w:val="4"/>
              </w:rPr>
            </w:pPr>
          </w:p>
        </w:tc>
        <w:tc>
          <w:tcPr>
            <w:tcW w:w="709" w:type="dxa"/>
            <w:shd w:val="clear" w:color="auto" w:fill="auto"/>
          </w:tcPr>
          <w:p w14:paraId="343C313F" w14:textId="50196D31" w:rsidR="00D5398E" w:rsidRPr="00B209F5" w:rsidRDefault="00EB0610" w:rsidP="00647E5D">
            <w:pPr>
              <w:rPr>
                <w:sz w:val="20"/>
                <w:szCs w:val="20"/>
              </w:rPr>
            </w:pPr>
            <w:r>
              <w:rPr>
                <w:noProof/>
              </w:rPr>
              <mc:AlternateContent>
                <mc:Choice Requires="wps">
                  <w:drawing>
                    <wp:anchor distT="0" distB="0" distL="114300" distR="114300" simplePos="0" relativeHeight="251807232" behindDoc="0" locked="0" layoutInCell="1" allowOverlap="1" wp14:anchorId="16A8A7D2" wp14:editId="21E10214">
                      <wp:simplePos x="0" y="0"/>
                      <wp:positionH relativeFrom="column">
                        <wp:posOffset>54610</wp:posOffset>
                      </wp:positionH>
                      <wp:positionV relativeFrom="paragraph">
                        <wp:posOffset>4445</wp:posOffset>
                      </wp:positionV>
                      <wp:extent cx="171450" cy="152400"/>
                      <wp:effectExtent l="0" t="0" r="0" b="0"/>
                      <wp:wrapNone/>
                      <wp:docPr id="580" name="Oval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3D2D57" id="Oval 580" o:spid="_x0000_s1026" style="position:absolute;margin-left:4.3pt;margin-top:.35pt;width:13.5pt;height:1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" fillcolor="#2e75b6" strokecolor="windowText" strokeweight="1pt">
                      <v:stroke joinstyle="miter"/>
                      <v:path arrowok="t"/>
                    </v:oval>
                  </w:pict>
                </mc:Fallback>
              </mc:AlternateContent>
            </w:r>
          </w:p>
        </w:tc>
        <w:tc>
          <w:tcPr>
            <w:tcW w:w="2552" w:type="dxa"/>
          </w:tcPr>
          <w:p w14:paraId="043A103D" w14:textId="6088569D" w:rsidR="00D5398E" w:rsidRPr="00B209F5" w:rsidRDefault="00D5398E" w:rsidP="00647E5D">
            <w:pPr>
              <w:rPr>
                <w:sz w:val="20"/>
                <w:szCs w:val="20"/>
              </w:rPr>
            </w:pPr>
            <w:r>
              <w:rPr>
                <w:sz w:val="20"/>
                <w:szCs w:val="20"/>
              </w:rPr>
              <w:t>&gt;24 months</w:t>
            </w:r>
          </w:p>
        </w:tc>
      </w:tr>
      <w:tr w:rsidR="00D5398E" w14:paraId="404D69F7" w14:textId="77777777" w:rsidTr="00647E5D">
        <w:tc>
          <w:tcPr>
            <w:tcW w:w="846" w:type="dxa"/>
            <w:shd w:val="clear" w:color="auto" w:fill="auto"/>
          </w:tcPr>
          <w:p w14:paraId="4D3A22D9" w14:textId="3EB0722A" w:rsidR="00D5398E" w:rsidRPr="00B209F5" w:rsidRDefault="00EB0610" w:rsidP="00647E5D">
            <w:pPr>
              <w:rPr>
                <w:sz w:val="20"/>
                <w:szCs w:val="20"/>
              </w:rPr>
            </w:pPr>
            <w:r>
              <w:rPr>
                <w:noProof/>
              </w:rPr>
              <mc:AlternateContent>
                <mc:Choice Requires="wps">
                  <w:drawing>
                    <wp:anchor distT="0" distB="0" distL="114300" distR="114300" simplePos="0" relativeHeight="251804160" behindDoc="0" locked="0" layoutInCell="1" allowOverlap="1" wp14:anchorId="0D7D8131" wp14:editId="1A8014F3">
                      <wp:simplePos x="0" y="0"/>
                      <wp:positionH relativeFrom="column">
                        <wp:posOffset>50800</wp:posOffset>
                      </wp:positionH>
                      <wp:positionV relativeFrom="paragraph">
                        <wp:posOffset>65405</wp:posOffset>
                      </wp:positionV>
                      <wp:extent cx="171450" cy="152400"/>
                      <wp:effectExtent l="0" t="0" r="0" b="0"/>
                      <wp:wrapNone/>
                      <wp:docPr id="579"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ECA162" id="Oval 579" o:spid="_x0000_s1026" style="position:absolute;margin-left:4pt;margin-top:5.15pt;width:13.5pt;height:1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" fillcolor="#f7c5f3" strokecolor="windowText" strokeweight="1pt">
                      <v:stroke joinstyle="miter"/>
                      <v:path arrowok="t"/>
                    </v:oval>
                  </w:pict>
                </mc:Fallback>
              </mc:AlternateContent>
            </w:r>
          </w:p>
        </w:tc>
        <w:tc>
          <w:tcPr>
            <w:tcW w:w="1984" w:type="dxa"/>
          </w:tcPr>
          <w:p w14:paraId="4A57ADF5" w14:textId="00923F52" w:rsidR="00D5398E" w:rsidRPr="00B209F5" w:rsidRDefault="00D5398E" w:rsidP="00647E5D">
            <w:pPr>
              <w:rPr>
                <w:sz w:val="20"/>
                <w:szCs w:val="20"/>
              </w:rPr>
            </w:pPr>
            <w:r w:rsidRPr="00B209F5">
              <w:rPr>
                <w:sz w:val="20"/>
                <w:szCs w:val="20"/>
              </w:rPr>
              <w:t>&lt;6 months</w:t>
            </w:r>
          </w:p>
        </w:tc>
        <w:tc>
          <w:tcPr>
            <w:tcW w:w="709" w:type="dxa"/>
            <w:shd w:val="clear" w:color="auto" w:fill="auto"/>
          </w:tcPr>
          <w:p w14:paraId="20B962A7" w14:textId="08A47F20" w:rsidR="00D5398E" w:rsidRPr="00B209F5" w:rsidRDefault="00EB0610" w:rsidP="00647E5D">
            <w:pPr>
              <w:rPr>
                <w:sz w:val="20"/>
                <w:szCs w:val="20"/>
              </w:rPr>
            </w:pPr>
            <w:r>
              <w:rPr>
                <w:noProof/>
              </w:rPr>
              <mc:AlternateContent>
                <mc:Choice Requires="wps">
                  <w:drawing>
                    <wp:anchor distT="0" distB="0" distL="114300" distR="114300" simplePos="0" relativeHeight="251808256" behindDoc="0" locked="0" layoutInCell="1" allowOverlap="1" wp14:anchorId="505CBD82" wp14:editId="1BCC534D">
                      <wp:simplePos x="0" y="0"/>
                      <wp:positionH relativeFrom="column">
                        <wp:posOffset>54610</wp:posOffset>
                      </wp:positionH>
                      <wp:positionV relativeFrom="paragraph">
                        <wp:posOffset>68580</wp:posOffset>
                      </wp:positionV>
                      <wp:extent cx="171450" cy="152400"/>
                      <wp:effectExtent l="0" t="0" r="0" b="0"/>
                      <wp:wrapNone/>
                      <wp:docPr id="578"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51B191" id="Oval 578" o:spid="_x0000_s1026" style="position:absolute;margin-left:4.3pt;margin-top:5.4pt;width:13.5pt;height:1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" fillcolor="#843c0c" strokecolor="windowText" strokeweight="1pt">
                      <v:stroke joinstyle="miter"/>
                      <v:path arrowok="t"/>
                    </v:oval>
                  </w:pict>
                </mc:Fallback>
              </mc:AlternateContent>
            </w:r>
          </w:p>
        </w:tc>
        <w:tc>
          <w:tcPr>
            <w:tcW w:w="2552" w:type="dxa"/>
          </w:tcPr>
          <w:p w14:paraId="030A618F" w14:textId="77777777" w:rsidR="00D5398E" w:rsidRPr="00B209F5" w:rsidRDefault="00D5398E" w:rsidP="00647E5D">
            <w:pPr>
              <w:rPr>
                <w:sz w:val="20"/>
                <w:szCs w:val="20"/>
              </w:rPr>
            </w:pPr>
            <w:r>
              <w:rPr>
                <w:sz w:val="20"/>
                <w:szCs w:val="20"/>
              </w:rPr>
              <w:t>Previous exposure. Uncertain duration</w:t>
            </w:r>
          </w:p>
        </w:tc>
      </w:tr>
      <w:tr w:rsidR="00D5398E" w14:paraId="3EB70F1B" w14:textId="77777777" w:rsidTr="00647E5D">
        <w:tc>
          <w:tcPr>
            <w:tcW w:w="846" w:type="dxa"/>
            <w:shd w:val="clear" w:color="auto" w:fill="auto"/>
          </w:tcPr>
          <w:p w14:paraId="74E6F95A" w14:textId="0DCA4B94" w:rsidR="00D5398E" w:rsidRPr="00B209F5" w:rsidRDefault="00EB0610" w:rsidP="00647E5D">
            <w:pPr>
              <w:rPr>
                <w:color w:val="FF00FF"/>
                <w:sz w:val="20"/>
                <w:szCs w:val="20"/>
              </w:rPr>
            </w:pPr>
            <w:r>
              <w:rPr>
                <w:noProof/>
              </w:rPr>
              <mc:AlternateContent>
                <mc:Choice Requires="wps">
                  <w:drawing>
                    <wp:anchor distT="0" distB="0" distL="114300" distR="114300" simplePos="0" relativeHeight="251805184" behindDoc="0" locked="0" layoutInCell="1" allowOverlap="1" wp14:anchorId="2AFA7041" wp14:editId="7FA8E79C">
                      <wp:simplePos x="0" y="0"/>
                      <wp:positionH relativeFrom="column">
                        <wp:posOffset>50800</wp:posOffset>
                      </wp:positionH>
                      <wp:positionV relativeFrom="paragraph">
                        <wp:posOffset>5715</wp:posOffset>
                      </wp:positionV>
                      <wp:extent cx="171450" cy="152400"/>
                      <wp:effectExtent l="0" t="0" r="0" b="0"/>
                      <wp:wrapNone/>
                      <wp:docPr id="577"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9CED70" id="Oval 577" o:spid="_x0000_s1026" style="position:absolute;margin-left:4pt;margin-top:.45pt;width:13.5pt;height:1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5BF8F39F" w14:textId="50B9F585" w:rsidR="00D5398E" w:rsidRDefault="00D5398E" w:rsidP="00647E5D">
            <w:pPr>
              <w:rPr>
                <w:sz w:val="20"/>
                <w:szCs w:val="20"/>
              </w:rPr>
            </w:pPr>
            <w:r w:rsidRPr="00B209F5">
              <w:rPr>
                <w:sz w:val="20"/>
                <w:szCs w:val="20"/>
              </w:rPr>
              <w:t>6-12 months</w:t>
            </w:r>
          </w:p>
          <w:p w14:paraId="78A6F366" w14:textId="77777777" w:rsidR="00D5398E" w:rsidRPr="00332E75" w:rsidRDefault="00D5398E" w:rsidP="00647E5D">
            <w:pPr>
              <w:rPr>
                <w:sz w:val="4"/>
                <w:szCs w:val="4"/>
              </w:rPr>
            </w:pPr>
          </w:p>
        </w:tc>
        <w:tc>
          <w:tcPr>
            <w:tcW w:w="709" w:type="dxa"/>
            <w:shd w:val="clear" w:color="auto" w:fill="auto"/>
          </w:tcPr>
          <w:p w14:paraId="37D48BB0" w14:textId="162BF7AD" w:rsidR="00D5398E" w:rsidRPr="00B209F5" w:rsidRDefault="00EB0610" w:rsidP="00647E5D">
            <w:pPr>
              <w:rPr>
                <w:sz w:val="20"/>
                <w:szCs w:val="20"/>
              </w:rPr>
            </w:pPr>
            <w:r>
              <w:rPr>
                <w:noProof/>
              </w:rPr>
              <mc:AlternateContent>
                <mc:Choice Requires="wps">
                  <w:drawing>
                    <wp:anchor distT="0" distB="0" distL="114300" distR="114300" simplePos="0" relativeHeight="251809280" behindDoc="0" locked="0" layoutInCell="1" allowOverlap="1" wp14:anchorId="285BF442" wp14:editId="56A86B5F">
                      <wp:simplePos x="0" y="0"/>
                      <wp:positionH relativeFrom="column">
                        <wp:posOffset>54610</wp:posOffset>
                      </wp:positionH>
                      <wp:positionV relativeFrom="paragraph">
                        <wp:posOffset>6985</wp:posOffset>
                      </wp:positionV>
                      <wp:extent cx="171450" cy="152400"/>
                      <wp:effectExtent l="0" t="0" r="0" b="0"/>
                      <wp:wrapNone/>
                      <wp:docPr id="576" name="Oval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86ACFC" id="Oval 576" o:spid="_x0000_s1026" style="position:absolute;margin-left:4.3pt;margin-top:.55pt;width:13.5pt;height:1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" fillcolor="windowText" strokecolor="windowText" strokeweight="1pt">
                      <v:stroke joinstyle="miter"/>
                      <v:path arrowok="t"/>
                    </v:oval>
                  </w:pict>
                </mc:Fallback>
              </mc:AlternateContent>
            </w:r>
          </w:p>
        </w:tc>
        <w:tc>
          <w:tcPr>
            <w:tcW w:w="2552" w:type="dxa"/>
          </w:tcPr>
          <w:p w14:paraId="6FFFADAF" w14:textId="77777777" w:rsidR="00D5398E" w:rsidRPr="00B209F5" w:rsidRDefault="00D5398E" w:rsidP="00647E5D">
            <w:pPr>
              <w:rPr>
                <w:sz w:val="20"/>
                <w:szCs w:val="20"/>
              </w:rPr>
            </w:pPr>
            <w:r>
              <w:rPr>
                <w:sz w:val="20"/>
                <w:szCs w:val="20"/>
              </w:rPr>
              <w:t>Missing data</w:t>
            </w:r>
          </w:p>
        </w:tc>
      </w:tr>
      <w:tr w:rsidR="00D5398E" w14:paraId="5A935B8E" w14:textId="77777777" w:rsidTr="00647E5D">
        <w:tc>
          <w:tcPr>
            <w:tcW w:w="846" w:type="dxa"/>
            <w:shd w:val="clear" w:color="auto" w:fill="auto"/>
          </w:tcPr>
          <w:p w14:paraId="0FCB5474" w14:textId="15C10D68" w:rsidR="00D5398E" w:rsidRPr="00B209F5" w:rsidRDefault="00EB0610" w:rsidP="00647E5D">
            <w:pPr>
              <w:rPr>
                <w:sz w:val="20"/>
                <w:szCs w:val="20"/>
              </w:rPr>
            </w:pPr>
            <w:r>
              <w:rPr>
                <w:noProof/>
              </w:rPr>
              <mc:AlternateContent>
                <mc:Choice Requires="wps">
                  <w:drawing>
                    <wp:anchor distT="0" distB="0" distL="114300" distR="114300" simplePos="0" relativeHeight="251806208" behindDoc="0" locked="0" layoutInCell="1" allowOverlap="1" wp14:anchorId="4401C646" wp14:editId="439A6928">
                      <wp:simplePos x="0" y="0"/>
                      <wp:positionH relativeFrom="column">
                        <wp:posOffset>52070</wp:posOffset>
                      </wp:positionH>
                      <wp:positionV relativeFrom="paragraph">
                        <wp:posOffset>1270</wp:posOffset>
                      </wp:positionV>
                      <wp:extent cx="171450" cy="152400"/>
                      <wp:effectExtent l="0" t="0" r="0" b="0"/>
                      <wp:wrapNone/>
                      <wp:docPr id="447"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919AAE" id="Oval 447" o:spid="_x0000_s1026" style="position:absolute;margin-left:4.1pt;margin-top:.1pt;width:13.5pt;height:1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0673B139" w14:textId="3B79D56F" w:rsidR="00D5398E" w:rsidRDefault="00D5398E" w:rsidP="00647E5D">
            <w:pPr>
              <w:rPr>
                <w:sz w:val="20"/>
                <w:szCs w:val="20"/>
              </w:rPr>
            </w:pPr>
            <w:r w:rsidRPr="00B209F5">
              <w:rPr>
                <w:sz w:val="20"/>
                <w:szCs w:val="20"/>
              </w:rPr>
              <w:t>12-24 months</w:t>
            </w:r>
          </w:p>
          <w:p w14:paraId="1F628B56" w14:textId="77777777" w:rsidR="00D5398E" w:rsidRPr="00332E75" w:rsidRDefault="00D5398E" w:rsidP="00647E5D">
            <w:pPr>
              <w:rPr>
                <w:sz w:val="4"/>
                <w:szCs w:val="4"/>
              </w:rPr>
            </w:pPr>
          </w:p>
        </w:tc>
        <w:tc>
          <w:tcPr>
            <w:tcW w:w="3261" w:type="dxa"/>
            <w:gridSpan w:val="2"/>
          </w:tcPr>
          <w:p w14:paraId="22881B7D" w14:textId="77777777" w:rsidR="00D5398E" w:rsidRPr="00B209F5" w:rsidRDefault="00D5398E" w:rsidP="00647E5D">
            <w:pPr>
              <w:rPr>
                <w:sz w:val="20"/>
                <w:szCs w:val="20"/>
              </w:rPr>
            </w:pPr>
          </w:p>
        </w:tc>
      </w:tr>
    </w:tbl>
    <w:tbl>
      <w:tblPr>
        <w:tblStyle w:val="TableGrid"/>
        <w:tblpPr w:leftFromText="180" w:rightFromText="180" w:vertAnchor="text" w:tblpY="-3"/>
        <w:tblW w:w="0" w:type="auto"/>
        <w:tblLook w:val="04A0" w:firstRow="1" w:lastRow="0" w:firstColumn="1" w:lastColumn="0" w:noHBand="0" w:noVBand="1"/>
      </w:tblPr>
      <w:tblGrid>
        <w:gridCol w:w="988"/>
        <w:gridCol w:w="2126"/>
      </w:tblGrid>
      <w:tr w:rsidR="00D5398E" w14:paraId="638BD954" w14:textId="77777777" w:rsidTr="00610FBE">
        <w:trPr>
          <w:trHeight w:val="274"/>
        </w:trPr>
        <w:tc>
          <w:tcPr>
            <w:tcW w:w="988" w:type="dxa"/>
            <w:shd w:val="clear" w:color="auto" w:fill="FF0000"/>
          </w:tcPr>
          <w:p w14:paraId="622C4BEC" w14:textId="77777777" w:rsidR="00D5398E" w:rsidRDefault="00D5398E" w:rsidP="001236CE">
            <w:pPr>
              <w:rPr>
                <w:b/>
                <w:noProof/>
              </w:rPr>
            </w:pPr>
          </w:p>
        </w:tc>
        <w:tc>
          <w:tcPr>
            <w:tcW w:w="2126" w:type="dxa"/>
          </w:tcPr>
          <w:p w14:paraId="586987CE" w14:textId="7ADB1311" w:rsidR="00D5398E" w:rsidRPr="008B395A" w:rsidRDefault="00D5398E" w:rsidP="001236CE">
            <w:pPr>
              <w:rPr>
                <w:bCs/>
                <w:noProof/>
                <w:sz w:val="20"/>
                <w:szCs w:val="20"/>
              </w:rPr>
            </w:pPr>
            <w:r w:rsidRPr="008B395A">
              <w:rPr>
                <w:bCs/>
                <w:noProof/>
                <w:sz w:val="20"/>
                <w:szCs w:val="20"/>
              </w:rPr>
              <w:t>Resistant bacteria</w:t>
            </w:r>
          </w:p>
        </w:tc>
      </w:tr>
      <w:tr w:rsidR="00D5398E" w14:paraId="1584C095" w14:textId="77777777" w:rsidTr="00610FBE">
        <w:trPr>
          <w:trHeight w:val="317"/>
        </w:trPr>
        <w:tc>
          <w:tcPr>
            <w:tcW w:w="988" w:type="dxa"/>
            <w:shd w:val="clear" w:color="auto" w:fill="00B0F0"/>
          </w:tcPr>
          <w:p w14:paraId="071D5026" w14:textId="77777777" w:rsidR="00D5398E" w:rsidRDefault="00D5398E" w:rsidP="001236CE">
            <w:pPr>
              <w:rPr>
                <w:b/>
                <w:noProof/>
              </w:rPr>
            </w:pPr>
          </w:p>
        </w:tc>
        <w:tc>
          <w:tcPr>
            <w:tcW w:w="2126" w:type="dxa"/>
          </w:tcPr>
          <w:p w14:paraId="0A98731C" w14:textId="392ACABE" w:rsidR="00D5398E" w:rsidRPr="008B395A" w:rsidRDefault="00D5398E" w:rsidP="001236CE">
            <w:pPr>
              <w:rPr>
                <w:bCs/>
                <w:noProof/>
                <w:sz w:val="20"/>
                <w:szCs w:val="20"/>
              </w:rPr>
            </w:pPr>
            <w:r w:rsidRPr="008B395A">
              <w:rPr>
                <w:bCs/>
                <w:noProof/>
                <w:sz w:val="20"/>
                <w:szCs w:val="20"/>
              </w:rPr>
              <w:t>Susceptible bacteria</w:t>
            </w:r>
          </w:p>
        </w:tc>
      </w:tr>
      <w:tr w:rsidR="00D5398E" w14:paraId="6AC3A0C7" w14:textId="77777777" w:rsidTr="00610FBE">
        <w:trPr>
          <w:trHeight w:val="317"/>
        </w:trPr>
        <w:tc>
          <w:tcPr>
            <w:tcW w:w="988" w:type="dxa"/>
            <w:shd w:val="clear" w:color="auto" w:fill="A6A6A6" w:themeFill="background1" w:themeFillShade="A6"/>
          </w:tcPr>
          <w:p w14:paraId="20DCCB94" w14:textId="77777777" w:rsidR="00D5398E" w:rsidRDefault="00D5398E" w:rsidP="001236CE">
            <w:pPr>
              <w:rPr>
                <w:b/>
                <w:noProof/>
              </w:rPr>
            </w:pPr>
          </w:p>
        </w:tc>
        <w:tc>
          <w:tcPr>
            <w:tcW w:w="2126" w:type="dxa"/>
          </w:tcPr>
          <w:p w14:paraId="517AB020" w14:textId="0FF979B3" w:rsidR="00D5398E" w:rsidRPr="008B395A" w:rsidRDefault="00D5398E" w:rsidP="001236CE">
            <w:pPr>
              <w:rPr>
                <w:bCs/>
                <w:noProof/>
                <w:sz w:val="20"/>
                <w:szCs w:val="20"/>
              </w:rPr>
            </w:pPr>
            <w:r w:rsidRPr="008B395A">
              <w:rPr>
                <w:bCs/>
                <w:noProof/>
                <w:sz w:val="20"/>
                <w:szCs w:val="20"/>
              </w:rPr>
              <w:t xml:space="preserve">No </w:t>
            </w:r>
            <w:r>
              <w:rPr>
                <w:bCs/>
                <w:noProof/>
                <w:sz w:val="20"/>
                <w:szCs w:val="20"/>
              </w:rPr>
              <w:t xml:space="preserve">bacterial </w:t>
            </w:r>
            <w:r w:rsidRPr="008B395A">
              <w:rPr>
                <w:bCs/>
                <w:noProof/>
                <w:sz w:val="20"/>
                <w:szCs w:val="20"/>
              </w:rPr>
              <w:t>growth</w:t>
            </w:r>
          </w:p>
        </w:tc>
      </w:tr>
      <w:tr w:rsidR="00D5398E" w14:paraId="6FDC6D8A" w14:textId="77777777" w:rsidTr="001D04B2">
        <w:trPr>
          <w:trHeight w:val="317"/>
        </w:trPr>
        <w:tc>
          <w:tcPr>
            <w:tcW w:w="988" w:type="dxa"/>
            <w:shd w:val="clear" w:color="auto" w:fill="A568D2"/>
          </w:tcPr>
          <w:p w14:paraId="6DFBD45F" w14:textId="32CF45A7" w:rsidR="00D5398E" w:rsidRDefault="00D5398E" w:rsidP="001236CE">
            <w:pPr>
              <w:rPr>
                <w:b/>
                <w:noProof/>
              </w:rPr>
            </w:pPr>
          </w:p>
        </w:tc>
        <w:tc>
          <w:tcPr>
            <w:tcW w:w="2126" w:type="dxa"/>
          </w:tcPr>
          <w:p w14:paraId="710F37CB" w14:textId="5D17F2FF" w:rsidR="00D5398E" w:rsidRPr="008B395A" w:rsidRDefault="00D5398E" w:rsidP="001236CE">
            <w:pPr>
              <w:rPr>
                <w:bCs/>
                <w:noProof/>
                <w:sz w:val="20"/>
                <w:szCs w:val="20"/>
              </w:rPr>
            </w:pPr>
            <w:r w:rsidRPr="008B395A">
              <w:rPr>
                <w:bCs/>
                <w:noProof/>
                <w:sz w:val="20"/>
                <w:szCs w:val="20"/>
              </w:rPr>
              <w:t>Lab error (no MIC)</w:t>
            </w:r>
          </w:p>
        </w:tc>
      </w:tr>
      <w:tr w:rsidR="00D5398E" w14:paraId="04B6F208" w14:textId="77777777" w:rsidTr="00610FBE">
        <w:trPr>
          <w:trHeight w:val="181"/>
        </w:trPr>
        <w:tc>
          <w:tcPr>
            <w:tcW w:w="988" w:type="dxa"/>
            <w:shd w:val="clear" w:color="auto" w:fill="FFD966" w:themeFill="accent4" w:themeFillTint="99"/>
          </w:tcPr>
          <w:p w14:paraId="76633EA4" w14:textId="56A47CC3" w:rsidR="00D5398E" w:rsidRDefault="00D5398E" w:rsidP="001236CE">
            <w:pPr>
              <w:rPr>
                <w:b/>
                <w:noProof/>
              </w:rPr>
            </w:pPr>
          </w:p>
        </w:tc>
        <w:tc>
          <w:tcPr>
            <w:tcW w:w="2126" w:type="dxa"/>
          </w:tcPr>
          <w:p w14:paraId="58670EFD" w14:textId="1A125505" w:rsidR="00D5398E" w:rsidRPr="008B395A" w:rsidRDefault="00D5398E" w:rsidP="001236CE">
            <w:pPr>
              <w:rPr>
                <w:bCs/>
                <w:noProof/>
                <w:sz w:val="20"/>
                <w:szCs w:val="20"/>
              </w:rPr>
            </w:pPr>
            <w:r w:rsidRPr="008B395A">
              <w:rPr>
                <w:bCs/>
                <w:noProof/>
                <w:sz w:val="20"/>
                <w:szCs w:val="20"/>
              </w:rPr>
              <w:t>N</w:t>
            </w:r>
            <w:r>
              <w:rPr>
                <w:bCs/>
                <w:noProof/>
                <w:sz w:val="20"/>
                <w:szCs w:val="20"/>
              </w:rPr>
              <w:t>o</w:t>
            </w:r>
            <w:r w:rsidRPr="008B395A">
              <w:rPr>
                <w:bCs/>
                <w:noProof/>
                <w:sz w:val="20"/>
                <w:szCs w:val="20"/>
              </w:rPr>
              <w:t xml:space="preserve"> swab (COVID-19</w:t>
            </w:r>
            <w:r>
              <w:rPr>
                <w:bCs/>
                <w:noProof/>
                <w:sz w:val="20"/>
                <w:szCs w:val="20"/>
              </w:rPr>
              <w:t>)</w:t>
            </w:r>
          </w:p>
        </w:tc>
      </w:tr>
      <w:tr w:rsidR="00610FBE" w14:paraId="3011F2D0" w14:textId="77777777" w:rsidTr="00610FBE">
        <w:trPr>
          <w:trHeight w:val="181"/>
        </w:trPr>
        <w:tc>
          <w:tcPr>
            <w:tcW w:w="988" w:type="dxa"/>
            <w:shd w:val="clear" w:color="auto" w:fill="833C0B" w:themeFill="accent2" w:themeFillShade="80"/>
          </w:tcPr>
          <w:p w14:paraId="13FA812C" w14:textId="617B004A" w:rsidR="00610FBE" w:rsidRDefault="00610FBE" w:rsidP="001236CE">
            <w:pPr>
              <w:rPr>
                <w:b/>
                <w:noProof/>
              </w:rPr>
            </w:pPr>
          </w:p>
        </w:tc>
        <w:tc>
          <w:tcPr>
            <w:tcW w:w="2126" w:type="dxa"/>
          </w:tcPr>
          <w:p w14:paraId="0C3A350D" w14:textId="050D86D9" w:rsidR="00610FBE" w:rsidRPr="008B395A" w:rsidRDefault="00610FBE" w:rsidP="001236CE">
            <w:pPr>
              <w:rPr>
                <w:bCs/>
                <w:noProof/>
                <w:sz w:val="20"/>
                <w:szCs w:val="20"/>
              </w:rPr>
            </w:pPr>
            <w:r>
              <w:rPr>
                <w:bCs/>
                <w:noProof/>
                <w:sz w:val="20"/>
                <w:szCs w:val="20"/>
              </w:rPr>
              <w:t>Lab error (smaple lost)</w:t>
            </w:r>
          </w:p>
        </w:tc>
      </w:tr>
    </w:tbl>
    <w:p w14:paraId="796FC284" w14:textId="32211801" w:rsidR="00D5398E" w:rsidRPr="008B395A" w:rsidRDefault="00D5398E" w:rsidP="00D5398E">
      <w:pPr>
        <w:spacing w:line="360" w:lineRule="auto"/>
        <w:rPr>
          <w:bCs/>
          <w:noProof/>
        </w:rPr>
      </w:pPr>
    </w:p>
    <w:tbl>
      <w:tblPr>
        <w:tblStyle w:val="TableGrid"/>
        <w:tblpPr w:leftFromText="180" w:rightFromText="180" w:vertAnchor="text" w:horzAnchor="page" w:tblpX="6046" w:tblpY="207"/>
        <w:tblW w:w="0" w:type="auto"/>
        <w:tblLook w:val="04A0" w:firstRow="1" w:lastRow="0" w:firstColumn="1" w:lastColumn="0" w:noHBand="0" w:noVBand="1"/>
      </w:tblPr>
      <w:tblGrid>
        <w:gridCol w:w="562"/>
        <w:gridCol w:w="3402"/>
      </w:tblGrid>
      <w:tr w:rsidR="000E3A5A" w14:paraId="3A7B4EE3" w14:textId="77777777" w:rsidTr="000E3A5A">
        <w:tc>
          <w:tcPr>
            <w:tcW w:w="562" w:type="dxa"/>
          </w:tcPr>
          <w:p w14:paraId="7489412F" w14:textId="77777777" w:rsidR="000E3A5A" w:rsidRPr="00F06FE3" w:rsidRDefault="000E3A5A" w:rsidP="000E3A5A">
            <w:pPr>
              <w:spacing w:line="360" w:lineRule="auto"/>
              <w:rPr>
                <w:b/>
                <w:noProof/>
                <w:sz w:val="20"/>
                <w:szCs w:val="20"/>
              </w:rPr>
            </w:pPr>
            <w:r w:rsidRPr="00F06FE3">
              <w:rPr>
                <w:b/>
                <w:noProof/>
                <w:sz w:val="20"/>
                <w:szCs w:val="20"/>
              </w:rPr>
              <w:t>1</w:t>
            </w:r>
          </w:p>
        </w:tc>
        <w:tc>
          <w:tcPr>
            <w:tcW w:w="3402" w:type="dxa"/>
          </w:tcPr>
          <w:p w14:paraId="50968BBA" w14:textId="77777777" w:rsidR="000E3A5A" w:rsidRPr="00F06FE3" w:rsidRDefault="000E3A5A" w:rsidP="000E3A5A">
            <w:pPr>
              <w:spacing w:line="360" w:lineRule="auto"/>
              <w:rPr>
                <w:bCs/>
                <w:noProof/>
                <w:sz w:val="20"/>
                <w:szCs w:val="20"/>
              </w:rPr>
            </w:pPr>
            <w:r w:rsidRPr="00F06FE3">
              <w:rPr>
                <w:bCs/>
                <w:noProof/>
                <w:sz w:val="20"/>
                <w:szCs w:val="20"/>
              </w:rPr>
              <w:t>Number of acute courses of antibiotics</w:t>
            </w:r>
          </w:p>
        </w:tc>
      </w:tr>
      <w:tr w:rsidR="000E3A5A" w14:paraId="06A05A7C" w14:textId="77777777" w:rsidTr="000E3A5A">
        <w:tc>
          <w:tcPr>
            <w:tcW w:w="562" w:type="dxa"/>
          </w:tcPr>
          <w:p w14:paraId="278E3F05" w14:textId="70BBBBD6" w:rsidR="000E3A5A" w:rsidRDefault="00EB0610" w:rsidP="000E3A5A">
            <w:pPr>
              <w:spacing w:line="360" w:lineRule="auto"/>
              <w:rPr>
                <w:b/>
                <w:noProof/>
                <w:sz w:val="20"/>
                <w:szCs w:val="20"/>
              </w:rPr>
            </w:pPr>
            <w:r>
              <w:rPr>
                <w:noProof/>
              </w:rPr>
              <mc:AlternateContent>
                <mc:Choice Requires="wps">
                  <w:drawing>
                    <wp:anchor distT="0" distB="0" distL="114300" distR="114300" simplePos="0" relativeHeight="251961856" behindDoc="0" locked="0" layoutInCell="1" allowOverlap="1" wp14:anchorId="5AA3967F" wp14:editId="64DF9749">
                      <wp:simplePos x="0" y="0"/>
                      <wp:positionH relativeFrom="column">
                        <wp:posOffset>5715</wp:posOffset>
                      </wp:positionH>
                      <wp:positionV relativeFrom="paragraph">
                        <wp:posOffset>28575</wp:posOffset>
                      </wp:positionV>
                      <wp:extent cx="151130" cy="149225"/>
                      <wp:effectExtent l="19050" t="19050" r="20320" b="3175"/>
                      <wp:wrapNone/>
                      <wp:docPr id="446" name="Isosceles Tri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49225"/>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A4D2852" id="Isosceles Triangle 446" o:spid="_x0000_s1026" type="#_x0000_t5" style="position:absolute;margin-left:.45pt;margin-top:2.25pt;width:11.9pt;height:11.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" fillcolor="#203864" strokecolor="red" strokeweight="1pt">
                      <v:path arrowok="t"/>
                    </v:shape>
                  </w:pict>
                </mc:Fallback>
              </mc:AlternateContent>
            </w:r>
          </w:p>
        </w:tc>
        <w:tc>
          <w:tcPr>
            <w:tcW w:w="3402" w:type="dxa"/>
          </w:tcPr>
          <w:p w14:paraId="17147384" w14:textId="77777777" w:rsidR="000E3A5A" w:rsidRPr="00F06FE3" w:rsidRDefault="000E3A5A" w:rsidP="000E3A5A">
            <w:pPr>
              <w:spacing w:line="360" w:lineRule="auto"/>
              <w:rPr>
                <w:bCs/>
                <w:noProof/>
                <w:sz w:val="20"/>
                <w:szCs w:val="20"/>
              </w:rPr>
            </w:pPr>
            <w:r w:rsidRPr="00F06FE3">
              <w:rPr>
                <w:bCs/>
                <w:noProof/>
                <w:sz w:val="20"/>
                <w:szCs w:val="20"/>
              </w:rPr>
              <w:t>Prescribed acute course of macrolides</w:t>
            </w:r>
          </w:p>
        </w:tc>
      </w:tr>
    </w:tbl>
    <w:p w14:paraId="2E6B7A10" w14:textId="77777777" w:rsidR="00216903" w:rsidRDefault="00216903" w:rsidP="00D5398E">
      <w:pPr>
        <w:spacing w:line="360" w:lineRule="auto"/>
        <w:rPr>
          <w:b/>
          <w:noProof/>
        </w:rPr>
      </w:pPr>
    </w:p>
    <w:p w14:paraId="4F864933" w14:textId="501AC7B0" w:rsidR="00D5398E" w:rsidRDefault="00D5398E" w:rsidP="00D5398E">
      <w:pPr>
        <w:spacing w:line="360" w:lineRule="auto"/>
        <w:rPr>
          <w:b/>
          <w:noProof/>
        </w:rPr>
      </w:pPr>
      <w:r>
        <w:rPr>
          <w:b/>
          <w:noProof/>
        </w:rPr>
        <w:t>Antibiotic courses during the study period</w:t>
      </w:r>
    </w:p>
    <w:p w14:paraId="036A91C2" w14:textId="77777777" w:rsidR="00216903" w:rsidRPr="0064056D" w:rsidRDefault="00216903" w:rsidP="00216903">
      <w:pPr>
        <w:pStyle w:val="Caption"/>
        <w:keepNext/>
        <w:rPr>
          <w:b/>
          <w:bCs/>
          <w:i w:val="0"/>
          <w:iCs w:val="0"/>
          <w:color w:val="000000" w:themeColor="text1"/>
          <w:sz w:val="15"/>
          <w:szCs w:val="15"/>
        </w:rPr>
      </w:pPr>
    </w:p>
    <w:p w14:paraId="0A5C0035" w14:textId="2111124C" w:rsidR="00012DD6" w:rsidRPr="00216903" w:rsidRDefault="00216903" w:rsidP="00216903">
      <w:pPr>
        <w:pStyle w:val="Caption"/>
        <w:keepNext/>
        <w:rPr>
          <w:i w:val="0"/>
          <w:iCs w:val="0"/>
          <w:color w:val="000000" w:themeColor="text1"/>
          <w:sz w:val="24"/>
          <w:szCs w:val="24"/>
        </w:rPr>
      </w:pPr>
      <w:bookmarkStart w:id="210" w:name="_Ref105507468"/>
      <w:bookmarkStart w:id="211" w:name="_Toc117780225"/>
      <w:r w:rsidRPr="00C6260E">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8</w:t>
      </w:r>
      <w:r w:rsidR="00F42C6F">
        <w:rPr>
          <w:b/>
          <w:bCs/>
          <w:i w:val="0"/>
          <w:iCs w:val="0"/>
          <w:color w:val="000000" w:themeColor="text1"/>
          <w:sz w:val="24"/>
          <w:szCs w:val="24"/>
        </w:rPr>
        <w:fldChar w:fldCharType="end"/>
      </w:r>
      <w:bookmarkEnd w:id="210"/>
      <w:r w:rsidRPr="00C6260E">
        <w:rPr>
          <w:b/>
          <w:bCs/>
          <w:i w:val="0"/>
          <w:iCs w:val="0"/>
          <w:color w:val="000000" w:themeColor="text1"/>
          <w:sz w:val="24"/>
          <w:szCs w:val="24"/>
        </w:rPr>
        <w:t>:</w:t>
      </w:r>
      <w:r w:rsidRPr="00C6260E">
        <w:rPr>
          <w:i w:val="0"/>
          <w:iCs w:val="0"/>
          <w:color w:val="000000" w:themeColor="text1"/>
          <w:sz w:val="24"/>
          <w:szCs w:val="24"/>
        </w:rPr>
        <w:t xml:space="preserve"> </w:t>
      </w:r>
      <w:r w:rsidR="007176C0" w:rsidRPr="007176C0">
        <w:rPr>
          <w:i w:val="0"/>
          <w:iCs w:val="0"/>
          <w:color w:val="000000" w:themeColor="text1"/>
          <w:sz w:val="24"/>
          <w:szCs w:val="24"/>
        </w:rPr>
        <w:t xml:space="preserve">Representation of azithromycin susceptibility for DNPS cultures in PBB study </w:t>
      </w:r>
      <w:r w:rsidR="007176C0">
        <w:rPr>
          <w:i w:val="0"/>
          <w:iCs w:val="0"/>
          <w:color w:val="000000" w:themeColor="text1"/>
          <w:sz w:val="24"/>
          <w:szCs w:val="24"/>
        </w:rPr>
        <w:t>2</w:t>
      </w:r>
      <w:bookmarkEnd w:id="211"/>
    </w:p>
    <w:p w14:paraId="11123071" w14:textId="7E48C564" w:rsidR="004B5464" w:rsidRDefault="000D14A1" w:rsidP="0064056D">
      <w:pPr>
        <w:spacing w:line="276" w:lineRule="auto"/>
        <w:rPr>
          <w:i/>
          <w:iCs/>
        </w:rPr>
      </w:pPr>
      <w:r w:rsidRPr="007176C0">
        <w:rPr>
          <w:i/>
          <w:iCs/>
        </w:rPr>
        <w:t xml:space="preserve">Two observational cohorts </w:t>
      </w:r>
      <w:r w:rsidR="00B6125F">
        <w:rPr>
          <w:i/>
          <w:iCs/>
        </w:rPr>
        <w:t xml:space="preserve">each </w:t>
      </w:r>
      <w:r w:rsidRPr="007176C0">
        <w:rPr>
          <w:i/>
          <w:iCs/>
        </w:rPr>
        <w:t>of 15 children with a diagnosis of PBB had</w:t>
      </w:r>
      <w:r w:rsidR="008C714F" w:rsidRPr="007176C0">
        <w:rPr>
          <w:i/>
          <w:iCs/>
        </w:rPr>
        <w:t xml:space="preserve"> four</w:t>
      </w:r>
      <w:r w:rsidRPr="007176C0">
        <w:rPr>
          <w:i/>
          <w:iCs/>
        </w:rPr>
        <w:t xml:space="preserve"> sequential DNPS taken </w:t>
      </w:r>
      <w:r w:rsidR="003D0A60" w:rsidRPr="007176C0">
        <w:rPr>
          <w:i/>
          <w:iCs/>
        </w:rPr>
        <w:t>over the</w:t>
      </w:r>
      <w:r w:rsidRPr="007176C0">
        <w:rPr>
          <w:i/>
          <w:iCs/>
        </w:rPr>
        <w:t xml:space="preserve"> study period</w:t>
      </w:r>
      <w:r w:rsidR="007B7E32">
        <w:rPr>
          <w:i/>
          <w:iCs/>
        </w:rPr>
        <w:t xml:space="preserve"> (</w:t>
      </w:r>
      <w:r w:rsidR="00D43EC1">
        <w:rPr>
          <w:i/>
          <w:iCs/>
        </w:rPr>
        <w:t xml:space="preserve">Y-axis </w:t>
      </w:r>
      <w:r w:rsidR="007B7E32">
        <w:rPr>
          <w:i/>
          <w:iCs/>
        </w:rPr>
        <w:t>rows 1, 4, 5 and 7)</w:t>
      </w:r>
      <w:r w:rsidRPr="007176C0">
        <w:rPr>
          <w:i/>
          <w:iCs/>
        </w:rPr>
        <w:t>. Additional swabs were collected at the beginning and end of some pulmonary exacerbations</w:t>
      </w:r>
      <w:r w:rsidR="003E3E24">
        <w:rPr>
          <w:i/>
          <w:iCs/>
        </w:rPr>
        <w:t xml:space="preserve"> (</w:t>
      </w:r>
      <w:r w:rsidR="00D43EC1">
        <w:rPr>
          <w:i/>
          <w:iCs/>
        </w:rPr>
        <w:t xml:space="preserve">Y-axis </w:t>
      </w:r>
      <w:r w:rsidR="003E3E24">
        <w:rPr>
          <w:i/>
          <w:iCs/>
        </w:rPr>
        <w:t>rows 2,3 and 6)</w:t>
      </w:r>
      <w:r w:rsidRPr="007176C0">
        <w:rPr>
          <w:i/>
          <w:iCs/>
        </w:rPr>
        <w:t xml:space="preserve">. One group received prophylactic azithromycin (A) and the other did not (C). Each column on the X-axis represents an individual child. The Y-axis shows each of the swab results with different colours denoting azithromycin susceptibility of any isolates grown.  Coloured circles under each participant represent the duration from the last course of macrolide antibiotic to the study start. Numbers in the upper boxes denote the number of acute courses of antibiotics each participant was prescribed during the study. Triangles in the boxes show when courses of macrolides were prescribed during the study. </w:t>
      </w:r>
      <w:r w:rsidR="00A24701" w:rsidRPr="007176C0">
        <w:rPr>
          <w:i/>
          <w:iCs/>
        </w:rPr>
        <w:t xml:space="preserve">To note C7 commenced long term azithromycin after the acute course of macrolides and C10 long term co-trimoxazole. </w:t>
      </w:r>
      <w:r w:rsidRPr="007176C0">
        <w:rPr>
          <w:i/>
          <w:iCs/>
        </w:rPr>
        <w:t xml:space="preserve">Resistance </w:t>
      </w:r>
      <w:r w:rsidR="0014794B">
        <w:rPr>
          <w:i/>
          <w:iCs/>
        </w:rPr>
        <w:t>was</w:t>
      </w:r>
      <w:r w:rsidRPr="007176C0">
        <w:rPr>
          <w:i/>
          <w:iCs/>
        </w:rPr>
        <w:t xml:space="preserve"> based on minimum inhibitory concentrations as per the EUCAST breakpoint tables:</w:t>
      </w:r>
      <w:r w:rsidR="000E3A5A">
        <w:rPr>
          <w:i/>
          <w:iCs/>
        </w:rPr>
        <w:t xml:space="preserve"> </w:t>
      </w:r>
    </w:p>
    <w:p w14:paraId="4B164C42" w14:textId="67331309" w:rsidR="004B5464" w:rsidRDefault="000D14A1" w:rsidP="0064056D">
      <w:pPr>
        <w:spacing w:line="276" w:lineRule="auto"/>
        <w:rPr>
          <w:i/>
          <w:iCs/>
        </w:rPr>
      </w:pPr>
      <w:r w:rsidRPr="007176C0">
        <w:rPr>
          <w:i/>
          <w:iCs/>
        </w:rPr>
        <w:t>S. pneumoniae</w:t>
      </w:r>
      <w:r w:rsidR="004B5464">
        <w:rPr>
          <w:i/>
          <w:iCs/>
        </w:rPr>
        <w:t xml:space="preserve"> </w:t>
      </w:r>
      <w:r w:rsidRPr="007176C0">
        <w:rPr>
          <w:i/>
          <w:iCs/>
        </w:rPr>
        <w:t>&gt; 0.5 mg/L</w:t>
      </w:r>
      <w:r w:rsidR="004B5464">
        <w:rPr>
          <w:i/>
          <w:iCs/>
        </w:rPr>
        <w:t xml:space="preserve">; </w:t>
      </w:r>
      <w:r w:rsidRPr="007176C0">
        <w:rPr>
          <w:i/>
          <w:iCs/>
        </w:rPr>
        <w:t>M. catarrhalis</w:t>
      </w:r>
      <w:r w:rsidR="004B5464">
        <w:rPr>
          <w:i/>
          <w:iCs/>
        </w:rPr>
        <w:t xml:space="preserve"> </w:t>
      </w:r>
      <w:r w:rsidRPr="007176C0">
        <w:rPr>
          <w:i/>
          <w:iCs/>
        </w:rPr>
        <w:t>&gt;0.5 mg/L</w:t>
      </w:r>
      <w:r w:rsidR="004B5464">
        <w:rPr>
          <w:i/>
          <w:iCs/>
        </w:rPr>
        <w:t xml:space="preserve">; </w:t>
      </w:r>
      <w:r w:rsidRPr="007176C0">
        <w:rPr>
          <w:i/>
          <w:iCs/>
        </w:rPr>
        <w:t>S. aureus</w:t>
      </w:r>
      <w:r w:rsidR="004B5464">
        <w:rPr>
          <w:i/>
          <w:iCs/>
        </w:rPr>
        <w:t xml:space="preserve"> </w:t>
      </w:r>
      <w:r w:rsidRPr="007176C0">
        <w:rPr>
          <w:i/>
          <w:iCs/>
        </w:rPr>
        <w:t>&gt; 2 mg/L</w:t>
      </w:r>
      <w:r w:rsidR="004B5464">
        <w:rPr>
          <w:i/>
          <w:iCs/>
        </w:rPr>
        <w:t xml:space="preserve">; </w:t>
      </w:r>
      <w:r w:rsidRPr="000E3A5A">
        <w:rPr>
          <w:i/>
          <w:iCs/>
        </w:rPr>
        <w:t>H. Influenzae</w:t>
      </w:r>
      <w:r w:rsidR="004B5464">
        <w:rPr>
          <w:i/>
          <w:iCs/>
        </w:rPr>
        <w:t xml:space="preserve"> </w:t>
      </w:r>
      <w:r w:rsidRPr="000E3A5A">
        <w:rPr>
          <w:i/>
          <w:iCs/>
        </w:rPr>
        <w:t>&gt; 4 mg/L</w:t>
      </w:r>
    </w:p>
    <w:p w14:paraId="147E7ACE" w14:textId="12D5E03D" w:rsidR="00E36FBB" w:rsidRDefault="00E36FBB" w:rsidP="00E36FBB">
      <w:pPr>
        <w:spacing w:line="360" w:lineRule="auto"/>
      </w:pPr>
      <w:r w:rsidRPr="007176C0">
        <w:lastRenderedPageBreak/>
        <w:t>During the study period,</w:t>
      </w:r>
      <w:r w:rsidR="00FA2D62">
        <w:t xml:space="preserve"> excluding the baseline swabs,</w:t>
      </w:r>
      <w:r w:rsidRPr="007176C0">
        <w:t xml:space="preserve"> there was positive bacterial growth on 20/40 swabs (50%) in the comparison group compared to 11/33 (33%) in the azithromycin group. Of the 27 isolates in the comparison group, 15 were resistant to azithromycin (56%) compared to 11 of the 14 isolates in the azithromycin group (79</w:t>
      </w:r>
      <w:r w:rsidR="00B6125F" w:rsidRPr="007176C0">
        <w:t>%)</w:t>
      </w:r>
      <w:r w:rsidR="00B6125F">
        <w:t>,</w:t>
      </w:r>
      <w:r w:rsidR="00B6125F" w:rsidRPr="007176C0">
        <w:t xml:space="preserve"> </w:t>
      </w:r>
      <w:r w:rsidR="00B6125F">
        <w:t>se</w:t>
      </w:r>
      <w:r w:rsidR="00B6125F" w:rsidRPr="007176C0">
        <w:t xml:space="preserve">e </w:t>
      </w:r>
      <w:r w:rsidR="004B5464" w:rsidRPr="004B5464">
        <w:fldChar w:fldCharType="begin"/>
      </w:r>
      <w:r w:rsidR="004B5464" w:rsidRPr="004B5464">
        <w:instrText xml:space="preserve"> REF _Ref105613801 \h  \* MERGEFORMAT </w:instrText>
      </w:r>
      <w:r w:rsidR="004B5464" w:rsidRPr="004B5464">
        <w:fldChar w:fldCharType="separate"/>
      </w:r>
      <w:r w:rsidR="004B5464" w:rsidRPr="004B5464">
        <w:rPr>
          <w:color w:val="000000" w:themeColor="text1"/>
        </w:rPr>
        <w:t xml:space="preserve">Table </w:t>
      </w:r>
      <w:r w:rsidR="004B5464" w:rsidRPr="004B5464">
        <w:rPr>
          <w:noProof/>
          <w:color w:val="000000" w:themeColor="text1"/>
        </w:rPr>
        <w:t>19</w:t>
      </w:r>
      <w:r w:rsidR="004B5464" w:rsidRPr="004B5464">
        <w:fldChar w:fldCharType="end"/>
      </w:r>
      <w:r w:rsidRPr="007176C0">
        <w:t xml:space="preserve">. </w:t>
      </w:r>
      <w:r w:rsidR="007E7735">
        <w:t>As in PBB study 1, t</w:t>
      </w:r>
      <w:r w:rsidR="007E7735" w:rsidRPr="007176C0">
        <w:t xml:space="preserve">he </w:t>
      </w:r>
      <w:r w:rsidRPr="007176C0">
        <w:t xml:space="preserve">resistance in both groups </w:t>
      </w:r>
      <w:r w:rsidR="007E7735">
        <w:t>was</w:t>
      </w:r>
      <w:r w:rsidR="007E7735" w:rsidRPr="007176C0">
        <w:t xml:space="preserve"> </w:t>
      </w:r>
      <w:r w:rsidRPr="007176C0">
        <w:t xml:space="preserve">predominantly driven by </w:t>
      </w:r>
      <w:r w:rsidRPr="007176C0">
        <w:rPr>
          <w:i/>
          <w:iCs/>
        </w:rPr>
        <w:t>S. pneumoniae</w:t>
      </w:r>
      <w:r>
        <w:t xml:space="preserve"> with only a single isolate being </w:t>
      </w:r>
      <w:r w:rsidR="007E7735">
        <w:t xml:space="preserve">fully </w:t>
      </w:r>
      <w:r>
        <w:t xml:space="preserve">susceptible to azithromycin </w:t>
      </w:r>
      <w:r w:rsidR="00B6125F">
        <w:t>(</w:t>
      </w:r>
      <w:r>
        <w:t xml:space="preserve">see </w:t>
      </w:r>
      <w:r w:rsidR="00EB6BA0" w:rsidRPr="00EB6BA0">
        <w:fldChar w:fldCharType="begin"/>
      </w:r>
      <w:r w:rsidR="00EB6BA0" w:rsidRPr="00EB6BA0">
        <w:instrText xml:space="preserve"> REF _Ref105508543 \h  \* MERGEFORMAT </w:instrText>
      </w:r>
      <w:r w:rsidR="00EB6BA0" w:rsidRPr="00EB6BA0">
        <w:fldChar w:fldCharType="separate"/>
      </w:r>
      <w:r w:rsidR="00EB6BA0" w:rsidRPr="00EB6BA0">
        <w:rPr>
          <w:color w:val="000000" w:themeColor="text1"/>
        </w:rPr>
        <w:t xml:space="preserve">Figure </w:t>
      </w:r>
      <w:r w:rsidR="00EB6BA0" w:rsidRPr="00EB6BA0">
        <w:rPr>
          <w:noProof/>
          <w:color w:val="000000" w:themeColor="text1"/>
        </w:rPr>
        <w:t>4</w:t>
      </w:r>
      <w:r w:rsidR="00EB6BA0" w:rsidRPr="00EB6BA0">
        <w:rPr>
          <w:color w:val="000000" w:themeColor="text1"/>
        </w:rPr>
        <w:noBreakHyphen/>
      </w:r>
      <w:r w:rsidR="00EB6BA0" w:rsidRPr="00EB6BA0">
        <w:rPr>
          <w:noProof/>
          <w:color w:val="000000" w:themeColor="text1"/>
        </w:rPr>
        <w:t>9</w:t>
      </w:r>
      <w:r w:rsidR="00EB6BA0" w:rsidRPr="00EB6BA0">
        <w:fldChar w:fldCharType="end"/>
      </w:r>
      <w:r w:rsidR="00B6125F">
        <w:t>)</w:t>
      </w:r>
      <w:r>
        <w:t xml:space="preserve">. </w:t>
      </w:r>
      <w:r w:rsidRPr="007176C0">
        <w:t xml:space="preserve"> </w:t>
      </w:r>
      <w:r w:rsidR="00B6125F">
        <w:t xml:space="preserve">Five </w:t>
      </w:r>
      <w:r w:rsidR="007E7735" w:rsidRPr="007176C0">
        <w:rPr>
          <w:i/>
          <w:iCs/>
        </w:rPr>
        <w:t>S. pneumoniae</w:t>
      </w:r>
      <w:r w:rsidR="007E7735">
        <w:t xml:space="preserve"> isolates had high level resistance (MIC &gt;256 mg/ml)</w:t>
      </w:r>
      <w:r w:rsidR="00CB6488">
        <w:t xml:space="preserve"> with the remaining isolates having MICs of 0.75-3 mg/ml. </w:t>
      </w:r>
      <w:r w:rsidR="00305A74">
        <w:t xml:space="preserve">There was less azithromycin resistance amongst the </w:t>
      </w:r>
      <w:r w:rsidR="00305A74" w:rsidRPr="00305A74">
        <w:rPr>
          <w:i/>
          <w:iCs/>
        </w:rPr>
        <w:t>H. influenzae isolates</w:t>
      </w:r>
      <w:r w:rsidR="00305A74">
        <w:t xml:space="preserve"> with 9 out of 18 isolates tested in the comparison group being resistant to azithromycin and 5 out of 9 in the azithromycin group</w:t>
      </w:r>
      <w:r w:rsidR="00EB6BA0">
        <w:t xml:space="preserve"> </w:t>
      </w:r>
      <w:r w:rsidR="00EB6BA0" w:rsidRPr="00EB6BA0">
        <w:t>(</w:t>
      </w:r>
      <w:r w:rsidR="00EB6BA0" w:rsidRPr="00EB6BA0">
        <w:fldChar w:fldCharType="begin"/>
      </w:r>
      <w:r w:rsidR="00EB6BA0" w:rsidRPr="00EB6BA0">
        <w:instrText xml:space="preserve"> REF _Ref105508570 \h  \* MERGEFORMAT </w:instrText>
      </w:r>
      <w:r w:rsidR="00EB6BA0" w:rsidRPr="00EB6BA0">
        <w:fldChar w:fldCharType="separate"/>
      </w:r>
      <w:r w:rsidR="00EB6BA0" w:rsidRPr="00EB6BA0">
        <w:rPr>
          <w:color w:val="000000" w:themeColor="text1"/>
        </w:rPr>
        <w:t xml:space="preserve">Figure </w:t>
      </w:r>
      <w:r w:rsidR="00EB6BA0" w:rsidRPr="00EB6BA0">
        <w:rPr>
          <w:noProof/>
          <w:color w:val="000000" w:themeColor="text1"/>
        </w:rPr>
        <w:t>4</w:t>
      </w:r>
      <w:r w:rsidR="00EB6BA0" w:rsidRPr="00EB6BA0">
        <w:rPr>
          <w:color w:val="000000" w:themeColor="text1"/>
        </w:rPr>
        <w:noBreakHyphen/>
      </w:r>
      <w:r w:rsidR="00EB6BA0" w:rsidRPr="00EB6BA0">
        <w:rPr>
          <w:noProof/>
          <w:color w:val="000000" w:themeColor="text1"/>
        </w:rPr>
        <w:t>10</w:t>
      </w:r>
      <w:r w:rsidR="00EB6BA0" w:rsidRPr="00EB6BA0">
        <w:fldChar w:fldCharType="end"/>
      </w:r>
      <w:r w:rsidR="00EB6BA0">
        <w:t>)</w:t>
      </w:r>
      <w:r w:rsidR="00305A74">
        <w:t xml:space="preserve">. </w:t>
      </w:r>
      <w:r w:rsidRPr="007176C0">
        <w:t xml:space="preserve">In the comparison group </w:t>
      </w:r>
      <w:r w:rsidR="00C33F82">
        <w:t>3</w:t>
      </w:r>
      <w:r w:rsidRPr="007176C0">
        <w:t xml:space="preserve"> swabs with bacterial growth did not get susceptibility tested to azithromycin and in the azithromycin group 1 swab</w:t>
      </w:r>
      <w:r w:rsidR="00B6125F">
        <w:t xml:space="preserve"> due to laboratory errors</w:t>
      </w:r>
      <w:r w:rsidRPr="007176C0">
        <w:t xml:space="preserve">. </w:t>
      </w:r>
    </w:p>
    <w:p w14:paraId="693C7884" w14:textId="77777777" w:rsidR="004B5464" w:rsidRDefault="004B5464" w:rsidP="00E36FBB">
      <w:pPr>
        <w:spacing w:line="360" w:lineRule="auto"/>
      </w:pPr>
    </w:p>
    <w:p w14:paraId="79B58719" w14:textId="72899591" w:rsidR="00E36FBB" w:rsidRPr="001D04B2" w:rsidRDefault="00E36FBB" w:rsidP="00E36FBB">
      <w:pPr>
        <w:pStyle w:val="Caption"/>
        <w:keepNext/>
        <w:rPr>
          <w:i w:val="0"/>
          <w:iCs w:val="0"/>
          <w:color w:val="000000" w:themeColor="text1"/>
          <w:sz w:val="24"/>
          <w:szCs w:val="24"/>
        </w:rPr>
      </w:pPr>
      <w:bookmarkStart w:id="212" w:name="_Ref105613801"/>
      <w:bookmarkStart w:id="213" w:name="_Toc117780260"/>
      <w:r w:rsidRPr="001D04B2">
        <w:rPr>
          <w:b/>
          <w:bCs/>
          <w:i w:val="0"/>
          <w:iCs w:val="0"/>
          <w:color w:val="000000" w:themeColor="text1"/>
          <w:sz w:val="24"/>
          <w:szCs w:val="24"/>
        </w:rPr>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19</w:t>
      </w:r>
      <w:r w:rsidRPr="001D04B2">
        <w:rPr>
          <w:b/>
          <w:bCs/>
          <w:i w:val="0"/>
          <w:iCs w:val="0"/>
          <w:color w:val="000000" w:themeColor="text1"/>
          <w:sz w:val="24"/>
          <w:szCs w:val="24"/>
        </w:rPr>
        <w:fldChar w:fldCharType="end"/>
      </w:r>
      <w:bookmarkEnd w:id="212"/>
      <w:r w:rsidRPr="001D04B2">
        <w:rPr>
          <w:i w:val="0"/>
          <w:iCs w:val="0"/>
          <w:color w:val="000000" w:themeColor="text1"/>
          <w:sz w:val="24"/>
          <w:szCs w:val="24"/>
        </w:rPr>
        <w:t>: Azithromycin resistance of bacterial isolates during PBB study 2</w:t>
      </w:r>
      <w:bookmarkEnd w:id="213"/>
    </w:p>
    <w:tbl>
      <w:tblPr>
        <w:tblStyle w:val="TableGrid"/>
        <w:tblW w:w="9918" w:type="dxa"/>
        <w:tblLook w:val="04A0" w:firstRow="1" w:lastRow="0" w:firstColumn="1" w:lastColumn="0" w:noHBand="0" w:noVBand="1"/>
      </w:tblPr>
      <w:tblGrid>
        <w:gridCol w:w="1550"/>
        <w:gridCol w:w="1740"/>
        <w:gridCol w:w="1691"/>
        <w:gridCol w:w="2259"/>
        <w:gridCol w:w="2678"/>
      </w:tblGrid>
      <w:tr w:rsidR="00E36FBB" w14:paraId="666EB013" w14:textId="77777777" w:rsidTr="00703D08">
        <w:tc>
          <w:tcPr>
            <w:tcW w:w="1505" w:type="dxa"/>
            <w:shd w:val="clear" w:color="auto" w:fill="9CC2E5" w:themeFill="accent1" w:themeFillTint="99"/>
          </w:tcPr>
          <w:p w14:paraId="440CB36E" w14:textId="77777777" w:rsidR="00E36FBB" w:rsidRDefault="00E36FBB" w:rsidP="00703D08">
            <w:r>
              <w:t>Group</w:t>
            </w:r>
          </w:p>
          <w:p w14:paraId="364C6BC9" w14:textId="77777777" w:rsidR="00E36FBB" w:rsidRDefault="00E36FBB" w:rsidP="00703D08">
            <w:r>
              <w:t>(total number of swabs)</w:t>
            </w:r>
          </w:p>
        </w:tc>
        <w:tc>
          <w:tcPr>
            <w:tcW w:w="1751" w:type="dxa"/>
            <w:shd w:val="clear" w:color="auto" w:fill="9CC2E5" w:themeFill="accent1" w:themeFillTint="99"/>
          </w:tcPr>
          <w:p w14:paraId="2CCFDC48" w14:textId="77777777" w:rsidR="00E36FBB" w:rsidRDefault="00E36FBB" w:rsidP="00703D08">
            <w:r>
              <w:t>DNPS with positive growth</w:t>
            </w:r>
          </w:p>
        </w:tc>
        <w:tc>
          <w:tcPr>
            <w:tcW w:w="1701" w:type="dxa"/>
            <w:shd w:val="clear" w:color="auto" w:fill="9CC2E5" w:themeFill="accent1" w:themeFillTint="99"/>
          </w:tcPr>
          <w:p w14:paraId="3D427CF7" w14:textId="77777777" w:rsidR="00E36FBB" w:rsidRDefault="00E36FBB" w:rsidP="00703D08">
            <w:r>
              <w:t>Total number of isolates</w:t>
            </w:r>
          </w:p>
        </w:tc>
        <w:tc>
          <w:tcPr>
            <w:tcW w:w="2268" w:type="dxa"/>
            <w:shd w:val="clear" w:color="auto" w:fill="9CC2E5" w:themeFill="accent1" w:themeFillTint="99"/>
          </w:tcPr>
          <w:p w14:paraId="3AC0DC28" w14:textId="4845DC55" w:rsidR="00E36FBB" w:rsidRDefault="00E36FBB" w:rsidP="00703D08">
            <w:r>
              <w:t xml:space="preserve">Number of </w:t>
            </w:r>
            <w:r w:rsidR="00DB069C">
              <w:t xml:space="preserve">azithromycin- </w:t>
            </w:r>
            <w:r>
              <w:t xml:space="preserve"> resistant isolates</w:t>
            </w:r>
          </w:p>
        </w:tc>
        <w:tc>
          <w:tcPr>
            <w:tcW w:w="2693" w:type="dxa"/>
            <w:shd w:val="clear" w:color="auto" w:fill="9CC2E5" w:themeFill="accent1" w:themeFillTint="99"/>
          </w:tcPr>
          <w:p w14:paraId="13CACEDD" w14:textId="3B227D06" w:rsidR="00E36FBB" w:rsidRDefault="00E36FBB" w:rsidP="00703D08">
            <w:r>
              <w:t xml:space="preserve">Number of swabs with </w:t>
            </w:r>
            <w:r w:rsidR="00DB069C">
              <w:t xml:space="preserve">azithromycin- </w:t>
            </w:r>
            <w:r>
              <w:t>resistant isolates (number of children)</w:t>
            </w:r>
          </w:p>
        </w:tc>
      </w:tr>
      <w:tr w:rsidR="00E36FBB" w14:paraId="0F1517DF" w14:textId="77777777" w:rsidTr="00703D08">
        <w:tc>
          <w:tcPr>
            <w:tcW w:w="1505" w:type="dxa"/>
          </w:tcPr>
          <w:p w14:paraId="3F65C728" w14:textId="77777777" w:rsidR="00E36FBB" w:rsidRDefault="00E36FBB" w:rsidP="00703D08">
            <w:r>
              <w:t>Comparison</w:t>
            </w:r>
          </w:p>
          <w:p w14:paraId="3E9625D8" w14:textId="77777777" w:rsidR="00E36FBB" w:rsidRDefault="00E36FBB" w:rsidP="00703D08">
            <w:r>
              <w:t>(40 swabs)</w:t>
            </w:r>
          </w:p>
        </w:tc>
        <w:tc>
          <w:tcPr>
            <w:tcW w:w="1751" w:type="dxa"/>
          </w:tcPr>
          <w:p w14:paraId="2136A0EB" w14:textId="77777777" w:rsidR="00E36FBB" w:rsidRDefault="00E36FBB" w:rsidP="00703D08">
            <w:r>
              <w:t>20</w:t>
            </w:r>
          </w:p>
        </w:tc>
        <w:tc>
          <w:tcPr>
            <w:tcW w:w="1701" w:type="dxa"/>
          </w:tcPr>
          <w:p w14:paraId="47C81BDB" w14:textId="77777777" w:rsidR="00E36FBB" w:rsidRDefault="00E36FBB" w:rsidP="00703D08">
            <w:r>
              <w:t>27</w:t>
            </w:r>
          </w:p>
        </w:tc>
        <w:tc>
          <w:tcPr>
            <w:tcW w:w="2268" w:type="dxa"/>
          </w:tcPr>
          <w:p w14:paraId="62E17B25" w14:textId="77777777" w:rsidR="00E36FBB" w:rsidRDefault="00E36FBB" w:rsidP="00703D08">
            <w:r>
              <w:t>15</w:t>
            </w:r>
          </w:p>
        </w:tc>
        <w:tc>
          <w:tcPr>
            <w:tcW w:w="2693" w:type="dxa"/>
          </w:tcPr>
          <w:p w14:paraId="7F3E2B6E" w14:textId="77777777" w:rsidR="00E36FBB" w:rsidRDefault="00E36FBB" w:rsidP="00703D08">
            <w:r>
              <w:t>14 (11)</w:t>
            </w:r>
          </w:p>
        </w:tc>
      </w:tr>
      <w:tr w:rsidR="00E36FBB" w14:paraId="7D706563" w14:textId="77777777" w:rsidTr="00703D08">
        <w:tc>
          <w:tcPr>
            <w:tcW w:w="1505" w:type="dxa"/>
            <w:shd w:val="clear" w:color="auto" w:fill="DEEAF6" w:themeFill="accent1" w:themeFillTint="33"/>
          </w:tcPr>
          <w:p w14:paraId="374171B2" w14:textId="77777777" w:rsidR="00E36FBB" w:rsidRDefault="00E36FBB" w:rsidP="00703D08">
            <w:r>
              <w:t>Azithromycin</w:t>
            </w:r>
          </w:p>
          <w:p w14:paraId="64B38F88" w14:textId="77777777" w:rsidR="00E36FBB" w:rsidRDefault="00E36FBB" w:rsidP="00703D08">
            <w:r>
              <w:t>(33 swabs)</w:t>
            </w:r>
          </w:p>
        </w:tc>
        <w:tc>
          <w:tcPr>
            <w:tcW w:w="1751" w:type="dxa"/>
            <w:shd w:val="clear" w:color="auto" w:fill="DEEAF6" w:themeFill="accent1" w:themeFillTint="33"/>
          </w:tcPr>
          <w:p w14:paraId="57963463" w14:textId="77777777" w:rsidR="00E36FBB" w:rsidRDefault="00E36FBB" w:rsidP="00703D08">
            <w:r>
              <w:t>11</w:t>
            </w:r>
          </w:p>
        </w:tc>
        <w:tc>
          <w:tcPr>
            <w:tcW w:w="1701" w:type="dxa"/>
            <w:shd w:val="clear" w:color="auto" w:fill="DEEAF6" w:themeFill="accent1" w:themeFillTint="33"/>
          </w:tcPr>
          <w:p w14:paraId="3864ADF4" w14:textId="77777777" w:rsidR="00E36FBB" w:rsidRDefault="00E36FBB" w:rsidP="00703D08">
            <w:r>
              <w:t>14</w:t>
            </w:r>
          </w:p>
        </w:tc>
        <w:tc>
          <w:tcPr>
            <w:tcW w:w="2268" w:type="dxa"/>
            <w:shd w:val="clear" w:color="auto" w:fill="DEEAF6" w:themeFill="accent1" w:themeFillTint="33"/>
          </w:tcPr>
          <w:p w14:paraId="09724A60" w14:textId="77777777" w:rsidR="00E36FBB" w:rsidRDefault="00E36FBB" w:rsidP="00703D08">
            <w:r>
              <w:t>11</w:t>
            </w:r>
          </w:p>
        </w:tc>
        <w:tc>
          <w:tcPr>
            <w:tcW w:w="2693" w:type="dxa"/>
            <w:shd w:val="clear" w:color="auto" w:fill="DEEAF6" w:themeFill="accent1" w:themeFillTint="33"/>
          </w:tcPr>
          <w:p w14:paraId="009C0B76" w14:textId="77777777" w:rsidR="00E36FBB" w:rsidRDefault="00E36FBB" w:rsidP="00703D08">
            <w:r>
              <w:t>9 (7)</w:t>
            </w:r>
          </w:p>
        </w:tc>
      </w:tr>
    </w:tbl>
    <w:p w14:paraId="5BEE77A8" w14:textId="77777777" w:rsidR="00E36FBB" w:rsidRDefault="00E36FBB" w:rsidP="00E36FBB">
      <w:pPr>
        <w:spacing w:line="360" w:lineRule="auto"/>
      </w:pPr>
    </w:p>
    <w:p w14:paraId="3BAF8692" w14:textId="290FC677" w:rsidR="007176C0" w:rsidRDefault="007176C0" w:rsidP="00DB074E"/>
    <w:p w14:paraId="5D3D955A" w14:textId="1E977A89" w:rsidR="004B5464" w:rsidRDefault="004B5464" w:rsidP="00DB074E"/>
    <w:p w14:paraId="34448F45" w14:textId="45391811" w:rsidR="004B5464" w:rsidRDefault="004B5464" w:rsidP="00DB074E"/>
    <w:p w14:paraId="3A5D2163" w14:textId="21D6AB4F" w:rsidR="004B5464" w:rsidRDefault="004B5464" w:rsidP="00DB074E"/>
    <w:p w14:paraId="4376AF18" w14:textId="3B280ACE" w:rsidR="004B5464" w:rsidRDefault="004B5464" w:rsidP="00DB074E"/>
    <w:p w14:paraId="0A334792" w14:textId="6C4D717F" w:rsidR="004B5464" w:rsidRDefault="004B5464" w:rsidP="00DB074E"/>
    <w:p w14:paraId="7207FD96" w14:textId="3798456D" w:rsidR="004B5464" w:rsidRDefault="004B5464" w:rsidP="00DB074E"/>
    <w:p w14:paraId="67AC29A8" w14:textId="52C701AC" w:rsidR="004B5464" w:rsidRDefault="004B5464" w:rsidP="00DB074E"/>
    <w:p w14:paraId="3798160D" w14:textId="6092C025" w:rsidR="004B5464" w:rsidRDefault="004B5464" w:rsidP="00DB074E"/>
    <w:p w14:paraId="78E239F5" w14:textId="19D66923" w:rsidR="004B5464" w:rsidRDefault="004B5464" w:rsidP="00DB074E"/>
    <w:p w14:paraId="518C2461" w14:textId="085C6DB7" w:rsidR="004B5464" w:rsidRDefault="004B5464" w:rsidP="00DB074E"/>
    <w:p w14:paraId="5CE9BC1A" w14:textId="0DE21B3F" w:rsidR="004B5464" w:rsidRDefault="004B5464" w:rsidP="00DB074E"/>
    <w:p w14:paraId="363C05A5" w14:textId="37B168E7" w:rsidR="004B5464" w:rsidRDefault="004B5464" w:rsidP="00DB074E"/>
    <w:p w14:paraId="2C123737" w14:textId="51DD15E4" w:rsidR="004B5464" w:rsidRDefault="004B5464" w:rsidP="00DB074E"/>
    <w:p w14:paraId="44DF7951" w14:textId="045CF0E8" w:rsidR="008066E0" w:rsidRDefault="00AF6304" w:rsidP="009C50A4">
      <w:pPr>
        <w:rPr>
          <w:b/>
        </w:rPr>
      </w:pPr>
      <w:r>
        <w:rPr>
          <w:noProof/>
        </w:rPr>
        <w:lastRenderedPageBreak/>
        <mc:AlternateContent>
          <mc:Choice Requires="wps">
            <w:drawing>
              <wp:anchor distT="0" distB="0" distL="114300" distR="114300" simplePos="0" relativeHeight="252065280" behindDoc="0" locked="0" layoutInCell="1" allowOverlap="1" wp14:anchorId="2BACDD84" wp14:editId="46DEE15F">
                <wp:simplePos x="0" y="0"/>
                <wp:positionH relativeFrom="column">
                  <wp:posOffset>5267325</wp:posOffset>
                </wp:positionH>
                <wp:positionV relativeFrom="paragraph">
                  <wp:posOffset>2790190</wp:posOffset>
                </wp:positionV>
                <wp:extent cx="60308" cy="60313"/>
                <wp:effectExtent l="0" t="0" r="16510" b="16510"/>
                <wp:wrapNone/>
                <wp:docPr id="288"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63276" id="Oval 1" o:spid="_x0000_s1026" style="position:absolute;margin-left:414.75pt;margin-top:219.7pt;width:4.75pt;height:4.75pt;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" fillcolor="windowText" strokecolor="windowText" strokeweight="1pt">
                <v:stroke joinstyle="miter"/>
              </v:oval>
            </w:pict>
          </mc:Fallback>
        </mc:AlternateContent>
      </w:r>
      <w:r>
        <w:rPr>
          <w:noProof/>
        </w:rPr>
        <mc:AlternateContent>
          <mc:Choice Requires="wps">
            <w:drawing>
              <wp:anchor distT="0" distB="0" distL="114300" distR="114300" simplePos="0" relativeHeight="252063232" behindDoc="0" locked="0" layoutInCell="1" allowOverlap="1" wp14:anchorId="2C884463" wp14:editId="1D576E28">
                <wp:simplePos x="0" y="0"/>
                <wp:positionH relativeFrom="column">
                  <wp:posOffset>3533775</wp:posOffset>
                </wp:positionH>
                <wp:positionV relativeFrom="paragraph">
                  <wp:posOffset>2809240</wp:posOffset>
                </wp:positionV>
                <wp:extent cx="60308" cy="60313"/>
                <wp:effectExtent l="0" t="0" r="16510" b="16510"/>
                <wp:wrapNone/>
                <wp:docPr id="214"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145C53" id="Oval 1" o:spid="_x0000_s1026" style="position:absolute;margin-left:278.25pt;margin-top:221.2pt;width:4.75pt;height:4.75pt;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" fillcolor="windowText" strokecolor="windowText" strokeweight="1pt">
                <v:stroke joinstyle="miter"/>
              </v:oval>
            </w:pict>
          </mc:Fallback>
        </mc:AlternateContent>
      </w:r>
      <w:r>
        <w:rPr>
          <w:noProof/>
        </w:rPr>
        <mc:AlternateContent>
          <mc:Choice Requires="wps">
            <w:drawing>
              <wp:anchor distT="0" distB="0" distL="114300" distR="114300" simplePos="0" relativeHeight="252061184" behindDoc="0" locked="0" layoutInCell="1" allowOverlap="1" wp14:anchorId="7BF14BDF" wp14:editId="3F987C30">
                <wp:simplePos x="0" y="0"/>
                <wp:positionH relativeFrom="column">
                  <wp:posOffset>1828800</wp:posOffset>
                </wp:positionH>
                <wp:positionV relativeFrom="paragraph">
                  <wp:posOffset>2790190</wp:posOffset>
                </wp:positionV>
                <wp:extent cx="60308" cy="60313"/>
                <wp:effectExtent l="0" t="0" r="16510" b="16510"/>
                <wp:wrapNone/>
                <wp:docPr id="211"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7A835" id="Oval 1" o:spid="_x0000_s1026" style="position:absolute;margin-left:2in;margin-top:219.7pt;width:4.75pt;height:4.75pt;z-index:252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" fillcolor="windowText" strokecolor="windowText" strokeweight="1pt">
                <v:stroke joinstyle="miter"/>
              </v:oval>
            </w:pict>
          </mc:Fallback>
        </mc:AlternateContent>
      </w:r>
      <w:r>
        <w:rPr>
          <w:noProof/>
        </w:rPr>
        <mc:AlternateContent>
          <mc:Choice Requires="wps">
            <w:drawing>
              <wp:anchor distT="0" distB="0" distL="114300" distR="114300" simplePos="0" relativeHeight="252044800" behindDoc="0" locked="0" layoutInCell="1" allowOverlap="1" wp14:anchorId="4271195A" wp14:editId="61D1ED91">
                <wp:simplePos x="0" y="0"/>
                <wp:positionH relativeFrom="column">
                  <wp:posOffset>5448300</wp:posOffset>
                </wp:positionH>
                <wp:positionV relativeFrom="paragraph">
                  <wp:posOffset>2786380</wp:posOffset>
                </wp:positionV>
                <wp:extent cx="60372" cy="60314"/>
                <wp:effectExtent l="0" t="0" r="15875" b="16510"/>
                <wp:wrapNone/>
                <wp:docPr id="56"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15C8C" id="Oval 1" o:spid="_x0000_s1026" style="position:absolute;margin-left:429pt;margin-top:219.4pt;width:4.75pt;height:4.75pt;z-index:25204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" fillcolor="#f9cbf2" strokecolor="windowText" strokeweight="1pt">
                <v:stroke joinstyle="miter"/>
              </v:oval>
            </w:pict>
          </mc:Fallback>
        </mc:AlternateContent>
      </w:r>
      <w:r>
        <w:rPr>
          <w:noProof/>
        </w:rPr>
        <mc:AlternateContent>
          <mc:Choice Requires="wps">
            <w:drawing>
              <wp:anchor distT="0" distB="0" distL="114300" distR="114300" simplePos="0" relativeHeight="252042752" behindDoc="0" locked="0" layoutInCell="1" allowOverlap="1" wp14:anchorId="7A1D6D1A" wp14:editId="1890E11D">
                <wp:simplePos x="0" y="0"/>
                <wp:positionH relativeFrom="column">
                  <wp:posOffset>5067300</wp:posOffset>
                </wp:positionH>
                <wp:positionV relativeFrom="paragraph">
                  <wp:posOffset>2816225</wp:posOffset>
                </wp:positionV>
                <wp:extent cx="60372" cy="60314"/>
                <wp:effectExtent l="0" t="0" r="15875" b="16510"/>
                <wp:wrapNone/>
                <wp:docPr id="55"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FD224" id="Oval 1" o:spid="_x0000_s1026" style="position:absolute;margin-left:399pt;margin-top:221.75pt;width:4.75pt;height:4.75pt;z-index:25204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" fillcolor="#f9cbf2" strokecolor="windowText" strokeweight="1pt">
                <v:stroke joinstyle="miter"/>
              </v:oval>
            </w:pict>
          </mc:Fallback>
        </mc:AlternateContent>
      </w:r>
      <w:r>
        <w:rPr>
          <w:noProof/>
        </w:rPr>
        <mc:AlternateContent>
          <mc:Choice Requires="wps">
            <w:drawing>
              <wp:anchor distT="0" distB="0" distL="114300" distR="114300" simplePos="0" relativeHeight="252040704" behindDoc="0" locked="0" layoutInCell="1" allowOverlap="1" wp14:anchorId="78DD7E57" wp14:editId="48CCC34F">
                <wp:simplePos x="0" y="0"/>
                <wp:positionH relativeFrom="column">
                  <wp:posOffset>4686300</wp:posOffset>
                </wp:positionH>
                <wp:positionV relativeFrom="paragraph">
                  <wp:posOffset>2811145</wp:posOffset>
                </wp:positionV>
                <wp:extent cx="60372" cy="60314"/>
                <wp:effectExtent l="0" t="0" r="15875" b="16510"/>
                <wp:wrapNone/>
                <wp:docPr id="51"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EDF35" id="Oval 1" o:spid="_x0000_s1026" style="position:absolute;margin-left:369pt;margin-top:221.35pt;width:4.75pt;height:4.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" fillcolor="#f9cbf2" strokecolor="windowText" strokeweight="1pt">
                <v:stroke joinstyle="miter"/>
              </v:oval>
            </w:pict>
          </mc:Fallback>
        </mc:AlternateContent>
      </w:r>
      <w:r>
        <w:rPr>
          <w:noProof/>
        </w:rPr>
        <mc:AlternateContent>
          <mc:Choice Requires="wps">
            <w:drawing>
              <wp:anchor distT="0" distB="0" distL="114300" distR="114300" simplePos="0" relativeHeight="252038656" behindDoc="0" locked="0" layoutInCell="1" allowOverlap="1" wp14:anchorId="0BD3A746" wp14:editId="4E40CE9F">
                <wp:simplePos x="0" y="0"/>
                <wp:positionH relativeFrom="column">
                  <wp:posOffset>3930650</wp:posOffset>
                </wp:positionH>
                <wp:positionV relativeFrom="paragraph">
                  <wp:posOffset>2805430</wp:posOffset>
                </wp:positionV>
                <wp:extent cx="60372" cy="60314"/>
                <wp:effectExtent l="0" t="0" r="15875" b="16510"/>
                <wp:wrapNone/>
                <wp:docPr id="50"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BECD7E" id="Oval 1" o:spid="_x0000_s1026" style="position:absolute;margin-left:309.5pt;margin-top:220.9pt;width:4.75pt;height:4.75pt;z-index:25203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" fillcolor="#f9cbf2" strokecolor="windowText" strokeweight="1pt">
                <v:stroke joinstyle="miter"/>
              </v:oval>
            </w:pict>
          </mc:Fallback>
        </mc:AlternateContent>
      </w:r>
      <w:r>
        <w:rPr>
          <w:noProof/>
        </w:rPr>
        <mc:AlternateContent>
          <mc:Choice Requires="wps">
            <w:drawing>
              <wp:anchor distT="0" distB="0" distL="114300" distR="114300" simplePos="0" relativeHeight="252036608" behindDoc="0" locked="0" layoutInCell="1" allowOverlap="1" wp14:anchorId="2D2A0702" wp14:editId="24006125">
                <wp:simplePos x="0" y="0"/>
                <wp:positionH relativeFrom="column">
                  <wp:posOffset>3171825</wp:posOffset>
                </wp:positionH>
                <wp:positionV relativeFrom="paragraph">
                  <wp:posOffset>2786380</wp:posOffset>
                </wp:positionV>
                <wp:extent cx="60372" cy="60314"/>
                <wp:effectExtent l="0" t="0" r="15875" b="16510"/>
                <wp:wrapNone/>
                <wp:docPr id="47"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C6D48" id="Oval 1" o:spid="_x0000_s1026" style="position:absolute;margin-left:249.75pt;margin-top:219.4pt;width:4.75pt;height:4.75pt;z-index:25203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" fillcolor="#f9cbf2" strokecolor="windowText" strokeweight="1pt">
                <v:stroke joinstyle="miter"/>
              </v:oval>
            </w:pict>
          </mc:Fallback>
        </mc:AlternateContent>
      </w:r>
      <w:r>
        <w:rPr>
          <w:noProof/>
        </w:rPr>
        <mc:AlternateContent>
          <mc:Choice Requires="wps">
            <w:drawing>
              <wp:anchor distT="0" distB="0" distL="114300" distR="114300" simplePos="0" relativeHeight="252034560" behindDoc="0" locked="0" layoutInCell="1" allowOverlap="1" wp14:anchorId="137D38C5" wp14:editId="4AA0CCC3">
                <wp:simplePos x="0" y="0"/>
                <wp:positionH relativeFrom="column">
                  <wp:posOffset>1438275</wp:posOffset>
                </wp:positionH>
                <wp:positionV relativeFrom="paragraph">
                  <wp:posOffset>2795905</wp:posOffset>
                </wp:positionV>
                <wp:extent cx="60372" cy="60314"/>
                <wp:effectExtent l="0" t="0" r="15875" b="16510"/>
                <wp:wrapNone/>
                <wp:docPr id="46"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ECE12D" id="Oval 1" o:spid="_x0000_s1026" style="position:absolute;margin-left:113.25pt;margin-top:220.15pt;width:4.75pt;height:4.75pt;z-index:25203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" fillcolor="#f9cbf2" strokecolor="windowText" strokeweight="1pt">
                <v:stroke joinstyle="miter"/>
              </v:oval>
            </w:pict>
          </mc:Fallback>
        </mc:AlternateContent>
      </w:r>
      <w:r>
        <w:rPr>
          <w:noProof/>
        </w:rPr>
        <mc:AlternateContent>
          <mc:Choice Requires="wps">
            <w:drawing>
              <wp:anchor distT="0" distB="0" distL="114300" distR="114300" simplePos="0" relativeHeight="252032512" behindDoc="0" locked="0" layoutInCell="1" allowOverlap="1" wp14:anchorId="39C5D1DB" wp14:editId="5F481782">
                <wp:simplePos x="0" y="0"/>
                <wp:positionH relativeFrom="column">
                  <wp:posOffset>1247775</wp:posOffset>
                </wp:positionH>
                <wp:positionV relativeFrom="paragraph">
                  <wp:posOffset>2790190</wp:posOffset>
                </wp:positionV>
                <wp:extent cx="60372" cy="60314"/>
                <wp:effectExtent l="0" t="0" r="15875" b="16510"/>
                <wp:wrapNone/>
                <wp:docPr id="45"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6CBDA" id="Oval 1" o:spid="_x0000_s1026" style="position:absolute;margin-left:98.25pt;margin-top:219.7pt;width:4.75pt;height:4.75pt;z-index:25203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" fillcolor="#f9cbf2" strokecolor="windowText" strokeweight="1pt">
                <v:stroke joinstyle="miter"/>
              </v:oval>
            </w:pict>
          </mc:Fallback>
        </mc:AlternateContent>
      </w:r>
      <w:r>
        <w:rPr>
          <w:noProof/>
        </w:rPr>
        <mc:AlternateContent>
          <mc:Choice Requires="wps">
            <w:drawing>
              <wp:anchor distT="0" distB="0" distL="114300" distR="114300" simplePos="0" relativeHeight="252028416" behindDoc="0" locked="0" layoutInCell="1" allowOverlap="1" wp14:anchorId="46853672" wp14:editId="7FC02298">
                <wp:simplePos x="0" y="0"/>
                <wp:positionH relativeFrom="column">
                  <wp:posOffset>1057275</wp:posOffset>
                </wp:positionH>
                <wp:positionV relativeFrom="paragraph">
                  <wp:posOffset>2795905</wp:posOffset>
                </wp:positionV>
                <wp:extent cx="60308" cy="60314"/>
                <wp:effectExtent l="0" t="0" r="16510" b="16510"/>
                <wp:wrapNone/>
                <wp:docPr id="43" name="Oval 1"/>
                <wp:cNvGraphicFramePr/>
                <a:graphic xmlns:a="http://schemas.openxmlformats.org/drawingml/2006/main">
                  <a:graphicData uri="http://schemas.microsoft.com/office/word/2010/wordprocessingShape">
                    <wps:wsp>
                      <wps:cNvSpPr/>
                      <wps:spPr>
                        <a:xfrm>
                          <a:off x="0" y="0"/>
                          <a:ext cx="60308" cy="60314"/>
                        </a:xfrm>
                        <a:prstGeom prst="ellipse">
                          <a:avLst/>
                        </a:prstGeom>
                        <a:solidFill>
                          <a:srgbClr val="6AE0F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7B3837" id="Oval 1" o:spid="_x0000_s1026" style="position:absolute;margin-left:83.25pt;margin-top:220.15pt;width:4.75pt;height:4.75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" fillcolor="#6ae0f0" strokecolor="windowText" strokeweight="1pt">
                <v:stroke joinstyle="miter"/>
              </v:oval>
            </w:pict>
          </mc:Fallback>
        </mc:AlternateContent>
      </w:r>
      <w:r>
        <w:rPr>
          <w:noProof/>
        </w:rPr>
        <mc:AlternateContent>
          <mc:Choice Requires="wps">
            <w:drawing>
              <wp:anchor distT="0" distB="0" distL="114300" distR="114300" simplePos="0" relativeHeight="252026368" behindDoc="0" locked="0" layoutInCell="1" allowOverlap="1" wp14:anchorId="742B5C6E" wp14:editId="4C067FC5">
                <wp:simplePos x="0" y="0"/>
                <wp:positionH relativeFrom="column">
                  <wp:posOffset>5845810</wp:posOffset>
                </wp:positionH>
                <wp:positionV relativeFrom="paragraph">
                  <wp:posOffset>2805430</wp:posOffset>
                </wp:positionV>
                <wp:extent cx="60307" cy="60314"/>
                <wp:effectExtent l="0" t="0" r="16510" b="16510"/>
                <wp:wrapNone/>
                <wp:docPr id="42"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B8A12" id="Oval 1" o:spid="_x0000_s1026" style="position:absolute;margin-left:460.3pt;margin-top:220.9pt;width:4.75pt;height: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24320" behindDoc="0" locked="0" layoutInCell="1" allowOverlap="1" wp14:anchorId="6B46C380" wp14:editId="2E4C2420">
                <wp:simplePos x="0" y="0"/>
                <wp:positionH relativeFrom="column">
                  <wp:posOffset>5638800</wp:posOffset>
                </wp:positionH>
                <wp:positionV relativeFrom="paragraph">
                  <wp:posOffset>2811145</wp:posOffset>
                </wp:positionV>
                <wp:extent cx="60307" cy="60314"/>
                <wp:effectExtent l="0" t="0" r="16510" b="16510"/>
                <wp:wrapNone/>
                <wp:docPr id="41"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90467" id="Oval 1" o:spid="_x0000_s1026" style="position:absolute;margin-left:444pt;margin-top:221.35pt;width:4.75pt;height:4.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22272" behindDoc="0" locked="0" layoutInCell="1" allowOverlap="1" wp14:anchorId="01D461E9" wp14:editId="0ECE8BE8">
                <wp:simplePos x="0" y="0"/>
                <wp:positionH relativeFrom="column">
                  <wp:posOffset>4867275</wp:posOffset>
                </wp:positionH>
                <wp:positionV relativeFrom="paragraph">
                  <wp:posOffset>2795905</wp:posOffset>
                </wp:positionV>
                <wp:extent cx="60307" cy="60314"/>
                <wp:effectExtent l="0" t="0" r="16510" b="16510"/>
                <wp:wrapNone/>
                <wp:docPr id="40"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CA28A3" id="Oval 1" o:spid="_x0000_s1026" style="position:absolute;margin-left:383.25pt;margin-top:220.15pt;width:4.75pt;height:4.75pt;z-index:252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20224" behindDoc="0" locked="0" layoutInCell="1" allowOverlap="1" wp14:anchorId="66767BCC" wp14:editId="2709E54B">
                <wp:simplePos x="0" y="0"/>
                <wp:positionH relativeFrom="column">
                  <wp:posOffset>4305300</wp:posOffset>
                </wp:positionH>
                <wp:positionV relativeFrom="paragraph">
                  <wp:posOffset>2790190</wp:posOffset>
                </wp:positionV>
                <wp:extent cx="60307" cy="60314"/>
                <wp:effectExtent l="0" t="0" r="16510" b="16510"/>
                <wp:wrapNone/>
                <wp:docPr id="39"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98E2BA" id="Oval 1" o:spid="_x0000_s1026" style="position:absolute;margin-left:339pt;margin-top:219.7pt;width:4.75pt;height:4.75pt;z-index:25202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18176" behindDoc="0" locked="0" layoutInCell="1" allowOverlap="1" wp14:anchorId="29A89E29" wp14:editId="52ACB966">
                <wp:simplePos x="0" y="0"/>
                <wp:positionH relativeFrom="column">
                  <wp:posOffset>3733800</wp:posOffset>
                </wp:positionH>
                <wp:positionV relativeFrom="paragraph">
                  <wp:posOffset>2786380</wp:posOffset>
                </wp:positionV>
                <wp:extent cx="60307" cy="60314"/>
                <wp:effectExtent l="0" t="0" r="16510" b="16510"/>
                <wp:wrapNone/>
                <wp:docPr id="38"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EEF25" id="Oval 1" o:spid="_x0000_s1026" style="position:absolute;margin-left:294pt;margin-top:219.4pt;width:4.75pt;height:4.75pt;z-index:25201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16128" behindDoc="0" locked="0" layoutInCell="1" allowOverlap="1" wp14:anchorId="4A3175E8" wp14:editId="3DED05AC">
                <wp:simplePos x="0" y="0"/>
                <wp:positionH relativeFrom="column">
                  <wp:posOffset>3333750</wp:posOffset>
                </wp:positionH>
                <wp:positionV relativeFrom="paragraph">
                  <wp:posOffset>2790190</wp:posOffset>
                </wp:positionV>
                <wp:extent cx="60307" cy="60314"/>
                <wp:effectExtent l="0" t="0" r="16510" b="16510"/>
                <wp:wrapNone/>
                <wp:docPr id="37"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977C2" id="Oval 1" o:spid="_x0000_s1026" style="position:absolute;margin-left:262.5pt;margin-top:219.7pt;width:4.75pt;height:4.75pt;z-index:25201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14080" behindDoc="0" locked="0" layoutInCell="1" allowOverlap="1" wp14:anchorId="530604F8" wp14:editId="51C2C13B">
                <wp:simplePos x="0" y="0"/>
                <wp:positionH relativeFrom="column">
                  <wp:posOffset>2790825</wp:posOffset>
                </wp:positionH>
                <wp:positionV relativeFrom="paragraph">
                  <wp:posOffset>2800350</wp:posOffset>
                </wp:positionV>
                <wp:extent cx="60307" cy="60314"/>
                <wp:effectExtent l="0" t="0" r="16510" b="16510"/>
                <wp:wrapNone/>
                <wp:docPr id="36"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07B52" id="Oval 1" o:spid="_x0000_s1026" style="position:absolute;margin-left:219.75pt;margin-top:220.5pt;width:4.75pt;height:4.75pt;z-index:25201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" fillcolor="#ffc000" strokecolor="windowText" strokeweight="1pt">
                <v:stroke joinstyle="miter"/>
              </v:oval>
            </w:pict>
          </mc:Fallback>
        </mc:AlternateContent>
      </w:r>
      <w:r>
        <w:rPr>
          <w:noProof/>
        </w:rPr>
        <mc:AlternateContent>
          <mc:Choice Requires="wps">
            <w:drawing>
              <wp:anchor distT="0" distB="0" distL="114300" distR="114300" simplePos="0" relativeHeight="252012032" behindDoc="0" locked="0" layoutInCell="1" allowOverlap="1" wp14:anchorId="0FC8BDB1" wp14:editId="4357619C">
                <wp:simplePos x="0" y="0"/>
                <wp:positionH relativeFrom="column">
                  <wp:posOffset>2590800</wp:posOffset>
                </wp:positionH>
                <wp:positionV relativeFrom="paragraph">
                  <wp:posOffset>2792095</wp:posOffset>
                </wp:positionV>
                <wp:extent cx="60307" cy="60314"/>
                <wp:effectExtent l="0" t="0" r="16510" b="16510"/>
                <wp:wrapNone/>
                <wp:docPr id="35"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641AB" id="Oval 1" o:spid="_x0000_s1026" style="position:absolute;margin-left:204pt;margin-top:219.85pt;width:4.75pt;height:4.7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09984" behindDoc="0" locked="0" layoutInCell="1" allowOverlap="1" wp14:anchorId="22FD6DA6" wp14:editId="0983D111">
                <wp:simplePos x="0" y="0"/>
                <wp:positionH relativeFrom="column">
                  <wp:posOffset>2200275</wp:posOffset>
                </wp:positionH>
                <wp:positionV relativeFrom="paragraph">
                  <wp:posOffset>2808605</wp:posOffset>
                </wp:positionV>
                <wp:extent cx="60307" cy="60314"/>
                <wp:effectExtent l="0" t="0" r="16510" b="16510"/>
                <wp:wrapNone/>
                <wp:docPr id="34"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0C881" id="Oval 1" o:spid="_x0000_s1026" style="position:absolute;margin-left:173.25pt;margin-top:221.15pt;width:4.75pt;height:4.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07936" behindDoc="0" locked="0" layoutInCell="1" allowOverlap="1" wp14:anchorId="2C44279A" wp14:editId="0ABC3596">
                <wp:simplePos x="0" y="0"/>
                <wp:positionH relativeFrom="column">
                  <wp:posOffset>2009775</wp:posOffset>
                </wp:positionH>
                <wp:positionV relativeFrom="paragraph">
                  <wp:posOffset>2786380</wp:posOffset>
                </wp:positionV>
                <wp:extent cx="60307" cy="60314"/>
                <wp:effectExtent l="0" t="0" r="16510" b="16510"/>
                <wp:wrapNone/>
                <wp:docPr id="33"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E465B" id="Oval 1" o:spid="_x0000_s1026" style="position:absolute;margin-left:158.25pt;margin-top:219.4pt;width:4.75pt;height:4.75pt;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05888" behindDoc="0" locked="0" layoutInCell="1" allowOverlap="1" wp14:anchorId="64294161" wp14:editId="3A868AF9">
                <wp:simplePos x="0" y="0"/>
                <wp:positionH relativeFrom="column">
                  <wp:posOffset>866775</wp:posOffset>
                </wp:positionH>
                <wp:positionV relativeFrom="paragraph">
                  <wp:posOffset>2790190</wp:posOffset>
                </wp:positionV>
                <wp:extent cx="60307" cy="60314"/>
                <wp:effectExtent l="0" t="0" r="16510" b="16510"/>
                <wp:wrapNone/>
                <wp:docPr id="32"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D74672" id="Oval 1" o:spid="_x0000_s1026" style="position:absolute;margin-left:68.25pt;margin-top:219.7pt;width:4.75pt;height:4.75pt;z-index:25200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" fillcolor="#ffc000" strokecolor="windowText" strokeweight="1pt">
                <v:stroke joinstyle="miter"/>
              </v:oval>
            </w:pict>
          </mc:Fallback>
        </mc:AlternateContent>
      </w:r>
      <w:r>
        <w:rPr>
          <w:noProof/>
        </w:rPr>
        <mc:AlternateContent>
          <mc:Choice Requires="wps">
            <w:drawing>
              <wp:anchor distT="0" distB="0" distL="114300" distR="114300" simplePos="0" relativeHeight="252003840" behindDoc="0" locked="0" layoutInCell="1" allowOverlap="1" wp14:anchorId="3831DE92" wp14:editId="73D4948B">
                <wp:simplePos x="0" y="0"/>
                <wp:positionH relativeFrom="column">
                  <wp:posOffset>466725</wp:posOffset>
                </wp:positionH>
                <wp:positionV relativeFrom="paragraph">
                  <wp:posOffset>2799715</wp:posOffset>
                </wp:positionV>
                <wp:extent cx="60307" cy="60314"/>
                <wp:effectExtent l="0" t="0" r="16510" b="16510"/>
                <wp:wrapNone/>
                <wp:docPr id="31"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9C9AC" id="Oval 1" o:spid="_x0000_s1026" style="position:absolute;margin-left:36.75pt;margin-top:220.45pt;width:4.75pt;height:4.75pt;z-index:2520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" fillcolor="#ffc000" strokecolor="windowText" strokeweight="1pt">
                <v:stroke joinstyle="miter"/>
              </v:oval>
            </w:pict>
          </mc:Fallback>
        </mc:AlternateContent>
      </w:r>
      <w:r>
        <w:rPr>
          <w:noProof/>
        </w:rPr>
        <mc:AlternateContent>
          <mc:Choice Requires="wps">
            <w:drawing>
              <wp:anchor distT="0" distB="0" distL="114300" distR="114300" simplePos="0" relativeHeight="252001792" behindDoc="0" locked="0" layoutInCell="1" allowOverlap="1" wp14:anchorId="79223193" wp14:editId="11BEC0FC">
                <wp:simplePos x="0" y="0"/>
                <wp:positionH relativeFrom="column">
                  <wp:posOffset>4495800</wp:posOffset>
                </wp:positionH>
                <wp:positionV relativeFrom="paragraph">
                  <wp:posOffset>2800350</wp:posOffset>
                </wp:positionV>
                <wp:extent cx="60307" cy="60314"/>
                <wp:effectExtent l="0" t="0" r="16510" b="16510"/>
                <wp:wrapNone/>
                <wp:docPr id="30"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C4E0D9" id="Oval 1" o:spid="_x0000_s1026" style="position:absolute;margin-left:354pt;margin-top:220.5pt;width:4.75pt;height:4.75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" fillcolor="#ce18b4" strokecolor="windowText" strokeweight="1pt">
                <v:stroke joinstyle="miter"/>
              </v:oval>
            </w:pict>
          </mc:Fallback>
        </mc:AlternateContent>
      </w:r>
      <w:r>
        <w:rPr>
          <w:noProof/>
        </w:rPr>
        <mc:AlternateContent>
          <mc:Choice Requires="wps">
            <w:drawing>
              <wp:anchor distT="0" distB="0" distL="114300" distR="114300" simplePos="0" relativeHeight="251999744" behindDoc="0" locked="0" layoutInCell="1" allowOverlap="1" wp14:anchorId="5E0FBB51" wp14:editId="40C00901">
                <wp:simplePos x="0" y="0"/>
                <wp:positionH relativeFrom="column">
                  <wp:posOffset>4124325</wp:posOffset>
                </wp:positionH>
                <wp:positionV relativeFrom="paragraph">
                  <wp:posOffset>2802890</wp:posOffset>
                </wp:positionV>
                <wp:extent cx="60307" cy="60314"/>
                <wp:effectExtent l="0" t="0" r="16510" b="16510"/>
                <wp:wrapNone/>
                <wp:docPr id="29"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D0C7B" id="Oval 1" o:spid="_x0000_s1026" style="position:absolute;margin-left:324.75pt;margin-top:220.7pt;width:4.75pt;height:4.75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" fillcolor="#ce18b4" strokecolor="windowText" strokeweight="1pt">
                <v:stroke joinstyle="miter"/>
              </v:oval>
            </w:pict>
          </mc:Fallback>
        </mc:AlternateContent>
      </w:r>
      <w:r>
        <w:rPr>
          <w:noProof/>
        </w:rPr>
        <mc:AlternateContent>
          <mc:Choice Requires="wps">
            <w:drawing>
              <wp:anchor distT="0" distB="0" distL="114300" distR="114300" simplePos="0" relativeHeight="251991552" behindDoc="0" locked="0" layoutInCell="1" allowOverlap="1" wp14:anchorId="15D09813" wp14:editId="0350EB6C">
                <wp:simplePos x="0" y="0"/>
                <wp:positionH relativeFrom="column">
                  <wp:posOffset>276225</wp:posOffset>
                </wp:positionH>
                <wp:positionV relativeFrom="paragraph">
                  <wp:posOffset>2790825</wp:posOffset>
                </wp:positionV>
                <wp:extent cx="60307" cy="60314"/>
                <wp:effectExtent l="0" t="0" r="16510" b="16510"/>
                <wp:wrapNone/>
                <wp:docPr id="21"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766C4" id="Oval 1" o:spid="_x0000_s1026" style="position:absolute;margin-left:21.75pt;margin-top:219.75pt;width:4.75pt;height:4.75pt;z-index:2519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" fillcolor="#ce18b4" strokecolor="windowText" strokeweight="1pt">
                <v:stroke joinstyle="miter"/>
              </v:oval>
            </w:pict>
          </mc:Fallback>
        </mc:AlternateContent>
      </w:r>
      <w:r>
        <w:rPr>
          <w:noProof/>
        </w:rPr>
        <mc:AlternateContent>
          <mc:Choice Requires="wps">
            <w:drawing>
              <wp:anchor distT="0" distB="0" distL="114300" distR="114300" simplePos="0" relativeHeight="251993600" behindDoc="0" locked="0" layoutInCell="1" allowOverlap="1" wp14:anchorId="42FFB9DF" wp14:editId="70FD7A9A">
                <wp:simplePos x="0" y="0"/>
                <wp:positionH relativeFrom="column">
                  <wp:posOffset>666750</wp:posOffset>
                </wp:positionH>
                <wp:positionV relativeFrom="paragraph">
                  <wp:posOffset>2786380</wp:posOffset>
                </wp:positionV>
                <wp:extent cx="60307" cy="60314"/>
                <wp:effectExtent l="0" t="0" r="16510" b="16510"/>
                <wp:wrapNone/>
                <wp:docPr id="22"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7F621" id="Oval 1" o:spid="_x0000_s1026" style="position:absolute;margin-left:52.5pt;margin-top:219.4pt;width:4.75pt;height:4.75pt;z-index:25199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" fillcolor="#ce18b4" strokecolor="windowText" strokeweight="1pt">
                <v:stroke joinstyle="miter"/>
              </v:oval>
            </w:pict>
          </mc:Fallback>
        </mc:AlternateContent>
      </w:r>
      <w:r>
        <w:rPr>
          <w:noProof/>
        </w:rPr>
        <mc:AlternateContent>
          <mc:Choice Requires="wps">
            <w:drawing>
              <wp:anchor distT="0" distB="0" distL="114300" distR="114300" simplePos="0" relativeHeight="251995648" behindDoc="0" locked="0" layoutInCell="1" allowOverlap="1" wp14:anchorId="1BC59079" wp14:editId="18E643D5">
                <wp:simplePos x="0" y="0"/>
                <wp:positionH relativeFrom="column">
                  <wp:posOffset>1628775</wp:posOffset>
                </wp:positionH>
                <wp:positionV relativeFrom="paragraph">
                  <wp:posOffset>2786380</wp:posOffset>
                </wp:positionV>
                <wp:extent cx="60307" cy="60314"/>
                <wp:effectExtent l="0" t="0" r="16510" b="16510"/>
                <wp:wrapNone/>
                <wp:docPr id="24"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F00415" id="Oval 1" o:spid="_x0000_s1026" style="position:absolute;margin-left:128.25pt;margin-top:219.4pt;width:4.75pt;height:4.75pt;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" fillcolor="#ce18b4" strokecolor="windowText" strokeweight="1pt">
                <v:stroke joinstyle="miter"/>
              </v:oval>
            </w:pict>
          </mc:Fallback>
        </mc:AlternateContent>
      </w:r>
      <w:r>
        <w:rPr>
          <w:noProof/>
        </w:rPr>
        <mc:AlternateContent>
          <mc:Choice Requires="wps">
            <w:drawing>
              <wp:anchor distT="0" distB="0" distL="114300" distR="114300" simplePos="0" relativeHeight="251997696" behindDoc="0" locked="0" layoutInCell="1" allowOverlap="1" wp14:anchorId="1B57C956" wp14:editId="28441CD0">
                <wp:simplePos x="0" y="0"/>
                <wp:positionH relativeFrom="column">
                  <wp:posOffset>2371725</wp:posOffset>
                </wp:positionH>
                <wp:positionV relativeFrom="paragraph">
                  <wp:posOffset>2792730</wp:posOffset>
                </wp:positionV>
                <wp:extent cx="60307" cy="60314"/>
                <wp:effectExtent l="0" t="0" r="16510" b="16510"/>
                <wp:wrapNone/>
                <wp:docPr id="27"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8EA195" id="Oval 1" o:spid="_x0000_s1026" style="position:absolute;margin-left:186.75pt;margin-top:219.9pt;width:4.75pt;height:4.75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" fillcolor="#ce18b4" strokecolor="windowText" strokeweight="1pt">
                <v:stroke joinstyle="miter"/>
              </v:oval>
            </w:pict>
          </mc:Fallback>
        </mc:AlternateContent>
      </w:r>
      <w:r w:rsidR="008066E0">
        <w:rPr>
          <w:noProof/>
        </w:rPr>
        <w:drawing>
          <wp:inline distT="0" distB="0" distL="0" distR="0" wp14:anchorId="39EA222F" wp14:editId="5A7574DF">
            <wp:extent cx="5934075" cy="2867025"/>
            <wp:effectExtent l="0" t="0" r="9525" b="9525"/>
            <wp:docPr id="60" name="Chart 60">
              <a:extLst xmlns:a="http://schemas.openxmlformats.org/drawingml/2006/main">
                <a:ext uri="{FF2B5EF4-FFF2-40B4-BE49-F238E27FC236}">
                  <a16:creationId xmlns:a16="http://schemas.microsoft.com/office/drawing/2014/main" id="{AF29C7A4-8AD0-47AB-B679-F80D64279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45F32E" w14:textId="7BEE69C7" w:rsidR="00A5380C" w:rsidRPr="00E36FBB" w:rsidRDefault="00E36FBB" w:rsidP="00E36FBB">
      <w:pPr>
        <w:spacing w:line="360" w:lineRule="auto"/>
        <w:ind w:firstLine="720"/>
        <w:rPr>
          <w:bCs/>
        </w:rPr>
      </w:pPr>
      <w:r w:rsidRPr="00E36FBB">
        <w:rPr>
          <w:bCs/>
        </w:rPr>
        <w:t>Participant Number</w:t>
      </w:r>
      <w:r>
        <w:rPr>
          <w:bCs/>
        </w:rPr>
        <w:tab/>
        <w:t>C= Comparison group</w:t>
      </w:r>
      <w:r>
        <w:rPr>
          <w:bCs/>
        </w:rPr>
        <w:tab/>
      </w:r>
      <w:r>
        <w:rPr>
          <w:bCs/>
        </w:rPr>
        <w:tab/>
        <w:t>A= Azithromycin group</w:t>
      </w:r>
    </w:p>
    <w:p w14:paraId="41653A6E" w14:textId="1E21E769" w:rsidR="00A5380C" w:rsidRDefault="00A5380C" w:rsidP="00A5380C">
      <w:pPr>
        <w:spacing w:line="360" w:lineRule="auto"/>
        <w:rPr>
          <w:b/>
        </w:rPr>
      </w:pPr>
      <w:r w:rsidRPr="00241369">
        <w:rPr>
          <w:b/>
        </w:rPr>
        <w:t>Key:</w:t>
      </w:r>
      <w:r w:rsidR="00AF6304" w:rsidRPr="00AF6304">
        <w:rPr>
          <w:noProof/>
        </w:rPr>
        <w:t xml:space="preserve"> </w:t>
      </w:r>
    </w:p>
    <w:p w14:paraId="637F67A6" w14:textId="42D5E5A4" w:rsidR="00A5380C" w:rsidRDefault="00A5380C" w:rsidP="00A5380C">
      <w:pPr>
        <w:spacing w:line="360" w:lineRule="auto"/>
        <w:rPr>
          <w:b/>
        </w:rPr>
      </w:pPr>
      <w:r>
        <w:rPr>
          <w:b/>
        </w:rPr>
        <w:t>Azithromycin susceptibility</w:t>
      </w:r>
      <w:r>
        <w:rPr>
          <w:b/>
        </w:rPr>
        <w:tab/>
      </w:r>
      <w:r>
        <w:rPr>
          <w:b/>
        </w:rPr>
        <w:tab/>
        <w:t>Duration from last macrolide exposure to start of study</w:t>
      </w:r>
    </w:p>
    <w:tbl>
      <w:tblPr>
        <w:tblW w:w="1920" w:type="dxa"/>
        <w:tblLook w:val="04A0" w:firstRow="1" w:lastRow="0" w:firstColumn="1" w:lastColumn="0" w:noHBand="0" w:noVBand="1"/>
      </w:tblPr>
      <w:tblGrid>
        <w:gridCol w:w="960"/>
        <w:gridCol w:w="960"/>
      </w:tblGrid>
      <w:tr w:rsidR="00A5380C" w:rsidRPr="006E7093" w14:paraId="7420CA32"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83568" w14:textId="540962C8" w:rsidR="00A5380C" w:rsidRPr="00F964D4" w:rsidRDefault="00A5380C" w:rsidP="00647E5D">
            <w:pPr>
              <w:rPr>
                <w:rFonts w:ascii="Calibri" w:hAnsi="Calibri"/>
                <w:color w:val="000000"/>
                <w:sz w:val="20"/>
                <w:szCs w:val="20"/>
              </w:rPr>
            </w:pPr>
            <w:r w:rsidRPr="00F964D4">
              <w:rPr>
                <w:rFonts w:ascii="Calibri" w:hAnsi="Calibri"/>
                <w:color w:val="000000"/>
                <w:sz w:val="20"/>
                <w:szCs w:val="20"/>
              </w:rPr>
              <w:t>Colour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5920D" w14:textId="7D5B4DCA" w:rsidR="00A5380C" w:rsidRPr="00F964D4" w:rsidRDefault="00A5380C" w:rsidP="00647E5D">
            <w:pPr>
              <w:rPr>
                <w:rFonts w:ascii="Calibri" w:hAnsi="Calibri"/>
                <w:color w:val="000000"/>
                <w:sz w:val="20"/>
                <w:szCs w:val="20"/>
              </w:rPr>
            </w:pPr>
            <w:r w:rsidRPr="00F964D4">
              <w:rPr>
                <w:rFonts w:ascii="Calibri" w:hAnsi="Calibri"/>
                <w:color w:val="000000"/>
                <w:sz w:val="20"/>
                <w:szCs w:val="20"/>
              </w:rPr>
              <w:t>MIC</w:t>
            </w:r>
          </w:p>
        </w:tc>
      </w:tr>
      <w:tr w:rsidR="00A5380C" w:rsidRPr="00AF6304" w14:paraId="3AF51AD4"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28F9D953" w14:textId="27D5D955" w:rsidR="00A5380C" w:rsidRPr="00752DA8" w:rsidRDefault="00A5380C" w:rsidP="00647E5D">
            <w:pPr>
              <w:rPr>
                <w:rFonts w:ascii="Calibri" w:hAnsi="Calibri"/>
                <w:b/>
                <w:bCs/>
                <w:color w:val="00B0F0"/>
                <w:sz w:val="20"/>
                <w:szCs w:val="20"/>
              </w:rPr>
            </w:pPr>
            <w:r w:rsidRPr="00752DA8">
              <w:rPr>
                <w:rFonts w:ascii="Calibri" w:hAnsi="Calibri"/>
                <w:b/>
                <w:bCs/>
                <w:color w:val="00B0F0"/>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140E" w14:textId="693BD2E4" w:rsidR="00A5380C" w:rsidRPr="00752DA8" w:rsidRDefault="00CB6488" w:rsidP="00647E5D">
            <w:pPr>
              <w:rPr>
                <w:rFonts w:ascii="Calibri" w:hAnsi="Calibri"/>
                <w:b/>
                <w:bCs/>
                <w:color w:val="000000"/>
                <w:sz w:val="20"/>
                <w:szCs w:val="20"/>
              </w:rPr>
            </w:pPr>
            <w:r w:rsidRPr="00752DA8">
              <w:rPr>
                <w:rFonts w:ascii="Calibri" w:hAnsi="Calibri"/>
                <w:b/>
                <w:bCs/>
                <w:color w:val="000000"/>
                <w:sz w:val="20"/>
                <w:szCs w:val="20"/>
              </w:rPr>
              <w:t>≤</w:t>
            </w:r>
            <w:r w:rsidR="00A5380C" w:rsidRPr="00752DA8">
              <w:rPr>
                <w:rFonts w:ascii="Calibri" w:hAnsi="Calibri"/>
                <w:b/>
                <w:bCs/>
                <w:color w:val="000000"/>
                <w:sz w:val="20"/>
                <w:szCs w:val="20"/>
              </w:rPr>
              <w:t>0.5</w:t>
            </w:r>
          </w:p>
        </w:tc>
      </w:tr>
      <w:tr w:rsidR="00A5380C" w:rsidRPr="006E7093" w14:paraId="1C6DFA32"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FDDDD"/>
            <w:noWrap/>
            <w:vAlign w:val="bottom"/>
            <w:hideMark/>
          </w:tcPr>
          <w:p w14:paraId="68130444"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788F5"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0.6-1</w:t>
            </w:r>
          </w:p>
        </w:tc>
      </w:tr>
      <w:tr w:rsidR="00A5380C" w:rsidRPr="006E7093" w14:paraId="44217B78"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FA3A3"/>
            <w:noWrap/>
            <w:vAlign w:val="bottom"/>
            <w:hideMark/>
          </w:tcPr>
          <w:p w14:paraId="422405D0"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D87F"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1.1 to 2</w:t>
            </w:r>
          </w:p>
        </w:tc>
      </w:tr>
      <w:tr w:rsidR="00A5380C" w:rsidRPr="006E7093" w14:paraId="38FA2BE7"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38A83D5"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06909"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2.1 to 4</w:t>
            </w:r>
          </w:p>
        </w:tc>
      </w:tr>
      <w:tr w:rsidR="00A5380C" w:rsidRPr="006E7093" w14:paraId="5D19FC97" w14:textId="77777777" w:rsidTr="00647E5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40000"/>
            <w:noWrap/>
            <w:vAlign w:val="bottom"/>
            <w:hideMark/>
          </w:tcPr>
          <w:p w14:paraId="70730825"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C5B5F" w14:textId="77777777" w:rsidR="00A5380C" w:rsidRPr="00F964D4" w:rsidRDefault="00A5380C" w:rsidP="00647E5D">
            <w:pPr>
              <w:rPr>
                <w:rFonts w:ascii="Calibri" w:hAnsi="Calibri"/>
                <w:color w:val="000000"/>
                <w:sz w:val="20"/>
                <w:szCs w:val="20"/>
              </w:rPr>
            </w:pPr>
            <w:r w:rsidRPr="00F964D4">
              <w:rPr>
                <w:rFonts w:ascii="Calibri" w:hAnsi="Calibri"/>
                <w:color w:val="000000"/>
                <w:sz w:val="20"/>
                <w:szCs w:val="20"/>
              </w:rPr>
              <w:t>&gt;256</w:t>
            </w:r>
          </w:p>
        </w:tc>
      </w:tr>
      <w:tr w:rsidR="003C4D2B" w:rsidRPr="006E7093" w14:paraId="787A0967" w14:textId="77777777" w:rsidTr="00752DA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7030A0"/>
            <w:noWrap/>
            <w:vAlign w:val="bottom"/>
          </w:tcPr>
          <w:p w14:paraId="5E55878E" w14:textId="77777777" w:rsidR="003C4D2B" w:rsidRPr="00F964D4" w:rsidRDefault="003C4D2B" w:rsidP="00647E5D">
            <w:pPr>
              <w:rPr>
                <w:rFonts w:ascii="Calibri" w:hAnsi="Calibri"/>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E3B6A" w14:textId="57545032" w:rsidR="003C4D2B" w:rsidRPr="00F964D4" w:rsidRDefault="003C4D2B" w:rsidP="00647E5D">
            <w:pPr>
              <w:rPr>
                <w:rFonts w:ascii="Calibri" w:hAnsi="Calibri"/>
                <w:color w:val="000000"/>
                <w:sz w:val="20"/>
                <w:szCs w:val="20"/>
              </w:rPr>
            </w:pPr>
            <w:r>
              <w:rPr>
                <w:rFonts w:ascii="Calibri" w:hAnsi="Calibri"/>
                <w:color w:val="000000"/>
                <w:sz w:val="20"/>
                <w:szCs w:val="20"/>
              </w:rPr>
              <w:t>No MIC</w:t>
            </w:r>
          </w:p>
        </w:tc>
      </w:tr>
    </w:tbl>
    <w:tbl>
      <w:tblPr>
        <w:tblStyle w:val="TableGrid"/>
        <w:tblpPr w:leftFromText="180" w:rightFromText="180" w:vertAnchor="text" w:horzAnchor="margin" w:tblpXSpec="right" w:tblpY="-1896"/>
        <w:tblW w:w="0" w:type="auto"/>
        <w:tblLook w:val="04A0" w:firstRow="1" w:lastRow="0" w:firstColumn="1" w:lastColumn="0" w:noHBand="0" w:noVBand="1"/>
      </w:tblPr>
      <w:tblGrid>
        <w:gridCol w:w="846"/>
        <w:gridCol w:w="1984"/>
        <w:gridCol w:w="709"/>
        <w:gridCol w:w="2552"/>
      </w:tblGrid>
      <w:tr w:rsidR="00A5380C" w14:paraId="15637A03" w14:textId="77777777" w:rsidTr="00647E5D">
        <w:tc>
          <w:tcPr>
            <w:tcW w:w="846" w:type="dxa"/>
            <w:shd w:val="clear" w:color="auto" w:fill="auto"/>
          </w:tcPr>
          <w:p w14:paraId="48FC05B8" w14:textId="781F8C79" w:rsidR="00A5380C" w:rsidRPr="00B209F5" w:rsidRDefault="00EB0610" w:rsidP="00647E5D">
            <w:pPr>
              <w:rPr>
                <w:sz w:val="20"/>
                <w:szCs w:val="20"/>
              </w:rPr>
            </w:pPr>
            <w:r>
              <w:rPr>
                <w:noProof/>
              </w:rPr>
              <mc:AlternateContent>
                <mc:Choice Requires="wps">
                  <w:drawing>
                    <wp:anchor distT="0" distB="0" distL="114300" distR="114300" simplePos="0" relativeHeight="251784704" behindDoc="0" locked="0" layoutInCell="1" allowOverlap="1" wp14:anchorId="12026F0B" wp14:editId="1A0CCCF5">
                      <wp:simplePos x="0" y="0"/>
                      <wp:positionH relativeFrom="column">
                        <wp:posOffset>56515</wp:posOffset>
                      </wp:positionH>
                      <wp:positionV relativeFrom="paragraph">
                        <wp:posOffset>5080</wp:posOffset>
                      </wp:positionV>
                      <wp:extent cx="171450" cy="152400"/>
                      <wp:effectExtent l="0" t="0" r="0" b="0"/>
                      <wp:wrapNone/>
                      <wp:docPr id="445" name="Oval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AC856D" id="Oval 445" o:spid="_x0000_s1026" style="position:absolute;margin-left:4.45pt;margin-top:.4pt;width:13.5pt;height:1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" fillcolor="#ffc000" strokecolor="windowText" strokeweight="1pt">
                      <v:stroke joinstyle="miter"/>
                      <v:path arrowok="t"/>
                    </v:oval>
                  </w:pict>
                </mc:Fallback>
              </mc:AlternateContent>
            </w:r>
          </w:p>
        </w:tc>
        <w:tc>
          <w:tcPr>
            <w:tcW w:w="1984" w:type="dxa"/>
          </w:tcPr>
          <w:p w14:paraId="07744E05" w14:textId="77777777" w:rsidR="00A5380C" w:rsidRDefault="00A5380C" w:rsidP="00647E5D">
            <w:pPr>
              <w:rPr>
                <w:sz w:val="20"/>
                <w:szCs w:val="20"/>
              </w:rPr>
            </w:pPr>
            <w:r w:rsidRPr="00B209F5">
              <w:rPr>
                <w:sz w:val="20"/>
                <w:szCs w:val="20"/>
              </w:rPr>
              <w:t>Never had macrolide</w:t>
            </w:r>
          </w:p>
          <w:p w14:paraId="13E1D80E" w14:textId="77777777" w:rsidR="00A5380C" w:rsidRPr="00332E75" w:rsidRDefault="00A5380C" w:rsidP="00647E5D">
            <w:pPr>
              <w:rPr>
                <w:sz w:val="4"/>
                <w:szCs w:val="4"/>
              </w:rPr>
            </w:pPr>
          </w:p>
        </w:tc>
        <w:tc>
          <w:tcPr>
            <w:tcW w:w="709" w:type="dxa"/>
            <w:shd w:val="clear" w:color="auto" w:fill="auto"/>
          </w:tcPr>
          <w:p w14:paraId="5A2A5A71" w14:textId="2B8EA9DF" w:rsidR="00A5380C" w:rsidRPr="00B209F5" w:rsidRDefault="00EB0610" w:rsidP="00647E5D">
            <w:pPr>
              <w:rPr>
                <w:sz w:val="20"/>
                <w:szCs w:val="20"/>
              </w:rPr>
            </w:pPr>
            <w:r>
              <w:rPr>
                <w:noProof/>
              </w:rPr>
              <mc:AlternateContent>
                <mc:Choice Requires="wps">
                  <w:drawing>
                    <wp:anchor distT="0" distB="0" distL="114300" distR="114300" simplePos="0" relativeHeight="251788800" behindDoc="0" locked="0" layoutInCell="1" allowOverlap="1" wp14:anchorId="378E8C41" wp14:editId="0C002B01">
                      <wp:simplePos x="0" y="0"/>
                      <wp:positionH relativeFrom="column">
                        <wp:posOffset>54610</wp:posOffset>
                      </wp:positionH>
                      <wp:positionV relativeFrom="paragraph">
                        <wp:posOffset>4445</wp:posOffset>
                      </wp:positionV>
                      <wp:extent cx="171450" cy="152400"/>
                      <wp:effectExtent l="0" t="0" r="0" b="0"/>
                      <wp:wrapNone/>
                      <wp:docPr id="444" name="Oval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EF2DEC" id="Oval 444" o:spid="_x0000_s1026" style="position:absolute;margin-left:4.3pt;margin-top:.35pt;width:13.5pt;height:1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" fillcolor="#2e75b6" strokecolor="windowText" strokeweight="1pt">
                      <v:stroke joinstyle="miter"/>
                      <v:path arrowok="t"/>
                    </v:oval>
                  </w:pict>
                </mc:Fallback>
              </mc:AlternateContent>
            </w:r>
          </w:p>
        </w:tc>
        <w:tc>
          <w:tcPr>
            <w:tcW w:w="2552" w:type="dxa"/>
          </w:tcPr>
          <w:p w14:paraId="25DC7439" w14:textId="77777777" w:rsidR="00A5380C" w:rsidRPr="00B209F5" w:rsidRDefault="00A5380C" w:rsidP="00647E5D">
            <w:pPr>
              <w:rPr>
                <w:sz w:val="20"/>
                <w:szCs w:val="20"/>
              </w:rPr>
            </w:pPr>
            <w:r>
              <w:rPr>
                <w:sz w:val="20"/>
                <w:szCs w:val="20"/>
              </w:rPr>
              <w:t>&gt;24 months</w:t>
            </w:r>
          </w:p>
        </w:tc>
      </w:tr>
      <w:tr w:rsidR="00A5380C" w14:paraId="40717AC4" w14:textId="77777777" w:rsidTr="00647E5D">
        <w:tc>
          <w:tcPr>
            <w:tcW w:w="846" w:type="dxa"/>
            <w:shd w:val="clear" w:color="auto" w:fill="auto"/>
          </w:tcPr>
          <w:p w14:paraId="244C8D9F" w14:textId="20D33B27" w:rsidR="00A5380C" w:rsidRPr="00B209F5" w:rsidRDefault="00EB0610" w:rsidP="00647E5D">
            <w:pPr>
              <w:rPr>
                <w:sz w:val="20"/>
                <w:szCs w:val="20"/>
              </w:rPr>
            </w:pPr>
            <w:r>
              <w:rPr>
                <w:noProof/>
              </w:rPr>
              <mc:AlternateContent>
                <mc:Choice Requires="wps">
                  <w:drawing>
                    <wp:anchor distT="0" distB="0" distL="114300" distR="114300" simplePos="0" relativeHeight="251785728" behindDoc="0" locked="0" layoutInCell="1" allowOverlap="1" wp14:anchorId="1E4A4F39" wp14:editId="2C8FB9AF">
                      <wp:simplePos x="0" y="0"/>
                      <wp:positionH relativeFrom="column">
                        <wp:posOffset>50800</wp:posOffset>
                      </wp:positionH>
                      <wp:positionV relativeFrom="paragraph">
                        <wp:posOffset>65405</wp:posOffset>
                      </wp:positionV>
                      <wp:extent cx="171450" cy="152400"/>
                      <wp:effectExtent l="0" t="0" r="0" b="0"/>
                      <wp:wrapNone/>
                      <wp:docPr id="443" name="Oval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CE6E9B" id="Oval 443" o:spid="_x0000_s1026" style="position:absolute;margin-left:4pt;margin-top:5.15pt;width:13.5pt;height:1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" fillcolor="#f7c5f3" strokecolor="windowText" strokeweight="1pt">
                      <v:stroke joinstyle="miter"/>
                      <v:path arrowok="t"/>
                    </v:oval>
                  </w:pict>
                </mc:Fallback>
              </mc:AlternateContent>
            </w:r>
          </w:p>
        </w:tc>
        <w:tc>
          <w:tcPr>
            <w:tcW w:w="1984" w:type="dxa"/>
          </w:tcPr>
          <w:p w14:paraId="27E1E002" w14:textId="17F67681" w:rsidR="00A5380C" w:rsidRPr="00B209F5" w:rsidRDefault="00A5380C" w:rsidP="00647E5D">
            <w:pPr>
              <w:rPr>
                <w:sz w:val="20"/>
                <w:szCs w:val="20"/>
              </w:rPr>
            </w:pPr>
            <w:r w:rsidRPr="00B209F5">
              <w:rPr>
                <w:sz w:val="20"/>
                <w:szCs w:val="20"/>
              </w:rPr>
              <w:t>&lt;6 months</w:t>
            </w:r>
          </w:p>
        </w:tc>
        <w:tc>
          <w:tcPr>
            <w:tcW w:w="709" w:type="dxa"/>
            <w:shd w:val="clear" w:color="auto" w:fill="auto"/>
          </w:tcPr>
          <w:p w14:paraId="1F5B7F00" w14:textId="45314381" w:rsidR="00A5380C" w:rsidRPr="00B209F5" w:rsidRDefault="00EB0610" w:rsidP="00647E5D">
            <w:pPr>
              <w:rPr>
                <w:sz w:val="20"/>
                <w:szCs w:val="20"/>
              </w:rPr>
            </w:pPr>
            <w:r>
              <w:rPr>
                <w:noProof/>
              </w:rPr>
              <mc:AlternateContent>
                <mc:Choice Requires="wps">
                  <w:drawing>
                    <wp:anchor distT="0" distB="0" distL="114300" distR="114300" simplePos="0" relativeHeight="251789824" behindDoc="0" locked="0" layoutInCell="1" allowOverlap="1" wp14:anchorId="57557723" wp14:editId="19860317">
                      <wp:simplePos x="0" y="0"/>
                      <wp:positionH relativeFrom="column">
                        <wp:posOffset>54610</wp:posOffset>
                      </wp:positionH>
                      <wp:positionV relativeFrom="paragraph">
                        <wp:posOffset>68580</wp:posOffset>
                      </wp:positionV>
                      <wp:extent cx="171450" cy="152400"/>
                      <wp:effectExtent l="0" t="0" r="0" b="0"/>
                      <wp:wrapNone/>
                      <wp:docPr id="442"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99C666" id="Oval 442" o:spid="_x0000_s1026" style="position:absolute;margin-left:4.3pt;margin-top:5.4pt;width:13.5pt;height:1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" fillcolor="#843c0c" strokecolor="windowText" strokeweight="1pt">
                      <v:stroke joinstyle="miter"/>
                      <v:path arrowok="t"/>
                    </v:oval>
                  </w:pict>
                </mc:Fallback>
              </mc:AlternateContent>
            </w:r>
          </w:p>
        </w:tc>
        <w:tc>
          <w:tcPr>
            <w:tcW w:w="2552" w:type="dxa"/>
          </w:tcPr>
          <w:p w14:paraId="1423E76A" w14:textId="77777777" w:rsidR="00A5380C" w:rsidRPr="00B209F5" w:rsidRDefault="00A5380C" w:rsidP="00647E5D">
            <w:pPr>
              <w:rPr>
                <w:sz w:val="20"/>
                <w:szCs w:val="20"/>
              </w:rPr>
            </w:pPr>
            <w:r>
              <w:rPr>
                <w:sz w:val="20"/>
                <w:szCs w:val="20"/>
              </w:rPr>
              <w:t>Previous exposure. Uncertain duration</w:t>
            </w:r>
          </w:p>
        </w:tc>
      </w:tr>
      <w:tr w:rsidR="00A5380C" w14:paraId="1AE7141D" w14:textId="77777777" w:rsidTr="00647E5D">
        <w:tc>
          <w:tcPr>
            <w:tcW w:w="846" w:type="dxa"/>
            <w:shd w:val="clear" w:color="auto" w:fill="auto"/>
          </w:tcPr>
          <w:p w14:paraId="5C7F7FF4" w14:textId="6B20AF76" w:rsidR="00A5380C" w:rsidRPr="00B209F5" w:rsidRDefault="00EB0610" w:rsidP="00647E5D">
            <w:pPr>
              <w:rPr>
                <w:color w:val="FF00FF"/>
                <w:sz w:val="20"/>
                <w:szCs w:val="20"/>
              </w:rPr>
            </w:pPr>
            <w:r>
              <w:rPr>
                <w:noProof/>
              </w:rPr>
              <mc:AlternateContent>
                <mc:Choice Requires="wps">
                  <w:drawing>
                    <wp:anchor distT="0" distB="0" distL="114300" distR="114300" simplePos="0" relativeHeight="251786752" behindDoc="0" locked="0" layoutInCell="1" allowOverlap="1" wp14:anchorId="59AC48AB" wp14:editId="6C5745E1">
                      <wp:simplePos x="0" y="0"/>
                      <wp:positionH relativeFrom="column">
                        <wp:posOffset>50800</wp:posOffset>
                      </wp:positionH>
                      <wp:positionV relativeFrom="paragraph">
                        <wp:posOffset>5715</wp:posOffset>
                      </wp:positionV>
                      <wp:extent cx="171450" cy="152400"/>
                      <wp:effectExtent l="0" t="0" r="0" b="0"/>
                      <wp:wrapNone/>
                      <wp:docPr id="441"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0CF933" id="Oval 441" o:spid="_x0000_s1026" style="position:absolute;margin-left:4pt;margin-top:.45pt;width:13.5pt;height:1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225C89CF" w14:textId="77777777" w:rsidR="00A5380C" w:rsidRDefault="00A5380C" w:rsidP="00647E5D">
            <w:pPr>
              <w:rPr>
                <w:sz w:val="20"/>
                <w:szCs w:val="20"/>
              </w:rPr>
            </w:pPr>
            <w:r w:rsidRPr="00B209F5">
              <w:rPr>
                <w:sz w:val="20"/>
                <w:szCs w:val="20"/>
              </w:rPr>
              <w:t>6-12 months</w:t>
            </w:r>
          </w:p>
          <w:p w14:paraId="531F9FB1" w14:textId="77777777" w:rsidR="00A5380C" w:rsidRPr="00332E75" w:rsidRDefault="00A5380C" w:rsidP="00647E5D">
            <w:pPr>
              <w:rPr>
                <w:sz w:val="4"/>
                <w:szCs w:val="4"/>
              </w:rPr>
            </w:pPr>
          </w:p>
        </w:tc>
        <w:tc>
          <w:tcPr>
            <w:tcW w:w="709" w:type="dxa"/>
            <w:shd w:val="clear" w:color="auto" w:fill="auto"/>
          </w:tcPr>
          <w:p w14:paraId="7F3E2CCD" w14:textId="5F85ADEA" w:rsidR="00A5380C" w:rsidRPr="00B209F5" w:rsidRDefault="00EB0610" w:rsidP="00647E5D">
            <w:pPr>
              <w:rPr>
                <w:sz w:val="20"/>
                <w:szCs w:val="20"/>
              </w:rPr>
            </w:pPr>
            <w:r>
              <w:rPr>
                <w:noProof/>
              </w:rPr>
              <mc:AlternateContent>
                <mc:Choice Requires="wps">
                  <w:drawing>
                    <wp:anchor distT="0" distB="0" distL="114300" distR="114300" simplePos="0" relativeHeight="251790848" behindDoc="0" locked="0" layoutInCell="1" allowOverlap="1" wp14:anchorId="640FF8CE" wp14:editId="74F469A4">
                      <wp:simplePos x="0" y="0"/>
                      <wp:positionH relativeFrom="column">
                        <wp:posOffset>54610</wp:posOffset>
                      </wp:positionH>
                      <wp:positionV relativeFrom="paragraph">
                        <wp:posOffset>6985</wp:posOffset>
                      </wp:positionV>
                      <wp:extent cx="171450" cy="152400"/>
                      <wp:effectExtent l="0" t="0" r="0" b="0"/>
                      <wp:wrapNone/>
                      <wp:docPr id="440"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495FA2" id="Oval 440" o:spid="_x0000_s1026" style="position:absolute;margin-left:4.3pt;margin-top:.55pt;width:13.5pt;height:1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" fillcolor="windowText" strokecolor="windowText" strokeweight="1pt">
                      <v:stroke joinstyle="miter"/>
                      <v:path arrowok="t"/>
                    </v:oval>
                  </w:pict>
                </mc:Fallback>
              </mc:AlternateContent>
            </w:r>
          </w:p>
        </w:tc>
        <w:tc>
          <w:tcPr>
            <w:tcW w:w="2552" w:type="dxa"/>
          </w:tcPr>
          <w:p w14:paraId="0F49BD12" w14:textId="77777777" w:rsidR="00A5380C" w:rsidRPr="00B209F5" w:rsidRDefault="00A5380C" w:rsidP="00647E5D">
            <w:pPr>
              <w:rPr>
                <w:sz w:val="20"/>
                <w:szCs w:val="20"/>
              </w:rPr>
            </w:pPr>
            <w:r>
              <w:rPr>
                <w:sz w:val="20"/>
                <w:szCs w:val="20"/>
              </w:rPr>
              <w:t>Missing data</w:t>
            </w:r>
          </w:p>
        </w:tc>
      </w:tr>
      <w:tr w:rsidR="00A5380C" w14:paraId="682D9158" w14:textId="77777777" w:rsidTr="00647E5D">
        <w:tc>
          <w:tcPr>
            <w:tcW w:w="846" w:type="dxa"/>
            <w:shd w:val="clear" w:color="auto" w:fill="auto"/>
          </w:tcPr>
          <w:p w14:paraId="2DFB5555" w14:textId="1427DBC8" w:rsidR="00A5380C" w:rsidRPr="00B209F5" w:rsidRDefault="00EB0610" w:rsidP="00647E5D">
            <w:pPr>
              <w:rPr>
                <w:sz w:val="20"/>
                <w:szCs w:val="20"/>
              </w:rPr>
            </w:pPr>
            <w:r>
              <w:rPr>
                <w:noProof/>
              </w:rPr>
              <mc:AlternateContent>
                <mc:Choice Requires="wps">
                  <w:drawing>
                    <wp:anchor distT="0" distB="0" distL="114300" distR="114300" simplePos="0" relativeHeight="251787776" behindDoc="0" locked="0" layoutInCell="1" allowOverlap="1" wp14:anchorId="67F290C3" wp14:editId="50562720">
                      <wp:simplePos x="0" y="0"/>
                      <wp:positionH relativeFrom="column">
                        <wp:posOffset>52070</wp:posOffset>
                      </wp:positionH>
                      <wp:positionV relativeFrom="paragraph">
                        <wp:posOffset>1270</wp:posOffset>
                      </wp:positionV>
                      <wp:extent cx="171450" cy="152400"/>
                      <wp:effectExtent l="0" t="0" r="0" b="0"/>
                      <wp:wrapNone/>
                      <wp:docPr id="43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AD940" id="Oval 439" o:spid="_x0000_s1026" style="position:absolute;margin-left:4.1pt;margin-top:.1pt;width:13.5pt;height:1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1E056B95" w14:textId="77777777" w:rsidR="00A5380C" w:rsidRDefault="00A5380C" w:rsidP="00647E5D">
            <w:pPr>
              <w:rPr>
                <w:sz w:val="20"/>
                <w:szCs w:val="20"/>
              </w:rPr>
            </w:pPr>
            <w:r w:rsidRPr="00B209F5">
              <w:rPr>
                <w:sz w:val="20"/>
                <w:szCs w:val="20"/>
              </w:rPr>
              <w:t>12-24 months</w:t>
            </w:r>
          </w:p>
          <w:p w14:paraId="50FCF477" w14:textId="77777777" w:rsidR="00A5380C" w:rsidRPr="00332E75" w:rsidRDefault="00A5380C" w:rsidP="00647E5D">
            <w:pPr>
              <w:rPr>
                <w:sz w:val="4"/>
                <w:szCs w:val="4"/>
              </w:rPr>
            </w:pPr>
          </w:p>
        </w:tc>
        <w:tc>
          <w:tcPr>
            <w:tcW w:w="3261" w:type="dxa"/>
            <w:gridSpan w:val="2"/>
          </w:tcPr>
          <w:p w14:paraId="133B620F" w14:textId="77777777" w:rsidR="00A5380C" w:rsidRPr="00B209F5" w:rsidRDefault="00A5380C" w:rsidP="00647E5D">
            <w:pPr>
              <w:rPr>
                <w:sz w:val="20"/>
                <w:szCs w:val="20"/>
              </w:rPr>
            </w:pPr>
          </w:p>
        </w:tc>
      </w:tr>
      <w:tr w:rsidR="00A5380C" w14:paraId="54695A08" w14:textId="77777777" w:rsidTr="00647E5D">
        <w:tc>
          <w:tcPr>
            <w:tcW w:w="846" w:type="dxa"/>
            <w:shd w:val="clear" w:color="auto" w:fill="auto"/>
          </w:tcPr>
          <w:p w14:paraId="372DCA24" w14:textId="24C61725" w:rsidR="00A5380C" w:rsidRPr="002F6AC0" w:rsidRDefault="00EB0610" w:rsidP="00647E5D">
            <w:pPr>
              <w:rPr>
                <w:bCs/>
                <w:noProof/>
                <w:sz w:val="20"/>
                <w:szCs w:val="20"/>
              </w:rPr>
            </w:pPr>
            <w:r>
              <w:rPr>
                <w:noProof/>
              </w:rPr>
              <mc:AlternateContent>
                <mc:Choice Requires="wps">
                  <w:drawing>
                    <wp:anchor distT="0" distB="0" distL="114300" distR="114300" simplePos="0" relativeHeight="251791872" behindDoc="0" locked="0" layoutInCell="1" allowOverlap="1" wp14:anchorId="3511017D" wp14:editId="60DD4C54">
                      <wp:simplePos x="0" y="0"/>
                      <wp:positionH relativeFrom="column">
                        <wp:posOffset>81915</wp:posOffset>
                      </wp:positionH>
                      <wp:positionV relativeFrom="paragraph">
                        <wp:posOffset>5715</wp:posOffset>
                      </wp:positionV>
                      <wp:extent cx="150495" cy="148590"/>
                      <wp:effectExtent l="19050" t="19050" r="20955" b="3810"/>
                      <wp:wrapNone/>
                      <wp:docPr id="438" name="Isosceles Tri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8590"/>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8BA73E5" id="Isosceles Triangle 438" o:spid="_x0000_s1026" type="#_x0000_t5" style="position:absolute;margin-left:6.45pt;margin-top:.45pt;width:11.85pt;height:11.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" fillcolor="#203864" strokecolor="red" strokeweight="1pt">
                      <v:path arrowok="t"/>
                    </v:shape>
                  </w:pict>
                </mc:Fallback>
              </mc:AlternateContent>
            </w:r>
          </w:p>
        </w:tc>
        <w:tc>
          <w:tcPr>
            <w:tcW w:w="5245" w:type="dxa"/>
            <w:gridSpan w:val="3"/>
          </w:tcPr>
          <w:p w14:paraId="72B09381" w14:textId="77777777" w:rsidR="00A5380C" w:rsidRPr="002F6AC0" w:rsidRDefault="00A5380C" w:rsidP="00647E5D">
            <w:pPr>
              <w:rPr>
                <w:bCs/>
                <w:noProof/>
                <w:sz w:val="20"/>
                <w:szCs w:val="20"/>
              </w:rPr>
            </w:pPr>
            <w:r w:rsidRPr="002F6AC0">
              <w:rPr>
                <w:bCs/>
                <w:noProof/>
                <w:sz w:val="20"/>
                <w:szCs w:val="20"/>
              </w:rPr>
              <w:t>Macrolide courses prescribed during the study perio</w:t>
            </w:r>
            <w:r>
              <w:rPr>
                <w:bCs/>
                <w:noProof/>
                <w:sz w:val="20"/>
                <w:szCs w:val="20"/>
              </w:rPr>
              <w:t>d</w:t>
            </w:r>
          </w:p>
          <w:p w14:paraId="7B17A030" w14:textId="77777777" w:rsidR="00A5380C" w:rsidRPr="002F6AC0" w:rsidRDefault="00A5380C" w:rsidP="00647E5D">
            <w:pPr>
              <w:rPr>
                <w:bCs/>
                <w:sz w:val="4"/>
                <w:szCs w:val="4"/>
              </w:rPr>
            </w:pPr>
          </w:p>
        </w:tc>
      </w:tr>
    </w:tbl>
    <w:p w14:paraId="68AFC3D7" w14:textId="77777777" w:rsidR="00A5380C" w:rsidRPr="002F6AC0" w:rsidRDefault="00A5380C" w:rsidP="00A5380C">
      <w:pPr>
        <w:spacing w:line="360" w:lineRule="auto"/>
        <w:rPr>
          <w:b/>
          <w:noProof/>
          <w:sz w:val="16"/>
          <w:szCs w:val="16"/>
        </w:rPr>
      </w:pPr>
    </w:p>
    <w:p w14:paraId="7E177964" w14:textId="7E27C503" w:rsidR="00216903" w:rsidRPr="00216903" w:rsidRDefault="00216903" w:rsidP="00216903">
      <w:pPr>
        <w:pStyle w:val="Caption"/>
        <w:keepNext/>
        <w:rPr>
          <w:i w:val="0"/>
          <w:iCs w:val="0"/>
          <w:color w:val="000000" w:themeColor="text1"/>
          <w:sz w:val="24"/>
          <w:szCs w:val="24"/>
        </w:rPr>
      </w:pPr>
      <w:bookmarkStart w:id="214" w:name="_Ref105508543"/>
      <w:bookmarkStart w:id="215" w:name="_Toc117780226"/>
      <w:r w:rsidRPr="00C6260E">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9</w:t>
      </w:r>
      <w:r w:rsidR="00F42C6F">
        <w:rPr>
          <w:b/>
          <w:bCs/>
          <w:i w:val="0"/>
          <w:iCs w:val="0"/>
          <w:color w:val="000000" w:themeColor="text1"/>
          <w:sz w:val="24"/>
          <w:szCs w:val="24"/>
        </w:rPr>
        <w:fldChar w:fldCharType="end"/>
      </w:r>
      <w:bookmarkEnd w:id="214"/>
      <w:r w:rsidRPr="00C6260E">
        <w:rPr>
          <w:b/>
          <w:bCs/>
          <w:i w:val="0"/>
          <w:iCs w:val="0"/>
          <w:color w:val="000000" w:themeColor="text1"/>
          <w:sz w:val="24"/>
          <w:szCs w:val="24"/>
        </w:rPr>
        <w:t>:</w:t>
      </w:r>
      <w:r w:rsidRPr="00C6260E">
        <w:rPr>
          <w:i w:val="0"/>
          <w:iCs w:val="0"/>
          <w:color w:val="000000" w:themeColor="text1"/>
          <w:sz w:val="24"/>
          <w:szCs w:val="24"/>
        </w:rPr>
        <w:t xml:space="preserve"> Representation of azithromycin susceptibility of </w:t>
      </w:r>
      <w:r w:rsidRPr="00C6260E">
        <w:rPr>
          <w:color w:val="000000" w:themeColor="text1"/>
          <w:sz w:val="24"/>
          <w:szCs w:val="24"/>
        </w:rPr>
        <w:t>S</w:t>
      </w:r>
      <w:r w:rsidR="00CB6488">
        <w:rPr>
          <w:color w:val="000000" w:themeColor="text1"/>
          <w:sz w:val="24"/>
          <w:szCs w:val="24"/>
        </w:rPr>
        <w:t>treptococcus</w:t>
      </w:r>
      <w:r w:rsidRPr="00C6260E">
        <w:rPr>
          <w:color w:val="000000" w:themeColor="text1"/>
          <w:sz w:val="24"/>
          <w:szCs w:val="24"/>
        </w:rPr>
        <w:t xml:space="preserve"> pneumoniae</w:t>
      </w:r>
      <w:r w:rsidRPr="00C6260E">
        <w:rPr>
          <w:i w:val="0"/>
          <w:iCs w:val="0"/>
          <w:color w:val="000000" w:themeColor="text1"/>
          <w:sz w:val="24"/>
          <w:szCs w:val="24"/>
        </w:rPr>
        <w:t xml:space="preserve"> isolates</w:t>
      </w:r>
      <w:r w:rsidR="004B5464">
        <w:rPr>
          <w:i w:val="0"/>
          <w:iCs w:val="0"/>
          <w:color w:val="000000" w:themeColor="text1"/>
          <w:sz w:val="24"/>
          <w:szCs w:val="24"/>
        </w:rPr>
        <w:t xml:space="preserve">: </w:t>
      </w:r>
      <w:r w:rsidR="007176C0">
        <w:rPr>
          <w:i w:val="0"/>
          <w:iCs w:val="0"/>
          <w:color w:val="000000" w:themeColor="text1"/>
          <w:sz w:val="24"/>
          <w:szCs w:val="24"/>
        </w:rPr>
        <w:t>PBB study 2</w:t>
      </w:r>
      <w:bookmarkEnd w:id="215"/>
    </w:p>
    <w:p w14:paraId="39F8EE44" w14:textId="2ED45A09" w:rsidR="00A5380C" w:rsidRPr="007176C0" w:rsidRDefault="00A5380C" w:rsidP="0064056D">
      <w:pPr>
        <w:spacing w:line="276" w:lineRule="auto"/>
        <w:rPr>
          <w:i/>
          <w:iCs/>
        </w:rPr>
      </w:pPr>
      <w:r w:rsidRPr="007176C0">
        <w:rPr>
          <w:i/>
          <w:iCs/>
        </w:rPr>
        <w:t>Two observational cohorts</w:t>
      </w:r>
      <w:r w:rsidR="00B6125F">
        <w:rPr>
          <w:i/>
          <w:iCs/>
        </w:rPr>
        <w:t xml:space="preserve"> each</w:t>
      </w:r>
      <w:r w:rsidRPr="007176C0">
        <w:rPr>
          <w:i/>
          <w:iCs/>
        </w:rPr>
        <w:t xml:space="preserve"> of 15 children with a diagnosis of PBB had sequential DNPS taken every 4 months over </w:t>
      </w:r>
      <w:r w:rsidR="00EC0E00" w:rsidRPr="007176C0">
        <w:rPr>
          <w:i/>
          <w:iCs/>
        </w:rPr>
        <w:t>the</w:t>
      </w:r>
      <w:r w:rsidRPr="007176C0">
        <w:rPr>
          <w:i/>
          <w:iCs/>
        </w:rPr>
        <w:t xml:space="preserve"> study period. One group received prophylactic azithromycin (A) and the other did not (C). Each participant is represented by a single column on the X-axis and each of the swabs on the Y-Axis. The presented results show swabs with growth of S. pneumoniae and whether these were azithromycin susceptible or resistant. Azithromycin susceptibility is based on minimum inhibitory concentrations as per the standard EUCAST breakpoint tables: MIC &gt; 0.5mg/L</w:t>
      </w:r>
      <w:r w:rsidR="003C53CE">
        <w:rPr>
          <w:i/>
          <w:iCs/>
        </w:rPr>
        <w:t xml:space="preserve"> = resistant</w:t>
      </w:r>
      <w:r w:rsidRPr="007176C0">
        <w:rPr>
          <w:i/>
          <w:iCs/>
        </w:rPr>
        <w:t>. Coloured circles under participants represent the duration from the last course of macrolide antibiotics to the study start.</w:t>
      </w:r>
    </w:p>
    <w:p w14:paraId="26750D54" w14:textId="5D51479A" w:rsidR="00305A74" w:rsidRDefault="00305A74" w:rsidP="005779EE">
      <w:pPr>
        <w:rPr>
          <w:b/>
          <w:bCs/>
        </w:rPr>
      </w:pPr>
    </w:p>
    <w:p w14:paraId="4CE1AA68" w14:textId="238ED095" w:rsidR="0072075E" w:rsidRDefault="004B0489" w:rsidP="005779EE">
      <w:r>
        <w:rPr>
          <w:noProof/>
        </w:rPr>
        <w:lastRenderedPageBreak/>
        <mc:AlternateContent>
          <mc:Choice Requires="wps">
            <w:drawing>
              <wp:anchor distT="0" distB="0" distL="114300" distR="114300" simplePos="0" relativeHeight="252110336" behindDoc="0" locked="0" layoutInCell="1" allowOverlap="1" wp14:anchorId="1A1FD130" wp14:editId="139E4D4D">
                <wp:simplePos x="0" y="0"/>
                <wp:positionH relativeFrom="column">
                  <wp:posOffset>5705475</wp:posOffset>
                </wp:positionH>
                <wp:positionV relativeFrom="paragraph">
                  <wp:posOffset>2280285</wp:posOffset>
                </wp:positionV>
                <wp:extent cx="60307" cy="60314"/>
                <wp:effectExtent l="0" t="0" r="16510" b="16510"/>
                <wp:wrapNone/>
                <wp:docPr id="311"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E9889" id="Oval 1" o:spid="_x0000_s1026" style="position:absolute;margin-left:449.25pt;margin-top:179.55pt;width:4.75pt;height:4.75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108288" behindDoc="0" locked="0" layoutInCell="1" allowOverlap="1" wp14:anchorId="4807DC8B" wp14:editId="1E6AC90D">
                <wp:simplePos x="0" y="0"/>
                <wp:positionH relativeFrom="column">
                  <wp:posOffset>5524500</wp:posOffset>
                </wp:positionH>
                <wp:positionV relativeFrom="paragraph">
                  <wp:posOffset>2281555</wp:posOffset>
                </wp:positionV>
                <wp:extent cx="60307" cy="60314"/>
                <wp:effectExtent l="0" t="0" r="16510" b="16510"/>
                <wp:wrapNone/>
                <wp:docPr id="310"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CBB4AA" id="Oval 1" o:spid="_x0000_s1026" style="position:absolute;margin-left:435pt;margin-top:179.65pt;width:4.75pt;height:4.75pt;z-index:25210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106240" behindDoc="0" locked="0" layoutInCell="1" allowOverlap="1" wp14:anchorId="2354DFFF" wp14:editId="2FBC4186">
                <wp:simplePos x="0" y="0"/>
                <wp:positionH relativeFrom="column">
                  <wp:posOffset>4838700</wp:posOffset>
                </wp:positionH>
                <wp:positionV relativeFrom="paragraph">
                  <wp:posOffset>2280285</wp:posOffset>
                </wp:positionV>
                <wp:extent cx="60307" cy="60314"/>
                <wp:effectExtent l="0" t="0" r="16510" b="16510"/>
                <wp:wrapNone/>
                <wp:docPr id="309"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166C4" id="Oval 1" o:spid="_x0000_s1026" style="position:absolute;margin-left:381pt;margin-top:179.55pt;width:4.75pt;height:4.75pt;z-index:25210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104192" behindDoc="0" locked="0" layoutInCell="1" allowOverlap="1" wp14:anchorId="616C0E9C" wp14:editId="3E11F9DB">
                <wp:simplePos x="0" y="0"/>
                <wp:positionH relativeFrom="column">
                  <wp:posOffset>4314825</wp:posOffset>
                </wp:positionH>
                <wp:positionV relativeFrom="paragraph">
                  <wp:posOffset>2280285</wp:posOffset>
                </wp:positionV>
                <wp:extent cx="60307" cy="60314"/>
                <wp:effectExtent l="0" t="0" r="16510" b="16510"/>
                <wp:wrapNone/>
                <wp:docPr id="308"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23A109" id="Oval 1" o:spid="_x0000_s1026" style="position:absolute;margin-left:339.75pt;margin-top:179.55pt;width:4.75pt;height:4.75pt;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102144" behindDoc="0" locked="0" layoutInCell="1" allowOverlap="1" wp14:anchorId="054BE96D" wp14:editId="6F705301">
                <wp:simplePos x="0" y="0"/>
                <wp:positionH relativeFrom="column">
                  <wp:posOffset>3762375</wp:posOffset>
                </wp:positionH>
                <wp:positionV relativeFrom="paragraph">
                  <wp:posOffset>2280285</wp:posOffset>
                </wp:positionV>
                <wp:extent cx="60307" cy="60314"/>
                <wp:effectExtent l="0" t="0" r="16510" b="16510"/>
                <wp:wrapNone/>
                <wp:docPr id="307"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98FDC" id="Oval 1" o:spid="_x0000_s1026" style="position:absolute;margin-left:296.25pt;margin-top:179.55pt;width:4.75pt;height:4.75pt;z-index:25210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100096" behindDoc="0" locked="0" layoutInCell="1" allowOverlap="1" wp14:anchorId="745DDAA3" wp14:editId="5866438B">
                <wp:simplePos x="0" y="0"/>
                <wp:positionH relativeFrom="column">
                  <wp:posOffset>3400425</wp:posOffset>
                </wp:positionH>
                <wp:positionV relativeFrom="paragraph">
                  <wp:posOffset>2280285</wp:posOffset>
                </wp:positionV>
                <wp:extent cx="60307" cy="60314"/>
                <wp:effectExtent l="0" t="0" r="16510" b="16510"/>
                <wp:wrapNone/>
                <wp:docPr id="306"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2288F2" id="Oval 1" o:spid="_x0000_s1026" style="position:absolute;margin-left:267.75pt;margin-top:179.55pt;width:4.75pt;height:4.75pt;z-index:25210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98048" behindDoc="0" locked="0" layoutInCell="1" allowOverlap="1" wp14:anchorId="257CF3EA" wp14:editId="33FC7162">
                <wp:simplePos x="0" y="0"/>
                <wp:positionH relativeFrom="column">
                  <wp:posOffset>3095625</wp:posOffset>
                </wp:positionH>
                <wp:positionV relativeFrom="paragraph">
                  <wp:posOffset>2280285</wp:posOffset>
                </wp:positionV>
                <wp:extent cx="60307" cy="60314"/>
                <wp:effectExtent l="0" t="0" r="16510" b="16510"/>
                <wp:wrapNone/>
                <wp:docPr id="305"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23061" id="Oval 1" o:spid="_x0000_s1026" style="position:absolute;margin-left:243.75pt;margin-top:179.55pt;width:4.75pt;height:4.75pt;z-index:25209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96000" behindDoc="0" locked="0" layoutInCell="1" allowOverlap="1" wp14:anchorId="6BF8ABAC" wp14:editId="586045BE">
                <wp:simplePos x="0" y="0"/>
                <wp:positionH relativeFrom="column">
                  <wp:posOffset>2905125</wp:posOffset>
                </wp:positionH>
                <wp:positionV relativeFrom="paragraph">
                  <wp:posOffset>2281555</wp:posOffset>
                </wp:positionV>
                <wp:extent cx="60307" cy="60314"/>
                <wp:effectExtent l="0" t="0" r="16510" b="16510"/>
                <wp:wrapNone/>
                <wp:docPr id="304"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4EFF7" id="Oval 1" o:spid="_x0000_s1026" style="position:absolute;margin-left:228.75pt;margin-top:179.65pt;width:4.75pt;height:4.75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93952" behindDoc="0" locked="0" layoutInCell="1" allowOverlap="1" wp14:anchorId="684D7DE7" wp14:editId="44C07CC6">
                <wp:simplePos x="0" y="0"/>
                <wp:positionH relativeFrom="column">
                  <wp:posOffset>2724150</wp:posOffset>
                </wp:positionH>
                <wp:positionV relativeFrom="paragraph">
                  <wp:posOffset>2288540</wp:posOffset>
                </wp:positionV>
                <wp:extent cx="60307" cy="60314"/>
                <wp:effectExtent l="0" t="0" r="16510" b="16510"/>
                <wp:wrapNone/>
                <wp:docPr id="303"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083C2" id="Oval 1" o:spid="_x0000_s1026" style="position:absolute;margin-left:214.5pt;margin-top:180.2pt;width:4.75pt;height:4.7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91904" behindDoc="0" locked="0" layoutInCell="1" allowOverlap="1" wp14:anchorId="1C3287B1" wp14:editId="265B5942">
                <wp:simplePos x="0" y="0"/>
                <wp:positionH relativeFrom="column">
                  <wp:posOffset>2362200</wp:posOffset>
                </wp:positionH>
                <wp:positionV relativeFrom="paragraph">
                  <wp:posOffset>2280285</wp:posOffset>
                </wp:positionV>
                <wp:extent cx="60307" cy="60314"/>
                <wp:effectExtent l="0" t="0" r="16510" b="16510"/>
                <wp:wrapNone/>
                <wp:docPr id="302"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C5A45F" id="Oval 1" o:spid="_x0000_s1026" style="position:absolute;margin-left:186pt;margin-top:179.55pt;width:4.75pt;height:4.75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" fillcolor="#ffc000" strokecolor="windowText" strokeweight="1pt">
                <v:stroke joinstyle="miter"/>
              </v:oval>
            </w:pict>
          </mc:Fallback>
        </mc:AlternateContent>
      </w:r>
      <w:r>
        <w:rPr>
          <w:noProof/>
        </w:rPr>
        <mc:AlternateContent>
          <mc:Choice Requires="wps">
            <w:drawing>
              <wp:anchor distT="0" distB="0" distL="114300" distR="114300" simplePos="0" relativeHeight="252089856" behindDoc="0" locked="0" layoutInCell="1" allowOverlap="1" wp14:anchorId="6C743F11" wp14:editId="62EA1DAB">
                <wp:simplePos x="0" y="0"/>
                <wp:positionH relativeFrom="column">
                  <wp:posOffset>2190750</wp:posOffset>
                </wp:positionH>
                <wp:positionV relativeFrom="paragraph">
                  <wp:posOffset>2288540</wp:posOffset>
                </wp:positionV>
                <wp:extent cx="60307" cy="60314"/>
                <wp:effectExtent l="0" t="0" r="16510" b="16510"/>
                <wp:wrapNone/>
                <wp:docPr id="301"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4E15C" id="Oval 1" o:spid="_x0000_s1026" style="position:absolute;margin-left:172.5pt;margin-top:180.2pt;width:4.75pt;height:4.75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87808" behindDoc="0" locked="0" layoutInCell="1" allowOverlap="1" wp14:anchorId="40C2124F" wp14:editId="1E6B63E6">
                <wp:simplePos x="0" y="0"/>
                <wp:positionH relativeFrom="column">
                  <wp:posOffset>1152525</wp:posOffset>
                </wp:positionH>
                <wp:positionV relativeFrom="paragraph">
                  <wp:posOffset>2280285</wp:posOffset>
                </wp:positionV>
                <wp:extent cx="60307" cy="60314"/>
                <wp:effectExtent l="0" t="0" r="16510" b="16510"/>
                <wp:wrapNone/>
                <wp:docPr id="300"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0B372E" id="Oval 1" o:spid="_x0000_s1026" style="position:absolute;margin-left:90.75pt;margin-top:179.55pt;width:4.75pt;height:4.7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" fillcolor="#ffc000" strokecolor="windowText" strokeweight="1pt">
                <v:stroke joinstyle="miter"/>
              </v:oval>
            </w:pict>
          </mc:Fallback>
        </mc:AlternateContent>
      </w:r>
      <w:r>
        <w:rPr>
          <w:noProof/>
        </w:rPr>
        <mc:AlternateContent>
          <mc:Choice Requires="wps">
            <w:drawing>
              <wp:anchor distT="0" distB="0" distL="114300" distR="114300" simplePos="0" relativeHeight="252085760" behindDoc="0" locked="0" layoutInCell="1" allowOverlap="1" wp14:anchorId="332814EB" wp14:editId="57D92EE1">
                <wp:simplePos x="0" y="0"/>
                <wp:positionH relativeFrom="column">
                  <wp:posOffset>800100</wp:posOffset>
                </wp:positionH>
                <wp:positionV relativeFrom="paragraph">
                  <wp:posOffset>2280285</wp:posOffset>
                </wp:positionV>
                <wp:extent cx="60307" cy="60314"/>
                <wp:effectExtent l="0" t="0" r="16510" b="16510"/>
                <wp:wrapNone/>
                <wp:docPr id="299"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FFC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4939E7" id="Oval 1" o:spid="_x0000_s1026" style="position:absolute;margin-left:63pt;margin-top:179.55pt;width:4.75pt;height:4.75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" fillcolor="#ffc000" strokecolor="windowText" strokeweight="1pt">
                <v:stroke joinstyle="miter"/>
              </v:oval>
            </w:pict>
          </mc:Fallback>
        </mc:AlternateContent>
      </w:r>
      <w:r>
        <w:rPr>
          <w:noProof/>
        </w:rPr>
        <mc:AlternateContent>
          <mc:Choice Requires="wps">
            <w:drawing>
              <wp:anchor distT="0" distB="0" distL="114300" distR="114300" simplePos="0" relativeHeight="252083712" behindDoc="0" locked="0" layoutInCell="1" allowOverlap="1" wp14:anchorId="65D8FC44" wp14:editId="6962C186">
                <wp:simplePos x="0" y="0"/>
                <wp:positionH relativeFrom="column">
                  <wp:posOffset>4476750</wp:posOffset>
                </wp:positionH>
                <wp:positionV relativeFrom="paragraph">
                  <wp:posOffset>2280285</wp:posOffset>
                </wp:positionV>
                <wp:extent cx="60307" cy="60314"/>
                <wp:effectExtent l="0" t="0" r="16510" b="16510"/>
                <wp:wrapNone/>
                <wp:docPr id="297"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71E9E" id="Oval 1" o:spid="_x0000_s1026" style="position:absolute;margin-left:352.5pt;margin-top:179.55pt;width:4.75pt;height:4.75pt;z-index:25208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" fillcolor="#ce18b4" strokecolor="windowText" strokeweight="1pt">
                <v:stroke joinstyle="miter"/>
              </v:oval>
            </w:pict>
          </mc:Fallback>
        </mc:AlternateContent>
      </w:r>
      <w:r>
        <w:rPr>
          <w:noProof/>
        </w:rPr>
        <mc:AlternateContent>
          <mc:Choice Requires="wps">
            <w:drawing>
              <wp:anchor distT="0" distB="0" distL="114300" distR="114300" simplePos="0" relativeHeight="252081664" behindDoc="0" locked="0" layoutInCell="1" allowOverlap="1" wp14:anchorId="09FF2DAC" wp14:editId="538F85A7">
                <wp:simplePos x="0" y="0"/>
                <wp:positionH relativeFrom="column">
                  <wp:posOffset>4162425</wp:posOffset>
                </wp:positionH>
                <wp:positionV relativeFrom="paragraph">
                  <wp:posOffset>2288540</wp:posOffset>
                </wp:positionV>
                <wp:extent cx="60307" cy="60314"/>
                <wp:effectExtent l="0" t="0" r="16510" b="16510"/>
                <wp:wrapNone/>
                <wp:docPr id="296"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416252" id="Oval 1" o:spid="_x0000_s1026" style="position:absolute;margin-left:327.75pt;margin-top:180.2pt;width:4.75pt;height:4.75pt;z-index:2520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" fillcolor="#ce18b4" strokecolor="windowText" strokeweight="1pt">
                <v:stroke joinstyle="miter"/>
              </v:oval>
            </w:pict>
          </mc:Fallback>
        </mc:AlternateContent>
      </w:r>
      <w:r>
        <w:rPr>
          <w:noProof/>
        </w:rPr>
        <mc:AlternateContent>
          <mc:Choice Requires="wps">
            <w:drawing>
              <wp:anchor distT="0" distB="0" distL="114300" distR="114300" simplePos="0" relativeHeight="252079616" behindDoc="0" locked="0" layoutInCell="1" allowOverlap="1" wp14:anchorId="65734EC0" wp14:editId="7AE3F069">
                <wp:simplePos x="0" y="0"/>
                <wp:positionH relativeFrom="column">
                  <wp:posOffset>2543175</wp:posOffset>
                </wp:positionH>
                <wp:positionV relativeFrom="paragraph">
                  <wp:posOffset>2280285</wp:posOffset>
                </wp:positionV>
                <wp:extent cx="60307" cy="60314"/>
                <wp:effectExtent l="0" t="0" r="16510" b="16510"/>
                <wp:wrapNone/>
                <wp:docPr id="295"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DC67B1" id="Oval 1" o:spid="_x0000_s1026" style="position:absolute;margin-left:200.25pt;margin-top:179.55pt;width:4.75pt;height:4.75pt;z-index:252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" fillcolor="#ce18b4" strokecolor="windowText" strokeweight="1pt">
                <v:stroke joinstyle="miter"/>
              </v:oval>
            </w:pict>
          </mc:Fallback>
        </mc:AlternateContent>
      </w:r>
      <w:r>
        <w:rPr>
          <w:noProof/>
        </w:rPr>
        <mc:AlternateContent>
          <mc:Choice Requires="wps">
            <w:drawing>
              <wp:anchor distT="0" distB="0" distL="114300" distR="114300" simplePos="0" relativeHeight="252077568" behindDoc="0" locked="0" layoutInCell="1" allowOverlap="1" wp14:anchorId="1EEC36CF" wp14:editId="64E75635">
                <wp:simplePos x="0" y="0"/>
                <wp:positionH relativeFrom="column">
                  <wp:posOffset>1866900</wp:posOffset>
                </wp:positionH>
                <wp:positionV relativeFrom="paragraph">
                  <wp:posOffset>2280285</wp:posOffset>
                </wp:positionV>
                <wp:extent cx="60307" cy="60314"/>
                <wp:effectExtent l="0" t="0" r="16510" b="16510"/>
                <wp:wrapNone/>
                <wp:docPr id="294"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152FF" id="Oval 1" o:spid="_x0000_s1026" style="position:absolute;margin-left:147pt;margin-top:179.55pt;width:4.75pt;height:4.75pt;z-index:2520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" fillcolor="#ce18b4" strokecolor="windowText" strokeweight="1pt">
                <v:stroke joinstyle="miter"/>
              </v:oval>
            </w:pict>
          </mc:Fallback>
        </mc:AlternateContent>
      </w:r>
      <w:r>
        <w:rPr>
          <w:noProof/>
        </w:rPr>
        <mc:AlternateContent>
          <mc:Choice Requires="wps">
            <w:drawing>
              <wp:anchor distT="0" distB="0" distL="114300" distR="114300" simplePos="0" relativeHeight="252075520" behindDoc="0" locked="0" layoutInCell="1" allowOverlap="1" wp14:anchorId="685F0AFF" wp14:editId="6894B808">
                <wp:simplePos x="0" y="0"/>
                <wp:positionH relativeFrom="column">
                  <wp:posOffset>971550</wp:posOffset>
                </wp:positionH>
                <wp:positionV relativeFrom="paragraph">
                  <wp:posOffset>2280285</wp:posOffset>
                </wp:positionV>
                <wp:extent cx="60307" cy="60314"/>
                <wp:effectExtent l="0" t="0" r="16510" b="16510"/>
                <wp:wrapNone/>
                <wp:docPr id="293"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08A3F" id="Oval 1" o:spid="_x0000_s1026" style="position:absolute;margin-left:76.5pt;margin-top:179.55pt;width:4.75pt;height:4.75pt;z-index:2520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" fillcolor="#ce18b4" strokecolor="windowText" strokeweight="1pt">
                <v:stroke joinstyle="miter"/>
              </v:oval>
            </w:pict>
          </mc:Fallback>
        </mc:AlternateContent>
      </w:r>
      <w:r>
        <w:rPr>
          <w:noProof/>
        </w:rPr>
        <mc:AlternateContent>
          <mc:Choice Requires="wps">
            <w:drawing>
              <wp:anchor distT="0" distB="0" distL="114300" distR="114300" simplePos="0" relativeHeight="252073472" behindDoc="0" locked="0" layoutInCell="1" allowOverlap="1" wp14:anchorId="05FDFA05" wp14:editId="548AD587">
                <wp:simplePos x="0" y="0"/>
                <wp:positionH relativeFrom="column">
                  <wp:posOffset>619125</wp:posOffset>
                </wp:positionH>
                <wp:positionV relativeFrom="paragraph">
                  <wp:posOffset>2280285</wp:posOffset>
                </wp:positionV>
                <wp:extent cx="60307" cy="60314"/>
                <wp:effectExtent l="0" t="0" r="16510" b="16510"/>
                <wp:wrapNone/>
                <wp:docPr id="292" name="Oval 1"/>
                <wp:cNvGraphicFramePr/>
                <a:graphic xmlns:a="http://schemas.openxmlformats.org/drawingml/2006/main">
                  <a:graphicData uri="http://schemas.microsoft.com/office/word/2010/wordprocessingShape">
                    <wps:wsp>
                      <wps:cNvSpPr/>
                      <wps:spPr>
                        <a:xfrm>
                          <a:off x="0" y="0"/>
                          <a:ext cx="60307" cy="60314"/>
                        </a:xfrm>
                        <a:prstGeom prst="ellipse">
                          <a:avLst/>
                        </a:prstGeom>
                        <a:solidFill>
                          <a:srgbClr val="CE18B4"/>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92F33D" id="Oval 1" o:spid="_x0000_s1026" style="position:absolute;margin-left:48.75pt;margin-top:179.55pt;width:4.75pt;height:4.75pt;z-index:25207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" fillcolor="#ce18b4" strokecolor="windowText" strokeweight="1pt">
                <v:stroke joinstyle="miter"/>
              </v:oval>
            </w:pict>
          </mc:Fallback>
        </mc:AlternateContent>
      </w:r>
      <w:r>
        <w:rPr>
          <w:noProof/>
        </w:rPr>
        <mc:AlternateContent>
          <mc:Choice Requires="wps">
            <w:drawing>
              <wp:anchor distT="0" distB="0" distL="114300" distR="114300" simplePos="0" relativeHeight="252071424" behindDoc="0" locked="0" layoutInCell="1" allowOverlap="1" wp14:anchorId="3AE2E7A5" wp14:editId="54DAFD97">
                <wp:simplePos x="0" y="0"/>
                <wp:positionH relativeFrom="column">
                  <wp:posOffset>5172075</wp:posOffset>
                </wp:positionH>
                <wp:positionV relativeFrom="paragraph">
                  <wp:posOffset>2285365</wp:posOffset>
                </wp:positionV>
                <wp:extent cx="60308" cy="60313"/>
                <wp:effectExtent l="0" t="0" r="16510" b="16510"/>
                <wp:wrapNone/>
                <wp:docPr id="291"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B2AD55" id="Oval 1" o:spid="_x0000_s1026" style="position:absolute;margin-left:407.25pt;margin-top:179.95pt;width:4.75pt;height:4.75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" fillcolor="windowText" strokecolor="windowText" strokeweight="1pt">
                <v:stroke joinstyle="miter"/>
              </v:oval>
            </w:pict>
          </mc:Fallback>
        </mc:AlternateContent>
      </w:r>
      <w:r>
        <w:rPr>
          <w:noProof/>
        </w:rPr>
        <mc:AlternateContent>
          <mc:Choice Requires="wps">
            <w:drawing>
              <wp:anchor distT="0" distB="0" distL="114300" distR="114300" simplePos="0" relativeHeight="252069376" behindDoc="0" locked="0" layoutInCell="1" allowOverlap="1" wp14:anchorId="68840902" wp14:editId="7A84A689">
                <wp:simplePos x="0" y="0"/>
                <wp:positionH relativeFrom="column">
                  <wp:posOffset>3600450</wp:posOffset>
                </wp:positionH>
                <wp:positionV relativeFrom="paragraph">
                  <wp:posOffset>2285365</wp:posOffset>
                </wp:positionV>
                <wp:extent cx="60308" cy="60313"/>
                <wp:effectExtent l="0" t="0" r="16510" b="16510"/>
                <wp:wrapNone/>
                <wp:docPr id="290"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165A2" id="Oval 1" o:spid="_x0000_s1026" style="position:absolute;margin-left:283.5pt;margin-top:179.95pt;width:4.75pt;height:4.75pt;z-index:25206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" fillcolor="windowText" strokecolor="windowText" strokeweight="1pt">
                <v:stroke joinstyle="miter"/>
              </v:oval>
            </w:pict>
          </mc:Fallback>
        </mc:AlternateContent>
      </w:r>
      <w:r>
        <w:rPr>
          <w:noProof/>
        </w:rPr>
        <mc:AlternateContent>
          <mc:Choice Requires="wps">
            <w:drawing>
              <wp:anchor distT="0" distB="0" distL="114300" distR="114300" simplePos="0" relativeHeight="252067328" behindDoc="0" locked="0" layoutInCell="1" allowOverlap="1" wp14:anchorId="4C47D63D" wp14:editId="7E3038B5">
                <wp:simplePos x="0" y="0"/>
                <wp:positionH relativeFrom="column">
                  <wp:posOffset>2009775</wp:posOffset>
                </wp:positionH>
                <wp:positionV relativeFrom="paragraph">
                  <wp:posOffset>2285365</wp:posOffset>
                </wp:positionV>
                <wp:extent cx="60308" cy="60313"/>
                <wp:effectExtent l="0" t="0" r="16510" b="16510"/>
                <wp:wrapNone/>
                <wp:docPr id="289" name="Oval 1"/>
                <wp:cNvGraphicFramePr/>
                <a:graphic xmlns:a="http://schemas.openxmlformats.org/drawingml/2006/main">
                  <a:graphicData uri="http://schemas.microsoft.com/office/word/2010/wordprocessingShape">
                    <wps:wsp>
                      <wps:cNvSpPr/>
                      <wps:spPr>
                        <a:xfrm>
                          <a:off x="0" y="0"/>
                          <a:ext cx="60308" cy="60313"/>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E33D18" id="Oval 1" o:spid="_x0000_s1026" style="position:absolute;margin-left:158.25pt;margin-top:179.95pt;width:4.75pt;height:4.75pt;z-index:25206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" fillcolor="windowText" strokecolor="windowText" strokeweight="1pt">
                <v:stroke joinstyle="miter"/>
              </v:oval>
            </w:pict>
          </mc:Fallback>
        </mc:AlternateContent>
      </w:r>
      <w:r w:rsidR="00AF6304">
        <w:rPr>
          <w:noProof/>
        </w:rPr>
        <mc:AlternateContent>
          <mc:Choice Requires="wps">
            <w:drawing>
              <wp:anchor distT="0" distB="0" distL="114300" distR="114300" simplePos="0" relativeHeight="252059136" behindDoc="0" locked="0" layoutInCell="1" allowOverlap="1" wp14:anchorId="7C1D59EA" wp14:editId="540AB48A">
                <wp:simplePos x="0" y="0"/>
                <wp:positionH relativeFrom="column">
                  <wp:posOffset>5343525</wp:posOffset>
                </wp:positionH>
                <wp:positionV relativeFrom="paragraph">
                  <wp:posOffset>2286635</wp:posOffset>
                </wp:positionV>
                <wp:extent cx="60372" cy="60314"/>
                <wp:effectExtent l="0" t="0" r="15875" b="16510"/>
                <wp:wrapNone/>
                <wp:docPr id="196"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3C213" id="Oval 1" o:spid="_x0000_s1026" style="position:absolute;margin-left:420.75pt;margin-top:180.05pt;width:4.75pt;height:4.75pt;z-index:25205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57088" behindDoc="0" locked="0" layoutInCell="1" allowOverlap="1" wp14:anchorId="2A6D4D62" wp14:editId="65677556">
                <wp:simplePos x="0" y="0"/>
                <wp:positionH relativeFrom="column">
                  <wp:posOffset>5000625</wp:posOffset>
                </wp:positionH>
                <wp:positionV relativeFrom="paragraph">
                  <wp:posOffset>2286635</wp:posOffset>
                </wp:positionV>
                <wp:extent cx="60372" cy="60314"/>
                <wp:effectExtent l="0" t="0" r="15875" b="16510"/>
                <wp:wrapNone/>
                <wp:docPr id="195"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F8498" id="Oval 1" o:spid="_x0000_s1026" style="position:absolute;margin-left:393.75pt;margin-top:180.05pt;width:4.75pt;height:4.75pt;z-index:2520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55040" behindDoc="0" locked="0" layoutInCell="1" allowOverlap="1" wp14:anchorId="2DFA243B" wp14:editId="4FE24CA9">
                <wp:simplePos x="0" y="0"/>
                <wp:positionH relativeFrom="column">
                  <wp:posOffset>4648200</wp:posOffset>
                </wp:positionH>
                <wp:positionV relativeFrom="paragraph">
                  <wp:posOffset>2288540</wp:posOffset>
                </wp:positionV>
                <wp:extent cx="60372" cy="60314"/>
                <wp:effectExtent l="0" t="0" r="15875" b="16510"/>
                <wp:wrapNone/>
                <wp:docPr id="194"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912C88" id="Oval 1" o:spid="_x0000_s1026" style="position:absolute;margin-left:366pt;margin-top:180.2pt;width:4.75pt;height:4.75pt;z-index:25205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52992" behindDoc="0" locked="0" layoutInCell="1" allowOverlap="1" wp14:anchorId="691BEDE3" wp14:editId="48340C32">
                <wp:simplePos x="0" y="0"/>
                <wp:positionH relativeFrom="column">
                  <wp:posOffset>3962400</wp:posOffset>
                </wp:positionH>
                <wp:positionV relativeFrom="paragraph">
                  <wp:posOffset>2288540</wp:posOffset>
                </wp:positionV>
                <wp:extent cx="60372" cy="60314"/>
                <wp:effectExtent l="0" t="0" r="15875" b="16510"/>
                <wp:wrapNone/>
                <wp:docPr id="192"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5531F" id="Oval 1" o:spid="_x0000_s1026" style="position:absolute;margin-left:312pt;margin-top:180.2pt;width:4.75pt;height:4.75pt;z-index:25205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50944" behindDoc="0" locked="0" layoutInCell="1" allowOverlap="1" wp14:anchorId="1CA5CB30" wp14:editId="3CE30C7E">
                <wp:simplePos x="0" y="0"/>
                <wp:positionH relativeFrom="column">
                  <wp:posOffset>3238500</wp:posOffset>
                </wp:positionH>
                <wp:positionV relativeFrom="paragraph">
                  <wp:posOffset>2285365</wp:posOffset>
                </wp:positionV>
                <wp:extent cx="60372" cy="60314"/>
                <wp:effectExtent l="0" t="0" r="15875" b="16510"/>
                <wp:wrapNone/>
                <wp:docPr id="63"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A22B5" id="Oval 1" o:spid="_x0000_s1026" style="position:absolute;margin-left:255pt;margin-top:179.95pt;width:4.75pt;height:4.75pt;z-index:25205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48896" behindDoc="0" locked="0" layoutInCell="1" allowOverlap="1" wp14:anchorId="342F260A" wp14:editId="6518BB07">
                <wp:simplePos x="0" y="0"/>
                <wp:positionH relativeFrom="column">
                  <wp:posOffset>1704975</wp:posOffset>
                </wp:positionH>
                <wp:positionV relativeFrom="paragraph">
                  <wp:posOffset>2286000</wp:posOffset>
                </wp:positionV>
                <wp:extent cx="60372" cy="60314"/>
                <wp:effectExtent l="0" t="0" r="15875" b="16510"/>
                <wp:wrapNone/>
                <wp:docPr id="59"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215DD" id="Oval 1" o:spid="_x0000_s1026" style="position:absolute;margin-left:134.25pt;margin-top:180pt;width:4.75pt;height:4.75pt;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46848" behindDoc="0" locked="0" layoutInCell="1" allowOverlap="1" wp14:anchorId="25E17021" wp14:editId="07A07D9F">
                <wp:simplePos x="0" y="0"/>
                <wp:positionH relativeFrom="column">
                  <wp:posOffset>1514475</wp:posOffset>
                </wp:positionH>
                <wp:positionV relativeFrom="paragraph">
                  <wp:posOffset>2286000</wp:posOffset>
                </wp:positionV>
                <wp:extent cx="60372" cy="60314"/>
                <wp:effectExtent l="0" t="0" r="15875" b="16510"/>
                <wp:wrapNone/>
                <wp:docPr id="58" name="Oval 1"/>
                <wp:cNvGraphicFramePr/>
                <a:graphic xmlns:a="http://schemas.openxmlformats.org/drawingml/2006/main">
                  <a:graphicData uri="http://schemas.microsoft.com/office/word/2010/wordprocessingShape">
                    <wps:wsp>
                      <wps:cNvSpPr/>
                      <wps:spPr>
                        <a:xfrm>
                          <a:off x="0" y="0"/>
                          <a:ext cx="60372" cy="60314"/>
                        </a:xfrm>
                        <a:prstGeom prst="ellipse">
                          <a:avLst/>
                        </a:prstGeom>
                        <a:solidFill>
                          <a:srgbClr val="F9CBF2"/>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10A47" id="Oval 1" o:spid="_x0000_s1026" style="position:absolute;margin-left:119.25pt;margin-top:180pt;width:4.75pt;height:4.75pt;z-index:25204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" fillcolor="#f9cbf2" strokecolor="windowText" strokeweight="1pt">
                <v:stroke joinstyle="miter"/>
              </v:oval>
            </w:pict>
          </mc:Fallback>
        </mc:AlternateContent>
      </w:r>
      <w:r w:rsidR="00AF6304">
        <w:rPr>
          <w:noProof/>
        </w:rPr>
        <mc:AlternateContent>
          <mc:Choice Requires="wps">
            <w:drawing>
              <wp:anchor distT="0" distB="0" distL="114300" distR="114300" simplePos="0" relativeHeight="252030464" behindDoc="0" locked="0" layoutInCell="1" allowOverlap="1" wp14:anchorId="29953234" wp14:editId="7759FDBC">
                <wp:simplePos x="0" y="0"/>
                <wp:positionH relativeFrom="column">
                  <wp:posOffset>1323975</wp:posOffset>
                </wp:positionH>
                <wp:positionV relativeFrom="paragraph">
                  <wp:posOffset>2286000</wp:posOffset>
                </wp:positionV>
                <wp:extent cx="60308" cy="60314"/>
                <wp:effectExtent l="0" t="0" r="16510" b="16510"/>
                <wp:wrapNone/>
                <wp:docPr id="44" name="Oval 1"/>
                <wp:cNvGraphicFramePr/>
                <a:graphic xmlns:a="http://schemas.openxmlformats.org/drawingml/2006/main">
                  <a:graphicData uri="http://schemas.microsoft.com/office/word/2010/wordprocessingShape">
                    <wps:wsp>
                      <wps:cNvSpPr/>
                      <wps:spPr>
                        <a:xfrm>
                          <a:off x="0" y="0"/>
                          <a:ext cx="60308" cy="60314"/>
                        </a:xfrm>
                        <a:prstGeom prst="ellipse">
                          <a:avLst/>
                        </a:prstGeom>
                        <a:solidFill>
                          <a:srgbClr val="6AE0F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83875" id="Oval 1" o:spid="_x0000_s1026" style="position:absolute;margin-left:104.25pt;margin-top:180pt;width:4.75pt;height:4.75pt;z-index:252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" fillcolor="#6ae0f0" strokecolor="windowText" strokeweight="1pt">
                <v:stroke joinstyle="miter"/>
              </v:oval>
            </w:pict>
          </mc:Fallback>
        </mc:AlternateContent>
      </w:r>
      <w:r w:rsidR="0072075E">
        <w:rPr>
          <w:noProof/>
        </w:rPr>
        <w:drawing>
          <wp:inline distT="0" distB="0" distL="0" distR="0" wp14:anchorId="2B27B758" wp14:editId="1F767D68">
            <wp:extent cx="5943600" cy="2600325"/>
            <wp:effectExtent l="0" t="0" r="0" b="9525"/>
            <wp:docPr id="342" name="Chart 342">
              <a:extLst xmlns:a="http://schemas.openxmlformats.org/drawingml/2006/main">
                <a:ext uri="{FF2B5EF4-FFF2-40B4-BE49-F238E27FC236}">
                  <a16:creationId xmlns:a16="http://schemas.microsoft.com/office/drawing/2014/main" id="{07A42D9B-1941-4BAE-9EC0-7585C0255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A208AB" w14:textId="66117A94" w:rsidR="004E39EF" w:rsidRDefault="004E39EF" w:rsidP="0072075E">
      <w:pPr>
        <w:spacing w:line="360" w:lineRule="auto"/>
        <w:rPr>
          <w:b/>
        </w:rPr>
      </w:pPr>
    </w:p>
    <w:p w14:paraId="464DC2A1" w14:textId="0CD98A79" w:rsidR="0072075E" w:rsidRPr="008F33C8" w:rsidRDefault="0072075E" w:rsidP="0072075E">
      <w:pPr>
        <w:spacing w:line="360" w:lineRule="auto"/>
        <w:rPr>
          <w:b/>
        </w:rPr>
      </w:pPr>
      <w:r w:rsidRPr="008F33C8">
        <w:rPr>
          <w:b/>
        </w:rPr>
        <w:t>Key:</w:t>
      </w:r>
      <w:r w:rsidRPr="00EB66C9">
        <w:rPr>
          <w:noProof/>
        </w:rPr>
        <w:t xml:space="preserve"> </w:t>
      </w:r>
    </w:p>
    <w:p w14:paraId="30307B12" w14:textId="77777777" w:rsidR="0072075E" w:rsidRPr="008F33C8" w:rsidRDefault="0072075E" w:rsidP="0072075E">
      <w:pPr>
        <w:spacing w:line="360" w:lineRule="auto"/>
      </w:pPr>
      <w:r>
        <w:rPr>
          <w:b/>
        </w:rPr>
        <w:t>Azithromycin susceptibility</w:t>
      </w:r>
      <w:r>
        <w:rPr>
          <w:b/>
        </w:rPr>
        <w:tab/>
      </w:r>
      <w:r>
        <w:rPr>
          <w:b/>
        </w:rPr>
        <w:tab/>
        <w:t>Duration from last macrolide exposure to start of study</w:t>
      </w:r>
    </w:p>
    <w:tbl>
      <w:tblPr>
        <w:tblW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62"/>
      </w:tblGrid>
      <w:tr w:rsidR="0072075E" w:rsidRPr="007B1099" w14:paraId="1C11537E" w14:textId="77777777" w:rsidTr="00647E5D">
        <w:trPr>
          <w:trHeight w:val="300"/>
        </w:trPr>
        <w:tc>
          <w:tcPr>
            <w:tcW w:w="960" w:type="dxa"/>
            <w:shd w:val="clear" w:color="auto" w:fill="auto"/>
            <w:noWrap/>
            <w:vAlign w:val="bottom"/>
            <w:hideMark/>
          </w:tcPr>
          <w:p w14:paraId="4EEE408C" w14:textId="77777777" w:rsidR="0072075E" w:rsidRPr="007B1099" w:rsidRDefault="0072075E" w:rsidP="00647E5D">
            <w:pPr>
              <w:rPr>
                <w:rFonts w:ascii="Calibri" w:hAnsi="Calibri"/>
                <w:color w:val="000000"/>
              </w:rPr>
            </w:pPr>
            <w:r w:rsidRPr="007B1099">
              <w:rPr>
                <w:rFonts w:ascii="Calibri" w:hAnsi="Calibri"/>
                <w:color w:val="000000"/>
              </w:rPr>
              <w:t>Colour</w:t>
            </w:r>
          </w:p>
        </w:tc>
        <w:tc>
          <w:tcPr>
            <w:tcW w:w="1162" w:type="dxa"/>
            <w:shd w:val="clear" w:color="auto" w:fill="auto"/>
            <w:noWrap/>
            <w:vAlign w:val="bottom"/>
            <w:hideMark/>
          </w:tcPr>
          <w:p w14:paraId="252F20FD" w14:textId="77777777" w:rsidR="0072075E" w:rsidRPr="007B1099" w:rsidRDefault="0072075E" w:rsidP="00647E5D">
            <w:pPr>
              <w:rPr>
                <w:rFonts w:ascii="Calibri" w:hAnsi="Calibri"/>
                <w:color w:val="000000"/>
              </w:rPr>
            </w:pPr>
            <w:r w:rsidRPr="007B1099">
              <w:rPr>
                <w:rFonts w:ascii="Calibri" w:hAnsi="Calibri"/>
                <w:color w:val="000000"/>
              </w:rPr>
              <w:t>MIC</w:t>
            </w:r>
          </w:p>
        </w:tc>
      </w:tr>
      <w:tr w:rsidR="0072075E" w:rsidRPr="007B1099" w14:paraId="64023259" w14:textId="77777777" w:rsidTr="00647E5D">
        <w:trPr>
          <w:trHeight w:val="300"/>
        </w:trPr>
        <w:tc>
          <w:tcPr>
            <w:tcW w:w="960" w:type="dxa"/>
            <w:shd w:val="clear" w:color="000000" w:fill="00B0F0"/>
            <w:noWrap/>
            <w:vAlign w:val="bottom"/>
            <w:hideMark/>
          </w:tcPr>
          <w:p w14:paraId="5FBCCA7C" w14:textId="77777777" w:rsidR="0072075E" w:rsidRPr="007B1099" w:rsidRDefault="0072075E" w:rsidP="00647E5D">
            <w:pPr>
              <w:rPr>
                <w:rFonts w:ascii="Calibri" w:hAnsi="Calibri"/>
                <w:color w:val="00B0F0"/>
              </w:rPr>
            </w:pPr>
            <w:r w:rsidRPr="007B1099">
              <w:rPr>
                <w:rFonts w:ascii="Calibri" w:hAnsi="Calibri"/>
                <w:color w:val="00B0F0"/>
              </w:rPr>
              <w:t> </w:t>
            </w:r>
          </w:p>
        </w:tc>
        <w:tc>
          <w:tcPr>
            <w:tcW w:w="1162" w:type="dxa"/>
            <w:shd w:val="clear" w:color="auto" w:fill="auto"/>
            <w:noWrap/>
            <w:vAlign w:val="bottom"/>
            <w:hideMark/>
          </w:tcPr>
          <w:p w14:paraId="68B0DC59" w14:textId="518C7507" w:rsidR="0072075E" w:rsidRPr="007B1099" w:rsidRDefault="00CB6488" w:rsidP="00647E5D">
            <w:pPr>
              <w:rPr>
                <w:rFonts w:ascii="Calibri" w:hAnsi="Calibri"/>
                <w:color w:val="000000"/>
              </w:rPr>
            </w:pPr>
            <w:r>
              <w:rPr>
                <w:rFonts w:ascii="Calibri" w:hAnsi="Calibri"/>
                <w:color w:val="000000"/>
              </w:rPr>
              <w:t>≤</w:t>
            </w:r>
            <w:r w:rsidR="0072075E" w:rsidRPr="007B1099">
              <w:rPr>
                <w:rFonts w:ascii="Calibri" w:hAnsi="Calibri"/>
                <w:color w:val="000000"/>
              </w:rPr>
              <w:t>4</w:t>
            </w:r>
          </w:p>
        </w:tc>
      </w:tr>
      <w:tr w:rsidR="0072075E" w:rsidRPr="007B1099" w14:paraId="08BAE47B" w14:textId="77777777" w:rsidTr="00647E5D">
        <w:trPr>
          <w:trHeight w:val="300"/>
        </w:trPr>
        <w:tc>
          <w:tcPr>
            <w:tcW w:w="960" w:type="dxa"/>
            <w:shd w:val="clear" w:color="000000" w:fill="FFE3E1"/>
            <w:noWrap/>
            <w:vAlign w:val="bottom"/>
            <w:hideMark/>
          </w:tcPr>
          <w:p w14:paraId="43526F60" w14:textId="77777777" w:rsidR="0072075E" w:rsidRPr="007B1099" w:rsidRDefault="0072075E" w:rsidP="00647E5D">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4C87970E" w14:textId="77777777" w:rsidR="0072075E" w:rsidRPr="007B1099" w:rsidRDefault="0072075E" w:rsidP="00647E5D">
            <w:pPr>
              <w:rPr>
                <w:rFonts w:ascii="Calibri" w:hAnsi="Calibri"/>
                <w:color w:val="000000"/>
              </w:rPr>
            </w:pPr>
            <w:r w:rsidRPr="007B1099">
              <w:rPr>
                <w:rFonts w:ascii="Calibri" w:hAnsi="Calibri"/>
                <w:color w:val="000000"/>
              </w:rPr>
              <w:t>4.1 to 6</w:t>
            </w:r>
          </w:p>
        </w:tc>
      </w:tr>
      <w:tr w:rsidR="0072075E" w:rsidRPr="007B1099" w14:paraId="29C5B643" w14:textId="77777777" w:rsidTr="00647E5D">
        <w:trPr>
          <w:trHeight w:val="300"/>
        </w:trPr>
        <w:tc>
          <w:tcPr>
            <w:tcW w:w="960" w:type="dxa"/>
            <w:shd w:val="clear" w:color="000000" w:fill="FFA7A7"/>
            <w:noWrap/>
            <w:vAlign w:val="bottom"/>
            <w:hideMark/>
          </w:tcPr>
          <w:p w14:paraId="04DC07D9" w14:textId="77777777" w:rsidR="0072075E" w:rsidRPr="007B1099" w:rsidRDefault="0072075E" w:rsidP="00647E5D">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0825B60D" w14:textId="77777777" w:rsidR="0072075E" w:rsidRPr="007B1099" w:rsidRDefault="0072075E" w:rsidP="00647E5D">
            <w:pPr>
              <w:rPr>
                <w:rFonts w:ascii="Calibri" w:hAnsi="Calibri"/>
                <w:color w:val="000000"/>
              </w:rPr>
            </w:pPr>
            <w:r w:rsidRPr="007B1099">
              <w:rPr>
                <w:rFonts w:ascii="Calibri" w:hAnsi="Calibri"/>
                <w:color w:val="000000"/>
              </w:rPr>
              <w:t>6.1 to 12</w:t>
            </w:r>
          </w:p>
        </w:tc>
      </w:tr>
      <w:tr w:rsidR="0072075E" w:rsidRPr="007B1099" w14:paraId="5CE8A2E1" w14:textId="77777777" w:rsidTr="00647E5D">
        <w:trPr>
          <w:trHeight w:val="300"/>
        </w:trPr>
        <w:tc>
          <w:tcPr>
            <w:tcW w:w="960" w:type="dxa"/>
            <w:shd w:val="clear" w:color="auto" w:fill="FF0000"/>
            <w:noWrap/>
            <w:vAlign w:val="bottom"/>
            <w:hideMark/>
          </w:tcPr>
          <w:p w14:paraId="20EE0242" w14:textId="77777777" w:rsidR="0072075E" w:rsidRPr="007B1099" w:rsidRDefault="0072075E" w:rsidP="00647E5D">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65D95040" w14:textId="77777777" w:rsidR="0072075E" w:rsidRPr="007B1099" w:rsidRDefault="0072075E" w:rsidP="00647E5D">
            <w:pPr>
              <w:rPr>
                <w:rFonts w:ascii="Calibri" w:hAnsi="Calibri"/>
                <w:color w:val="000000"/>
              </w:rPr>
            </w:pPr>
            <w:r w:rsidRPr="007B1099">
              <w:rPr>
                <w:rFonts w:ascii="Calibri" w:hAnsi="Calibri"/>
                <w:color w:val="000000"/>
              </w:rPr>
              <w:t>12.1 to 47</w:t>
            </w:r>
          </w:p>
        </w:tc>
      </w:tr>
      <w:tr w:rsidR="0072075E" w:rsidRPr="007B1099" w14:paraId="14F80480" w14:textId="77777777" w:rsidTr="00647E5D">
        <w:trPr>
          <w:trHeight w:val="300"/>
        </w:trPr>
        <w:tc>
          <w:tcPr>
            <w:tcW w:w="960" w:type="dxa"/>
            <w:shd w:val="clear" w:color="auto" w:fill="A40000"/>
            <w:noWrap/>
            <w:vAlign w:val="bottom"/>
            <w:hideMark/>
          </w:tcPr>
          <w:p w14:paraId="63BD86B3" w14:textId="77777777" w:rsidR="0072075E" w:rsidRPr="007B1099" w:rsidRDefault="0072075E" w:rsidP="00647E5D">
            <w:pPr>
              <w:rPr>
                <w:rFonts w:ascii="Calibri" w:hAnsi="Calibri"/>
                <w:color w:val="000000"/>
              </w:rPr>
            </w:pPr>
            <w:r w:rsidRPr="007B1099">
              <w:rPr>
                <w:rFonts w:ascii="Calibri" w:hAnsi="Calibri"/>
                <w:color w:val="000000"/>
              </w:rPr>
              <w:t> </w:t>
            </w:r>
          </w:p>
        </w:tc>
        <w:tc>
          <w:tcPr>
            <w:tcW w:w="1162" w:type="dxa"/>
            <w:shd w:val="clear" w:color="auto" w:fill="auto"/>
            <w:noWrap/>
            <w:vAlign w:val="bottom"/>
            <w:hideMark/>
          </w:tcPr>
          <w:p w14:paraId="78E56F9E" w14:textId="77777777" w:rsidR="0072075E" w:rsidRPr="007B1099" w:rsidRDefault="0072075E" w:rsidP="00647E5D">
            <w:pPr>
              <w:rPr>
                <w:rFonts w:ascii="Calibri" w:hAnsi="Calibri"/>
                <w:color w:val="000000"/>
              </w:rPr>
            </w:pPr>
            <w:r w:rsidRPr="007B1099">
              <w:rPr>
                <w:rFonts w:ascii="Calibri" w:hAnsi="Calibri"/>
                <w:color w:val="000000"/>
              </w:rPr>
              <w:t>&gt;47.1</w:t>
            </w:r>
          </w:p>
        </w:tc>
      </w:tr>
      <w:tr w:rsidR="0072075E" w:rsidRPr="007B1099" w14:paraId="5032430B" w14:textId="77777777" w:rsidTr="00647E5D">
        <w:trPr>
          <w:trHeight w:val="300"/>
        </w:trPr>
        <w:tc>
          <w:tcPr>
            <w:tcW w:w="960" w:type="dxa"/>
            <w:shd w:val="clear" w:color="auto" w:fill="7030A0"/>
            <w:noWrap/>
            <w:vAlign w:val="bottom"/>
          </w:tcPr>
          <w:p w14:paraId="09D15EF9" w14:textId="77777777" w:rsidR="0072075E" w:rsidRPr="007B1099" w:rsidRDefault="0072075E" w:rsidP="00647E5D">
            <w:pPr>
              <w:rPr>
                <w:rFonts w:ascii="Calibri" w:hAnsi="Calibri"/>
                <w:color w:val="000000"/>
              </w:rPr>
            </w:pPr>
          </w:p>
        </w:tc>
        <w:tc>
          <w:tcPr>
            <w:tcW w:w="1162" w:type="dxa"/>
            <w:shd w:val="clear" w:color="auto" w:fill="auto"/>
            <w:noWrap/>
            <w:vAlign w:val="bottom"/>
          </w:tcPr>
          <w:p w14:paraId="403519F9" w14:textId="77777777" w:rsidR="0072075E" w:rsidRPr="007B1099" w:rsidRDefault="0072075E" w:rsidP="00647E5D">
            <w:pPr>
              <w:rPr>
                <w:rFonts w:ascii="Calibri" w:hAnsi="Calibri"/>
                <w:color w:val="000000"/>
              </w:rPr>
            </w:pPr>
            <w:r>
              <w:rPr>
                <w:rFonts w:ascii="Calibri" w:hAnsi="Calibri"/>
                <w:color w:val="000000"/>
              </w:rPr>
              <w:t>No MIC</w:t>
            </w:r>
          </w:p>
        </w:tc>
      </w:tr>
    </w:tbl>
    <w:tbl>
      <w:tblPr>
        <w:tblStyle w:val="TableGrid"/>
        <w:tblpPr w:leftFromText="180" w:rightFromText="180" w:vertAnchor="text" w:horzAnchor="margin" w:tblpXSpec="right" w:tblpY="-2210"/>
        <w:tblW w:w="0" w:type="auto"/>
        <w:tblLook w:val="04A0" w:firstRow="1" w:lastRow="0" w:firstColumn="1" w:lastColumn="0" w:noHBand="0" w:noVBand="1"/>
      </w:tblPr>
      <w:tblGrid>
        <w:gridCol w:w="846"/>
        <w:gridCol w:w="1984"/>
        <w:gridCol w:w="709"/>
        <w:gridCol w:w="2552"/>
      </w:tblGrid>
      <w:tr w:rsidR="0072075E" w14:paraId="50B27E64" w14:textId="77777777" w:rsidTr="00647E5D">
        <w:tc>
          <w:tcPr>
            <w:tcW w:w="846" w:type="dxa"/>
            <w:shd w:val="clear" w:color="auto" w:fill="auto"/>
          </w:tcPr>
          <w:p w14:paraId="3342D1D1" w14:textId="3D821E7D" w:rsidR="0072075E" w:rsidRPr="00B209F5" w:rsidRDefault="00EB0610" w:rsidP="00647E5D">
            <w:pPr>
              <w:rPr>
                <w:sz w:val="20"/>
                <w:szCs w:val="20"/>
              </w:rPr>
            </w:pPr>
            <w:r>
              <w:rPr>
                <w:noProof/>
              </w:rPr>
              <mc:AlternateContent>
                <mc:Choice Requires="wps">
                  <w:drawing>
                    <wp:anchor distT="0" distB="0" distL="114300" distR="114300" simplePos="0" relativeHeight="251793920" behindDoc="0" locked="0" layoutInCell="1" allowOverlap="1" wp14:anchorId="0EDB9CD1" wp14:editId="683E6A55">
                      <wp:simplePos x="0" y="0"/>
                      <wp:positionH relativeFrom="column">
                        <wp:posOffset>56515</wp:posOffset>
                      </wp:positionH>
                      <wp:positionV relativeFrom="paragraph">
                        <wp:posOffset>5080</wp:posOffset>
                      </wp:positionV>
                      <wp:extent cx="171450" cy="152400"/>
                      <wp:effectExtent l="0" t="0" r="0" b="0"/>
                      <wp:wrapNone/>
                      <wp:docPr id="437"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F3A219" id="Oval 437" o:spid="_x0000_s1026" style="position:absolute;margin-left:4.45pt;margin-top:.4pt;width:13.5pt;height:1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" fillcolor="#ffc000" strokecolor="windowText" strokeweight="1pt">
                      <v:stroke joinstyle="miter"/>
                      <v:path arrowok="t"/>
                    </v:oval>
                  </w:pict>
                </mc:Fallback>
              </mc:AlternateContent>
            </w:r>
          </w:p>
        </w:tc>
        <w:tc>
          <w:tcPr>
            <w:tcW w:w="1984" w:type="dxa"/>
          </w:tcPr>
          <w:p w14:paraId="25780A15" w14:textId="77777777" w:rsidR="0072075E" w:rsidRDefault="0072075E" w:rsidP="00647E5D">
            <w:pPr>
              <w:rPr>
                <w:sz w:val="20"/>
                <w:szCs w:val="20"/>
              </w:rPr>
            </w:pPr>
            <w:r w:rsidRPr="00B209F5">
              <w:rPr>
                <w:sz w:val="20"/>
                <w:szCs w:val="20"/>
              </w:rPr>
              <w:t>Never had macrolide</w:t>
            </w:r>
          </w:p>
          <w:p w14:paraId="0927823A" w14:textId="77777777" w:rsidR="0072075E" w:rsidRPr="00332E75" w:rsidRDefault="0072075E" w:rsidP="00647E5D">
            <w:pPr>
              <w:rPr>
                <w:sz w:val="4"/>
                <w:szCs w:val="4"/>
              </w:rPr>
            </w:pPr>
          </w:p>
        </w:tc>
        <w:tc>
          <w:tcPr>
            <w:tcW w:w="709" w:type="dxa"/>
            <w:shd w:val="clear" w:color="auto" w:fill="auto"/>
          </w:tcPr>
          <w:p w14:paraId="4BBBA032" w14:textId="56F83E8E" w:rsidR="0072075E" w:rsidRPr="00B209F5" w:rsidRDefault="00EB0610" w:rsidP="00647E5D">
            <w:pPr>
              <w:rPr>
                <w:sz w:val="20"/>
                <w:szCs w:val="20"/>
              </w:rPr>
            </w:pPr>
            <w:r>
              <w:rPr>
                <w:noProof/>
              </w:rPr>
              <mc:AlternateContent>
                <mc:Choice Requires="wps">
                  <w:drawing>
                    <wp:anchor distT="0" distB="0" distL="114300" distR="114300" simplePos="0" relativeHeight="251798016" behindDoc="0" locked="0" layoutInCell="1" allowOverlap="1" wp14:anchorId="6C9C7B2E" wp14:editId="204A219D">
                      <wp:simplePos x="0" y="0"/>
                      <wp:positionH relativeFrom="column">
                        <wp:posOffset>54610</wp:posOffset>
                      </wp:positionH>
                      <wp:positionV relativeFrom="paragraph">
                        <wp:posOffset>4445</wp:posOffset>
                      </wp:positionV>
                      <wp:extent cx="171450" cy="152400"/>
                      <wp:effectExtent l="0" t="0" r="0" b="0"/>
                      <wp:wrapNone/>
                      <wp:docPr id="436"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5B9BD5">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808921" id="Oval 436" o:spid="_x0000_s1026" style="position:absolute;margin-left:4.3pt;margin-top:.35pt;width:13.5pt;height:1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" fillcolor="#2e75b6" strokecolor="windowText" strokeweight="1pt">
                      <v:stroke joinstyle="miter"/>
                      <v:path arrowok="t"/>
                    </v:oval>
                  </w:pict>
                </mc:Fallback>
              </mc:AlternateContent>
            </w:r>
          </w:p>
        </w:tc>
        <w:tc>
          <w:tcPr>
            <w:tcW w:w="2552" w:type="dxa"/>
          </w:tcPr>
          <w:p w14:paraId="77FD6FAF" w14:textId="77777777" w:rsidR="0072075E" w:rsidRPr="00B209F5" w:rsidRDefault="0072075E" w:rsidP="00647E5D">
            <w:pPr>
              <w:rPr>
                <w:sz w:val="20"/>
                <w:szCs w:val="20"/>
              </w:rPr>
            </w:pPr>
            <w:r>
              <w:rPr>
                <w:sz w:val="20"/>
                <w:szCs w:val="20"/>
              </w:rPr>
              <w:t>&gt;24 months</w:t>
            </w:r>
          </w:p>
        </w:tc>
      </w:tr>
      <w:tr w:rsidR="0072075E" w14:paraId="223B1692" w14:textId="77777777" w:rsidTr="00647E5D">
        <w:tc>
          <w:tcPr>
            <w:tcW w:w="846" w:type="dxa"/>
            <w:shd w:val="clear" w:color="auto" w:fill="auto"/>
          </w:tcPr>
          <w:p w14:paraId="6AA798DE" w14:textId="67916656" w:rsidR="0072075E" w:rsidRPr="00B209F5" w:rsidRDefault="00EB0610" w:rsidP="00647E5D">
            <w:pPr>
              <w:rPr>
                <w:sz w:val="20"/>
                <w:szCs w:val="20"/>
              </w:rPr>
            </w:pPr>
            <w:r>
              <w:rPr>
                <w:noProof/>
              </w:rPr>
              <mc:AlternateContent>
                <mc:Choice Requires="wps">
                  <w:drawing>
                    <wp:anchor distT="0" distB="0" distL="114300" distR="114300" simplePos="0" relativeHeight="251794944" behindDoc="0" locked="0" layoutInCell="1" allowOverlap="1" wp14:anchorId="2EE19B16" wp14:editId="4A84E6A7">
                      <wp:simplePos x="0" y="0"/>
                      <wp:positionH relativeFrom="column">
                        <wp:posOffset>50800</wp:posOffset>
                      </wp:positionH>
                      <wp:positionV relativeFrom="paragraph">
                        <wp:posOffset>65405</wp:posOffset>
                      </wp:positionV>
                      <wp:extent cx="171450" cy="152400"/>
                      <wp:effectExtent l="0" t="0" r="0" b="0"/>
                      <wp:wrapNone/>
                      <wp:docPr id="435"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F7C5F3"/>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452EC9" id="Oval 435" o:spid="_x0000_s1026" style="position:absolute;margin-left:4pt;margin-top:5.15pt;width:13.5pt;height:1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" fillcolor="#f7c5f3" strokecolor="windowText" strokeweight="1pt">
                      <v:stroke joinstyle="miter"/>
                      <v:path arrowok="t"/>
                    </v:oval>
                  </w:pict>
                </mc:Fallback>
              </mc:AlternateContent>
            </w:r>
          </w:p>
        </w:tc>
        <w:tc>
          <w:tcPr>
            <w:tcW w:w="1984" w:type="dxa"/>
          </w:tcPr>
          <w:p w14:paraId="3AA074FC" w14:textId="77777777" w:rsidR="0072075E" w:rsidRPr="00B209F5" w:rsidRDefault="0072075E" w:rsidP="00647E5D">
            <w:pPr>
              <w:rPr>
                <w:sz w:val="20"/>
                <w:szCs w:val="20"/>
              </w:rPr>
            </w:pPr>
            <w:r w:rsidRPr="00B209F5">
              <w:rPr>
                <w:sz w:val="20"/>
                <w:szCs w:val="20"/>
              </w:rPr>
              <w:t>&lt;6 months</w:t>
            </w:r>
          </w:p>
        </w:tc>
        <w:tc>
          <w:tcPr>
            <w:tcW w:w="709" w:type="dxa"/>
            <w:shd w:val="clear" w:color="auto" w:fill="auto"/>
          </w:tcPr>
          <w:p w14:paraId="38B4B672" w14:textId="6563C7C1" w:rsidR="0072075E" w:rsidRPr="00B209F5" w:rsidRDefault="00EB0610" w:rsidP="00647E5D">
            <w:pPr>
              <w:rPr>
                <w:sz w:val="20"/>
                <w:szCs w:val="20"/>
              </w:rPr>
            </w:pPr>
            <w:r>
              <w:rPr>
                <w:noProof/>
              </w:rPr>
              <mc:AlternateContent>
                <mc:Choice Requires="wps">
                  <w:drawing>
                    <wp:anchor distT="0" distB="0" distL="114300" distR="114300" simplePos="0" relativeHeight="251799040" behindDoc="0" locked="0" layoutInCell="1" allowOverlap="1" wp14:anchorId="1F347586" wp14:editId="642E75A3">
                      <wp:simplePos x="0" y="0"/>
                      <wp:positionH relativeFrom="column">
                        <wp:posOffset>54610</wp:posOffset>
                      </wp:positionH>
                      <wp:positionV relativeFrom="paragraph">
                        <wp:posOffset>68580</wp:posOffset>
                      </wp:positionV>
                      <wp:extent cx="171450" cy="152400"/>
                      <wp:effectExtent l="0" t="0" r="0" b="0"/>
                      <wp:wrapNone/>
                      <wp:docPr id="434"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ED7D31">
                                  <a:lumMod val="5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4CD5B4" id="Oval 434" o:spid="_x0000_s1026" style="position:absolute;margin-left:4.3pt;margin-top:5.4pt;width:13.5pt;height:1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" fillcolor="#843c0c" strokecolor="windowText" strokeweight="1pt">
                      <v:stroke joinstyle="miter"/>
                      <v:path arrowok="t"/>
                    </v:oval>
                  </w:pict>
                </mc:Fallback>
              </mc:AlternateContent>
            </w:r>
          </w:p>
        </w:tc>
        <w:tc>
          <w:tcPr>
            <w:tcW w:w="2552" w:type="dxa"/>
          </w:tcPr>
          <w:p w14:paraId="07C81786" w14:textId="77777777" w:rsidR="0072075E" w:rsidRPr="00B209F5" w:rsidRDefault="0072075E" w:rsidP="00647E5D">
            <w:pPr>
              <w:rPr>
                <w:sz w:val="20"/>
                <w:szCs w:val="20"/>
              </w:rPr>
            </w:pPr>
            <w:r>
              <w:rPr>
                <w:sz w:val="20"/>
                <w:szCs w:val="20"/>
              </w:rPr>
              <w:t>Previous exposure. Uncertain duration</w:t>
            </w:r>
          </w:p>
        </w:tc>
      </w:tr>
      <w:tr w:rsidR="0072075E" w14:paraId="6E53DD33" w14:textId="77777777" w:rsidTr="00647E5D">
        <w:tc>
          <w:tcPr>
            <w:tcW w:w="846" w:type="dxa"/>
            <w:shd w:val="clear" w:color="auto" w:fill="auto"/>
          </w:tcPr>
          <w:p w14:paraId="4FDD9CEE" w14:textId="065B82AE" w:rsidR="0072075E" w:rsidRPr="00B209F5" w:rsidRDefault="00EB0610" w:rsidP="00647E5D">
            <w:pPr>
              <w:rPr>
                <w:color w:val="FF00FF"/>
                <w:sz w:val="20"/>
                <w:szCs w:val="20"/>
              </w:rPr>
            </w:pPr>
            <w:r>
              <w:rPr>
                <w:noProof/>
              </w:rPr>
              <mc:AlternateContent>
                <mc:Choice Requires="wps">
                  <w:drawing>
                    <wp:anchor distT="0" distB="0" distL="114300" distR="114300" simplePos="0" relativeHeight="251795968" behindDoc="0" locked="0" layoutInCell="1" allowOverlap="1" wp14:anchorId="2F382870" wp14:editId="1544AADC">
                      <wp:simplePos x="0" y="0"/>
                      <wp:positionH relativeFrom="column">
                        <wp:posOffset>50800</wp:posOffset>
                      </wp:positionH>
                      <wp:positionV relativeFrom="paragraph">
                        <wp:posOffset>5715</wp:posOffset>
                      </wp:positionV>
                      <wp:extent cx="171450" cy="152400"/>
                      <wp:effectExtent l="0" t="0" r="0" b="0"/>
                      <wp:wrapNone/>
                      <wp:docPr id="43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DC1ECE"/>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1AE3C0" id="Oval 433" o:spid="_x0000_s1026" style="position:absolute;margin-left:4pt;margin-top:.45pt;width:13.5pt;height:1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" fillcolor="#dc1ece" strokecolor="windowText" strokeweight="1pt">
                      <v:stroke joinstyle="miter"/>
                      <v:path arrowok="t"/>
                    </v:oval>
                  </w:pict>
                </mc:Fallback>
              </mc:AlternateContent>
            </w:r>
          </w:p>
        </w:tc>
        <w:tc>
          <w:tcPr>
            <w:tcW w:w="1984" w:type="dxa"/>
          </w:tcPr>
          <w:p w14:paraId="03DA31A7" w14:textId="77777777" w:rsidR="0072075E" w:rsidRDefault="0072075E" w:rsidP="00647E5D">
            <w:pPr>
              <w:rPr>
                <w:sz w:val="20"/>
                <w:szCs w:val="20"/>
              </w:rPr>
            </w:pPr>
            <w:r w:rsidRPr="00B209F5">
              <w:rPr>
                <w:sz w:val="20"/>
                <w:szCs w:val="20"/>
              </w:rPr>
              <w:t>6-12 months</w:t>
            </w:r>
          </w:p>
          <w:p w14:paraId="64AF8951" w14:textId="77777777" w:rsidR="0072075E" w:rsidRPr="00332E75" w:rsidRDefault="0072075E" w:rsidP="00647E5D">
            <w:pPr>
              <w:rPr>
                <w:sz w:val="4"/>
                <w:szCs w:val="4"/>
              </w:rPr>
            </w:pPr>
          </w:p>
        </w:tc>
        <w:tc>
          <w:tcPr>
            <w:tcW w:w="709" w:type="dxa"/>
            <w:shd w:val="clear" w:color="auto" w:fill="auto"/>
          </w:tcPr>
          <w:p w14:paraId="3D33C45D" w14:textId="068F53E0" w:rsidR="0072075E" w:rsidRPr="00B209F5" w:rsidRDefault="00EB0610" w:rsidP="00647E5D">
            <w:pPr>
              <w:rPr>
                <w:sz w:val="20"/>
                <w:szCs w:val="20"/>
              </w:rPr>
            </w:pPr>
            <w:r>
              <w:rPr>
                <w:noProof/>
              </w:rPr>
              <mc:AlternateContent>
                <mc:Choice Requires="wps">
                  <w:drawing>
                    <wp:anchor distT="0" distB="0" distL="114300" distR="114300" simplePos="0" relativeHeight="251800064" behindDoc="0" locked="0" layoutInCell="1" allowOverlap="1" wp14:anchorId="168A9A77" wp14:editId="0A8E0CD7">
                      <wp:simplePos x="0" y="0"/>
                      <wp:positionH relativeFrom="column">
                        <wp:posOffset>54610</wp:posOffset>
                      </wp:positionH>
                      <wp:positionV relativeFrom="paragraph">
                        <wp:posOffset>6985</wp:posOffset>
                      </wp:positionV>
                      <wp:extent cx="171450" cy="152400"/>
                      <wp:effectExtent l="0" t="0" r="0" b="0"/>
                      <wp:wrapNone/>
                      <wp:docPr id="43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32E732" id="Oval 432" o:spid="_x0000_s1026" style="position:absolute;margin-left:4.3pt;margin-top:.55pt;width:13.5pt;height:1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" fillcolor="windowText" strokecolor="windowText" strokeweight="1pt">
                      <v:stroke joinstyle="miter"/>
                      <v:path arrowok="t"/>
                    </v:oval>
                  </w:pict>
                </mc:Fallback>
              </mc:AlternateContent>
            </w:r>
          </w:p>
        </w:tc>
        <w:tc>
          <w:tcPr>
            <w:tcW w:w="2552" w:type="dxa"/>
          </w:tcPr>
          <w:p w14:paraId="0600F8C2" w14:textId="77777777" w:rsidR="0072075E" w:rsidRPr="00B209F5" w:rsidRDefault="0072075E" w:rsidP="00647E5D">
            <w:pPr>
              <w:rPr>
                <w:sz w:val="20"/>
                <w:szCs w:val="20"/>
              </w:rPr>
            </w:pPr>
            <w:r>
              <w:rPr>
                <w:sz w:val="20"/>
                <w:szCs w:val="20"/>
              </w:rPr>
              <w:t>Missing data</w:t>
            </w:r>
          </w:p>
        </w:tc>
      </w:tr>
      <w:tr w:rsidR="0072075E" w14:paraId="13DEC293" w14:textId="77777777" w:rsidTr="00647E5D">
        <w:tc>
          <w:tcPr>
            <w:tcW w:w="846" w:type="dxa"/>
            <w:shd w:val="clear" w:color="auto" w:fill="auto"/>
          </w:tcPr>
          <w:p w14:paraId="2259EC9C" w14:textId="62D03A8A" w:rsidR="0072075E" w:rsidRPr="00B209F5" w:rsidRDefault="00EB0610" w:rsidP="00647E5D">
            <w:pPr>
              <w:rPr>
                <w:sz w:val="20"/>
                <w:szCs w:val="20"/>
              </w:rPr>
            </w:pPr>
            <w:r>
              <w:rPr>
                <w:noProof/>
              </w:rPr>
              <mc:AlternateContent>
                <mc:Choice Requires="wps">
                  <w:drawing>
                    <wp:anchor distT="0" distB="0" distL="114300" distR="114300" simplePos="0" relativeHeight="251796992" behindDoc="0" locked="0" layoutInCell="1" allowOverlap="1" wp14:anchorId="1CED4111" wp14:editId="314FF0A8">
                      <wp:simplePos x="0" y="0"/>
                      <wp:positionH relativeFrom="column">
                        <wp:posOffset>52070</wp:posOffset>
                      </wp:positionH>
                      <wp:positionV relativeFrom="paragraph">
                        <wp:posOffset>1270</wp:posOffset>
                      </wp:positionV>
                      <wp:extent cx="171450" cy="152400"/>
                      <wp:effectExtent l="0" t="0" r="0" b="0"/>
                      <wp:wrapNone/>
                      <wp:docPr id="431"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2400"/>
                              </a:xfrm>
                              <a:prstGeom prst="ellipse">
                                <a:avLst/>
                              </a:prstGeom>
                              <a:solidFill>
                                <a:srgbClr val="33E5E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D3D285" id="Oval 431" o:spid="_x0000_s1026" style="position:absolute;margin-left:4.1pt;margin-top:.1pt;width:13.5pt;height:1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" fillcolor="#33e5e9" strokecolor="windowText" strokeweight="1pt">
                      <v:stroke joinstyle="miter"/>
                      <v:path arrowok="t"/>
                    </v:oval>
                  </w:pict>
                </mc:Fallback>
              </mc:AlternateContent>
            </w:r>
          </w:p>
        </w:tc>
        <w:tc>
          <w:tcPr>
            <w:tcW w:w="1984" w:type="dxa"/>
          </w:tcPr>
          <w:p w14:paraId="6ED6D28B" w14:textId="77777777" w:rsidR="0072075E" w:rsidRDefault="0072075E" w:rsidP="00647E5D">
            <w:pPr>
              <w:rPr>
                <w:sz w:val="20"/>
                <w:szCs w:val="20"/>
              </w:rPr>
            </w:pPr>
            <w:r w:rsidRPr="00B209F5">
              <w:rPr>
                <w:sz w:val="20"/>
                <w:szCs w:val="20"/>
              </w:rPr>
              <w:t>12-24 months</w:t>
            </w:r>
          </w:p>
          <w:p w14:paraId="42580F57" w14:textId="77777777" w:rsidR="0072075E" w:rsidRPr="00332E75" w:rsidRDefault="0072075E" w:rsidP="00647E5D">
            <w:pPr>
              <w:rPr>
                <w:sz w:val="4"/>
                <w:szCs w:val="4"/>
              </w:rPr>
            </w:pPr>
          </w:p>
        </w:tc>
        <w:tc>
          <w:tcPr>
            <w:tcW w:w="3261" w:type="dxa"/>
            <w:gridSpan w:val="2"/>
          </w:tcPr>
          <w:p w14:paraId="4751455C" w14:textId="77777777" w:rsidR="0072075E" w:rsidRPr="00B209F5" w:rsidRDefault="0072075E" w:rsidP="00647E5D">
            <w:pPr>
              <w:rPr>
                <w:sz w:val="20"/>
                <w:szCs w:val="20"/>
              </w:rPr>
            </w:pPr>
          </w:p>
        </w:tc>
      </w:tr>
      <w:tr w:rsidR="0072075E" w14:paraId="6383EFA3" w14:textId="77777777" w:rsidTr="00647E5D">
        <w:tc>
          <w:tcPr>
            <w:tcW w:w="846" w:type="dxa"/>
            <w:shd w:val="clear" w:color="auto" w:fill="auto"/>
          </w:tcPr>
          <w:p w14:paraId="63DB474F" w14:textId="66BE0900" w:rsidR="0072075E" w:rsidRDefault="00EB0610" w:rsidP="00647E5D">
            <w:pPr>
              <w:rPr>
                <w:b/>
                <w:noProof/>
              </w:rPr>
            </w:pPr>
            <w:r>
              <w:rPr>
                <w:noProof/>
              </w:rPr>
              <mc:AlternateContent>
                <mc:Choice Requires="wps">
                  <w:drawing>
                    <wp:anchor distT="0" distB="0" distL="114300" distR="114300" simplePos="0" relativeHeight="251801088" behindDoc="0" locked="0" layoutInCell="1" allowOverlap="1" wp14:anchorId="553AE8DE" wp14:editId="6369A3CE">
                      <wp:simplePos x="0" y="0"/>
                      <wp:positionH relativeFrom="column">
                        <wp:posOffset>83185</wp:posOffset>
                      </wp:positionH>
                      <wp:positionV relativeFrom="paragraph">
                        <wp:posOffset>27940</wp:posOffset>
                      </wp:positionV>
                      <wp:extent cx="150495" cy="148590"/>
                      <wp:effectExtent l="19050" t="19050" r="20955" b="3810"/>
                      <wp:wrapNone/>
                      <wp:docPr id="430" name="Isosceles Tri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48590"/>
                              </a:xfrm>
                              <a:prstGeom prst="triangle">
                                <a:avLst/>
                              </a:prstGeom>
                              <a:solidFill>
                                <a:srgbClr val="4472C4">
                                  <a:lumMod val="50000"/>
                                </a:srgbClr>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387026" id="Isosceles Triangle 430" o:spid="_x0000_s1026" type="#_x0000_t5" style="position:absolute;margin-left:6.55pt;margin-top:2.2pt;width:11.85pt;height:11.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" fillcolor="#203864" strokecolor="red" strokeweight="1pt">
                      <v:path arrowok="t"/>
                    </v:shape>
                  </w:pict>
                </mc:Fallback>
              </mc:AlternateContent>
            </w:r>
          </w:p>
        </w:tc>
        <w:tc>
          <w:tcPr>
            <w:tcW w:w="5245" w:type="dxa"/>
            <w:gridSpan w:val="3"/>
          </w:tcPr>
          <w:p w14:paraId="6E4B8D98" w14:textId="77777777" w:rsidR="0072075E" w:rsidRPr="00B209F5" w:rsidRDefault="0072075E" w:rsidP="00647E5D">
            <w:pPr>
              <w:rPr>
                <w:sz w:val="20"/>
                <w:szCs w:val="20"/>
              </w:rPr>
            </w:pPr>
            <w:r>
              <w:rPr>
                <w:sz w:val="20"/>
                <w:szCs w:val="20"/>
              </w:rPr>
              <w:t xml:space="preserve">Macrolide courses prescribed during the study </w:t>
            </w:r>
          </w:p>
        </w:tc>
      </w:tr>
    </w:tbl>
    <w:p w14:paraId="578D1DF3" w14:textId="5DBA9CEF" w:rsidR="0072075E" w:rsidRDefault="0072075E" w:rsidP="0072075E">
      <w:pPr>
        <w:spacing w:line="360" w:lineRule="auto"/>
      </w:pPr>
    </w:p>
    <w:p w14:paraId="5BC2D608" w14:textId="64EE639C" w:rsidR="0072075E" w:rsidRPr="007176C0" w:rsidRDefault="00216903" w:rsidP="00216903">
      <w:pPr>
        <w:pStyle w:val="Caption"/>
        <w:keepNext/>
        <w:rPr>
          <w:i w:val="0"/>
          <w:iCs w:val="0"/>
          <w:color w:val="000000" w:themeColor="text1"/>
          <w:sz w:val="24"/>
          <w:szCs w:val="24"/>
        </w:rPr>
      </w:pPr>
      <w:bookmarkStart w:id="216" w:name="_Ref105508570"/>
      <w:bookmarkStart w:id="217" w:name="_Toc117780227"/>
      <w:r w:rsidRPr="007176C0">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10</w:t>
      </w:r>
      <w:r w:rsidR="00F42C6F">
        <w:rPr>
          <w:b/>
          <w:bCs/>
          <w:i w:val="0"/>
          <w:iCs w:val="0"/>
          <w:color w:val="000000" w:themeColor="text1"/>
          <w:sz w:val="24"/>
          <w:szCs w:val="24"/>
        </w:rPr>
        <w:fldChar w:fldCharType="end"/>
      </w:r>
      <w:bookmarkEnd w:id="216"/>
      <w:r w:rsidRPr="007176C0">
        <w:rPr>
          <w:b/>
          <w:bCs/>
          <w:i w:val="0"/>
          <w:iCs w:val="0"/>
          <w:color w:val="000000" w:themeColor="text1"/>
          <w:sz w:val="24"/>
          <w:szCs w:val="24"/>
        </w:rPr>
        <w:t>:</w:t>
      </w:r>
      <w:r w:rsidRPr="007176C0">
        <w:rPr>
          <w:i w:val="0"/>
          <w:iCs w:val="0"/>
          <w:color w:val="000000" w:themeColor="text1"/>
          <w:sz w:val="24"/>
          <w:szCs w:val="24"/>
        </w:rPr>
        <w:t xml:space="preserve"> Representation of azithromycin susceptibility of </w:t>
      </w:r>
      <w:r w:rsidRPr="00BF2D6A">
        <w:rPr>
          <w:color w:val="000000" w:themeColor="text1"/>
          <w:sz w:val="24"/>
          <w:szCs w:val="24"/>
        </w:rPr>
        <w:t>H</w:t>
      </w:r>
      <w:r w:rsidR="00CB6488" w:rsidRPr="00BF2D6A">
        <w:rPr>
          <w:color w:val="000000" w:themeColor="text1"/>
          <w:sz w:val="24"/>
          <w:szCs w:val="24"/>
        </w:rPr>
        <w:t>aemophilus</w:t>
      </w:r>
      <w:r w:rsidRPr="00BF2D6A">
        <w:rPr>
          <w:color w:val="000000" w:themeColor="text1"/>
          <w:sz w:val="24"/>
          <w:szCs w:val="24"/>
        </w:rPr>
        <w:t xml:space="preserve"> influenzae</w:t>
      </w:r>
      <w:r w:rsidRPr="007176C0">
        <w:rPr>
          <w:i w:val="0"/>
          <w:iCs w:val="0"/>
          <w:color w:val="000000" w:themeColor="text1"/>
          <w:sz w:val="24"/>
          <w:szCs w:val="24"/>
        </w:rPr>
        <w:t xml:space="preserve"> isolates</w:t>
      </w:r>
      <w:r w:rsidR="004B5464">
        <w:rPr>
          <w:i w:val="0"/>
          <w:iCs w:val="0"/>
          <w:color w:val="000000" w:themeColor="text1"/>
          <w:sz w:val="24"/>
          <w:szCs w:val="24"/>
        </w:rPr>
        <w:t xml:space="preserve">: </w:t>
      </w:r>
      <w:r w:rsidR="007176C0" w:rsidRPr="007176C0">
        <w:rPr>
          <w:i w:val="0"/>
          <w:iCs w:val="0"/>
          <w:color w:val="000000" w:themeColor="text1"/>
          <w:sz w:val="24"/>
          <w:szCs w:val="24"/>
        </w:rPr>
        <w:t>PBB study 2</w:t>
      </w:r>
      <w:bookmarkEnd w:id="217"/>
    </w:p>
    <w:p w14:paraId="1177E59A" w14:textId="12E347FA" w:rsidR="0072075E" w:rsidRPr="007176C0" w:rsidRDefault="0072075E" w:rsidP="0064056D">
      <w:pPr>
        <w:spacing w:line="276" w:lineRule="auto"/>
        <w:rPr>
          <w:i/>
          <w:iCs/>
        </w:rPr>
      </w:pPr>
      <w:r w:rsidRPr="007176C0">
        <w:rPr>
          <w:i/>
          <w:iCs/>
        </w:rPr>
        <w:t xml:space="preserve">Two observational cohorts </w:t>
      </w:r>
      <w:r w:rsidR="00B6125F">
        <w:rPr>
          <w:i/>
          <w:iCs/>
        </w:rPr>
        <w:t xml:space="preserve">each </w:t>
      </w:r>
      <w:r w:rsidRPr="007176C0">
        <w:rPr>
          <w:i/>
          <w:iCs/>
        </w:rPr>
        <w:t>of 15 children with a diagnosis of PBB had sequential DNPS taken every 4 months over a 12-20 month study period. One group received prophylactic azithromycin (A) and the other did not (C). Each participant is represented by a single column on the X-axis and each of the swabs on the Y-Axis. The presented results show swabs with growth of H. influenza</w:t>
      </w:r>
      <w:r w:rsidR="00B6125F">
        <w:rPr>
          <w:i/>
          <w:iCs/>
        </w:rPr>
        <w:t>e</w:t>
      </w:r>
      <w:r w:rsidRPr="007176C0">
        <w:rPr>
          <w:i/>
          <w:iCs/>
        </w:rPr>
        <w:t xml:space="preserve"> and whether these were azithromycin susceptible or resistant. Azithromycin susceptibility based on minimum inhibitory concentrations as per the standard EUCAST breakpoint tables: MIC &gt; 4mg/L</w:t>
      </w:r>
      <w:r w:rsidR="003C53CE">
        <w:rPr>
          <w:i/>
          <w:iCs/>
        </w:rPr>
        <w:t xml:space="preserve"> = resistant</w:t>
      </w:r>
      <w:r w:rsidRPr="007176C0">
        <w:rPr>
          <w:i/>
          <w:iCs/>
        </w:rPr>
        <w:t>. Coloured circles under each participant represent the duration from the last course of macrolide antibiotic to the start of the study.</w:t>
      </w:r>
      <w:r w:rsidR="00A37233" w:rsidRPr="007176C0">
        <w:rPr>
          <w:i/>
          <w:iCs/>
        </w:rPr>
        <w:t xml:space="preserve"> (C15, first swab had 2 separate isolates: MIC 4 and MIC 6)</w:t>
      </w:r>
    </w:p>
    <w:p w14:paraId="45EC8BBA" w14:textId="4EA47641" w:rsidR="009C50A4" w:rsidRDefault="009C50A4" w:rsidP="00241369"/>
    <w:p w14:paraId="0B3B2319" w14:textId="77777777" w:rsidR="004E39EF" w:rsidRDefault="004E39EF" w:rsidP="00AD4163">
      <w:pPr>
        <w:spacing w:line="360" w:lineRule="auto"/>
      </w:pPr>
    </w:p>
    <w:p w14:paraId="7B41229B" w14:textId="77777777" w:rsidR="004E39EF" w:rsidRDefault="004E39EF" w:rsidP="00AD4163">
      <w:pPr>
        <w:spacing w:line="360" w:lineRule="auto"/>
      </w:pPr>
    </w:p>
    <w:p w14:paraId="322C503B" w14:textId="76BE3D43" w:rsidR="00AD4163" w:rsidRDefault="00AD4163" w:rsidP="00AD4163">
      <w:pPr>
        <w:spacing w:line="360" w:lineRule="auto"/>
      </w:pPr>
      <w:r>
        <w:lastRenderedPageBreak/>
        <w:t>The above results broadly support the findings reported in PBB study 1. In PBB study 1, 68% of the swabs in the comparison group grew bacteria with 5</w:t>
      </w:r>
      <w:r w:rsidR="001245B0">
        <w:t>8</w:t>
      </w:r>
      <w:r>
        <w:t>% of the isolates being resistant to azithromycin. This is very similar to the comparison group in PBB study 2 where 6</w:t>
      </w:r>
      <w:r w:rsidR="001245B0">
        <w:t>0</w:t>
      </w:r>
      <w:r>
        <w:t>% of the swabs grew bacteria and 5</w:t>
      </w:r>
      <w:r w:rsidR="001245B0">
        <w:t>5</w:t>
      </w:r>
      <w:r>
        <w:t xml:space="preserve">% </w:t>
      </w:r>
      <w:r w:rsidR="001245B0">
        <w:t xml:space="preserve">of the isolates </w:t>
      </w:r>
      <w:r>
        <w:t>were resistant to azithromycin. In PBB study 1, 49% of the swabs grew bacteria in the azithromycin group compared to 4</w:t>
      </w:r>
      <w:r w:rsidR="001245B0">
        <w:t>4</w:t>
      </w:r>
      <w:r>
        <w:t>% in the azithromycin group of PBB study 2. There was however a higher percentage of azithromycin resistant bacteria in the azithromycin group of study PBB2 compared to that of PBB study 1, 7</w:t>
      </w:r>
      <w:r w:rsidR="001245B0">
        <w:t>9</w:t>
      </w:r>
      <w:r>
        <w:t xml:space="preserve">% vs </w:t>
      </w:r>
      <w:r w:rsidR="00A40118">
        <w:t>52</w:t>
      </w:r>
      <w:r>
        <w:t xml:space="preserve">% respectively. Azithromycin resistance was again predominantly driven by resistant </w:t>
      </w:r>
      <w:r w:rsidRPr="00A559BC">
        <w:rPr>
          <w:i/>
          <w:iCs/>
        </w:rPr>
        <w:t>S. pneumoniae</w:t>
      </w:r>
      <w:r>
        <w:t xml:space="preserve"> in PBB study 2</w:t>
      </w:r>
      <w:r w:rsidR="000B2615">
        <w:t xml:space="preserve"> although most resistant isolates had MICs of ≤ 4mg/ml</w:t>
      </w:r>
      <w:r>
        <w:t xml:space="preserve">. Within the azithromycin group of PBB study 2 there was, as in PBB study 1, a trend towards a reduction of </w:t>
      </w:r>
      <w:r w:rsidRPr="0064056D">
        <w:rPr>
          <w:i/>
          <w:iCs/>
        </w:rPr>
        <w:t>H. influenzae</w:t>
      </w:r>
      <w:r>
        <w:t xml:space="preserve"> following exposure to azithromycin yet in PBB study 2 a greater </w:t>
      </w:r>
      <w:r w:rsidR="000B2615">
        <w:t xml:space="preserve">(though still small) </w:t>
      </w:r>
      <w:r>
        <w:t xml:space="preserve">number of azithromycin resistant </w:t>
      </w:r>
      <w:r w:rsidRPr="00A559BC">
        <w:rPr>
          <w:i/>
          <w:iCs/>
        </w:rPr>
        <w:t>S. aureus</w:t>
      </w:r>
      <w:r>
        <w:t xml:space="preserve"> were isolated than in PBB study 1. </w:t>
      </w:r>
    </w:p>
    <w:p w14:paraId="49767434" w14:textId="77777777" w:rsidR="00AD4163" w:rsidRDefault="00AD4163" w:rsidP="001507EE">
      <w:pPr>
        <w:spacing w:line="360" w:lineRule="auto"/>
      </w:pPr>
    </w:p>
    <w:p w14:paraId="34EB4FCB" w14:textId="5681FC18" w:rsidR="00490068" w:rsidRPr="005944F7" w:rsidRDefault="00490068" w:rsidP="00752DA8">
      <w:pPr>
        <w:pStyle w:val="Heading3"/>
      </w:pPr>
      <w:bookmarkStart w:id="218" w:name="_Toc117765981"/>
      <w:r w:rsidRPr="005944F7">
        <w:t>Azithromycin MIC data</w:t>
      </w:r>
      <w:bookmarkEnd w:id="218"/>
      <w:r w:rsidRPr="005944F7">
        <w:t xml:space="preserve"> </w:t>
      </w:r>
    </w:p>
    <w:p w14:paraId="6B634AE4" w14:textId="32082DBF" w:rsidR="00973D47" w:rsidRDefault="00973D47" w:rsidP="00AA5F80">
      <w:pPr>
        <w:pStyle w:val="Caption"/>
        <w:keepNext/>
        <w:spacing w:after="0" w:line="360" w:lineRule="auto"/>
        <w:rPr>
          <w:i w:val="0"/>
          <w:iCs w:val="0"/>
          <w:color w:val="auto"/>
          <w:sz w:val="24"/>
          <w:szCs w:val="24"/>
        </w:rPr>
      </w:pPr>
      <w:r w:rsidRPr="00A84CB6">
        <w:rPr>
          <w:i w:val="0"/>
          <w:iCs w:val="0"/>
          <w:color w:val="auto"/>
          <w:sz w:val="24"/>
          <w:szCs w:val="24"/>
        </w:rPr>
        <w:t xml:space="preserve">The azithromycin MIC data for each isolate </w:t>
      </w:r>
      <w:r>
        <w:rPr>
          <w:i w:val="0"/>
          <w:iCs w:val="0"/>
          <w:color w:val="auto"/>
          <w:sz w:val="24"/>
          <w:szCs w:val="24"/>
        </w:rPr>
        <w:t>from both the</w:t>
      </w:r>
      <w:r w:rsidRPr="008F6FBE">
        <w:rPr>
          <w:i w:val="0"/>
          <w:iCs w:val="0"/>
          <w:color w:val="auto"/>
          <w:sz w:val="24"/>
          <w:szCs w:val="24"/>
        </w:rPr>
        <w:t xml:space="preserve"> comparison and azithromycin group</w:t>
      </w:r>
      <w:r>
        <w:rPr>
          <w:i w:val="0"/>
          <w:iCs w:val="0"/>
          <w:color w:val="auto"/>
          <w:sz w:val="24"/>
          <w:szCs w:val="24"/>
        </w:rPr>
        <w:t>s</w:t>
      </w:r>
      <w:r w:rsidRPr="008F6FBE">
        <w:rPr>
          <w:i w:val="0"/>
          <w:iCs w:val="0"/>
          <w:color w:val="auto"/>
          <w:sz w:val="24"/>
          <w:szCs w:val="24"/>
        </w:rPr>
        <w:t xml:space="preserve"> </w:t>
      </w:r>
      <w:r>
        <w:rPr>
          <w:i w:val="0"/>
          <w:iCs w:val="0"/>
          <w:color w:val="auto"/>
          <w:sz w:val="24"/>
          <w:szCs w:val="24"/>
        </w:rPr>
        <w:t xml:space="preserve">in PBB study 2 </w:t>
      </w:r>
      <w:r w:rsidRPr="008F6FBE">
        <w:rPr>
          <w:i w:val="0"/>
          <w:iCs w:val="0"/>
          <w:color w:val="auto"/>
          <w:sz w:val="24"/>
          <w:szCs w:val="24"/>
        </w:rPr>
        <w:t xml:space="preserve">are presented in </w:t>
      </w:r>
      <w:r w:rsidR="00EB6BA0" w:rsidRPr="00EB6BA0">
        <w:rPr>
          <w:i w:val="0"/>
          <w:iCs w:val="0"/>
          <w:color w:val="auto"/>
          <w:sz w:val="24"/>
          <w:szCs w:val="24"/>
        </w:rPr>
        <w:fldChar w:fldCharType="begin"/>
      </w:r>
      <w:r w:rsidR="00EB6BA0" w:rsidRPr="00EB6BA0">
        <w:rPr>
          <w:i w:val="0"/>
          <w:iCs w:val="0"/>
          <w:color w:val="auto"/>
          <w:sz w:val="24"/>
          <w:szCs w:val="24"/>
        </w:rPr>
        <w:instrText xml:space="preserve"> REF _Ref105508653 \h  \* MERGEFORMAT </w:instrText>
      </w:r>
      <w:r w:rsidR="00EB6BA0" w:rsidRPr="00EB6BA0">
        <w:rPr>
          <w:i w:val="0"/>
          <w:iCs w:val="0"/>
          <w:color w:val="auto"/>
          <w:sz w:val="24"/>
          <w:szCs w:val="24"/>
        </w:rPr>
      </w:r>
      <w:r w:rsidR="00EB6BA0" w:rsidRPr="00EB6BA0">
        <w:rPr>
          <w:i w:val="0"/>
          <w:iCs w:val="0"/>
          <w:color w:val="auto"/>
          <w:sz w:val="24"/>
          <w:szCs w:val="24"/>
        </w:rPr>
        <w:fldChar w:fldCharType="separate"/>
      </w:r>
      <w:r w:rsidR="00EB6BA0" w:rsidRPr="00EB6BA0">
        <w:rPr>
          <w:i w:val="0"/>
          <w:iCs w:val="0"/>
          <w:color w:val="000000" w:themeColor="text1"/>
          <w:sz w:val="24"/>
          <w:szCs w:val="24"/>
        </w:rPr>
        <w:t xml:space="preserve">Figure </w:t>
      </w:r>
      <w:r w:rsidR="00EB6BA0" w:rsidRPr="00EB6BA0">
        <w:rPr>
          <w:i w:val="0"/>
          <w:iCs w:val="0"/>
          <w:noProof/>
          <w:color w:val="000000" w:themeColor="text1"/>
          <w:sz w:val="24"/>
          <w:szCs w:val="24"/>
        </w:rPr>
        <w:t>4</w:t>
      </w:r>
      <w:r w:rsidR="00EB6BA0" w:rsidRPr="00EB6BA0">
        <w:rPr>
          <w:i w:val="0"/>
          <w:iCs w:val="0"/>
          <w:color w:val="000000" w:themeColor="text1"/>
          <w:sz w:val="24"/>
          <w:szCs w:val="24"/>
        </w:rPr>
        <w:noBreakHyphen/>
      </w:r>
      <w:r w:rsidR="00EB6BA0" w:rsidRPr="00EB6BA0">
        <w:rPr>
          <w:i w:val="0"/>
          <w:iCs w:val="0"/>
          <w:noProof/>
          <w:color w:val="000000" w:themeColor="text1"/>
          <w:sz w:val="24"/>
          <w:szCs w:val="24"/>
        </w:rPr>
        <w:t>11</w:t>
      </w:r>
      <w:r w:rsidR="00EB6BA0" w:rsidRPr="00EB6BA0">
        <w:rPr>
          <w:i w:val="0"/>
          <w:iCs w:val="0"/>
          <w:color w:val="auto"/>
          <w:sz w:val="24"/>
          <w:szCs w:val="24"/>
        </w:rPr>
        <w:fldChar w:fldCharType="end"/>
      </w:r>
      <w:r>
        <w:rPr>
          <w:i w:val="0"/>
          <w:iCs w:val="0"/>
          <w:color w:val="auto"/>
          <w:sz w:val="24"/>
          <w:szCs w:val="24"/>
        </w:rPr>
        <w:t xml:space="preserve">. </w:t>
      </w:r>
      <w:r w:rsidRPr="00540937">
        <w:rPr>
          <w:color w:val="auto"/>
          <w:sz w:val="24"/>
          <w:szCs w:val="24"/>
        </w:rPr>
        <w:t>S. pneumoniae</w:t>
      </w:r>
      <w:r>
        <w:rPr>
          <w:i w:val="0"/>
          <w:iCs w:val="0"/>
          <w:color w:val="auto"/>
          <w:sz w:val="24"/>
          <w:szCs w:val="24"/>
        </w:rPr>
        <w:t xml:space="preserve"> isolates from subjects in study PBB2 showed frequent but low level azithromycin resistance with the median level of 1.5 mg/L (17 isolates). A smaller number of highly resistant </w:t>
      </w:r>
      <w:r w:rsidRPr="00540937">
        <w:rPr>
          <w:color w:val="auto"/>
          <w:sz w:val="24"/>
          <w:szCs w:val="24"/>
        </w:rPr>
        <w:t>S. pneumoniae</w:t>
      </w:r>
      <w:r>
        <w:rPr>
          <w:color w:val="auto"/>
          <w:sz w:val="24"/>
          <w:szCs w:val="24"/>
        </w:rPr>
        <w:t xml:space="preserve"> </w:t>
      </w:r>
      <w:r>
        <w:rPr>
          <w:i w:val="0"/>
          <w:iCs w:val="0"/>
          <w:color w:val="auto"/>
          <w:sz w:val="24"/>
          <w:szCs w:val="24"/>
        </w:rPr>
        <w:t>isolates were identified (</w:t>
      </w:r>
      <w:r w:rsidR="00EB6BA0">
        <w:rPr>
          <w:i w:val="0"/>
          <w:iCs w:val="0"/>
          <w:color w:val="auto"/>
          <w:sz w:val="24"/>
          <w:szCs w:val="24"/>
        </w:rPr>
        <w:t>5 isolates</w:t>
      </w:r>
      <w:r w:rsidR="00877170">
        <w:rPr>
          <w:i w:val="0"/>
          <w:iCs w:val="0"/>
          <w:color w:val="auto"/>
          <w:sz w:val="24"/>
          <w:szCs w:val="24"/>
        </w:rPr>
        <w:t xml:space="preserve"> </w:t>
      </w:r>
      <w:r w:rsidR="00EB6BA0">
        <w:rPr>
          <w:i w:val="0"/>
          <w:iCs w:val="0"/>
          <w:color w:val="auto"/>
          <w:sz w:val="24"/>
          <w:szCs w:val="24"/>
        </w:rPr>
        <w:t xml:space="preserve">with </w:t>
      </w:r>
      <w:r>
        <w:rPr>
          <w:i w:val="0"/>
          <w:iCs w:val="0"/>
          <w:color w:val="auto"/>
          <w:sz w:val="24"/>
          <w:szCs w:val="24"/>
        </w:rPr>
        <w:t xml:space="preserve">MIC &gt;256 mg/L). The majority of </w:t>
      </w:r>
      <w:r w:rsidRPr="00540937">
        <w:rPr>
          <w:color w:val="auto"/>
          <w:sz w:val="24"/>
          <w:szCs w:val="24"/>
        </w:rPr>
        <w:t>H. influenzae</w:t>
      </w:r>
      <w:r>
        <w:rPr>
          <w:i w:val="0"/>
          <w:iCs w:val="0"/>
          <w:color w:val="auto"/>
          <w:sz w:val="24"/>
          <w:szCs w:val="24"/>
        </w:rPr>
        <w:t xml:space="preserve"> isolates are azithromycin susceptible with some low level resistance. The results are consistent with the findings from PBB study 1.</w:t>
      </w:r>
    </w:p>
    <w:p w14:paraId="6DA2C0C7" w14:textId="33335141" w:rsidR="00877170" w:rsidRPr="00877170" w:rsidRDefault="00FA2D62" w:rsidP="004E39EF">
      <w:pPr>
        <w:spacing w:after="160" w:line="259" w:lineRule="auto"/>
      </w:pPr>
      <w:r>
        <w:br w:type="page"/>
      </w:r>
    </w:p>
    <w:p w14:paraId="1C4BCAF7" w14:textId="5BDCB89A" w:rsidR="004D1910" w:rsidRDefault="00EB0610" w:rsidP="004D1910">
      <w:pPr>
        <w:keepNext/>
      </w:pPr>
      <w:r>
        <w:rPr>
          <w:noProof/>
        </w:rPr>
        <w:lastRenderedPageBreak/>
        <mc:AlternateContent>
          <mc:Choice Requires="wps">
            <w:drawing>
              <wp:anchor distT="0" distB="0" distL="114299" distR="114299" simplePos="0" relativeHeight="251886080" behindDoc="0" locked="0" layoutInCell="1" allowOverlap="1" wp14:anchorId="6E6CD7F7" wp14:editId="5BFEDFCE">
                <wp:simplePos x="0" y="0"/>
                <wp:positionH relativeFrom="column">
                  <wp:posOffset>1304289</wp:posOffset>
                </wp:positionH>
                <wp:positionV relativeFrom="paragraph">
                  <wp:posOffset>479425</wp:posOffset>
                </wp:positionV>
                <wp:extent cx="0" cy="1419225"/>
                <wp:effectExtent l="0" t="0" r="19050" b="9525"/>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19225"/>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44CF76" id="Straight Connector 429" o:spid="_x0000_s1026" style="position:absolute;z-index:25188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2.7pt,37.75pt" to="102.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" strokecolor="red" strokeweight="1pt">
                <v:stroke dashstyle="3 1" joinstyle="miter"/>
                <o:lock v:ext="edit" shapetype="f"/>
              </v:line>
            </w:pict>
          </mc:Fallback>
        </mc:AlternateContent>
      </w:r>
      <w:r w:rsidR="00C6611B">
        <w:rPr>
          <w:noProof/>
        </w:rPr>
        <w:drawing>
          <wp:inline distT="0" distB="0" distL="0" distR="0" wp14:anchorId="17B4BDD4" wp14:editId="5A7A7E4E">
            <wp:extent cx="5429250" cy="2743200"/>
            <wp:effectExtent l="0" t="0" r="0" b="0"/>
            <wp:docPr id="6" name="Chart 6">
              <a:extLst xmlns:a="http://schemas.openxmlformats.org/drawingml/2006/main">
                <a:ext uri="{FF2B5EF4-FFF2-40B4-BE49-F238E27FC236}">
                  <a16:creationId xmlns:a16="http://schemas.microsoft.com/office/drawing/2014/main" id="{FE91A9D2-BBA0-4417-B99E-896FB4924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F921034" w14:textId="0F581C13" w:rsidR="00C6611B" w:rsidRDefault="00C6611B">
      <w:pPr>
        <w:pStyle w:val="ListParagraph"/>
        <w:numPr>
          <w:ilvl w:val="0"/>
          <w:numId w:val="49"/>
        </w:numPr>
      </w:pPr>
    </w:p>
    <w:p w14:paraId="104F43FF" w14:textId="77777777" w:rsidR="004C0BBB" w:rsidRDefault="004C0BBB" w:rsidP="00973D47">
      <w:pPr>
        <w:keepNext/>
      </w:pPr>
    </w:p>
    <w:p w14:paraId="15AFA22F" w14:textId="59258AEB" w:rsidR="00973D47" w:rsidRDefault="00E345C3" w:rsidP="00973D47">
      <w:pPr>
        <w:keepNext/>
      </w:pPr>
      <w:r>
        <w:rPr>
          <w:noProof/>
        </w:rPr>
        <mc:AlternateContent>
          <mc:Choice Requires="wps">
            <w:drawing>
              <wp:anchor distT="0" distB="0" distL="114299" distR="114299" simplePos="0" relativeHeight="251888128" behindDoc="0" locked="0" layoutInCell="1" allowOverlap="1" wp14:anchorId="4CEB426C" wp14:editId="4842B8DC">
                <wp:simplePos x="0" y="0"/>
                <wp:positionH relativeFrom="column">
                  <wp:posOffset>1906498</wp:posOffset>
                </wp:positionH>
                <wp:positionV relativeFrom="paragraph">
                  <wp:posOffset>180975</wp:posOffset>
                </wp:positionV>
                <wp:extent cx="0" cy="1954062"/>
                <wp:effectExtent l="0" t="0" r="38100" b="27305"/>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4062"/>
                        </a:xfrm>
                        <a:prstGeom prst="line">
                          <a:avLst/>
                        </a:prstGeom>
                        <a:noFill/>
                        <a:ln w="12700" cap="flat" cmpd="sng" algn="ctr">
                          <a:solidFill>
                            <a:srgbClr val="FF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8EC46B" id="Straight Connector 428" o:spid="_x0000_s1026" style="position:absolute;z-index:25188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1pt,14.25pt" to="150.1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" strokecolor="red" strokeweight="1pt">
                <v:stroke dashstyle="3 1" joinstyle="miter"/>
                <o:lock v:ext="edit" shapetype="f"/>
              </v:line>
            </w:pict>
          </mc:Fallback>
        </mc:AlternateContent>
      </w:r>
      <w:r>
        <w:rPr>
          <w:noProof/>
        </w:rPr>
        <w:drawing>
          <wp:inline distT="0" distB="0" distL="0" distR="0" wp14:anchorId="6A0093CA" wp14:editId="7DEA733C">
            <wp:extent cx="5429250" cy="2743200"/>
            <wp:effectExtent l="0" t="0" r="0" b="0"/>
            <wp:docPr id="1" name="Chart 1">
              <a:extLst xmlns:a="http://schemas.openxmlformats.org/drawingml/2006/main">
                <a:ext uri="{FF2B5EF4-FFF2-40B4-BE49-F238E27FC236}">
                  <a16:creationId xmlns:a16="http://schemas.microsoft.com/office/drawing/2014/main" id="{9913B880-23A1-6860-BAA2-5F61FBD19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5C4222" w14:textId="5FFABDC7" w:rsidR="00E345C3" w:rsidRDefault="00E345C3" w:rsidP="00973D47">
      <w:pPr>
        <w:keepNext/>
      </w:pPr>
    </w:p>
    <w:p w14:paraId="2C9604E4" w14:textId="77777777" w:rsidR="004C0BBB" w:rsidRPr="004C0BBB" w:rsidRDefault="004C0BBB">
      <w:pPr>
        <w:pStyle w:val="Caption"/>
        <w:numPr>
          <w:ilvl w:val="0"/>
          <w:numId w:val="49"/>
        </w:numPr>
        <w:rPr>
          <w:i w:val="0"/>
          <w:iCs w:val="0"/>
          <w:color w:val="000000" w:themeColor="text1"/>
          <w:sz w:val="24"/>
          <w:szCs w:val="24"/>
        </w:rPr>
      </w:pPr>
      <w:bookmarkStart w:id="219" w:name="_Ref105508653"/>
    </w:p>
    <w:p w14:paraId="6007EF9B" w14:textId="370D9E4D" w:rsidR="00C6611B" w:rsidRPr="00973D47" w:rsidRDefault="00973D47" w:rsidP="00973D47">
      <w:pPr>
        <w:pStyle w:val="Caption"/>
        <w:rPr>
          <w:i w:val="0"/>
          <w:iCs w:val="0"/>
          <w:sz w:val="24"/>
          <w:szCs w:val="24"/>
        </w:rPr>
      </w:pPr>
      <w:bookmarkStart w:id="220" w:name="_Toc117780228"/>
      <w:r w:rsidRPr="00973D47">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11</w:t>
      </w:r>
      <w:r w:rsidR="00F42C6F">
        <w:rPr>
          <w:b/>
          <w:bCs/>
          <w:i w:val="0"/>
          <w:iCs w:val="0"/>
          <w:color w:val="000000" w:themeColor="text1"/>
          <w:sz w:val="24"/>
          <w:szCs w:val="24"/>
        </w:rPr>
        <w:fldChar w:fldCharType="end"/>
      </w:r>
      <w:bookmarkEnd w:id="219"/>
      <w:r w:rsidRPr="00973D47">
        <w:rPr>
          <w:i w:val="0"/>
          <w:iCs w:val="0"/>
          <w:color w:val="000000" w:themeColor="text1"/>
          <w:sz w:val="24"/>
          <w:szCs w:val="24"/>
        </w:rPr>
        <w:t>: MIC distributions of bacterial isolates from PBB study 2</w:t>
      </w:r>
      <w:r>
        <w:rPr>
          <w:i w:val="0"/>
          <w:iCs w:val="0"/>
          <w:color w:val="000000" w:themeColor="text1"/>
          <w:sz w:val="24"/>
          <w:szCs w:val="24"/>
        </w:rPr>
        <w:t>.</w:t>
      </w:r>
      <w:bookmarkEnd w:id="220"/>
    </w:p>
    <w:p w14:paraId="025E0D13" w14:textId="481C8637" w:rsidR="00123CB7" w:rsidRPr="00965EEB" w:rsidRDefault="00973D47" w:rsidP="00123CB7">
      <w:pPr>
        <w:rPr>
          <w:i/>
          <w:iCs/>
        </w:rPr>
      </w:pPr>
      <w:r w:rsidRPr="00965EEB">
        <w:rPr>
          <w:rFonts w:cstheme="minorHAnsi"/>
          <w:i/>
          <w:iCs/>
        </w:rPr>
        <w:t xml:space="preserve">Azithromycin MIC results for bacterial isolates obtained during PBB study 2. Azithromycin susceptibility was tested using E-test strips. Susceptibility was determined using the EUCAST break points for each </w:t>
      </w:r>
      <w:r w:rsidR="00BF42A8">
        <w:rPr>
          <w:rFonts w:cstheme="minorHAnsi"/>
          <w:i/>
          <w:iCs/>
        </w:rPr>
        <w:t>isolate</w:t>
      </w:r>
      <w:r w:rsidRPr="00965EEB">
        <w:rPr>
          <w:rFonts w:cstheme="minorHAnsi"/>
          <w:i/>
          <w:iCs/>
        </w:rPr>
        <w:t xml:space="preserve">. The dotted red line indicates the breakpoint. Zero denotes isolates where an MIC was not tested due to laboratory errors. A: S. pneumoniae, </w:t>
      </w:r>
      <w:r w:rsidR="00B6125F">
        <w:rPr>
          <w:rFonts w:cstheme="minorHAnsi"/>
          <w:i/>
          <w:iCs/>
        </w:rPr>
        <w:t xml:space="preserve">B: </w:t>
      </w:r>
      <w:r w:rsidRPr="00965EEB">
        <w:rPr>
          <w:rFonts w:cstheme="minorHAnsi"/>
          <w:i/>
          <w:iCs/>
        </w:rPr>
        <w:t>H. influenzae.</w:t>
      </w:r>
      <w:r w:rsidR="00CB6488">
        <w:rPr>
          <w:rFonts w:cstheme="minorHAnsi"/>
          <w:i/>
          <w:iCs/>
        </w:rPr>
        <w:t xml:space="preserve"> Dashed red lines indicate EUCAST breakpoints</w:t>
      </w:r>
      <w:r w:rsidR="000B2615">
        <w:rPr>
          <w:rFonts w:cstheme="minorHAnsi"/>
          <w:i/>
          <w:iCs/>
        </w:rPr>
        <w:t>.</w:t>
      </w:r>
    </w:p>
    <w:p w14:paraId="21B2F47E" w14:textId="77777777" w:rsidR="00490068" w:rsidRPr="00B60BE9" w:rsidRDefault="00490068" w:rsidP="001507EE">
      <w:pPr>
        <w:spacing w:line="360" w:lineRule="auto"/>
      </w:pPr>
    </w:p>
    <w:p w14:paraId="685CB4EC" w14:textId="48844139" w:rsidR="00221AF8" w:rsidRPr="005944F7" w:rsidRDefault="00221AF8" w:rsidP="00752DA8">
      <w:pPr>
        <w:pStyle w:val="Heading3"/>
      </w:pPr>
      <w:bookmarkStart w:id="221" w:name="_Toc117765982"/>
      <w:r w:rsidRPr="005944F7">
        <w:lastRenderedPageBreak/>
        <w:t>Antibiotic exposure during the study period PBB study 2</w:t>
      </w:r>
      <w:bookmarkEnd w:id="221"/>
    </w:p>
    <w:p w14:paraId="26E87885" w14:textId="3D8292DB" w:rsidR="00EA45D1" w:rsidRDefault="00EA45D1" w:rsidP="0064056D">
      <w:pPr>
        <w:spacing w:after="160" w:line="360" w:lineRule="auto"/>
      </w:pPr>
      <w:r>
        <w:t xml:space="preserve">Through the use of hospital records, GP prescription data and parental recall, antibiotic exposure for each participant was analysed. To note, only 1 parent recorded courses of antibiotics in the study booklet provided at recruitment. </w:t>
      </w:r>
      <w:r w:rsidRPr="00F964D4">
        <w:t>GP prescription records were</w:t>
      </w:r>
      <w:r>
        <w:t xml:space="preserve"> </w:t>
      </w:r>
      <w:r w:rsidRPr="00F964D4">
        <w:t xml:space="preserve">reviewed </w:t>
      </w:r>
      <w:r>
        <w:t>for antibiotic prescriptions in 27 out of 30 cases. In 2 cases</w:t>
      </w:r>
      <w:r w:rsidR="00A40118">
        <w:t xml:space="preserve"> (1 from each of the 2 groups)</w:t>
      </w:r>
      <w:r>
        <w:t>, the participants left the study before additional consent could be obtained to review their GP prescription records and in one case</w:t>
      </w:r>
      <w:r w:rsidR="00A40118">
        <w:t xml:space="preserve"> in the azithromycin group</w:t>
      </w:r>
      <w:r>
        <w:t xml:space="preserve">, consent was not given to review the GP prescription records.  </w:t>
      </w:r>
    </w:p>
    <w:p w14:paraId="4875EC59" w14:textId="3D905BB1" w:rsidR="00415EDF" w:rsidRDefault="00EA45D1">
      <w:pPr>
        <w:spacing w:line="360" w:lineRule="auto"/>
      </w:pPr>
      <w:r w:rsidRPr="00540937">
        <w:t>The total number of acute courses of antibiotics prescribed for presumed respiratory tract infections during study period in the azithromycin group and the comparison group were 1</w:t>
      </w:r>
      <w:r w:rsidR="00C974F0" w:rsidRPr="00540937">
        <w:t>4</w:t>
      </w:r>
      <w:r w:rsidRPr="00540937">
        <w:t xml:space="preserve"> vs 2</w:t>
      </w:r>
      <w:r w:rsidR="00C974F0" w:rsidRPr="00540937">
        <w:t>7</w:t>
      </w:r>
      <w:r w:rsidRPr="00540937">
        <w:t xml:space="preserve"> courses respectively, see </w:t>
      </w:r>
      <w:r w:rsidR="00877170" w:rsidRPr="00877170">
        <w:rPr>
          <w:highlight w:val="yellow"/>
        </w:rPr>
        <w:fldChar w:fldCharType="begin"/>
      </w:r>
      <w:r w:rsidR="00877170" w:rsidRPr="00877170">
        <w:instrText xml:space="preserve"> REF _Ref105614077 \h </w:instrText>
      </w:r>
      <w:r w:rsidR="00877170" w:rsidRPr="00877170">
        <w:rPr>
          <w:highlight w:val="yellow"/>
        </w:rPr>
        <w:instrText xml:space="preserve"> \* MERGEFORMAT </w:instrText>
      </w:r>
      <w:r w:rsidR="00877170" w:rsidRPr="00877170">
        <w:rPr>
          <w:highlight w:val="yellow"/>
        </w:rPr>
      </w:r>
      <w:r w:rsidR="00877170" w:rsidRPr="00877170">
        <w:rPr>
          <w:highlight w:val="yellow"/>
        </w:rPr>
        <w:fldChar w:fldCharType="separate"/>
      </w:r>
      <w:r w:rsidR="00877170" w:rsidRPr="00877170">
        <w:rPr>
          <w:color w:val="000000" w:themeColor="text1"/>
        </w:rPr>
        <w:t xml:space="preserve">Table </w:t>
      </w:r>
      <w:r w:rsidR="00877170" w:rsidRPr="00877170">
        <w:rPr>
          <w:noProof/>
          <w:color w:val="000000" w:themeColor="text1"/>
        </w:rPr>
        <w:t>20</w:t>
      </w:r>
      <w:r w:rsidR="00877170" w:rsidRPr="00877170">
        <w:rPr>
          <w:highlight w:val="yellow"/>
        </w:rPr>
        <w:fldChar w:fldCharType="end"/>
      </w:r>
      <w:r w:rsidR="00877170" w:rsidRPr="00877170">
        <w:t>.</w:t>
      </w:r>
      <w:r w:rsidR="00415EDF" w:rsidRPr="00540937">
        <w:t xml:space="preserve"> </w:t>
      </w:r>
      <w:r w:rsidRPr="00540937">
        <w:t>During this period, courses of flucloxacillin, trimethoprim and penicillin were prescribed</w:t>
      </w:r>
      <w:r w:rsidR="00FE2ED2">
        <w:t xml:space="preserve"> for other indications</w:t>
      </w:r>
      <w:r w:rsidRPr="00540937">
        <w:t xml:space="preserve">. These were excluded from the total of acute antibiotics for presumed respiratory tract infections. </w:t>
      </w:r>
    </w:p>
    <w:p w14:paraId="661A665F" w14:textId="0080AF55" w:rsidR="00C83E64" w:rsidRDefault="00C83E64">
      <w:pPr>
        <w:spacing w:line="360" w:lineRule="auto"/>
      </w:pPr>
      <w:r>
        <w:t xml:space="preserve">Long term antibiotics had to be prescribed to two participants in the comparison group during the study period. Participant </w:t>
      </w:r>
      <w:r w:rsidRPr="00C83E64">
        <w:t xml:space="preserve">C7 </w:t>
      </w:r>
      <w:r>
        <w:t xml:space="preserve">was </w:t>
      </w:r>
      <w:r w:rsidR="00BF42A8">
        <w:t xml:space="preserve">unexpectedly </w:t>
      </w:r>
      <w:r w:rsidRPr="00C83E64">
        <w:t xml:space="preserve">prescribed AZM prophylaxis </w:t>
      </w:r>
      <w:r w:rsidR="00BF42A8">
        <w:t xml:space="preserve">shortly </w:t>
      </w:r>
      <w:r>
        <w:t xml:space="preserve">after the first swab was collected. </w:t>
      </w:r>
      <w:r w:rsidR="00122297">
        <w:t xml:space="preserve">Participant </w:t>
      </w:r>
      <w:r w:rsidRPr="00C83E64">
        <w:t xml:space="preserve">C10 </w:t>
      </w:r>
      <w:r w:rsidR="00122297">
        <w:t xml:space="preserve">was prescribed azithromycin prophylaxis between the first and second swabs. </w:t>
      </w:r>
      <w:r w:rsidR="00BF42A8">
        <w:t xml:space="preserve">The child </w:t>
      </w:r>
      <w:r w:rsidRPr="00C83E64">
        <w:t>did</w:t>
      </w:r>
      <w:r w:rsidR="00122297">
        <w:t xml:space="preserve"> not</w:t>
      </w:r>
      <w:r w:rsidRPr="00C83E64">
        <w:t xml:space="preserve"> tolerate </w:t>
      </w:r>
      <w:r w:rsidR="00583E3C">
        <w:t xml:space="preserve">the taste of </w:t>
      </w:r>
      <w:r w:rsidRPr="00C83E64">
        <w:t>AZM prophylaxis</w:t>
      </w:r>
      <w:r w:rsidR="00122297">
        <w:t xml:space="preserve"> and was</w:t>
      </w:r>
      <w:r w:rsidRPr="00C83E64">
        <w:t xml:space="preserve"> therefore prescribed co-amoxiclav prophylaxis</w:t>
      </w:r>
      <w:r w:rsidR="00122297">
        <w:t xml:space="preserve"> instead. </w:t>
      </w:r>
    </w:p>
    <w:p w14:paraId="5044009A" w14:textId="77777777" w:rsidR="00BF42A8" w:rsidRPr="00540937" w:rsidRDefault="00BF42A8">
      <w:pPr>
        <w:spacing w:line="360" w:lineRule="auto"/>
      </w:pPr>
    </w:p>
    <w:p w14:paraId="5CD7192F" w14:textId="58D61F86" w:rsidR="00415EDF" w:rsidRPr="00540937" w:rsidRDefault="00415EDF" w:rsidP="00AA5F80">
      <w:pPr>
        <w:pStyle w:val="Heading3"/>
        <w:numPr>
          <w:ilvl w:val="0"/>
          <w:numId w:val="0"/>
        </w:numPr>
        <w:spacing w:before="0" w:line="360" w:lineRule="auto"/>
        <w:ind w:left="720" w:hanging="720"/>
      </w:pPr>
      <w:bookmarkStart w:id="222" w:name="_Toc117765983"/>
      <w:r w:rsidRPr="00540937">
        <w:t>4.3.5.1</w:t>
      </w:r>
      <w:r w:rsidR="00FC43D8">
        <w:tab/>
      </w:r>
      <w:r w:rsidRPr="00540937">
        <w:t>Antibiotic prescriptions for presumed exacerbations of PBB</w:t>
      </w:r>
      <w:bookmarkEnd w:id="222"/>
    </w:p>
    <w:p w14:paraId="78E3B06A" w14:textId="2ADBE287" w:rsidR="008013EC" w:rsidRPr="00540937" w:rsidRDefault="00EA45D1" w:rsidP="00AA5F80">
      <w:pPr>
        <w:spacing w:line="360" w:lineRule="auto"/>
      </w:pPr>
      <w:r w:rsidRPr="00540937">
        <w:t xml:space="preserve">The number of courses of antibiotics </w:t>
      </w:r>
      <w:r w:rsidR="00877170">
        <w:t xml:space="preserve">prescribed for a duration of 2 weeks or more </w:t>
      </w:r>
      <w:r w:rsidRPr="00540937">
        <w:t>to treat presumed exacerbations of PBB</w:t>
      </w:r>
      <w:r w:rsidR="00877170">
        <w:t>,</w:t>
      </w:r>
      <w:r w:rsidRPr="00540937">
        <w:t xml:space="preserve"> was </w:t>
      </w:r>
      <w:r w:rsidR="00FE2ED2">
        <w:t xml:space="preserve">slightly </w:t>
      </w:r>
      <w:r w:rsidRPr="00540937">
        <w:t xml:space="preserve">lower in the azithromycin group compared to the comparison group, </w:t>
      </w:r>
      <w:r w:rsidR="008C0621" w:rsidRPr="00540937">
        <w:t>7 vs 11</w:t>
      </w:r>
      <w:r w:rsidR="008013EC" w:rsidRPr="00540937">
        <w:t xml:space="preserve"> courses respectively. </w:t>
      </w:r>
      <w:r w:rsidR="00A40118">
        <w:t>Th</w:t>
      </w:r>
      <w:r w:rsidR="00AE7987">
        <w:t>is</w:t>
      </w:r>
      <w:r w:rsidR="00A40118">
        <w:t xml:space="preserve"> presumption was made on the duration and choice of antibiotic, usually co-amoxiclav</w:t>
      </w:r>
      <w:r w:rsidR="00AE7987">
        <w:t xml:space="preserve"> for </w:t>
      </w:r>
      <w:r w:rsidR="00BF42A8">
        <w:t>≥</w:t>
      </w:r>
      <w:r w:rsidR="00AE7987">
        <w:t>2 weeks,</w:t>
      </w:r>
      <w:r w:rsidR="00A40118">
        <w:t xml:space="preserve"> which is recommended to treat exacerbations of PBB as per the SCH guideline (appendix </w:t>
      </w:r>
      <w:r w:rsidR="00255F83">
        <w:t>2</w:t>
      </w:r>
      <w:r w:rsidR="00A40118">
        <w:t xml:space="preserve">). </w:t>
      </w:r>
      <w:r w:rsidR="008013EC" w:rsidRPr="00540937">
        <w:t xml:space="preserve">These were prescribed </w:t>
      </w:r>
      <w:r w:rsidR="008C0621" w:rsidRPr="00540937">
        <w:t>for 3 participants in the azithromycin group and for 7 participants in the comparison group.</w:t>
      </w:r>
    </w:p>
    <w:p w14:paraId="47BBB659" w14:textId="7B61EB92" w:rsidR="008C0621" w:rsidRPr="00540937" w:rsidRDefault="000D6475" w:rsidP="0064056D">
      <w:pPr>
        <w:spacing w:after="160" w:line="360" w:lineRule="auto"/>
      </w:pPr>
      <w:r>
        <w:t xml:space="preserve">Participants were anticipated to be prescribed long term azithromycin for 6 months over the winter months. </w:t>
      </w:r>
      <w:r w:rsidR="00BF42A8">
        <w:t xml:space="preserve">Due to COVID-19, the </w:t>
      </w:r>
      <w:r>
        <w:t xml:space="preserve">median duration of </w:t>
      </w:r>
      <w:r w:rsidR="00BF42A8">
        <w:t>long-term</w:t>
      </w:r>
      <w:r>
        <w:t xml:space="preserve"> azithromycin over the study period was</w:t>
      </w:r>
      <w:r w:rsidR="00BF42A8">
        <w:t xml:space="preserve"> in fact</w:t>
      </w:r>
      <w:r>
        <w:t xml:space="preserve"> 12 months (</w:t>
      </w:r>
      <w:r w:rsidR="00071DFD">
        <w:t>IQR</w:t>
      </w:r>
      <w:r>
        <w:t xml:space="preserve"> </w:t>
      </w:r>
      <w:r w:rsidR="00071DFD">
        <w:t>7.25-</w:t>
      </w:r>
      <w:r w:rsidR="00F86584">
        <w:t>12</w:t>
      </w:r>
      <w:r w:rsidR="00071DFD">
        <w:t>), mean 10.</w:t>
      </w:r>
      <w:r w:rsidR="00F86584">
        <w:t>3</w:t>
      </w:r>
      <w:r w:rsidR="00071DFD">
        <w:t xml:space="preserve"> months</w:t>
      </w:r>
      <w:r w:rsidR="00BF42A8">
        <w:t xml:space="preserve">), see </w:t>
      </w:r>
      <w:r w:rsidR="002C2741" w:rsidRPr="002C2741">
        <w:fldChar w:fldCharType="begin"/>
      </w:r>
      <w:r w:rsidR="002C2741" w:rsidRPr="002C2741">
        <w:instrText xml:space="preserve"> REF _Ref107600165 \h  \* MERGEFORMAT </w:instrText>
      </w:r>
      <w:r w:rsidR="002C2741" w:rsidRPr="002C2741">
        <w:fldChar w:fldCharType="separate"/>
      </w:r>
      <w:r w:rsidR="002C2741" w:rsidRPr="002C2741">
        <w:rPr>
          <w:color w:val="000000" w:themeColor="text1"/>
        </w:rPr>
        <w:t xml:space="preserve">Table </w:t>
      </w:r>
      <w:r w:rsidR="002C2741" w:rsidRPr="002C2741">
        <w:rPr>
          <w:noProof/>
          <w:color w:val="000000" w:themeColor="text1"/>
        </w:rPr>
        <w:t>34</w:t>
      </w:r>
      <w:r w:rsidR="002C2741" w:rsidRPr="002C2741">
        <w:fldChar w:fldCharType="end"/>
      </w:r>
      <w:r w:rsidR="00193342" w:rsidRPr="00193342">
        <w:fldChar w:fldCharType="begin"/>
      </w:r>
      <w:r w:rsidR="00193342" w:rsidRPr="00193342">
        <w:instrText xml:space="preserve"> REF _Ref107345713 \h  \* MERGEFORMAT </w:instrText>
      </w:r>
      <w:r w:rsidR="00000000">
        <w:fldChar w:fldCharType="separate"/>
      </w:r>
      <w:r w:rsidR="00193342" w:rsidRPr="00193342">
        <w:fldChar w:fldCharType="end"/>
      </w:r>
      <w:r w:rsidR="00CE1148">
        <w:t xml:space="preserve"> for azithromycin exposure details</w:t>
      </w:r>
      <w:r w:rsidRPr="00193342">
        <w:t>.</w:t>
      </w:r>
      <w:r>
        <w:t xml:space="preserve"> </w:t>
      </w:r>
      <w:r w:rsidR="00F63182">
        <w:t>Participant A15 only received azithromycin for 2 months</w:t>
      </w:r>
      <w:r w:rsidR="00C83E64">
        <w:t xml:space="preserve"> and</w:t>
      </w:r>
      <w:r w:rsidR="00F63182">
        <w:t xml:space="preserve"> was switched to co-trimoxazole due to ongoing symptoms</w:t>
      </w:r>
      <w:r w:rsidR="00D43EC1">
        <w:t xml:space="preserve"> </w:t>
      </w:r>
      <w:r w:rsidR="00BF42A8">
        <w:t>attributed to</w:t>
      </w:r>
      <w:r w:rsidR="00D43EC1">
        <w:t xml:space="preserve"> PBB</w:t>
      </w:r>
      <w:r w:rsidR="00F63182">
        <w:t xml:space="preserve">. </w:t>
      </w:r>
      <w:r w:rsidR="008C0621" w:rsidRPr="00540937">
        <w:t xml:space="preserve">Of the 7 courses prescribed to the 3 </w:t>
      </w:r>
      <w:r w:rsidR="008C0621" w:rsidRPr="00540937">
        <w:lastRenderedPageBreak/>
        <w:t>participants on long term azithromycin, 3 courses were prescribed whilst the participants were not taking long-term azithromycin.</w:t>
      </w:r>
      <w:r>
        <w:t xml:space="preserve"> </w:t>
      </w:r>
      <w:r w:rsidR="00FF4FF2" w:rsidRPr="00540937">
        <w:t xml:space="preserve">The other 4 courses were </w:t>
      </w:r>
      <w:r w:rsidR="00BF42A8">
        <w:t xml:space="preserve">all </w:t>
      </w:r>
      <w:r w:rsidR="00FF4FF2" w:rsidRPr="00540937">
        <w:t>prescribed to participant A15 and prescribed whilst on long</w:t>
      </w:r>
      <w:r w:rsidR="00025B32">
        <w:t>-</w:t>
      </w:r>
      <w:r w:rsidR="00FF4FF2" w:rsidRPr="00540937">
        <w:t>term antibiotics</w:t>
      </w:r>
      <w:r w:rsidR="00793025" w:rsidRPr="00540937">
        <w:t xml:space="preserve">. </w:t>
      </w:r>
    </w:p>
    <w:p w14:paraId="7B7F89C1" w14:textId="37856B98" w:rsidR="00793025" w:rsidRDefault="00793025" w:rsidP="00877170">
      <w:pPr>
        <w:spacing w:line="360" w:lineRule="auto"/>
      </w:pPr>
      <w:r w:rsidRPr="00540937">
        <w:t xml:space="preserve">These results are consistent with the results from PBB study 1 where fewer courses of antibiotics of &gt;2 weeks were prescribed for presumed exacerbations of PBB in the azithromycin compared to the comparison group, </w:t>
      </w:r>
      <w:r w:rsidR="002F7861" w:rsidRPr="00540937">
        <w:t>4</w:t>
      </w:r>
      <w:r w:rsidRPr="00540937">
        <w:t xml:space="preserve"> vs </w:t>
      </w:r>
      <w:r w:rsidR="002F7861" w:rsidRPr="00540937">
        <w:t>8</w:t>
      </w:r>
      <w:r w:rsidRPr="00540937">
        <w:t xml:space="preserve"> courses respectively. In PBB study 1 however</w:t>
      </w:r>
      <w:r w:rsidR="002F7861" w:rsidRPr="00540937">
        <w:t xml:space="preserve"> no such courses were prescribed whilst participants were taking long-term azithromycin. </w:t>
      </w:r>
    </w:p>
    <w:p w14:paraId="29A1D55E" w14:textId="78614CF7" w:rsidR="00993E70" w:rsidRDefault="00993E70" w:rsidP="00877170">
      <w:pPr>
        <w:spacing w:line="360" w:lineRule="auto"/>
      </w:pPr>
    </w:p>
    <w:p w14:paraId="0D54C3C0" w14:textId="32851EF6" w:rsidR="00877170" w:rsidRDefault="00877170" w:rsidP="00877170">
      <w:pPr>
        <w:pStyle w:val="Caption"/>
        <w:keepNext/>
        <w:spacing w:after="0" w:line="360" w:lineRule="auto"/>
        <w:rPr>
          <w:b/>
          <w:bCs/>
          <w:i w:val="0"/>
          <w:iCs w:val="0"/>
          <w:color w:val="000000" w:themeColor="text1"/>
          <w:sz w:val="24"/>
          <w:szCs w:val="24"/>
        </w:rPr>
      </w:pPr>
      <w:bookmarkStart w:id="223" w:name="_Ref105614077"/>
    </w:p>
    <w:p w14:paraId="3801A00E" w14:textId="77777777" w:rsidR="00993E70" w:rsidRPr="0064056D" w:rsidRDefault="00993E70" w:rsidP="00B751E5">
      <w:pPr>
        <w:rPr>
          <w:i/>
          <w:iCs/>
        </w:rPr>
      </w:pPr>
    </w:p>
    <w:p w14:paraId="797C86D1" w14:textId="13DF9F33" w:rsidR="005E2E24" w:rsidRPr="005E2E24" w:rsidRDefault="005E2E24" w:rsidP="00877170">
      <w:pPr>
        <w:pStyle w:val="Caption"/>
        <w:keepNext/>
        <w:spacing w:after="0" w:line="360" w:lineRule="auto"/>
        <w:rPr>
          <w:i w:val="0"/>
          <w:iCs w:val="0"/>
          <w:color w:val="000000" w:themeColor="text1"/>
          <w:sz w:val="24"/>
          <w:szCs w:val="24"/>
        </w:rPr>
      </w:pPr>
      <w:bookmarkStart w:id="224" w:name="_Toc117780261"/>
      <w:r w:rsidRPr="005E2E24">
        <w:rPr>
          <w:b/>
          <w:bCs/>
          <w:i w:val="0"/>
          <w:iCs w:val="0"/>
          <w:color w:val="000000" w:themeColor="text1"/>
          <w:sz w:val="24"/>
          <w:szCs w:val="24"/>
        </w:rPr>
        <w:t xml:space="preserve">Table </w:t>
      </w:r>
      <w:r w:rsidRPr="005E2E24">
        <w:rPr>
          <w:b/>
          <w:bCs/>
          <w:i w:val="0"/>
          <w:iCs w:val="0"/>
          <w:color w:val="000000" w:themeColor="text1"/>
          <w:sz w:val="24"/>
          <w:szCs w:val="24"/>
        </w:rPr>
        <w:fldChar w:fldCharType="begin"/>
      </w:r>
      <w:r w:rsidRPr="005E2E24">
        <w:rPr>
          <w:b/>
          <w:bCs/>
          <w:i w:val="0"/>
          <w:iCs w:val="0"/>
          <w:color w:val="000000" w:themeColor="text1"/>
          <w:sz w:val="24"/>
          <w:szCs w:val="24"/>
        </w:rPr>
        <w:instrText xml:space="preserve"> SEQ Table \* ARABIC </w:instrText>
      </w:r>
      <w:r w:rsidRPr="005E2E24">
        <w:rPr>
          <w:b/>
          <w:bCs/>
          <w:i w:val="0"/>
          <w:iCs w:val="0"/>
          <w:color w:val="000000" w:themeColor="text1"/>
          <w:sz w:val="24"/>
          <w:szCs w:val="24"/>
        </w:rPr>
        <w:fldChar w:fldCharType="separate"/>
      </w:r>
      <w:r w:rsidR="00592CBF">
        <w:rPr>
          <w:b/>
          <w:bCs/>
          <w:i w:val="0"/>
          <w:iCs w:val="0"/>
          <w:noProof/>
          <w:color w:val="000000" w:themeColor="text1"/>
          <w:sz w:val="24"/>
          <w:szCs w:val="24"/>
        </w:rPr>
        <w:t>20</w:t>
      </w:r>
      <w:r w:rsidRPr="005E2E24">
        <w:rPr>
          <w:b/>
          <w:bCs/>
          <w:i w:val="0"/>
          <w:iCs w:val="0"/>
          <w:color w:val="000000" w:themeColor="text1"/>
          <w:sz w:val="24"/>
          <w:szCs w:val="24"/>
        </w:rPr>
        <w:fldChar w:fldCharType="end"/>
      </w:r>
      <w:bookmarkEnd w:id="223"/>
      <w:r w:rsidRPr="005E2E24">
        <w:rPr>
          <w:i w:val="0"/>
          <w:iCs w:val="0"/>
          <w:color w:val="000000" w:themeColor="text1"/>
          <w:sz w:val="24"/>
          <w:szCs w:val="24"/>
        </w:rPr>
        <w:t>: Antibiotics courses prescribed during PBB study 2</w:t>
      </w:r>
      <w:bookmarkEnd w:id="224"/>
    </w:p>
    <w:tbl>
      <w:tblPr>
        <w:tblStyle w:val="TableGrid"/>
        <w:tblW w:w="9918" w:type="dxa"/>
        <w:tblLook w:val="04A0" w:firstRow="1" w:lastRow="0" w:firstColumn="1" w:lastColumn="0" w:noHBand="0" w:noVBand="1"/>
      </w:tblPr>
      <w:tblGrid>
        <w:gridCol w:w="4815"/>
        <w:gridCol w:w="2693"/>
        <w:gridCol w:w="2410"/>
      </w:tblGrid>
      <w:tr w:rsidR="002C31AC" w:rsidRPr="00F964D4" w14:paraId="084D9684" w14:textId="77777777" w:rsidTr="002C31AC">
        <w:tc>
          <w:tcPr>
            <w:tcW w:w="4815" w:type="dxa"/>
            <w:shd w:val="clear" w:color="auto" w:fill="BDD6EE" w:themeFill="accent1" w:themeFillTint="66"/>
          </w:tcPr>
          <w:p w14:paraId="75E39C8F" w14:textId="77777777" w:rsidR="002C31AC" w:rsidRDefault="002C31AC" w:rsidP="00B94D1B">
            <w:pPr>
              <w:rPr>
                <w:b/>
                <w:bCs/>
              </w:rPr>
            </w:pPr>
            <w:r w:rsidRPr="00F964D4">
              <w:rPr>
                <w:b/>
                <w:bCs/>
              </w:rPr>
              <w:t>Antibiotic prescribed</w:t>
            </w:r>
          </w:p>
          <w:p w14:paraId="1709B3A0" w14:textId="1FA0C649" w:rsidR="00877170" w:rsidRPr="00F964D4" w:rsidRDefault="00877170" w:rsidP="00B94D1B">
            <w:pPr>
              <w:rPr>
                <w:b/>
                <w:bCs/>
              </w:rPr>
            </w:pPr>
          </w:p>
        </w:tc>
        <w:tc>
          <w:tcPr>
            <w:tcW w:w="2693" w:type="dxa"/>
            <w:shd w:val="clear" w:color="auto" w:fill="BDD6EE" w:themeFill="accent1" w:themeFillTint="66"/>
          </w:tcPr>
          <w:p w14:paraId="35C9E5A5" w14:textId="49ED7E54" w:rsidR="002C31AC" w:rsidRPr="00F964D4" w:rsidRDefault="002C31AC" w:rsidP="00B94D1B">
            <w:pPr>
              <w:rPr>
                <w:b/>
                <w:bCs/>
              </w:rPr>
            </w:pPr>
            <w:r w:rsidRPr="00F964D4">
              <w:rPr>
                <w:b/>
                <w:bCs/>
              </w:rPr>
              <w:t>Comparison group</w:t>
            </w:r>
          </w:p>
          <w:p w14:paraId="7AA09118" w14:textId="6522F83D" w:rsidR="002C31AC" w:rsidRPr="00F964D4" w:rsidRDefault="002C31AC" w:rsidP="00B94D1B">
            <w:pPr>
              <w:rPr>
                <w:b/>
                <w:bCs/>
              </w:rPr>
            </w:pPr>
            <w:r w:rsidRPr="00F964D4">
              <w:t xml:space="preserve">N = </w:t>
            </w:r>
            <w:r>
              <w:t>15</w:t>
            </w:r>
          </w:p>
        </w:tc>
        <w:tc>
          <w:tcPr>
            <w:tcW w:w="2410" w:type="dxa"/>
            <w:shd w:val="clear" w:color="auto" w:fill="BDD6EE" w:themeFill="accent1" w:themeFillTint="66"/>
          </w:tcPr>
          <w:p w14:paraId="6FCC1C16" w14:textId="33858F7D" w:rsidR="002C31AC" w:rsidRPr="00F964D4" w:rsidRDefault="002C31AC" w:rsidP="00B94D1B">
            <w:pPr>
              <w:rPr>
                <w:b/>
                <w:bCs/>
              </w:rPr>
            </w:pPr>
            <w:r w:rsidRPr="00F964D4">
              <w:rPr>
                <w:b/>
                <w:bCs/>
              </w:rPr>
              <w:t>Azithromycin group*</w:t>
            </w:r>
          </w:p>
          <w:p w14:paraId="427B2F23" w14:textId="30AD3484" w:rsidR="002C31AC" w:rsidRPr="00F964D4" w:rsidRDefault="002C31AC" w:rsidP="00B94D1B">
            <w:pPr>
              <w:rPr>
                <w:b/>
                <w:bCs/>
              </w:rPr>
            </w:pPr>
            <w:r w:rsidRPr="00F964D4">
              <w:t xml:space="preserve">N = </w:t>
            </w:r>
            <w:r>
              <w:t>15</w:t>
            </w:r>
          </w:p>
        </w:tc>
      </w:tr>
      <w:tr w:rsidR="002C31AC" w:rsidRPr="00F964D4" w14:paraId="5D4CBA8B" w14:textId="77777777" w:rsidTr="002C31AC">
        <w:tc>
          <w:tcPr>
            <w:tcW w:w="4815" w:type="dxa"/>
            <w:shd w:val="clear" w:color="auto" w:fill="auto"/>
          </w:tcPr>
          <w:p w14:paraId="2393F95B" w14:textId="77777777" w:rsidR="002C31AC" w:rsidRPr="00F964D4" w:rsidRDefault="002C31AC" w:rsidP="00B94D1B">
            <w:r w:rsidRPr="00F964D4">
              <w:t>Amoxicillin</w:t>
            </w:r>
          </w:p>
        </w:tc>
        <w:tc>
          <w:tcPr>
            <w:tcW w:w="2693" w:type="dxa"/>
          </w:tcPr>
          <w:p w14:paraId="6570E850" w14:textId="2E47B4B4" w:rsidR="002C31AC" w:rsidRDefault="002C31AC" w:rsidP="00B94D1B">
            <w:r>
              <w:t>7</w:t>
            </w:r>
          </w:p>
        </w:tc>
        <w:tc>
          <w:tcPr>
            <w:tcW w:w="2410" w:type="dxa"/>
          </w:tcPr>
          <w:p w14:paraId="55FA74E5" w14:textId="3735E7E9" w:rsidR="002C31AC" w:rsidRDefault="002C31AC" w:rsidP="00B94D1B">
            <w:r>
              <w:t>4</w:t>
            </w:r>
          </w:p>
        </w:tc>
      </w:tr>
      <w:tr w:rsidR="002C31AC" w:rsidRPr="00F964D4" w14:paraId="78FCE881" w14:textId="77777777" w:rsidTr="002C31AC">
        <w:tc>
          <w:tcPr>
            <w:tcW w:w="4815" w:type="dxa"/>
            <w:shd w:val="clear" w:color="auto" w:fill="D9E2F3" w:themeFill="accent5" w:themeFillTint="33"/>
          </w:tcPr>
          <w:p w14:paraId="639D5C22" w14:textId="77777777" w:rsidR="002C31AC" w:rsidRPr="00F964D4" w:rsidRDefault="002C31AC" w:rsidP="00B94D1B">
            <w:r w:rsidRPr="00F964D4">
              <w:t>Azithromycin</w:t>
            </w:r>
          </w:p>
        </w:tc>
        <w:tc>
          <w:tcPr>
            <w:tcW w:w="2693" w:type="dxa"/>
            <w:shd w:val="clear" w:color="auto" w:fill="D9E2F3" w:themeFill="accent5" w:themeFillTint="33"/>
          </w:tcPr>
          <w:p w14:paraId="3D62C485" w14:textId="0FEC26D3" w:rsidR="002C31AC" w:rsidRDefault="002C31AC" w:rsidP="00B94D1B">
            <w:r>
              <w:t>3</w:t>
            </w:r>
          </w:p>
        </w:tc>
        <w:tc>
          <w:tcPr>
            <w:tcW w:w="2410" w:type="dxa"/>
            <w:shd w:val="clear" w:color="auto" w:fill="D9E2F3" w:themeFill="accent5" w:themeFillTint="33"/>
          </w:tcPr>
          <w:p w14:paraId="71FB2AA5" w14:textId="2A0EB601" w:rsidR="002C31AC" w:rsidRDefault="002C31AC" w:rsidP="00B94D1B">
            <w:r>
              <w:t>1</w:t>
            </w:r>
          </w:p>
        </w:tc>
      </w:tr>
      <w:tr w:rsidR="002C31AC" w:rsidRPr="00F964D4" w14:paraId="21F56CB7" w14:textId="77777777" w:rsidTr="002C31AC">
        <w:tc>
          <w:tcPr>
            <w:tcW w:w="4815" w:type="dxa"/>
          </w:tcPr>
          <w:p w14:paraId="19708CCF" w14:textId="77777777" w:rsidR="002C31AC" w:rsidRPr="00F964D4" w:rsidRDefault="002C31AC" w:rsidP="00B94D1B">
            <w:r w:rsidRPr="00F964D4">
              <w:t>Clarithromycin</w:t>
            </w:r>
          </w:p>
        </w:tc>
        <w:tc>
          <w:tcPr>
            <w:tcW w:w="2693" w:type="dxa"/>
          </w:tcPr>
          <w:p w14:paraId="2BD1A8E1" w14:textId="719A206D" w:rsidR="002C31AC" w:rsidRDefault="002C31AC" w:rsidP="00B94D1B">
            <w:r>
              <w:t>1</w:t>
            </w:r>
          </w:p>
        </w:tc>
        <w:tc>
          <w:tcPr>
            <w:tcW w:w="2410" w:type="dxa"/>
          </w:tcPr>
          <w:p w14:paraId="4F435B1B" w14:textId="11690E78" w:rsidR="002C31AC" w:rsidRDefault="002C31AC" w:rsidP="00B94D1B">
            <w:r>
              <w:t>0</w:t>
            </w:r>
          </w:p>
        </w:tc>
      </w:tr>
      <w:tr w:rsidR="002C31AC" w:rsidRPr="00F964D4" w14:paraId="4B518B00" w14:textId="77777777" w:rsidTr="002C31AC">
        <w:tc>
          <w:tcPr>
            <w:tcW w:w="4815" w:type="dxa"/>
            <w:shd w:val="clear" w:color="auto" w:fill="D9E2F3" w:themeFill="accent5" w:themeFillTint="33"/>
          </w:tcPr>
          <w:p w14:paraId="5F5871FC" w14:textId="77777777" w:rsidR="002C31AC" w:rsidRPr="00F964D4" w:rsidRDefault="002C31AC" w:rsidP="00B94D1B">
            <w:r w:rsidRPr="00F964D4">
              <w:t>Co-amoxiclav</w:t>
            </w:r>
          </w:p>
        </w:tc>
        <w:tc>
          <w:tcPr>
            <w:tcW w:w="2693" w:type="dxa"/>
            <w:shd w:val="clear" w:color="auto" w:fill="D9E2F3" w:themeFill="accent5" w:themeFillTint="33"/>
          </w:tcPr>
          <w:p w14:paraId="6A6FB482" w14:textId="40DAE325" w:rsidR="002C31AC" w:rsidRDefault="002C31AC" w:rsidP="00B94D1B">
            <w:r>
              <w:t>16</w:t>
            </w:r>
          </w:p>
        </w:tc>
        <w:tc>
          <w:tcPr>
            <w:tcW w:w="2410" w:type="dxa"/>
            <w:shd w:val="clear" w:color="auto" w:fill="D9E2F3" w:themeFill="accent5" w:themeFillTint="33"/>
          </w:tcPr>
          <w:p w14:paraId="50FE8BF2" w14:textId="065CDDBA" w:rsidR="002C31AC" w:rsidRDefault="002C31AC" w:rsidP="00B94D1B">
            <w:r>
              <w:t>9</w:t>
            </w:r>
          </w:p>
        </w:tc>
      </w:tr>
      <w:tr w:rsidR="002C31AC" w:rsidRPr="00F964D4" w14:paraId="62A98B4D" w14:textId="77777777" w:rsidTr="002C31AC">
        <w:tc>
          <w:tcPr>
            <w:tcW w:w="4815" w:type="dxa"/>
          </w:tcPr>
          <w:p w14:paraId="124E4B5B" w14:textId="77777777" w:rsidR="002C31AC" w:rsidRPr="00F964D4" w:rsidRDefault="002C31AC" w:rsidP="00B94D1B">
            <w:r w:rsidRPr="00F964D4">
              <w:t>Flucloxacillin</w:t>
            </w:r>
            <w:r>
              <w:t xml:space="preserve"> (skin infection)</w:t>
            </w:r>
          </w:p>
        </w:tc>
        <w:tc>
          <w:tcPr>
            <w:tcW w:w="2693" w:type="dxa"/>
          </w:tcPr>
          <w:p w14:paraId="1BA22935" w14:textId="2848CB80" w:rsidR="002C31AC" w:rsidRDefault="002C31AC" w:rsidP="00B94D1B">
            <w:r>
              <w:t>1</w:t>
            </w:r>
          </w:p>
        </w:tc>
        <w:tc>
          <w:tcPr>
            <w:tcW w:w="2410" w:type="dxa"/>
          </w:tcPr>
          <w:p w14:paraId="003984BF" w14:textId="33B2CAAA" w:rsidR="002C31AC" w:rsidRDefault="002C31AC" w:rsidP="00B94D1B">
            <w:r>
              <w:t>0</w:t>
            </w:r>
          </w:p>
        </w:tc>
      </w:tr>
      <w:tr w:rsidR="002C31AC" w:rsidRPr="00F964D4" w14:paraId="1B4239E3" w14:textId="77777777" w:rsidTr="002C31AC">
        <w:tc>
          <w:tcPr>
            <w:tcW w:w="4815" w:type="dxa"/>
            <w:shd w:val="clear" w:color="auto" w:fill="D9E2F3" w:themeFill="accent5" w:themeFillTint="33"/>
          </w:tcPr>
          <w:p w14:paraId="1D51E8CF" w14:textId="77777777" w:rsidR="002C31AC" w:rsidRPr="00F964D4" w:rsidRDefault="002C31AC" w:rsidP="00B94D1B">
            <w:r>
              <w:t>Penicillin (tonsilitis)</w:t>
            </w:r>
          </w:p>
        </w:tc>
        <w:tc>
          <w:tcPr>
            <w:tcW w:w="2693" w:type="dxa"/>
            <w:shd w:val="clear" w:color="auto" w:fill="D9E2F3" w:themeFill="accent5" w:themeFillTint="33"/>
          </w:tcPr>
          <w:p w14:paraId="05E2023A" w14:textId="0BB3A4CD" w:rsidR="002C31AC" w:rsidRDefault="002C31AC" w:rsidP="00B94D1B">
            <w:r>
              <w:t>1</w:t>
            </w:r>
          </w:p>
        </w:tc>
        <w:tc>
          <w:tcPr>
            <w:tcW w:w="2410" w:type="dxa"/>
            <w:shd w:val="clear" w:color="auto" w:fill="D9E2F3" w:themeFill="accent5" w:themeFillTint="33"/>
          </w:tcPr>
          <w:p w14:paraId="39D14B48" w14:textId="6D15A808" w:rsidR="002C31AC" w:rsidRDefault="002C31AC" w:rsidP="00B94D1B">
            <w:r>
              <w:t>2</w:t>
            </w:r>
          </w:p>
        </w:tc>
      </w:tr>
      <w:tr w:rsidR="002C31AC" w:rsidRPr="00F964D4" w14:paraId="338C0251" w14:textId="77777777" w:rsidTr="002C31AC">
        <w:tc>
          <w:tcPr>
            <w:tcW w:w="4815" w:type="dxa"/>
          </w:tcPr>
          <w:p w14:paraId="56B37807" w14:textId="77777777" w:rsidR="002C31AC" w:rsidRDefault="002C31AC" w:rsidP="00B94D1B">
            <w:r>
              <w:t>Trimethoprim (UTI)</w:t>
            </w:r>
          </w:p>
        </w:tc>
        <w:tc>
          <w:tcPr>
            <w:tcW w:w="2693" w:type="dxa"/>
          </w:tcPr>
          <w:p w14:paraId="1719ED9F" w14:textId="05C601E7" w:rsidR="002C31AC" w:rsidRDefault="002C31AC" w:rsidP="00B94D1B">
            <w:r>
              <w:t>1</w:t>
            </w:r>
          </w:p>
        </w:tc>
        <w:tc>
          <w:tcPr>
            <w:tcW w:w="2410" w:type="dxa"/>
          </w:tcPr>
          <w:p w14:paraId="5063E833" w14:textId="72DC37A9" w:rsidR="002C31AC" w:rsidRDefault="002C31AC" w:rsidP="00B94D1B">
            <w:r>
              <w:t>0</w:t>
            </w:r>
          </w:p>
        </w:tc>
      </w:tr>
      <w:tr w:rsidR="002C31AC" w:rsidRPr="00F964D4" w14:paraId="1DFE1F61" w14:textId="77777777" w:rsidTr="002C31AC">
        <w:tc>
          <w:tcPr>
            <w:tcW w:w="4815" w:type="dxa"/>
            <w:shd w:val="clear" w:color="auto" w:fill="auto"/>
          </w:tcPr>
          <w:p w14:paraId="7D4E59F0" w14:textId="77777777" w:rsidR="002C31AC" w:rsidRPr="00F964D4" w:rsidRDefault="002C31AC" w:rsidP="00B94D1B">
            <w:r w:rsidRPr="00F964D4">
              <w:t xml:space="preserve">Total </w:t>
            </w:r>
            <w:r>
              <w:t xml:space="preserve">acute </w:t>
            </w:r>
            <w:r w:rsidRPr="00F964D4">
              <w:t>antibiotic during study</w:t>
            </w:r>
            <w:r>
              <w:t>*</w:t>
            </w:r>
          </w:p>
        </w:tc>
        <w:tc>
          <w:tcPr>
            <w:tcW w:w="2693" w:type="dxa"/>
          </w:tcPr>
          <w:p w14:paraId="7D2F1C09" w14:textId="18439B97" w:rsidR="002C31AC" w:rsidRDefault="002C31AC" w:rsidP="00B94D1B">
            <w:r>
              <w:t>30</w:t>
            </w:r>
          </w:p>
        </w:tc>
        <w:tc>
          <w:tcPr>
            <w:tcW w:w="2410" w:type="dxa"/>
          </w:tcPr>
          <w:p w14:paraId="77A3172B" w14:textId="055038DF" w:rsidR="002C31AC" w:rsidRDefault="002C31AC" w:rsidP="00B94D1B">
            <w:r>
              <w:t>16</w:t>
            </w:r>
          </w:p>
        </w:tc>
      </w:tr>
      <w:tr w:rsidR="002C31AC" w:rsidRPr="00F964D4" w14:paraId="19F0E480" w14:textId="77777777" w:rsidTr="002C31AC">
        <w:tc>
          <w:tcPr>
            <w:tcW w:w="4815" w:type="dxa"/>
            <w:shd w:val="clear" w:color="auto" w:fill="4BD0FF"/>
          </w:tcPr>
          <w:p w14:paraId="39069E23" w14:textId="77777777" w:rsidR="002C31AC" w:rsidRPr="00F964D4" w:rsidRDefault="002C31AC" w:rsidP="00B94D1B">
            <w:r>
              <w:t>Total antibiotics for presumed respiratory tract infections</w:t>
            </w:r>
          </w:p>
        </w:tc>
        <w:tc>
          <w:tcPr>
            <w:tcW w:w="2693" w:type="dxa"/>
            <w:shd w:val="clear" w:color="auto" w:fill="4BD0FF"/>
          </w:tcPr>
          <w:p w14:paraId="0708FB23" w14:textId="555CCB91" w:rsidR="002C31AC" w:rsidRDefault="002C31AC" w:rsidP="00B94D1B">
            <w:r>
              <w:t>27</w:t>
            </w:r>
          </w:p>
        </w:tc>
        <w:tc>
          <w:tcPr>
            <w:tcW w:w="2410" w:type="dxa"/>
            <w:shd w:val="clear" w:color="auto" w:fill="4BD0FF"/>
          </w:tcPr>
          <w:p w14:paraId="5155CBA4" w14:textId="71A27AD5" w:rsidR="002C31AC" w:rsidRDefault="002C31AC" w:rsidP="00B94D1B">
            <w:r>
              <w:t>14</w:t>
            </w:r>
          </w:p>
        </w:tc>
      </w:tr>
      <w:tr w:rsidR="002C31AC" w:rsidRPr="00F964D4" w14:paraId="3E3E5F33" w14:textId="77777777" w:rsidTr="002C31AC">
        <w:tc>
          <w:tcPr>
            <w:tcW w:w="4815" w:type="dxa"/>
          </w:tcPr>
          <w:p w14:paraId="497AC3EA" w14:textId="77777777" w:rsidR="002C31AC" w:rsidRPr="00F964D4" w:rsidRDefault="002C31AC" w:rsidP="00B94D1B">
            <w:r w:rsidRPr="00F964D4">
              <w:t>Total courses of antibiotics &gt; 2 weeks</w:t>
            </w:r>
          </w:p>
        </w:tc>
        <w:tc>
          <w:tcPr>
            <w:tcW w:w="2693" w:type="dxa"/>
          </w:tcPr>
          <w:p w14:paraId="0825F7DD" w14:textId="520A389E" w:rsidR="002C31AC" w:rsidRDefault="002C31AC" w:rsidP="00B94D1B">
            <w:r>
              <w:t>11**</w:t>
            </w:r>
          </w:p>
        </w:tc>
        <w:tc>
          <w:tcPr>
            <w:tcW w:w="2410" w:type="dxa"/>
          </w:tcPr>
          <w:p w14:paraId="2F8066A3" w14:textId="014F2396" w:rsidR="002C31AC" w:rsidRDefault="002C31AC" w:rsidP="00B94D1B">
            <w:r>
              <w:t>7***</w:t>
            </w:r>
          </w:p>
        </w:tc>
      </w:tr>
      <w:tr w:rsidR="002C31AC" w:rsidRPr="00F964D4" w14:paraId="4F8CE49C" w14:textId="77777777" w:rsidTr="002C31AC">
        <w:tc>
          <w:tcPr>
            <w:tcW w:w="4815" w:type="dxa"/>
            <w:shd w:val="clear" w:color="auto" w:fill="D9E2F3" w:themeFill="accent5" w:themeFillTint="33"/>
          </w:tcPr>
          <w:p w14:paraId="79D6F06E" w14:textId="0F1D42C3" w:rsidR="002C31AC" w:rsidRPr="00F964D4" w:rsidRDefault="002C31AC" w:rsidP="00304A4D">
            <w:r w:rsidRPr="00F964D4">
              <w:t>Me</w:t>
            </w:r>
            <w:r>
              <w:t>dian</w:t>
            </w:r>
            <w:r w:rsidRPr="00F964D4">
              <w:t xml:space="preserve"> number of antibiotic courses per child</w:t>
            </w:r>
            <w:r>
              <w:t xml:space="preserve"> for respiratory illness (range)</w:t>
            </w:r>
          </w:p>
        </w:tc>
        <w:tc>
          <w:tcPr>
            <w:tcW w:w="2693" w:type="dxa"/>
            <w:shd w:val="clear" w:color="auto" w:fill="D9E2F3" w:themeFill="accent5" w:themeFillTint="33"/>
          </w:tcPr>
          <w:p w14:paraId="675084DD" w14:textId="77777777" w:rsidR="002C31AC" w:rsidRDefault="002C31AC" w:rsidP="00304A4D">
            <w:r>
              <w:t>2</w:t>
            </w:r>
          </w:p>
          <w:p w14:paraId="7D247056" w14:textId="6CE3EB95" w:rsidR="002C31AC" w:rsidRDefault="002C31AC" w:rsidP="00304A4D">
            <w:r>
              <w:t>(0-6)</w:t>
            </w:r>
          </w:p>
        </w:tc>
        <w:tc>
          <w:tcPr>
            <w:tcW w:w="2410" w:type="dxa"/>
            <w:shd w:val="clear" w:color="auto" w:fill="D9E2F3" w:themeFill="accent5" w:themeFillTint="33"/>
          </w:tcPr>
          <w:p w14:paraId="6F0E1F08" w14:textId="77777777" w:rsidR="002C31AC" w:rsidRDefault="002C31AC" w:rsidP="00304A4D">
            <w:r>
              <w:t>1</w:t>
            </w:r>
          </w:p>
          <w:p w14:paraId="2FF73AA2" w14:textId="509FF5DA" w:rsidR="002C31AC" w:rsidRDefault="002C31AC" w:rsidP="00304A4D">
            <w:r>
              <w:t>(0-4)</w:t>
            </w:r>
          </w:p>
        </w:tc>
      </w:tr>
    </w:tbl>
    <w:p w14:paraId="6B2B1D0B" w14:textId="77777777" w:rsidR="00EA45D1" w:rsidRDefault="00EA45D1" w:rsidP="00EA45D1"/>
    <w:p w14:paraId="7006302B" w14:textId="3FCDAA14" w:rsidR="00EA45D1" w:rsidRPr="00877170" w:rsidRDefault="00EA45D1" w:rsidP="00C83E64">
      <w:pPr>
        <w:ind w:left="720" w:hanging="720"/>
        <w:rPr>
          <w:i/>
          <w:iCs/>
        </w:rPr>
      </w:pPr>
      <w:r w:rsidRPr="00877170">
        <w:rPr>
          <w:i/>
          <w:iCs/>
        </w:rPr>
        <w:t>*</w:t>
      </w:r>
      <w:r w:rsidR="00C83E64">
        <w:rPr>
          <w:i/>
          <w:iCs/>
        </w:rPr>
        <w:tab/>
      </w:r>
      <w:r w:rsidRPr="00877170">
        <w:rPr>
          <w:i/>
          <w:iCs/>
        </w:rPr>
        <w:t xml:space="preserve">Not included 2 courses of prophylactic antibiotics: C7 prescribed </w:t>
      </w:r>
      <w:r w:rsidR="00993E70">
        <w:rPr>
          <w:i/>
          <w:iCs/>
        </w:rPr>
        <w:t>azithromycin</w:t>
      </w:r>
      <w:r w:rsidR="00993E70" w:rsidRPr="00877170">
        <w:rPr>
          <w:i/>
          <w:iCs/>
        </w:rPr>
        <w:t xml:space="preserve"> </w:t>
      </w:r>
      <w:r w:rsidRPr="00877170">
        <w:rPr>
          <w:i/>
          <w:iCs/>
        </w:rPr>
        <w:t xml:space="preserve">prophylaxis, C10 didn’t tolerate </w:t>
      </w:r>
      <w:r w:rsidR="00993E70">
        <w:rPr>
          <w:i/>
          <w:iCs/>
        </w:rPr>
        <w:t>azithromycin</w:t>
      </w:r>
      <w:r w:rsidR="00993E70" w:rsidRPr="00877170">
        <w:rPr>
          <w:i/>
          <w:iCs/>
        </w:rPr>
        <w:t xml:space="preserve"> </w:t>
      </w:r>
      <w:r w:rsidRPr="00877170">
        <w:rPr>
          <w:i/>
          <w:iCs/>
        </w:rPr>
        <w:t>prophylaxis therefore prescribed co-amoxiclav prophylaxis</w:t>
      </w:r>
    </w:p>
    <w:p w14:paraId="3872E785" w14:textId="6187FC97" w:rsidR="00EA45D1" w:rsidRPr="00877170" w:rsidRDefault="00EA45D1" w:rsidP="00C83E64">
      <w:pPr>
        <w:ind w:left="720" w:hanging="720"/>
        <w:rPr>
          <w:i/>
          <w:iCs/>
        </w:rPr>
      </w:pPr>
      <w:r w:rsidRPr="00877170">
        <w:rPr>
          <w:i/>
          <w:iCs/>
        </w:rPr>
        <w:t xml:space="preserve">** </w:t>
      </w:r>
      <w:r w:rsidR="00C83E64">
        <w:rPr>
          <w:i/>
          <w:iCs/>
        </w:rPr>
        <w:tab/>
      </w:r>
      <w:r w:rsidRPr="00877170">
        <w:rPr>
          <w:i/>
          <w:iCs/>
        </w:rPr>
        <w:t xml:space="preserve">Breakdown of antibiotic courses &gt;2 weeks for comparison group: Co-amoxiclav: 2 weeks = </w:t>
      </w:r>
      <w:r w:rsidR="00565D56" w:rsidRPr="00877170">
        <w:rPr>
          <w:i/>
          <w:iCs/>
        </w:rPr>
        <w:t>4</w:t>
      </w:r>
      <w:r w:rsidRPr="00877170">
        <w:rPr>
          <w:i/>
          <w:iCs/>
        </w:rPr>
        <w:t xml:space="preserve"> courses, 4 weeks = 3 courses, 6 weeks = 1 course; azithromycin: 2 weeks = 1 course</w:t>
      </w:r>
      <w:r w:rsidR="00565D56" w:rsidRPr="00877170">
        <w:rPr>
          <w:i/>
          <w:iCs/>
        </w:rPr>
        <w:t>, 4 weeks = 1 course; clarithromycin 4 weeks = 1 course</w:t>
      </w:r>
    </w:p>
    <w:p w14:paraId="2B28A392" w14:textId="4B0C8FBA" w:rsidR="00EA45D1" w:rsidRDefault="00EA45D1" w:rsidP="00C83E64">
      <w:pPr>
        <w:ind w:left="720" w:hanging="720"/>
        <w:rPr>
          <w:i/>
          <w:iCs/>
        </w:rPr>
      </w:pPr>
      <w:r w:rsidRPr="00877170">
        <w:rPr>
          <w:i/>
          <w:iCs/>
        </w:rPr>
        <w:t>***</w:t>
      </w:r>
      <w:r w:rsidR="00C83E64">
        <w:rPr>
          <w:i/>
          <w:iCs/>
        </w:rPr>
        <w:tab/>
      </w:r>
      <w:r w:rsidRPr="00877170">
        <w:rPr>
          <w:i/>
          <w:iCs/>
        </w:rPr>
        <w:t xml:space="preserve">Not including courses of prophylaxis. Breakdown of course &gt; 2 week for Azithromycin group: Co-amoxiclav: 2 weeks = </w:t>
      </w:r>
      <w:r w:rsidR="0011678E" w:rsidRPr="00877170">
        <w:rPr>
          <w:i/>
          <w:iCs/>
        </w:rPr>
        <w:t>7</w:t>
      </w:r>
      <w:r w:rsidRPr="00877170">
        <w:rPr>
          <w:i/>
          <w:iCs/>
        </w:rPr>
        <w:t xml:space="preserve"> courses</w:t>
      </w:r>
    </w:p>
    <w:p w14:paraId="3BF2AAE9" w14:textId="77777777" w:rsidR="00BF42A8" w:rsidRPr="00877170" w:rsidRDefault="00BF42A8" w:rsidP="0064056D">
      <w:pPr>
        <w:spacing w:line="360" w:lineRule="auto"/>
        <w:ind w:left="720" w:hanging="720"/>
        <w:rPr>
          <w:i/>
          <w:iCs/>
        </w:rPr>
      </w:pPr>
    </w:p>
    <w:p w14:paraId="5D0A4130" w14:textId="0E451E73" w:rsidR="000C19A9" w:rsidRDefault="000C19A9" w:rsidP="00F20949">
      <w:pPr>
        <w:pStyle w:val="Heading3"/>
        <w:numPr>
          <w:ilvl w:val="0"/>
          <w:numId w:val="0"/>
        </w:numPr>
        <w:spacing w:before="0" w:line="360" w:lineRule="auto"/>
      </w:pPr>
      <w:bookmarkStart w:id="225" w:name="_Toc117765984"/>
      <w:r>
        <w:lastRenderedPageBreak/>
        <w:t>4.</w:t>
      </w:r>
      <w:r w:rsidR="00221AF8">
        <w:t>3</w:t>
      </w:r>
      <w:r>
        <w:t>.</w:t>
      </w:r>
      <w:r w:rsidR="00221AF8">
        <w:t>6</w:t>
      </w:r>
      <w:r>
        <w:t xml:space="preserve"> </w:t>
      </w:r>
      <w:r w:rsidR="00CB07C2">
        <w:tab/>
      </w:r>
      <w:r>
        <w:t>Adherence to azithromycin and diary use</w:t>
      </w:r>
      <w:bookmarkEnd w:id="225"/>
    </w:p>
    <w:p w14:paraId="730292E8" w14:textId="1CA3ECB7" w:rsidR="000C19A9" w:rsidRDefault="000C19A9" w:rsidP="00025B32">
      <w:pPr>
        <w:spacing w:line="360" w:lineRule="auto"/>
      </w:pPr>
      <w:r w:rsidRPr="008F33C8">
        <w:t>All 1</w:t>
      </w:r>
      <w:r>
        <w:t xml:space="preserve">5 </w:t>
      </w:r>
      <w:r w:rsidRPr="008F33C8">
        <w:t xml:space="preserve">participants in the azithromycin group were asked to complete the </w:t>
      </w:r>
      <w:r>
        <w:t xml:space="preserve">azithromycin </w:t>
      </w:r>
      <w:r w:rsidRPr="008F33C8">
        <w:t>adherence diary. Of these</w:t>
      </w:r>
      <w:r w:rsidR="00673383">
        <w:t xml:space="preserve"> just</w:t>
      </w:r>
      <w:r w:rsidRPr="008F33C8">
        <w:t xml:space="preserve"> </w:t>
      </w:r>
      <w:r>
        <w:t xml:space="preserve">4 </w:t>
      </w:r>
      <w:r w:rsidRPr="008F33C8">
        <w:t>out of 1</w:t>
      </w:r>
      <w:r>
        <w:t>5</w:t>
      </w:r>
      <w:r w:rsidRPr="008F33C8">
        <w:t xml:space="preserve"> competed the diaries and </w:t>
      </w:r>
      <w:r>
        <w:t>1 parent marked the doses on her phone calendar instead of the diary. I</w:t>
      </w:r>
      <w:r w:rsidRPr="008F33C8">
        <w:t xml:space="preserve">n total </w:t>
      </w:r>
      <w:r>
        <w:t>12</w:t>
      </w:r>
      <w:r w:rsidRPr="008F33C8">
        <w:t xml:space="preserve"> doses were marked as not given. </w:t>
      </w:r>
      <w:r>
        <w:t xml:space="preserve">Of these 8 were missed over the Christmas holidays. </w:t>
      </w:r>
      <w:r w:rsidRPr="008F33C8">
        <w:t xml:space="preserve">The other participants’ parents verbally reported </w:t>
      </w:r>
      <w:r>
        <w:t>missing 2-3 doses</w:t>
      </w:r>
      <w:r w:rsidRPr="008F33C8">
        <w:t>.</w:t>
      </w:r>
    </w:p>
    <w:p w14:paraId="57BCF6EE" w14:textId="77777777" w:rsidR="00D8667E" w:rsidRDefault="00D8667E" w:rsidP="00E973BB">
      <w:pPr>
        <w:spacing w:line="360" w:lineRule="auto"/>
      </w:pPr>
    </w:p>
    <w:p w14:paraId="4E64F5CA" w14:textId="3FB4F83C" w:rsidR="00763BF8" w:rsidRDefault="00763BF8" w:rsidP="00E973BB">
      <w:pPr>
        <w:pStyle w:val="Heading3"/>
        <w:numPr>
          <w:ilvl w:val="0"/>
          <w:numId w:val="0"/>
        </w:numPr>
        <w:spacing w:before="0" w:line="360" w:lineRule="auto"/>
        <w:ind w:left="720" w:hanging="720"/>
      </w:pPr>
      <w:bookmarkStart w:id="226" w:name="_Toc117765985"/>
      <w:r>
        <w:t>4.3.</w:t>
      </w:r>
      <w:r w:rsidR="00EC4F61">
        <w:t>7</w:t>
      </w:r>
      <w:r>
        <w:t xml:space="preserve"> </w:t>
      </w:r>
      <w:r w:rsidR="00CB07C2">
        <w:tab/>
      </w:r>
      <w:r>
        <w:t>Viral PCR results</w:t>
      </w:r>
      <w:bookmarkEnd w:id="226"/>
    </w:p>
    <w:p w14:paraId="19137B8B" w14:textId="561B102F" w:rsidR="00FF2267" w:rsidRDefault="005665CC" w:rsidP="00E973BB">
      <w:pPr>
        <w:spacing w:line="360" w:lineRule="auto"/>
      </w:pPr>
      <w:r w:rsidRPr="001D04B2">
        <w:t xml:space="preserve">At the beginning of any </w:t>
      </w:r>
      <w:r w:rsidR="00C66871">
        <w:t xml:space="preserve">PBB </w:t>
      </w:r>
      <w:r w:rsidRPr="001D04B2">
        <w:t>exacerbations</w:t>
      </w:r>
      <w:r w:rsidR="00C66871">
        <w:t xml:space="preserve"> that required treatment</w:t>
      </w:r>
      <w:r w:rsidRPr="001D04B2">
        <w:t xml:space="preserve">, </w:t>
      </w:r>
      <w:r w:rsidR="00CA31CE" w:rsidRPr="001D04B2">
        <w:t xml:space="preserve">it was planned that </w:t>
      </w:r>
      <w:r w:rsidR="00EC4F61" w:rsidRPr="001D04B2">
        <w:t xml:space="preserve">a </w:t>
      </w:r>
      <w:r w:rsidR="00CA31CE" w:rsidRPr="001D04B2">
        <w:t xml:space="preserve">throat swab </w:t>
      </w:r>
      <w:r w:rsidR="00EC4F61" w:rsidRPr="001D04B2">
        <w:t xml:space="preserve">for respiratory viruses </w:t>
      </w:r>
      <w:r w:rsidR="00CA31CE" w:rsidRPr="001D04B2">
        <w:t xml:space="preserve">and DNPS would be taken prior to starting antibiotics. There was an option to have a further DNPS taken at the end of the course of antibiotics, acknowledging that these </w:t>
      </w:r>
      <w:r w:rsidR="004754A1" w:rsidRPr="001D04B2">
        <w:t xml:space="preserve">might </w:t>
      </w:r>
      <w:r w:rsidR="00CA31CE" w:rsidRPr="001D04B2">
        <w:t xml:space="preserve">not be taken due to the high swab burden. </w:t>
      </w:r>
      <w:r w:rsidR="004754A1" w:rsidRPr="001D04B2">
        <w:t xml:space="preserve">Unfortunately due </w:t>
      </w:r>
      <w:r w:rsidR="00FF2267" w:rsidRPr="001D04B2">
        <w:t>to the restrictions during COVID-19 pandemic</w:t>
      </w:r>
      <w:r w:rsidR="004754A1" w:rsidRPr="001D04B2">
        <w:t>,</w:t>
      </w:r>
      <w:r w:rsidR="00FF2267" w:rsidRPr="001D04B2">
        <w:t xml:space="preserve"> and </w:t>
      </w:r>
      <w:r w:rsidR="004754A1" w:rsidRPr="001D04B2">
        <w:t xml:space="preserve">also to </w:t>
      </w:r>
      <w:r w:rsidR="00FF2267" w:rsidRPr="001D04B2">
        <w:t>parents forgetting to inform the research team</w:t>
      </w:r>
      <w:r w:rsidR="004754A1" w:rsidRPr="001D04B2">
        <w:t xml:space="preserve"> in a timely fashion</w:t>
      </w:r>
      <w:r w:rsidR="00FF2267" w:rsidRPr="001D04B2">
        <w:t xml:space="preserve"> that their child was unwell, only 7 viral swabs were </w:t>
      </w:r>
      <w:r w:rsidR="00CA31CE" w:rsidRPr="001D04B2">
        <w:t>taken at the beginning of PBB exacerbation</w:t>
      </w:r>
      <w:r w:rsidR="00FF2267" w:rsidRPr="001D04B2">
        <w:t>s</w:t>
      </w:r>
      <w:r w:rsidR="00CA31CE" w:rsidRPr="001D04B2">
        <w:t xml:space="preserve"> prior to commencing at least 2 weeks of oral antibiotics</w:t>
      </w:r>
      <w:r w:rsidR="004754A1" w:rsidRPr="001D04B2">
        <w:t xml:space="preserve">; 3 of these swabs </w:t>
      </w:r>
      <w:r w:rsidR="003828A4">
        <w:t>identified</w:t>
      </w:r>
      <w:r w:rsidR="004754A1" w:rsidRPr="001D04B2">
        <w:t xml:space="preserve"> a virus that might have triggered the exacerbation (</w:t>
      </w:r>
      <w:r w:rsidR="00E973BB" w:rsidRPr="00E973BB">
        <w:rPr>
          <w:highlight w:val="yellow"/>
        </w:rPr>
        <w:fldChar w:fldCharType="begin"/>
      </w:r>
      <w:r w:rsidR="00E973BB" w:rsidRPr="00E973BB">
        <w:instrText xml:space="preserve"> REF _Ref105615613 \h </w:instrText>
      </w:r>
      <w:r w:rsidR="00E973BB" w:rsidRPr="00E973BB">
        <w:rPr>
          <w:highlight w:val="yellow"/>
        </w:rPr>
        <w:instrText xml:space="preserve"> \* MERGEFORMAT </w:instrText>
      </w:r>
      <w:r w:rsidR="00E973BB" w:rsidRPr="00E973BB">
        <w:rPr>
          <w:highlight w:val="yellow"/>
        </w:rPr>
      </w:r>
      <w:r w:rsidR="00E973BB" w:rsidRPr="00E973BB">
        <w:rPr>
          <w:highlight w:val="yellow"/>
        </w:rPr>
        <w:fldChar w:fldCharType="separate"/>
      </w:r>
      <w:r w:rsidR="00E973BB" w:rsidRPr="00E973BB">
        <w:rPr>
          <w:color w:val="000000" w:themeColor="text1"/>
        </w:rPr>
        <w:t xml:space="preserve">Table </w:t>
      </w:r>
      <w:r w:rsidR="00E973BB" w:rsidRPr="00E973BB">
        <w:rPr>
          <w:noProof/>
          <w:color w:val="000000" w:themeColor="text1"/>
        </w:rPr>
        <w:t>21</w:t>
      </w:r>
      <w:r w:rsidR="00E973BB" w:rsidRPr="00E973BB">
        <w:rPr>
          <w:highlight w:val="yellow"/>
        </w:rPr>
        <w:fldChar w:fldCharType="end"/>
      </w:r>
      <w:r w:rsidR="00E973BB">
        <w:t>)</w:t>
      </w:r>
      <w:r w:rsidR="00CA31CE" w:rsidRPr="001D04B2">
        <w:t xml:space="preserve">.  </w:t>
      </w:r>
    </w:p>
    <w:p w14:paraId="1EF593E1" w14:textId="77777777" w:rsidR="00E973BB" w:rsidRPr="001D04B2" w:rsidRDefault="00E973BB" w:rsidP="00E973BB">
      <w:pPr>
        <w:spacing w:line="360" w:lineRule="auto"/>
      </w:pPr>
    </w:p>
    <w:p w14:paraId="7B4347F3" w14:textId="7B4352C8" w:rsidR="003A67AE" w:rsidRPr="001D04B2" w:rsidRDefault="003A67AE" w:rsidP="001D04B2">
      <w:pPr>
        <w:pStyle w:val="Caption"/>
        <w:keepNext/>
        <w:rPr>
          <w:i w:val="0"/>
          <w:iCs w:val="0"/>
          <w:color w:val="000000" w:themeColor="text1"/>
          <w:sz w:val="24"/>
          <w:szCs w:val="24"/>
        </w:rPr>
      </w:pPr>
      <w:bookmarkStart w:id="227" w:name="_Ref105615613"/>
      <w:bookmarkStart w:id="228" w:name="_Toc117780262"/>
      <w:r w:rsidRPr="001D04B2">
        <w:rPr>
          <w:b/>
          <w:bCs/>
          <w:i w:val="0"/>
          <w:iCs w:val="0"/>
          <w:color w:val="000000" w:themeColor="text1"/>
          <w:sz w:val="24"/>
          <w:szCs w:val="24"/>
        </w:rPr>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21</w:t>
      </w:r>
      <w:r w:rsidRPr="001D04B2">
        <w:rPr>
          <w:b/>
          <w:bCs/>
          <w:i w:val="0"/>
          <w:iCs w:val="0"/>
          <w:color w:val="000000" w:themeColor="text1"/>
          <w:sz w:val="24"/>
          <w:szCs w:val="24"/>
        </w:rPr>
        <w:fldChar w:fldCharType="end"/>
      </w:r>
      <w:bookmarkEnd w:id="227"/>
      <w:r w:rsidRPr="001D04B2">
        <w:rPr>
          <w:i w:val="0"/>
          <w:iCs w:val="0"/>
          <w:color w:val="000000" w:themeColor="text1"/>
          <w:sz w:val="24"/>
          <w:szCs w:val="24"/>
        </w:rPr>
        <w:t>: Viral swab results taken during exacerbations of PBB in PBB study 2</w:t>
      </w:r>
      <w:bookmarkEnd w:id="228"/>
    </w:p>
    <w:tbl>
      <w:tblPr>
        <w:tblStyle w:val="TableGrid"/>
        <w:tblW w:w="9351" w:type="dxa"/>
        <w:tblLook w:val="04A0" w:firstRow="1" w:lastRow="0" w:firstColumn="1" w:lastColumn="0" w:noHBand="0" w:noVBand="1"/>
      </w:tblPr>
      <w:tblGrid>
        <w:gridCol w:w="1550"/>
        <w:gridCol w:w="1829"/>
        <w:gridCol w:w="2085"/>
        <w:gridCol w:w="3887"/>
      </w:tblGrid>
      <w:tr w:rsidR="00FF2267" w:rsidRPr="001D04B2" w14:paraId="03B8A2BB" w14:textId="77777777" w:rsidTr="001D04B2">
        <w:tc>
          <w:tcPr>
            <w:tcW w:w="1398" w:type="dxa"/>
            <w:shd w:val="clear" w:color="auto" w:fill="9CC2E5" w:themeFill="accent1" w:themeFillTint="99"/>
          </w:tcPr>
          <w:p w14:paraId="41F4197E" w14:textId="1D1FB330" w:rsidR="00FF2267" w:rsidRPr="001D04B2" w:rsidRDefault="00FF2267" w:rsidP="00E973BB">
            <w:pPr>
              <w:spacing w:line="360" w:lineRule="auto"/>
            </w:pPr>
            <w:r w:rsidRPr="001D04B2">
              <w:t>Participant group</w:t>
            </w:r>
          </w:p>
        </w:tc>
        <w:tc>
          <w:tcPr>
            <w:tcW w:w="1858" w:type="dxa"/>
            <w:shd w:val="clear" w:color="auto" w:fill="9CC2E5" w:themeFill="accent1" w:themeFillTint="99"/>
          </w:tcPr>
          <w:p w14:paraId="4C82C67F" w14:textId="37C1E607" w:rsidR="00FF2267" w:rsidRPr="001D04B2" w:rsidRDefault="00FF2267" w:rsidP="00E973BB">
            <w:pPr>
              <w:spacing w:line="360" w:lineRule="auto"/>
            </w:pPr>
            <w:r w:rsidRPr="001D04B2">
              <w:t>Number of viral swabs taken</w:t>
            </w:r>
          </w:p>
        </w:tc>
        <w:tc>
          <w:tcPr>
            <w:tcW w:w="2126" w:type="dxa"/>
            <w:shd w:val="clear" w:color="auto" w:fill="9CC2E5" w:themeFill="accent1" w:themeFillTint="99"/>
          </w:tcPr>
          <w:p w14:paraId="5005DA2A" w14:textId="2C67848D" w:rsidR="00FF2267" w:rsidRPr="001D04B2" w:rsidRDefault="00FF2267" w:rsidP="00E973BB">
            <w:pPr>
              <w:spacing w:line="360" w:lineRule="auto"/>
            </w:pPr>
            <w:r w:rsidRPr="001D04B2">
              <w:t>Swabs with no viruses</w:t>
            </w:r>
          </w:p>
        </w:tc>
        <w:tc>
          <w:tcPr>
            <w:tcW w:w="3969" w:type="dxa"/>
            <w:shd w:val="clear" w:color="auto" w:fill="9CC2E5" w:themeFill="accent1" w:themeFillTint="99"/>
          </w:tcPr>
          <w:p w14:paraId="0B8F69E8" w14:textId="7EE1997B" w:rsidR="00FF2267" w:rsidRPr="001D04B2" w:rsidRDefault="00FF2267" w:rsidP="00E973BB">
            <w:pPr>
              <w:spacing w:line="360" w:lineRule="auto"/>
            </w:pPr>
            <w:r w:rsidRPr="001D04B2">
              <w:t>Viruses present on positive swabs</w:t>
            </w:r>
          </w:p>
        </w:tc>
      </w:tr>
      <w:tr w:rsidR="00FF2267" w:rsidRPr="001D04B2" w14:paraId="3949E0F1" w14:textId="77777777" w:rsidTr="001D04B2">
        <w:tc>
          <w:tcPr>
            <w:tcW w:w="1398" w:type="dxa"/>
          </w:tcPr>
          <w:p w14:paraId="5D478CAA" w14:textId="4EA1EBEB" w:rsidR="00FF2267" w:rsidRPr="001D04B2" w:rsidRDefault="00FF2267" w:rsidP="00E973BB">
            <w:pPr>
              <w:spacing w:line="360" w:lineRule="auto"/>
            </w:pPr>
            <w:r w:rsidRPr="001D04B2">
              <w:t>Comparison group</w:t>
            </w:r>
          </w:p>
        </w:tc>
        <w:tc>
          <w:tcPr>
            <w:tcW w:w="1858" w:type="dxa"/>
          </w:tcPr>
          <w:p w14:paraId="1CEC4075" w14:textId="24A268B2" w:rsidR="00FF2267" w:rsidRPr="001D04B2" w:rsidRDefault="00FF2267" w:rsidP="00E973BB">
            <w:pPr>
              <w:spacing w:line="360" w:lineRule="auto"/>
            </w:pPr>
            <w:r w:rsidRPr="001D04B2">
              <w:t>5</w:t>
            </w:r>
          </w:p>
        </w:tc>
        <w:tc>
          <w:tcPr>
            <w:tcW w:w="2126" w:type="dxa"/>
          </w:tcPr>
          <w:p w14:paraId="2E719528" w14:textId="03809201" w:rsidR="00FF2267" w:rsidRPr="001D04B2" w:rsidRDefault="00FF2267" w:rsidP="00E973BB">
            <w:pPr>
              <w:spacing w:line="360" w:lineRule="auto"/>
            </w:pPr>
            <w:r w:rsidRPr="001D04B2">
              <w:t>3</w:t>
            </w:r>
          </w:p>
        </w:tc>
        <w:tc>
          <w:tcPr>
            <w:tcW w:w="3969" w:type="dxa"/>
          </w:tcPr>
          <w:p w14:paraId="6E824320" w14:textId="77777777" w:rsidR="00FF2267" w:rsidRPr="001D04B2" w:rsidRDefault="00FF2267" w:rsidP="00E973BB">
            <w:pPr>
              <w:spacing w:line="360" w:lineRule="auto"/>
            </w:pPr>
            <w:r w:rsidRPr="001D04B2">
              <w:t>Parainfluenza 2</w:t>
            </w:r>
          </w:p>
          <w:p w14:paraId="5673F267" w14:textId="0C8D4394" w:rsidR="00FF2267" w:rsidRPr="001D04B2" w:rsidRDefault="00FF2267" w:rsidP="00E973BB">
            <w:pPr>
              <w:spacing w:line="360" w:lineRule="auto"/>
            </w:pPr>
            <w:r w:rsidRPr="001D04B2">
              <w:t>Rhinovirus</w:t>
            </w:r>
          </w:p>
        </w:tc>
      </w:tr>
      <w:tr w:rsidR="00FF2267" w:rsidRPr="001D04B2" w14:paraId="2705B49B" w14:textId="77777777" w:rsidTr="001D04B2">
        <w:tc>
          <w:tcPr>
            <w:tcW w:w="1398" w:type="dxa"/>
            <w:shd w:val="clear" w:color="auto" w:fill="DEEAF6" w:themeFill="accent1" w:themeFillTint="33"/>
          </w:tcPr>
          <w:p w14:paraId="624747CE" w14:textId="1005DEC5" w:rsidR="00FF2267" w:rsidRPr="001D04B2" w:rsidRDefault="00FF2267" w:rsidP="00E973BB">
            <w:pPr>
              <w:spacing w:line="360" w:lineRule="auto"/>
            </w:pPr>
            <w:r w:rsidRPr="001D04B2">
              <w:t>Azithromycin group</w:t>
            </w:r>
          </w:p>
        </w:tc>
        <w:tc>
          <w:tcPr>
            <w:tcW w:w="1858" w:type="dxa"/>
            <w:shd w:val="clear" w:color="auto" w:fill="DEEAF6" w:themeFill="accent1" w:themeFillTint="33"/>
          </w:tcPr>
          <w:p w14:paraId="639A83E6" w14:textId="05973974" w:rsidR="00FF2267" w:rsidRPr="001D04B2" w:rsidRDefault="00FF2267" w:rsidP="00E973BB">
            <w:pPr>
              <w:spacing w:line="360" w:lineRule="auto"/>
            </w:pPr>
            <w:r w:rsidRPr="001D04B2">
              <w:t>2</w:t>
            </w:r>
          </w:p>
        </w:tc>
        <w:tc>
          <w:tcPr>
            <w:tcW w:w="2126" w:type="dxa"/>
            <w:shd w:val="clear" w:color="auto" w:fill="DEEAF6" w:themeFill="accent1" w:themeFillTint="33"/>
          </w:tcPr>
          <w:p w14:paraId="39C2F522" w14:textId="2ECA5D6B" w:rsidR="00FF2267" w:rsidRPr="001D04B2" w:rsidRDefault="00FF2267" w:rsidP="00E973BB">
            <w:pPr>
              <w:spacing w:line="360" w:lineRule="auto"/>
            </w:pPr>
            <w:r w:rsidRPr="001D04B2">
              <w:t>1</w:t>
            </w:r>
          </w:p>
        </w:tc>
        <w:tc>
          <w:tcPr>
            <w:tcW w:w="3969" w:type="dxa"/>
            <w:shd w:val="clear" w:color="auto" w:fill="DEEAF6" w:themeFill="accent1" w:themeFillTint="33"/>
          </w:tcPr>
          <w:p w14:paraId="0742E662" w14:textId="14B3B6B3" w:rsidR="00FF2267" w:rsidRPr="001D04B2" w:rsidRDefault="00FF2267" w:rsidP="00E973BB">
            <w:pPr>
              <w:spacing w:line="360" w:lineRule="auto"/>
            </w:pPr>
            <w:r w:rsidRPr="001D04B2">
              <w:t>Seasonal coronavirus &amp; parainfluenza</w:t>
            </w:r>
          </w:p>
        </w:tc>
      </w:tr>
    </w:tbl>
    <w:p w14:paraId="7332659C" w14:textId="7094D38E" w:rsidR="00763BF8" w:rsidRDefault="00763BF8"/>
    <w:p w14:paraId="1884DBAF" w14:textId="3BEC8E09" w:rsidR="00E973BB" w:rsidRDefault="00E973BB"/>
    <w:p w14:paraId="4C2B343C" w14:textId="226CBF6C" w:rsidR="003025F1" w:rsidRDefault="003025F1" w:rsidP="00025B32">
      <w:pPr>
        <w:pStyle w:val="Heading3"/>
        <w:numPr>
          <w:ilvl w:val="0"/>
          <w:numId w:val="0"/>
        </w:numPr>
        <w:spacing w:before="0" w:line="360" w:lineRule="auto"/>
        <w:ind w:left="720" w:hanging="720"/>
      </w:pPr>
      <w:bookmarkStart w:id="229" w:name="_Toc117765986"/>
      <w:r>
        <w:t xml:space="preserve">4.3.8 </w:t>
      </w:r>
      <w:r w:rsidR="00FC43D8">
        <w:tab/>
      </w:r>
      <w:r>
        <w:t>Adverse events</w:t>
      </w:r>
      <w:r w:rsidR="00E720E8">
        <w:t xml:space="preserve"> and protocol deviations</w:t>
      </w:r>
      <w:bookmarkEnd w:id="229"/>
    </w:p>
    <w:p w14:paraId="4CC82D54" w14:textId="77777777" w:rsidR="00E720E8" w:rsidRDefault="00E720E8" w:rsidP="0064056D">
      <w:pPr>
        <w:spacing w:after="160" w:line="360" w:lineRule="auto"/>
      </w:pPr>
      <w:r w:rsidRPr="00E50518">
        <w:t xml:space="preserve">The only medical complications observed were 5 minor nose bleeds that occurred after DNPs were taken. The bleeding stopped within a few minutes once direct pressure had been applied to the nose. No other complications were noted. </w:t>
      </w:r>
    </w:p>
    <w:p w14:paraId="307FB891" w14:textId="67536B92" w:rsidR="003025F1" w:rsidRDefault="003025F1" w:rsidP="00025B32">
      <w:pPr>
        <w:spacing w:line="360" w:lineRule="auto"/>
      </w:pPr>
      <w:r w:rsidRPr="00E50518">
        <w:lastRenderedPageBreak/>
        <w:t xml:space="preserve">Due to the COVID-19 pandemic, children were exposed to more nasopharyngeal swabs than anticipated at the outset of the study. This was due to the fact that national guidance during the pandemic was to have a nasopharyngeal/ throat swab taken due acute episodes of fever or cough. </w:t>
      </w:r>
      <w:r w:rsidR="00E973BB">
        <w:t xml:space="preserve">Participant C9 </w:t>
      </w:r>
      <w:r w:rsidRPr="00E50518">
        <w:t xml:space="preserve">decided not to continue with the study due to the increased swab burden. </w:t>
      </w:r>
      <w:r w:rsidR="005C76E1">
        <w:t xml:space="preserve">The planned serial swabs could not be taken at the desired time points due to the national lockdown. As such a number of swabs could not be collected whilst children were actively taking long-term azithromycin and the duration of the study had to be extended from 12 to 20 months in order to eb ale to collect final swabs from the participants.  </w:t>
      </w:r>
    </w:p>
    <w:p w14:paraId="79D27FD9" w14:textId="3596A54C" w:rsidR="00A44C12" w:rsidRDefault="00A44C12" w:rsidP="003025F1">
      <w:pPr>
        <w:spacing w:line="360" w:lineRule="auto"/>
      </w:pPr>
    </w:p>
    <w:p w14:paraId="6F502FCB" w14:textId="17AB262F" w:rsidR="00A44C12" w:rsidRDefault="00A44C12" w:rsidP="00025B32">
      <w:pPr>
        <w:pStyle w:val="Heading3"/>
        <w:numPr>
          <w:ilvl w:val="0"/>
          <w:numId w:val="0"/>
        </w:numPr>
        <w:spacing w:before="0" w:line="360" w:lineRule="auto"/>
        <w:ind w:left="720" w:hanging="720"/>
      </w:pPr>
      <w:bookmarkStart w:id="230" w:name="_Toc117765987"/>
      <w:r>
        <w:t>4.3.9</w:t>
      </w:r>
      <w:r>
        <w:tab/>
        <w:t xml:space="preserve">PBB study 2: Summary of the </w:t>
      </w:r>
      <w:r w:rsidR="00993E70">
        <w:t xml:space="preserve">study outcomes against the </w:t>
      </w:r>
      <w:r>
        <w:t>study objectives</w:t>
      </w:r>
      <w:bookmarkEnd w:id="230"/>
    </w:p>
    <w:p w14:paraId="397C34D8" w14:textId="1F657ABB" w:rsidR="003F3102" w:rsidRDefault="008E2F64" w:rsidP="0064056D">
      <w:pPr>
        <w:spacing w:after="160" w:line="360" w:lineRule="auto"/>
      </w:pPr>
      <w:r>
        <w:t xml:space="preserve">The first PBB study 2 objective was achieved. The results of higher than expected azithromycin resistance across both study groups from PBB study 1 were validated in PBB study 2. </w:t>
      </w:r>
      <w:r w:rsidR="00AB6948">
        <w:t>A further</w:t>
      </w:r>
      <w:r w:rsidR="00A44C12">
        <w:t xml:space="preserve"> 30 </w:t>
      </w:r>
      <w:r w:rsidR="00A44C12" w:rsidRPr="00540937">
        <w:t>children with PBB</w:t>
      </w:r>
      <w:r w:rsidR="00BF2DBF">
        <w:t xml:space="preserve"> </w:t>
      </w:r>
      <w:r w:rsidR="00AB6948">
        <w:t>were recruited</w:t>
      </w:r>
      <w:r>
        <w:t xml:space="preserve"> to PBB study 2, s</w:t>
      </w:r>
      <w:r w:rsidR="00A44C12" w:rsidRPr="00540937">
        <w:t xml:space="preserve">erial nasopharyngeal swabs were collected for bacterial culture </w:t>
      </w:r>
      <w:r>
        <w:t xml:space="preserve">and </w:t>
      </w:r>
      <w:r w:rsidR="00A44C12" w:rsidRPr="00540937">
        <w:t xml:space="preserve">bacterial isolates </w:t>
      </w:r>
      <w:r>
        <w:t xml:space="preserve">were </w:t>
      </w:r>
      <w:r w:rsidR="00A44C12" w:rsidRPr="00540937">
        <w:t>tested for azithromycin susceptibility</w:t>
      </w:r>
      <w:r>
        <w:t>.</w:t>
      </w:r>
    </w:p>
    <w:p w14:paraId="1864F14B" w14:textId="215A303D" w:rsidR="00D21013" w:rsidRDefault="00D21013" w:rsidP="00A44C12">
      <w:pPr>
        <w:spacing w:line="360" w:lineRule="auto"/>
      </w:pPr>
      <w:r>
        <w:t>The secondary objective of obtaining swabs around the times of PBB exacerbations was not achieved. Due to the lock down restrictions</w:t>
      </w:r>
      <w:r w:rsidR="00CA2A7A">
        <w:t xml:space="preserve"> during the COVID pandemic</w:t>
      </w:r>
      <w:r>
        <w:t xml:space="preserve">, it was not </w:t>
      </w:r>
      <w:r w:rsidR="004478A6">
        <w:t xml:space="preserve">possible </w:t>
      </w:r>
      <w:r>
        <w:t xml:space="preserve">to collect swabs from children </w:t>
      </w:r>
      <w:r w:rsidR="00CA2A7A">
        <w:t xml:space="preserve">at these times. There were also fewer respiratory tract infections during this period as will be discussed in section 4.6. </w:t>
      </w:r>
      <w:r w:rsidR="008E2F64">
        <w:t xml:space="preserve">All swabs were however frozen and stored for further analysis in order to investigate the phenotypic and genotypic resistance in more detail at a later date. </w:t>
      </w:r>
    </w:p>
    <w:p w14:paraId="4739491D" w14:textId="77777777" w:rsidR="00BF42A8" w:rsidRPr="00D21013" w:rsidRDefault="00BF42A8" w:rsidP="00A44C12">
      <w:pPr>
        <w:spacing w:line="360" w:lineRule="auto"/>
      </w:pPr>
    </w:p>
    <w:p w14:paraId="57BB70FF" w14:textId="30B75D73" w:rsidR="00436658" w:rsidRPr="006D5CE6" w:rsidRDefault="00CF5B55" w:rsidP="004F3338">
      <w:pPr>
        <w:pStyle w:val="Heading2"/>
      </w:pPr>
      <w:bookmarkStart w:id="231" w:name="_Toc117765988"/>
      <w:r w:rsidRPr="00CB07C2">
        <w:t>Results</w:t>
      </w:r>
      <w:r w:rsidR="00436658" w:rsidRPr="00CB07C2">
        <w:t xml:space="preserve"> for PBB studies 1 and 2</w:t>
      </w:r>
      <w:r w:rsidRPr="00CB07C2">
        <w:t xml:space="preserve"> (combined</w:t>
      </w:r>
      <w:r w:rsidR="005B73EF" w:rsidRPr="00CB07C2">
        <w:t xml:space="preserve"> data</w:t>
      </w:r>
      <w:r w:rsidRPr="00CB07C2">
        <w:t>)</w:t>
      </w:r>
      <w:bookmarkEnd w:id="231"/>
    </w:p>
    <w:p w14:paraId="3B9ACF44" w14:textId="485EE9E6" w:rsidR="000D7AEE" w:rsidRDefault="00CF2E1F" w:rsidP="0039053A">
      <w:pPr>
        <w:spacing w:line="360" w:lineRule="auto"/>
      </w:pPr>
      <w:r w:rsidRPr="002C31AC">
        <w:t>During PBB studies 1 and 2</w:t>
      </w:r>
      <w:r w:rsidR="0026021E">
        <w:t>,</w:t>
      </w:r>
      <w:r w:rsidRPr="002C31AC">
        <w:t xml:space="preserve"> a total of 50 participants were recruited, 25 in the azithromycin group and 25 in the comparison group. Although there was slight variation in the age inclusion criteria between the 2 studies</w:t>
      </w:r>
      <w:r w:rsidR="00BF5D3D" w:rsidRPr="00BF5D3D">
        <w:t xml:space="preserve"> </w:t>
      </w:r>
      <w:r w:rsidR="00BF5D3D">
        <w:t>and the timing of swabs differed</w:t>
      </w:r>
      <w:r w:rsidRPr="002C31AC">
        <w:t xml:space="preserve">, the other inclusion criteria </w:t>
      </w:r>
      <w:r w:rsidR="00BF5D3D">
        <w:t xml:space="preserve">and the overall study design </w:t>
      </w:r>
      <w:r w:rsidRPr="002C31AC">
        <w:t>were the same and hence this has meant that certain data from the 2 studies could be combined and analysed together. This has enabled some statistical analysis</w:t>
      </w:r>
      <w:r w:rsidR="008A778E">
        <w:t xml:space="preserve"> (see section 2.3.14 for details)</w:t>
      </w:r>
      <w:r w:rsidR="004478A6">
        <w:t>,</w:t>
      </w:r>
      <w:r w:rsidRPr="002C31AC">
        <w:t xml:space="preserve"> </w:t>
      </w:r>
      <w:r w:rsidR="001874B5">
        <w:t xml:space="preserve">all of </w:t>
      </w:r>
      <w:r w:rsidRPr="002C31AC">
        <w:t xml:space="preserve">which has been </w:t>
      </w:r>
      <w:r w:rsidR="004478A6">
        <w:t>done in consultation with</w:t>
      </w:r>
      <w:r w:rsidRPr="002C31AC">
        <w:t xml:space="preserve"> </w:t>
      </w:r>
      <w:r w:rsidR="004478A6">
        <w:t>Professor of S</w:t>
      </w:r>
      <w:r w:rsidR="004478A6" w:rsidRPr="002C31AC">
        <w:t xml:space="preserve">tatistician </w:t>
      </w:r>
      <w:r w:rsidR="004478A6">
        <w:t>Alan</w:t>
      </w:r>
      <w:r w:rsidR="004478A6" w:rsidRPr="002C31AC">
        <w:t xml:space="preserve"> </w:t>
      </w:r>
      <w:r w:rsidRPr="002C31AC">
        <w:t>Rigby</w:t>
      </w:r>
      <w:r w:rsidR="004478A6">
        <w:t>, York and Hull Medical School.</w:t>
      </w:r>
      <w:r w:rsidR="004478A6" w:rsidRPr="002C31AC">
        <w:t xml:space="preserve"> </w:t>
      </w:r>
    </w:p>
    <w:p w14:paraId="4E4E21D5" w14:textId="77777777" w:rsidR="006D5CE6" w:rsidRDefault="006D5CE6" w:rsidP="006D5CE6">
      <w:pPr>
        <w:spacing w:line="360" w:lineRule="auto"/>
      </w:pPr>
    </w:p>
    <w:p w14:paraId="29870F37" w14:textId="4431BE29" w:rsidR="000D7AEE" w:rsidRPr="00437100" w:rsidRDefault="005B73EF" w:rsidP="00752DA8">
      <w:pPr>
        <w:pStyle w:val="Heading3"/>
      </w:pPr>
      <w:bookmarkStart w:id="232" w:name="_Hlk103092550"/>
      <w:bookmarkStart w:id="233" w:name="_Toc117765989"/>
      <w:r>
        <w:lastRenderedPageBreak/>
        <w:t>D</w:t>
      </w:r>
      <w:r w:rsidR="000D7AEE">
        <w:t>emographics at recruitment</w:t>
      </w:r>
      <w:bookmarkEnd w:id="233"/>
    </w:p>
    <w:p w14:paraId="35816528" w14:textId="274F36F2" w:rsidR="004E39EF" w:rsidRPr="004E39EF" w:rsidRDefault="000D7AEE" w:rsidP="00437100">
      <w:pPr>
        <w:spacing w:line="360" w:lineRule="auto"/>
        <w:rPr>
          <w:rFonts w:eastAsia="Calibri"/>
        </w:rPr>
      </w:pPr>
      <w:r w:rsidRPr="00437100">
        <w:t xml:space="preserve">Children in the </w:t>
      </w:r>
      <w:r w:rsidR="006637B7">
        <w:t xml:space="preserve">combined </w:t>
      </w:r>
      <w:r w:rsidRPr="00437100">
        <w:t>azithromycin group</w:t>
      </w:r>
      <w:r w:rsidR="006637B7">
        <w:t>s</w:t>
      </w:r>
      <w:r w:rsidRPr="00437100">
        <w:t xml:space="preserve"> were </w:t>
      </w:r>
      <w:r w:rsidR="00B148C8">
        <w:t xml:space="preserve">somewhat </w:t>
      </w:r>
      <w:r w:rsidR="009A05D2">
        <w:t xml:space="preserve">older </w:t>
      </w:r>
      <w:r w:rsidR="002D3DFC">
        <w:t xml:space="preserve">compared to the </w:t>
      </w:r>
      <w:r w:rsidR="006637B7">
        <w:t xml:space="preserve">combined </w:t>
      </w:r>
      <w:r w:rsidR="002D3DFC">
        <w:t>comparison group</w:t>
      </w:r>
      <w:r w:rsidR="006637B7">
        <w:t>s</w:t>
      </w:r>
      <w:r w:rsidR="008963F1">
        <w:t xml:space="preserve"> and had more often had a microbiological diagnosis made of PBB. These </w:t>
      </w:r>
      <w:r w:rsidR="001874B5">
        <w:t xml:space="preserve">differences </w:t>
      </w:r>
      <w:r w:rsidR="008963F1">
        <w:t xml:space="preserve">were </w:t>
      </w:r>
      <w:r w:rsidR="002D3DFC">
        <w:t>not statistically significant</w:t>
      </w:r>
      <w:r w:rsidR="008963F1">
        <w:t xml:space="preserve"> </w:t>
      </w:r>
      <w:r w:rsidR="000B0B5C">
        <w:t>(</w:t>
      </w:r>
      <w:r w:rsidR="0039053A" w:rsidRPr="0039053A">
        <w:fldChar w:fldCharType="begin"/>
      </w:r>
      <w:r w:rsidR="0039053A" w:rsidRPr="0039053A">
        <w:instrText xml:space="preserve"> REF _Ref105618583 \h  \* MERGEFORMAT </w:instrText>
      </w:r>
      <w:r w:rsidR="0039053A" w:rsidRPr="0039053A">
        <w:fldChar w:fldCharType="separate"/>
      </w:r>
      <w:r w:rsidR="0039053A" w:rsidRPr="0039053A">
        <w:rPr>
          <w:color w:val="000000" w:themeColor="text1"/>
        </w:rPr>
        <w:t xml:space="preserve">Table </w:t>
      </w:r>
      <w:r w:rsidR="0039053A" w:rsidRPr="0039053A">
        <w:rPr>
          <w:noProof/>
          <w:color w:val="000000" w:themeColor="text1"/>
        </w:rPr>
        <w:t>22</w:t>
      </w:r>
      <w:r w:rsidR="0039053A" w:rsidRPr="0039053A">
        <w:fldChar w:fldCharType="end"/>
      </w:r>
      <w:r w:rsidR="000B0B5C">
        <w:t>).</w:t>
      </w:r>
      <w:r w:rsidR="002D3DFC">
        <w:t xml:space="preserve"> </w:t>
      </w:r>
      <w:r w:rsidR="00FE141F">
        <w:t xml:space="preserve">The groups were otherwise </w:t>
      </w:r>
      <w:r w:rsidR="001874B5">
        <w:t xml:space="preserve">highly </w:t>
      </w:r>
      <w:r w:rsidR="00FE141F">
        <w:t>comparable at baseline.</w:t>
      </w:r>
      <w:r w:rsidR="00FE3D83">
        <w:t xml:space="preserve"> </w:t>
      </w:r>
      <w:r w:rsidR="00FE3D83" w:rsidRPr="0064056D">
        <w:rPr>
          <w:rFonts w:eastAsia="Calibri"/>
        </w:rPr>
        <w:t>A paired T-test was used to compare the means between the two groups for continuous data and Fisher’s exact test for categorical data</w:t>
      </w:r>
      <w:r w:rsidR="00F20949" w:rsidRPr="0064056D">
        <w:rPr>
          <w:rFonts w:eastAsia="Calibri"/>
        </w:rPr>
        <w:t>.</w:t>
      </w:r>
    </w:p>
    <w:p w14:paraId="699435D8" w14:textId="77777777" w:rsidR="004E39EF" w:rsidRDefault="004E39EF" w:rsidP="00437100">
      <w:pPr>
        <w:spacing w:line="360" w:lineRule="auto"/>
      </w:pPr>
    </w:p>
    <w:p w14:paraId="271B8CFA" w14:textId="3004CF30" w:rsidR="003A67AE" w:rsidRPr="001D04B2" w:rsidRDefault="003A67AE" w:rsidP="001D04B2">
      <w:pPr>
        <w:pStyle w:val="Caption"/>
        <w:keepNext/>
        <w:rPr>
          <w:i w:val="0"/>
          <w:iCs w:val="0"/>
          <w:color w:val="000000" w:themeColor="text1"/>
          <w:sz w:val="24"/>
          <w:szCs w:val="24"/>
        </w:rPr>
      </w:pPr>
      <w:bookmarkStart w:id="234" w:name="_Ref105618583"/>
      <w:bookmarkStart w:id="235" w:name="_Toc117780263"/>
      <w:r w:rsidRPr="001D04B2">
        <w:rPr>
          <w:b/>
          <w:bCs/>
          <w:i w:val="0"/>
          <w:iCs w:val="0"/>
          <w:color w:val="000000" w:themeColor="text1"/>
          <w:sz w:val="24"/>
          <w:szCs w:val="24"/>
        </w:rPr>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22</w:t>
      </w:r>
      <w:r w:rsidRPr="001D04B2">
        <w:rPr>
          <w:b/>
          <w:bCs/>
          <w:i w:val="0"/>
          <w:iCs w:val="0"/>
          <w:color w:val="000000" w:themeColor="text1"/>
          <w:sz w:val="24"/>
          <w:szCs w:val="24"/>
        </w:rPr>
        <w:fldChar w:fldCharType="end"/>
      </w:r>
      <w:bookmarkEnd w:id="234"/>
      <w:r w:rsidRPr="001D04B2">
        <w:rPr>
          <w:i w:val="0"/>
          <w:iCs w:val="0"/>
          <w:color w:val="000000" w:themeColor="text1"/>
          <w:sz w:val="24"/>
          <w:szCs w:val="24"/>
        </w:rPr>
        <w:t>: Combined demographic data from PBB studies 1 &amp; 2</w:t>
      </w:r>
      <w:bookmarkEnd w:id="23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42"/>
        <w:gridCol w:w="2573"/>
        <w:gridCol w:w="2551"/>
        <w:gridCol w:w="2410"/>
      </w:tblGrid>
      <w:tr w:rsidR="009C1849" w:rsidRPr="008F33C8" w14:paraId="23ABC41F" w14:textId="404D8B15" w:rsidTr="00FA2D62">
        <w:trPr>
          <w:trHeight w:val="364"/>
        </w:trPr>
        <w:tc>
          <w:tcPr>
            <w:tcW w:w="2242" w:type="dxa"/>
            <w:shd w:val="clear" w:color="auto" w:fill="9CC2E5" w:themeFill="accent1" w:themeFillTint="99"/>
            <w:tcMar>
              <w:top w:w="72" w:type="dxa"/>
              <w:left w:w="144" w:type="dxa"/>
              <w:bottom w:w="72" w:type="dxa"/>
              <w:right w:w="144" w:type="dxa"/>
            </w:tcMar>
            <w:hideMark/>
          </w:tcPr>
          <w:p w14:paraId="6F757918" w14:textId="77777777" w:rsidR="009C1849" w:rsidRPr="00FA2D62" w:rsidRDefault="009C1849" w:rsidP="00703D08">
            <w:pPr>
              <w:rPr>
                <w:b/>
                <w:bCs/>
                <w:color w:val="000000" w:themeColor="text1"/>
              </w:rPr>
            </w:pPr>
            <w:bookmarkStart w:id="236" w:name="_Hlk103023579"/>
            <w:r w:rsidRPr="00FA2D62">
              <w:rPr>
                <w:b/>
                <w:bCs/>
                <w:color w:val="000000" w:themeColor="text1"/>
              </w:rPr>
              <w:t>Demographic</w:t>
            </w:r>
          </w:p>
        </w:tc>
        <w:tc>
          <w:tcPr>
            <w:tcW w:w="2573" w:type="dxa"/>
            <w:shd w:val="clear" w:color="auto" w:fill="9CC2E5" w:themeFill="accent1" w:themeFillTint="99"/>
          </w:tcPr>
          <w:p w14:paraId="4435CA62" w14:textId="77777777" w:rsidR="009C1849" w:rsidRPr="00FA2D62" w:rsidRDefault="009C1849" w:rsidP="00703D08">
            <w:pPr>
              <w:rPr>
                <w:rFonts w:ascii="Calibri" w:hAnsi="Calibri" w:cs="Arial"/>
                <w:b/>
                <w:bCs/>
                <w:color w:val="000000" w:themeColor="text1"/>
                <w:kern w:val="24"/>
              </w:rPr>
            </w:pPr>
            <w:r w:rsidRPr="00FA2D62">
              <w:rPr>
                <w:rFonts w:ascii="Calibri" w:hAnsi="Calibri" w:cs="Arial"/>
                <w:b/>
                <w:bCs/>
                <w:color w:val="000000" w:themeColor="text1"/>
                <w:kern w:val="24"/>
              </w:rPr>
              <w:t>Combined Comparison Group</w:t>
            </w:r>
          </w:p>
          <w:p w14:paraId="5EA1EC7D" w14:textId="757AD3AE" w:rsidR="009C1849" w:rsidRPr="00FA2D62" w:rsidRDefault="009C1849" w:rsidP="00703D08">
            <w:pPr>
              <w:rPr>
                <w:rFonts w:ascii="Calibri" w:hAnsi="Calibri" w:cs="Arial"/>
                <w:b/>
                <w:bCs/>
                <w:color w:val="000000" w:themeColor="text1"/>
                <w:kern w:val="24"/>
              </w:rPr>
            </w:pPr>
            <w:r w:rsidRPr="00FA2D62">
              <w:rPr>
                <w:rFonts w:ascii="Calibri" w:hAnsi="Calibri" w:cs="Arial"/>
                <w:b/>
                <w:bCs/>
                <w:color w:val="000000" w:themeColor="text1"/>
                <w:kern w:val="24"/>
              </w:rPr>
              <w:t xml:space="preserve"> N=25 (%)</w:t>
            </w:r>
          </w:p>
        </w:tc>
        <w:tc>
          <w:tcPr>
            <w:tcW w:w="2551" w:type="dxa"/>
            <w:shd w:val="clear" w:color="auto" w:fill="9CC2E5" w:themeFill="accent1" w:themeFillTint="99"/>
          </w:tcPr>
          <w:p w14:paraId="04FA5DEA" w14:textId="77777777" w:rsidR="009C1849" w:rsidRPr="00FA2D62" w:rsidRDefault="009C1849" w:rsidP="00703D08">
            <w:pPr>
              <w:rPr>
                <w:rFonts w:ascii="Calibri" w:hAnsi="Calibri" w:cs="Arial"/>
                <w:b/>
                <w:bCs/>
                <w:color w:val="000000" w:themeColor="text1"/>
                <w:kern w:val="24"/>
              </w:rPr>
            </w:pPr>
            <w:r w:rsidRPr="00FA2D62">
              <w:rPr>
                <w:rFonts w:ascii="Calibri" w:hAnsi="Calibri" w:cs="Arial"/>
                <w:b/>
                <w:bCs/>
                <w:color w:val="000000" w:themeColor="text1"/>
                <w:kern w:val="24"/>
              </w:rPr>
              <w:t xml:space="preserve">Combined Azithromycin Group </w:t>
            </w:r>
          </w:p>
          <w:p w14:paraId="13F1A012" w14:textId="0417A849" w:rsidR="009C1849" w:rsidRPr="00FA2D62" w:rsidRDefault="009C1849" w:rsidP="00703D08">
            <w:pPr>
              <w:rPr>
                <w:rFonts w:ascii="Calibri" w:hAnsi="Calibri" w:cs="Arial"/>
                <w:b/>
                <w:bCs/>
                <w:color w:val="000000" w:themeColor="text1"/>
                <w:kern w:val="24"/>
              </w:rPr>
            </w:pPr>
            <w:r w:rsidRPr="00FA2D62">
              <w:rPr>
                <w:rFonts w:ascii="Calibri" w:hAnsi="Calibri" w:cs="Arial"/>
                <w:b/>
                <w:bCs/>
                <w:color w:val="000000" w:themeColor="text1"/>
                <w:kern w:val="24"/>
              </w:rPr>
              <w:t>N=25 (%)</w:t>
            </w:r>
          </w:p>
        </w:tc>
        <w:tc>
          <w:tcPr>
            <w:tcW w:w="2410" w:type="dxa"/>
            <w:shd w:val="clear" w:color="auto" w:fill="9CC2E5" w:themeFill="accent1" w:themeFillTint="99"/>
          </w:tcPr>
          <w:p w14:paraId="0273F07E" w14:textId="2982E241" w:rsidR="009C1849" w:rsidRPr="00FA2D62" w:rsidRDefault="009C1849" w:rsidP="00703D08">
            <w:pPr>
              <w:rPr>
                <w:rFonts w:ascii="Calibri" w:hAnsi="Calibri" w:cs="Arial"/>
                <w:b/>
                <w:bCs/>
                <w:color w:val="000000" w:themeColor="text1"/>
                <w:kern w:val="24"/>
              </w:rPr>
            </w:pPr>
            <w:r w:rsidRPr="00FA2D62">
              <w:rPr>
                <w:rFonts w:ascii="Calibri" w:hAnsi="Calibri" w:cs="Arial"/>
                <w:b/>
                <w:bCs/>
                <w:color w:val="000000" w:themeColor="text1"/>
                <w:kern w:val="24"/>
              </w:rPr>
              <w:t>Stat</w:t>
            </w:r>
            <w:r w:rsidR="00B148C8" w:rsidRPr="00FA2D62">
              <w:rPr>
                <w:rFonts w:ascii="Calibri" w:hAnsi="Calibri" w:cs="Arial"/>
                <w:b/>
                <w:bCs/>
                <w:color w:val="000000" w:themeColor="text1"/>
                <w:kern w:val="24"/>
              </w:rPr>
              <w:t>isti</w:t>
            </w:r>
            <w:r w:rsidR="00F96E89" w:rsidRPr="00FA2D62">
              <w:rPr>
                <w:rFonts w:ascii="Calibri" w:hAnsi="Calibri" w:cs="Arial"/>
                <w:b/>
                <w:bCs/>
                <w:color w:val="000000" w:themeColor="text1"/>
                <w:kern w:val="24"/>
              </w:rPr>
              <w:t>c</w:t>
            </w:r>
            <w:r w:rsidR="00B148C8" w:rsidRPr="00FA2D62">
              <w:rPr>
                <w:rFonts w:ascii="Calibri" w:hAnsi="Calibri" w:cs="Arial"/>
                <w:b/>
                <w:bCs/>
                <w:color w:val="000000" w:themeColor="text1"/>
                <w:kern w:val="24"/>
              </w:rPr>
              <w:t>al test and result</w:t>
            </w:r>
            <w:r w:rsidRPr="00FA2D62">
              <w:rPr>
                <w:rFonts w:ascii="Calibri" w:hAnsi="Calibri" w:cs="Arial"/>
                <w:b/>
                <w:bCs/>
                <w:color w:val="000000" w:themeColor="text1"/>
                <w:kern w:val="24"/>
              </w:rPr>
              <w:t>s</w:t>
            </w:r>
          </w:p>
          <w:p w14:paraId="37967FA6" w14:textId="01DF06C6" w:rsidR="009C1849" w:rsidRPr="00FA2D62" w:rsidRDefault="009C1849" w:rsidP="00703D08">
            <w:pPr>
              <w:rPr>
                <w:rFonts w:ascii="Calibri" w:hAnsi="Calibri" w:cs="Arial"/>
                <w:b/>
                <w:bCs/>
                <w:color w:val="000000" w:themeColor="text1"/>
                <w:kern w:val="24"/>
              </w:rPr>
            </w:pPr>
          </w:p>
        </w:tc>
      </w:tr>
      <w:tr w:rsidR="009C1849" w:rsidRPr="008F33C8" w14:paraId="70D1C02E" w14:textId="3E1937FF" w:rsidTr="00FA2D62">
        <w:trPr>
          <w:trHeight w:val="315"/>
        </w:trPr>
        <w:tc>
          <w:tcPr>
            <w:tcW w:w="2242" w:type="dxa"/>
            <w:shd w:val="clear" w:color="auto" w:fill="auto"/>
            <w:tcMar>
              <w:top w:w="72" w:type="dxa"/>
              <w:left w:w="144" w:type="dxa"/>
              <w:bottom w:w="72" w:type="dxa"/>
              <w:right w:w="144" w:type="dxa"/>
            </w:tcMar>
            <w:hideMark/>
          </w:tcPr>
          <w:p w14:paraId="0F8F9150" w14:textId="3534DE38" w:rsidR="009C1849" w:rsidRPr="001D04B2" w:rsidRDefault="009C1849" w:rsidP="00703D08">
            <w:pPr>
              <w:rPr>
                <w:rFonts w:cstheme="minorHAnsi"/>
                <w:color w:val="000000"/>
                <w:kern w:val="24"/>
              </w:rPr>
            </w:pPr>
            <w:r w:rsidRPr="001D04B2">
              <w:rPr>
                <w:rFonts w:cstheme="minorHAnsi"/>
                <w:color w:val="000000"/>
                <w:kern w:val="24"/>
              </w:rPr>
              <w:t>Mean age in months</w:t>
            </w:r>
          </w:p>
        </w:tc>
        <w:tc>
          <w:tcPr>
            <w:tcW w:w="2573" w:type="dxa"/>
            <w:shd w:val="clear" w:color="auto" w:fill="auto"/>
          </w:tcPr>
          <w:p w14:paraId="167008D0" w14:textId="5E5E47CA" w:rsidR="009C1849" w:rsidRPr="00241369" w:rsidRDefault="009C1849" w:rsidP="00703D08">
            <w:pPr>
              <w:rPr>
                <w:rFonts w:ascii="Calibri" w:hAnsi="Calibri" w:cs="Arial"/>
                <w:color w:val="000000"/>
                <w:kern w:val="24"/>
              </w:rPr>
            </w:pPr>
            <w:r>
              <w:rPr>
                <w:rFonts w:ascii="Calibri" w:hAnsi="Calibri" w:cs="Arial"/>
                <w:color w:val="000000"/>
                <w:kern w:val="24"/>
              </w:rPr>
              <w:t xml:space="preserve">39.24 </w:t>
            </w:r>
          </w:p>
        </w:tc>
        <w:tc>
          <w:tcPr>
            <w:tcW w:w="2551" w:type="dxa"/>
            <w:shd w:val="clear" w:color="auto" w:fill="auto"/>
          </w:tcPr>
          <w:p w14:paraId="630ECC35" w14:textId="63523F2B" w:rsidR="009C1849" w:rsidRPr="002C31AC" w:rsidRDefault="009C1849" w:rsidP="00703D08">
            <w:pPr>
              <w:rPr>
                <w:rFonts w:cstheme="minorHAnsi"/>
                <w:color w:val="000000"/>
                <w:kern w:val="24"/>
              </w:rPr>
            </w:pPr>
            <w:r>
              <w:rPr>
                <w:rFonts w:cstheme="minorHAnsi"/>
                <w:color w:val="000000"/>
                <w:kern w:val="24"/>
              </w:rPr>
              <w:t>50.24</w:t>
            </w:r>
          </w:p>
        </w:tc>
        <w:tc>
          <w:tcPr>
            <w:tcW w:w="2410" w:type="dxa"/>
            <w:shd w:val="clear" w:color="auto" w:fill="auto"/>
          </w:tcPr>
          <w:p w14:paraId="49BCF362" w14:textId="74D20352" w:rsidR="009C1849" w:rsidRPr="002C31AC" w:rsidRDefault="009C1849" w:rsidP="00703D08">
            <w:pPr>
              <w:rPr>
                <w:rFonts w:cstheme="minorHAnsi"/>
                <w:color w:val="000000"/>
                <w:kern w:val="24"/>
              </w:rPr>
            </w:pPr>
            <w:r>
              <w:rPr>
                <w:rFonts w:cstheme="minorHAnsi"/>
                <w:color w:val="000000"/>
                <w:kern w:val="24"/>
              </w:rPr>
              <w:t>T-test, p=0.063</w:t>
            </w:r>
          </w:p>
        </w:tc>
      </w:tr>
      <w:tr w:rsidR="009C1849" w:rsidRPr="008F33C8" w14:paraId="5415D444" w14:textId="76933A19" w:rsidTr="00FA2D62">
        <w:trPr>
          <w:trHeight w:val="315"/>
        </w:trPr>
        <w:tc>
          <w:tcPr>
            <w:tcW w:w="2242" w:type="dxa"/>
            <w:shd w:val="clear" w:color="auto" w:fill="DEEAF6" w:themeFill="accent1" w:themeFillTint="33"/>
            <w:tcMar>
              <w:top w:w="72" w:type="dxa"/>
              <w:left w:w="144" w:type="dxa"/>
              <w:bottom w:w="72" w:type="dxa"/>
              <w:right w:w="144" w:type="dxa"/>
            </w:tcMar>
            <w:hideMark/>
          </w:tcPr>
          <w:p w14:paraId="39C68CC9" w14:textId="77777777" w:rsidR="009C1849" w:rsidRPr="002C31AC" w:rsidRDefault="009C1849" w:rsidP="00703D08">
            <w:pPr>
              <w:rPr>
                <w:rFonts w:cstheme="minorHAnsi"/>
              </w:rPr>
            </w:pPr>
            <w:r w:rsidRPr="002C31AC">
              <w:rPr>
                <w:rFonts w:cstheme="minorHAnsi"/>
                <w:color w:val="000000"/>
                <w:kern w:val="24"/>
              </w:rPr>
              <w:t>Female</w:t>
            </w:r>
          </w:p>
        </w:tc>
        <w:tc>
          <w:tcPr>
            <w:tcW w:w="2573" w:type="dxa"/>
            <w:shd w:val="clear" w:color="auto" w:fill="DEEAF6" w:themeFill="accent1" w:themeFillTint="33"/>
          </w:tcPr>
          <w:p w14:paraId="550CCCC5" w14:textId="738B70AA" w:rsidR="009C1849" w:rsidRPr="002C31AC" w:rsidRDefault="009C1849" w:rsidP="00703D08">
            <w:pPr>
              <w:rPr>
                <w:rFonts w:cstheme="minorHAnsi"/>
              </w:rPr>
            </w:pPr>
            <w:r w:rsidRPr="002C31AC">
              <w:rPr>
                <w:rFonts w:cstheme="minorHAnsi"/>
              </w:rPr>
              <w:t>12</w:t>
            </w:r>
            <w:r>
              <w:rPr>
                <w:rFonts w:cstheme="minorHAnsi"/>
              </w:rPr>
              <w:t xml:space="preserve"> (48)</w:t>
            </w:r>
          </w:p>
        </w:tc>
        <w:tc>
          <w:tcPr>
            <w:tcW w:w="2551" w:type="dxa"/>
            <w:shd w:val="clear" w:color="auto" w:fill="DEEAF6" w:themeFill="accent1" w:themeFillTint="33"/>
          </w:tcPr>
          <w:p w14:paraId="6718831F" w14:textId="6433ED32" w:rsidR="009C1849" w:rsidRPr="002C31AC" w:rsidRDefault="009C1849" w:rsidP="00703D08">
            <w:pPr>
              <w:rPr>
                <w:rFonts w:cstheme="minorHAnsi"/>
              </w:rPr>
            </w:pPr>
            <w:r>
              <w:rPr>
                <w:rFonts w:cstheme="minorHAnsi"/>
              </w:rPr>
              <w:t>11 (44)</w:t>
            </w:r>
          </w:p>
        </w:tc>
        <w:tc>
          <w:tcPr>
            <w:tcW w:w="2410" w:type="dxa"/>
            <w:shd w:val="clear" w:color="auto" w:fill="DEEAF6" w:themeFill="accent1" w:themeFillTint="33"/>
          </w:tcPr>
          <w:p w14:paraId="2EA5D7A3" w14:textId="77777777" w:rsidR="00F96E89" w:rsidRDefault="009C1849" w:rsidP="00703D08">
            <w:pPr>
              <w:rPr>
                <w:rFonts w:cstheme="minorHAnsi"/>
              </w:rPr>
            </w:pPr>
            <w:r>
              <w:rPr>
                <w:rFonts w:cstheme="minorHAnsi"/>
              </w:rPr>
              <w:t>Fisher</w:t>
            </w:r>
          </w:p>
          <w:p w14:paraId="4F6FA165" w14:textId="77777777" w:rsidR="008A34E2" w:rsidRDefault="008A34E2" w:rsidP="00703D08">
            <w:pPr>
              <w:rPr>
                <w:rFonts w:cstheme="minorHAnsi"/>
              </w:rPr>
            </w:pPr>
          </w:p>
          <w:p w14:paraId="326B2922" w14:textId="0BDA4401" w:rsidR="009C1849" w:rsidRPr="002C31AC" w:rsidRDefault="009C1849" w:rsidP="00703D08">
            <w:pPr>
              <w:rPr>
                <w:rFonts w:cstheme="minorHAnsi"/>
              </w:rPr>
            </w:pPr>
            <w:r>
              <w:rPr>
                <w:rFonts w:cstheme="minorHAnsi"/>
              </w:rPr>
              <w:t xml:space="preserve"> p = 1</w:t>
            </w:r>
          </w:p>
        </w:tc>
      </w:tr>
      <w:tr w:rsidR="009C1849" w:rsidRPr="008F33C8" w14:paraId="7F3F9B92" w14:textId="7B009125" w:rsidTr="00FA2D62">
        <w:trPr>
          <w:trHeight w:val="315"/>
        </w:trPr>
        <w:tc>
          <w:tcPr>
            <w:tcW w:w="2242" w:type="dxa"/>
            <w:shd w:val="clear" w:color="auto" w:fill="auto"/>
            <w:tcMar>
              <w:top w:w="72" w:type="dxa"/>
              <w:left w:w="144" w:type="dxa"/>
              <w:bottom w:w="72" w:type="dxa"/>
              <w:right w:w="144" w:type="dxa"/>
            </w:tcMar>
          </w:tcPr>
          <w:p w14:paraId="647D2984"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Vaginal delivery</w:t>
            </w:r>
          </w:p>
        </w:tc>
        <w:tc>
          <w:tcPr>
            <w:tcW w:w="2573" w:type="dxa"/>
            <w:shd w:val="clear" w:color="auto" w:fill="auto"/>
          </w:tcPr>
          <w:p w14:paraId="23DCE550" w14:textId="06D4E7D7" w:rsidR="009C1849" w:rsidRDefault="009C1849" w:rsidP="00703D08">
            <w:pPr>
              <w:rPr>
                <w:rFonts w:ascii="Calibri" w:hAnsi="Calibri" w:cs="Arial"/>
                <w:color w:val="000000"/>
                <w:kern w:val="24"/>
              </w:rPr>
            </w:pPr>
            <w:r>
              <w:rPr>
                <w:rFonts w:ascii="Calibri" w:hAnsi="Calibri" w:cs="Arial"/>
                <w:color w:val="000000"/>
                <w:kern w:val="24"/>
              </w:rPr>
              <w:t>21 (84)</w:t>
            </w:r>
          </w:p>
        </w:tc>
        <w:tc>
          <w:tcPr>
            <w:tcW w:w="2551" w:type="dxa"/>
            <w:shd w:val="clear" w:color="auto" w:fill="auto"/>
          </w:tcPr>
          <w:p w14:paraId="6C55F804" w14:textId="73DAD499" w:rsidR="009C1849" w:rsidRPr="002C31AC" w:rsidRDefault="009C1849" w:rsidP="00703D08">
            <w:pPr>
              <w:rPr>
                <w:rFonts w:cstheme="minorHAnsi"/>
                <w:color w:val="000000"/>
                <w:kern w:val="24"/>
              </w:rPr>
            </w:pPr>
            <w:r>
              <w:rPr>
                <w:rFonts w:cstheme="minorHAnsi"/>
                <w:color w:val="000000"/>
                <w:kern w:val="24"/>
              </w:rPr>
              <w:t>15 (60)</w:t>
            </w:r>
          </w:p>
        </w:tc>
        <w:tc>
          <w:tcPr>
            <w:tcW w:w="2410" w:type="dxa"/>
            <w:shd w:val="clear" w:color="auto" w:fill="auto"/>
          </w:tcPr>
          <w:p w14:paraId="328A05D9" w14:textId="33CB0557" w:rsidR="009C1849" w:rsidRDefault="009C1849" w:rsidP="00703D08">
            <w:pPr>
              <w:rPr>
                <w:rFonts w:cstheme="minorHAnsi"/>
                <w:color w:val="000000"/>
                <w:kern w:val="24"/>
              </w:rPr>
            </w:pPr>
            <w:r>
              <w:rPr>
                <w:rFonts w:cstheme="minorHAnsi"/>
                <w:color w:val="000000"/>
                <w:kern w:val="24"/>
              </w:rPr>
              <w:t>Fisher, p=0.113</w:t>
            </w:r>
          </w:p>
          <w:p w14:paraId="39189602" w14:textId="48AEE552" w:rsidR="009C1849" w:rsidRPr="002C31AC" w:rsidRDefault="009C1849" w:rsidP="00703D08">
            <w:pPr>
              <w:rPr>
                <w:rFonts w:cstheme="minorHAnsi"/>
                <w:color w:val="000000"/>
                <w:kern w:val="24"/>
              </w:rPr>
            </w:pPr>
          </w:p>
        </w:tc>
      </w:tr>
      <w:tr w:rsidR="009C1849" w:rsidRPr="008F33C8" w14:paraId="3F2B4D3B" w14:textId="60D1AECA" w:rsidTr="00FA2D62">
        <w:trPr>
          <w:trHeight w:val="315"/>
        </w:trPr>
        <w:tc>
          <w:tcPr>
            <w:tcW w:w="2242" w:type="dxa"/>
            <w:shd w:val="clear" w:color="auto" w:fill="DEEAF6" w:themeFill="accent1" w:themeFillTint="33"/>
            <w:tcMar>
              <w:top w:w="72" w:type="dxa"/>
              <w:left w:w="144" w:type="dxa"/>
              <w:bottom w:w="72" w:type="dxa"/>
              <w:right w:w="144" w:type="dxa"/>
            </w:tcMar>
          </w:tcPr>
          <w:p w14:paraId="46402FDE"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Breast fed</w:t>
            </w:r>
          </w:p>
        </w:tc>
        <w:tc>
          <w:tcPr>
            <w:tcW w:w="2573" w:type="dxa"/>
            <w:shd w:val="clear" w:color="auto" w:fill="DEEAF6" w:themeFill="accent1" w:themeFillTint="33"/>
          </w:tcPr>
          <w:p w14:paraId="5247DF94" w14:textId="08A304A7" w:rsidR="009C1849" w:rsidRDefault="009C1849" w:rsidP="00703D08">
            <w:pPr>
              <w:rPr>
                <w:rFonts w:ascii="Calibri" w:hAnsi="Calibri" w:cs="Arial"/>
                <w:color w:val="000000"/>
                <w:kern w:val="24"/>
              </w:rPr>
            </w:pPr>
            <w:r>
              <w:rPr>
                <w:rFonts w:ascii="Calibri" w:hAnsi="Calibri" w:cs="Arial"/>
                <w:color w:val="000000"/>
                <w:kern w:val="24"/>
              </w:rPr>
              <w:t>13 (52)</w:t>
            </w:r>
          </w:p>
        </w:tc>
        <w:tc>
          <w:tcPr>
            <w:tcW w:w="2551" w:type="dxa"/>
            <w:shd w:val="clear" w:color="auto" w:fill="DEEAF6" w:themeFill="accent1" w:themeFillTint="33"/>
          </w:tcPr>
          <w:p w14:paraId="2A590EF4" w14:textId="5BD74777" w:rsidR="009C1849" w:rsidRPr="002C31AC" w:rsidRDefault="009C1849" w:rsidP="00703D08">
            <w:pPr>
              <w:rPr>
                <w:rFonts w:cstheme="minorHAnsi"/>
                <w:color w:val="000000"/>
                <w:kern w:val="24"/>
              </w:rPr>
            </w:pPr>
            <w:r>
              <w:rPr>
                <w:rFonts w:cstheme="minorHAnsi"/>
                <w:color w:val="000000"/>
                <w:kern w:val="24"/>
              </w:rPr>
              <w:t>12 (48)</w:t>
            </w:r>
          </w:p>
        </w:tc>
        <w:tc>
          <w:tcPr>
            <w:tcW w:w="2410" w:type="dxa"/>
            <w:shd w:val="clear" w:color="auto" w:fill="DEEAF6" w:themeFill="accent1" w:themeFillTint="33"/>
          </w:tcPr>
          <w:p w14:paraId="359F667B" w14:textId="0EA88C85" w:rsidR="009C1849" w:rsidRPr="00E1664B" w:rsidRDefault="009C1849" w:rsidP="00703D08">
            <w:pPr>
              <w:rPr>
                <w:rFonts w:cstheme="minorHAnsi"/>
                <w:color w:val="000000"/>
                <w:kern w:val="24"/>
              </w:rPr>
            </w:pPr>
            <w:r>
              <w:rPr>
                <w:rFonts w:cstheme="minorHAnsi"/>
                <w:color w:val="000000"/>
                <w:kern w:val="24"/>
              </w:rPr>
              <w:t>Fisher p= 1</w:t>
            </w:r>
          </w:p>
        </w:tc>
      </w:tr>
      <w:tr w:rsidR="009C1849" w:rsidRPr="008F33C8" w14:paraId="4C3AB54D" w14:textId="086DAF79" w:rsidTr="00FA2D62">
        <w:trPr>
          <w:trHeight w:val="315"/>
        </w:trPr>
        <w:tc>
          <w:tcPr>
            <w:tcW w:w="2242" w:type="dxa"/>
            <w:shd w:val="clear" w:color="auto" w:fill="auto"/>
            <w:tcMar>
              <w:top w:w="72" w:type="dxa"/>
              <w:left w:w="144" w:type="dxa"/>
              <w:bottom w:w="72" w:type="dxa"/>
              <w:right w:w="144" w:type="dxa"/>
            </w:tcMar>
          </w:tcPr>
          <w:p w14:paraId="7B3EB462"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Microbiological diagnosis</w:t>
            </w:r>
          </w:p>
        </w:tc>
        <w:tc>
          <w:tcPr>
            <w:tcW w:w="2573" w:type="dxa"/>
            <w:shd w:val="clear" w:color="auto" w:fill="auto"/>
          </w:tcPr>
          <w:p w14:paraId="10606A37" w14:textId="1350DF4C" w:rsidR="009C1849" w:rsidRDefault="009C1849" w:rsidP="00703D08">
            <w:pPr>
              <w:rPr>
                <w:rFonts w:ascii="Calibri" w:hAnsi="Calibri" w:cs="Arial"/>
                <w:color w:val="000000"/>
                <w:kern w:val="24"/>
              </w:rPr>
            </w:pPr>
            <w:r>
              <w:rPr>
                <w:rFonts w:ascii="Calibri" w:hAnsi="Calibri" w:cs="Arial"/>
                <w:color w:val="000000"/>
                <w:kern w:val="24"/>
              </w:rPr>
              <w:t>13 (52)</w:t>
            </w:r>
          </w:p>
        </w:tc>
        <w:tc>
          <w:tcPr>
            <w:tcW w:w="2551" w:type="dxa"/>
            <w:shd w:val="clear" w:color="auto" w:fill="auto"/>
          </w:tcPr>
          <w:p w14:paraId="5DD7788D" w14:textId="380731A7" w:rsidR="009C1849" w:rsidRPr="002C31AC" w:rsidRDefault="009C1849" w:rsidP="00703D08">
            <w:pPr>
              <w:rPr>
                <w:rFonts w:cstheme="minorHAnsi"/>
                <w:color w:val="000000"/>
                <w:kern w:val="24"/>
              </w:rPr>
            </w:pPr>
            <w:r>
              <w:rPr>
                <w:rFonts w:cstheme="minorHAnsi"/>
                <w:color w:val="000000"/>
                <w:kern w:val="24"/>
              </w:rPr>
              <w:t>20 (80)</w:t>
            </w:r>
          </w:p>
        </w:tc>
        <w:tc>
          <w:tcPr>
            <w:tcW w:w="2410" w:type="dxa"/>
            <w:shd w:val="clear" w:color="auto" w:fill="auto"/>
          </w:tcPr>
          <w:p w14:paraId="2E389862" w14:textId="38749F3B" w:rsidR="009C1849" w:rsidRPr="00E1664B" w:rsidRDefault="009C1849" w:rsidP="00703D08">
            <w:pPr>
              <w:rPr>
                <w:rFonts w:cstheme="minorHAnsi"/>
                <w:color w:val="000000"/>
                <w:kern w:val="24"/>
              </w:rPr>
            </w:pPr>
            <w:r>
              <w:rPr>
                <w:rFonts w:cstheme="minorHAnsi"/>
                <w:color w:val="000000"/>
                <w:kern w:val="24"/>
              </w:rPr>
              <w:t>Fisher p= 0.071</w:t>
            </w:r>
          </w:p>
        </w:tc>
      </w:tr>
      <w:tr w:rsidR="009C1849" w:rsidRPr="008F33C8" w14:paraId="028CAB89" w14:textId="3168A5B2" w:rsidTr="00005065">
        <w:trPr>
          <w:trHeight w:val="315"/>
        </w:trPr>
        <w:tc>
          <w:tcPr>
            <w:tcW w:w="2242" w:type="dxa"/>
            <w:shd w:val="clear" w:color="auto" w:fill="DEEAF6" w:themeFill="accent1" w:themeFillTint="33"/>
            <w:tcMar>
              <w:top w:w="72" w:type="dxa"/>
              <w:left w:w="144" w:type="dxa"/>
              <w:bottom w:w="72" w:type="dxa"/>
              <w:right w:w="144" w:type="dxa"/>
            </w:tcMar>
          </w:tcPr>
          <w:p w14:paraId="034A32AD" w14:textId="67B94D29" w:rsidR="009C1849" w:rsidRPr="002D0226" w:rsidRDefault="009C1849" w:rsidP="00703D08">
            <w:pPr>
              <w:rPr>
                <w:rFonts w:ascii="Calibri" w:hAnsi="Calibri" w:cs="Arial"/>
                <w:color w:val="000000"/>
                <w:kern w:val="24"/>
              </w:rPr>
            </w:pPr>
            <w:r w:rsidRPr="002C31AC">
              <w:rPr>
                <w:rFonts w:ascii="Calibri" w:hAnsi="Calibri" w:cs="Arial"/>
                <w:color w:val="000000"/>
                <w:kern w:val="24"/>
              </w:rPr>
              <w:t>Premature &lt;37</w:t>
            </w:r>
            <w:r>
              <w:rPr>
                <w:rFonts w:ascii="Calibri" w:hAnsi="Calibri" w:cs="Arial"/>
                <w:color w:val="000000"/>
                <w:kern w:val="24"/>
              </w:rPr>
              <w:t xml:space="preserve"> weeks</w:t>
            </w:r>
          </w:p>
        </w:tc>
        <w:tc>
          <w:tcPr>
            <w:tcW w:w="2573" w:type="dxa"/>
            <w:shd w:val="clear" w:color="auto" w:fill="DEEAF6" w:themeFill="accent1" w:themeFillTint="33"/>
          </w:tcPr>
          <w:p w14:paraId="4CF8802D" w14:textId="4003C319" w:rsidR="009C1849" w:rsidRPr="00241369" w:rsidRDefault="009C1849" w:rsidP="00703D08">
            <w:pPr>
              <w:rPr>
                <w:rFonts w:ascii="Calibri" w:hAnsi="Calibri" w:cs="Arial"/>
                <w:color w:val="000000"/>
                <w:kern w:val="24"/>
              </w:rPr>
            </w:pPr>
            <w:r>
              <w:rPr>
                <w:rFonts w:ascii="Calibri" w:hAnsi="Calibri" w:cs="Arial"/>
                <w:color w:val="000000"/>
                <w:kern w:val="24"/>
              </w:rPr>
              <w:t>2 (8)</w:t>
            </w:r>
          </w:p>
        </w:tc>
        <w:tc>
          <w:tcPr>
            <w:tcW w:w="2551" w:type="dxa"/>
            <w:shd w:val="clear" w:color="auto" w:fill="DEEAF6" w:themeFill="accent1" w:themeFillTint="33"/>
          </w:tcPr>
          <w:p w14:paraId="745A2812" w14:textId="1A09ED58" w:rsidR="009C1849" w:rsidRPr="002C31AC" w:rsidRDefault="009C1849" w:rsidP="00703D08">
            <w:pPr>
              <w:rPr>
                <w:rFonts w:cstheme="minorHAnsi"/>
                <w:color w:val="000000"/>
                <w:kern w:val="24"/>
              </w:rPr>
            </w:pPr>
            <w:r>
              <w:rPr>
                <w:rFonts w:cstheme="minorHAnsi"/>
                <w:color w:val="000000"/>
                <w:kern w:val="24"/>
              </w:rPr>
              <w:t>4 (16)</w:t>
            </w:r>
          </w:p>
        </w:tc>
        <w:tc>
          <w:tcPr>
            <w:tcW w:w="2410" w:type="dxa"/>
            <w:shd w:val="clear" w:color="auto" w:fill="DEEAF6" w:themeFill="accent1" w:themeFillTint="33"/>
          </w:tcPr>
          <w:p w14:paraId="41C01FB1" w14:textId="49D4100D" w:rsidR="009C1849" w:rsidRPr="002C31AC" w:rsidRDefault="009C1849" w:rsidP="00703D08">
            <w:pPr>
              <w:rPr>
                <w:rFonts w:cstheme="minorHAnsi"/>
                <w:color w:val="000000"/>
                <w:kern w:val="24"/>
              </w:rPr>
            </w:pPr>
            <w:r>
              <w:rPr>
                <w:rFonts w:cstheme="minorHAnsi"/>
                <w:color w:val="000000"/>
                <w:kern w:val="24"/>
              </w:rPr>
              <w:t>Fisher p= 0.667</w:t>
            </w:r>
          </w:p>
        </w:tc>
      </w:tr>
      <w:tr w:rsidR="009C1849" w:rsidRPr="008F33C8" w14:paraId="158F9908" w14:textId="7E9F5E6E" w:rsidTr="00FA2D62">
        <w:trPr>
          <w:trHeight w:val="315"/>
        </w:trPr>
        <w:tc>
          <w:tcPr>
            <w:tcW w:w="2242" w:type="dxa"/>
            <w:shd w:val="clear" w:color="auto" w:fill="auto"/>
            <w:tcMar>
              <w:top w:w="72" w:type="dxa"/>
              <w:left w:w="144" w:type="dxa"/>
              <w:bottom w:w="72" w:type="dxa"/>
              <w:right w:w="144" w:type="dxa"/>
            </w:tcMar>
          </w:tcPr>
          <w:p w14:paraId="699D5F43"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Ventilated</w:t>
            </w:r>
          </w:p>
        </w:tc>
        <w:tc>
          <w:tcPr>
            <w:tcW w:w="2573" w:type="dxa"/>
            <w:shd w:val="clear" w:color="auto" w:fill="auto"/>
          </w:tcPr>
          <w:p w14:paraId="0B19ACB7" w14:textId="5098DE3C" w:rsidR="009C1849" w:rsidRPr="00241369" w:rsidRDefault="009C1849" w:rsidP="00703D08">
            <w:pPr>
              <w:rPr>
                <w:rFonts w:ascii="Calibri" w:hAnsi="Calibri" w:cs="Arial"/>
                <w:color w:val="000000"/>
                <w:kern w:val="24"/>
              </w:rPr>
            </w:pPr>
            <w:r>
              <w:rPr>
                <w:rFonts w:ascii="Calibri" w:hAnsi="Calibri" w:cs="Arial"/>
                <w:color w:val="000000"/>
                <w:kern w:val="24"/>
              </w:rPr>
              <w:t>1 (4)</w:t>
            </w:r>
          </w:p>
        </w:tc>
        <w:tc>
          <w:tcPr>
            <w:tcW w:w="2551" w:type="dxa"/>
            <w:shd w:val="clear" w:color="auto" w:fill="auto"/>
          </w:tcPr>
          <w:p w14:paraId="7303AF49" w14:textId="2EBE5F2D" w:rsidR="009C1849" w:rsidRPr="002C31AC" w:rsidRDefault="009C1849" w:rsidP="00703D08">
            <w:pPr>
              <w:rPr>
                <w:rFonts w:cstheme="minorHAnsi"/>
                <w:color w:val="000000"/>
                <w:kern w:val="24"/>
              </w:rPr>
            </w:pPr>
            <w:r>
              <w:rPr>
                <w:rFonts w:cstheme="minorHAnsi"/>
                <w:color w:val="000000"/>
                <w:kern w:val="24"/>
              </w:rPr>
              <w:t>2 (8)</w:t>
            </w:r>
          </w:p>
        </w:tc>
        <w:tc>
          <w:tcPr>
            <w:tcW w:w="2410" w:type="dxa"/>
            <w:shd w:val="clear" w:color="auto" w:fill="auto"/>
          </w:tcPr>
          <w:p w14:paraId="6F68764F" w14:textId="0DFEDA0C" w:rsidR="009C1849" w:rsidRPr="002C31AC" w:rsidRDefault="009C1849" w:rsidP="00703D08">
            <w:pPr>
              <w:rPr>
                <w:rFonts w:cstheme="minorHAnsi"/>
                <w:color w:val="000000"/>
                <w:kern w:val="24"/>
              </w:rPr>
            </w:pPr>
            <w:r>
              <w:rPr>
                <w:rFonts w:cstheme="minorHAnsi"/>
                <w:color w:val="000000"/>
                <w:kern w:val="24"/>
              </w:rPr>
              <w:t>Fisher p=1</w:t>
            </w:r>
          </w:p>
        </w:tc>
      </w:tr>
      <w:tr w:rsidR="009C1849" w:rsidRPr="008F33C8" w14:paraId="525AC61D" w14:textId="0753DE11" w:rsidTr="00005065">
        <w:trPr>
          <w:trHeight w:val="315"/>
        </w:trPr>
        <w:tc>
          <w:tcPr>
            <w:tcW w:w="2242" w:type="dxa"/>
            <w:shd w:val="clear" w:color="auto" w:fill="DEEAF6" w:themeFill="accent1" w:themeFillTint="33"/>
            <w:tcMar>
              <w:top w:w="72" w:type="dxa"/>
              <w:left w:w="144" w:type="dxa"/>
              <w:bottom w:w="72" w:type="dxa"/>
              <w:right w:w="144" w:type="dxa"/>
            </w:tcMar>
          </w:tcPr>
          <w:p w14:paraId="40EE83C6"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Parent smoker</w:t>
            </w:r>
          </w:p>
        </w:tc>
        <w:tc>
          <w:tcPr>
            <w:tcW w:w="2573" w:type="dxa"/>
            <w:shd w:val="clear" w:color="auto" w:fill="DEEAF6" w:themeFill="accent1" w:themeFillTint="33"/>
          </w:tcPr>
          <w:p w14:paraId="26634B3A" w14:textId="790EFFC5" w:rsidR="009C1849" w:rsidRDefault="009C1849" w:rsidP="00703D08">
            <w:pPr>
              <w:rPr>
                <w:rFonts w:ascii="Calibri" w:hAnsi="Calibri" w:cs="Arial"/>
                <w:color w:val="000000"/>
                <w:kern w:val="24"/>
              </w:rPr>
            </w:pPr>
            <w:r>
              <w:rPr>
                <w:rFonts w:ascii="Calibri" w:hAnsi="Calibri" w:cs="Arial"/>
                <w:color w:val="000000"/>
                <w:kern w:val="24"/>
              </w:rPr>
              <w:t>6 (24)</w:t>
            </w:r>
          </w:p>
        </w:tc>
        <w:tc>
          <w:tcPr>
            <w:tcW w:w="2551" w:type="dxa"/>
            <w:shd w:val="clear" w:color="auto" w:fill="DEEAF6" w:themeFill="accent1" w:themeFillTint="33"/>
          </w:tcPr>
          <w:p w14:paraId="4A49B108" w14:textId="488B96EC" w:rsidR="009C1849" w:rsidRPr="002C31AC" w:rsidRDefault="009C1849" w:rsidP="00703D08">
            <w:pPr>
              <w:rPr>
                <w:rFonts w:cstheme="minorHAnsi"/>
                <w:color w:val="000000"/>
                <w:kern w:val="24"/>
              </w:rPr>
            </w:pPr>
            <w:r>
              <w:rPr>
                <w:rFonts w:cstheme="minorHAnsi"/>
                <w:color w:val="000000"/>
                <w:kern w:val="24"/>
              </w:rPr>
              <w:t>5 (20)</w:t>
            </w:r>
          </w:p>
        </w:tc>
        <w:tc>
          <w:tcPr>
            <w:tcW w:w="2410" w:type="dxa"/>
            <w:shd w:val="clear" w:color="auto" w:fill="DEEAF6" w:themeFill="accent1" w:themeFillTint="33"/>
          </w:tcPr>
          <w:p w14:paraId="08196C42" w14:textId="034BABC0" w:rsidR="009C1849" w:rsidRPr="002C31AC" w:rsidRDefault="009C1849" w:rsidP="00703D08">
            <w:pPr>
              <w:rPr>
                <w:rFonts w:cstheme="minorHAnsi"/>
                <w:color w:val="000000"/>
                <w:kern w:val="24"/>
              </w:rPr>
            </w:pPr>
            <w:r>
              <w:rPr>
                <w:rFonts w:cstheme="minorHAnsi"/>
                <w:color w:val="000000"/>
                <w:kern w:val="24"/>
              </w:rPr>
              <w:t>Fisher p=0.71</w:t>
            </w:r>
          </w:p>
        </w:tc>
      </w:tr>
      <w:tr w:rsidR="009C1849" w:rsidRPr="008F33C8" w14:paraId="465EECFA" w14:textId="7E8D0312" w:rsidTr="00FA2D62">
        <w:trPr>
          <w:trHeight w:val="315"/>
        </w:trPr>
        <w:tc>
          <w:tcPr>
            <w:tcW w:w="2242" w:type="dxa"/>
            <w:shd w:val="clear" w:color="auto" w:fill="auto"/>
            <w:tcMar>
              <w:top w:w="72" w:type="dxa"/>
              <w:left w:w="144" w:type="dxa"/>
              <w:bottom w:w="72" w:type="dxa"/>
              <w:right w:w="144" w:type="dxa"/>
            </w:tcMar>
          </w:tcPr>
          <w:p w14:paraId="7F6F31D4"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Fully immunised</w:t>
            </w:r>
          </w:p>
        </w:tc>
        <w:tc>
          <w:tcPr>
            <w:tcW w:w="2573" w:type="dxa"/>
            <w:shd w:val="clear" w:color="auto" w:fill="auto"/>
          </w:tcPr>
          <w:p w14:paraId="543BBC97" w14:textId="483DD905" w:rsidR="009C1849" w:rsidRPr="00241369" w:rsidRDefault="009C1849" w:rsidP="00703D08">
            <w:pPr>
              <w:rPr>
                <w:rFonts w:ascii="Calibri" w:hAnsi="Calibri" w:cs="Arial"/>
                <w:color w:val="000000"/>
                <w:kern w:val="24"/>
              </w:rPr>
            </w:pPr>
            <w:r>
              <w:rPr>
                <w:rFonts w:ascii="Calibri" w:hAnsi="Calibri" w:cs="Arial"/>
                <w:color w:val="000000"/>
                <w:kern w:val="24"/>
              </w:rPr>
              <w:t>25 (100)</w:t>
            </w:r>
          </w:p>
        </w:tc>
        <w:tc>
          <w:tcPr>
            <w:tcW w:w="2551" w:type="dxa"/>
            <w:shd w:val="clear" w:color="auto" w:fill="auto"/>
          </w:tcPr>
          <w:p w14:paraId="12BECBF1" w14:textId="07BB6405" w:rsidR="009C1849" w:rsidRPr="002C31AC" w:rsidRDefault="009C1849" w:rsidP="00703D08">
            <w:pPr>
              <w:rPr>
                <w:rFonts w:cstheme="minorHAnsi"/>
                <w:color w:val="000000"/>
                <w:kern w:val="24"/>
              </w:rPr>
            </w:pPr>
            <w:r>
              <w:rPr>
                <w:rFonts w:cstheme="minorHAnsi"/>
                <w:color w:val="000000"/>
                <w:kern w:val="24"/>
              </w:rPr>
              <w:t>25 (100)</w:t>
            </w:r>
          </w:p>
        </w:tc>
        <w:tc>
          <w:tcPr>
            <w:tcW w:w="2410" w:type="dxa"/>
            <w:shd w:val="clear" w:color="auto" w:fill="auto"/>
          </w:tcPr>
          <w:p w14:paraId="3CA2A349" w14:textId="5B83DD55" w:rsidR="009C1849" w:rsidRPr="002C31AC" w:rsidRDefault="009C1849" w:rsidP="00703D08">
            <w:pPr>
              <w:rPr>
                <w:rFonts w:cstheme="minorHAnsi"/>
                <w:color w:val="000000"/>
                <w:kern w:val="24"/>
              </w:rPr>
            </w:pPr>
            <w:r>
              <w:rPr>
                <w:rFonts w:cstheme="minorHAnsi"/>
                <w:color w:val="000000"/>
                <w:kern w:val="24"/>
              </w:rPr>
              <w:t>Fisher p=1</w:t>
            </w:r>
          </w:p>
        </w:tc>
      </w:tr>
      <w:tr w:rsidR="009C1849" w:rsidRPr="008F33C8" w14:paraId="1A7EF2DF" w14:textId="7B50D7A8" w:rsidTr="00005065">
        <w:trPr>
          <w:trHeight w:val="315"/>
        </w:trPr>
        <w:tc>
          <w:tcPr>
            <w:tcW w:w="2242" w:type="dxa"/>
            <w:shd w:val="clear" w:color="auto" w:fill="DEEAF6" w:themeFill="accent1" w:themeFillTint="33"/>
            <w:tcMar>
              <w:top w:w="72" w:type="dxa"/>
              <w:left w:w="144" w:type="dxa"/>
              <w:bottom w:w="72" w:type="dxa"/>
              <w:right w:w="144" w:type="dxa"/>
            </w:tcMar>
          </w:tcPr>
          <w:p w14:paraId="42B61B45" w14:textId="77777777" w:rsidR="009C1849" w:rsidRPr="002D0226" w:rsidRDefault="009C1849" w:rsidP="00703D08">
            <w:pPr>
              <w:rPr>
                <w:rFonts w:ascii="Calibri" w:hAnsi="Calibri" w:cs="Arial"/>
                <w:color w:val="000000"/>
                <w:kern w:val="24"/>
              </w:rPr>
            </w:pPr>
            <w:r w:rsidRPr="002C31AC">
              <w:rPr>
                <w:rFonts w:ascii="Calibri" w:hAnsi="Calibri" w:cs="Arial"/>
                <w:color w:val="000000"/>
                <w:kern w:val="24"/>
              </w:rPr>
              <w:t>Penicillin allergy</w:t>
            </w:r>
            <w:r w:rsidRPr="002D0226">
              <w:rPr>
                <w:rFonts w:ascii="Calibri" w:hAnsi="Calibri" w:cs="Arial"/>
                <w:color w:val="000000"/>
                <w:kern w:val="24"/>
              </w:rPr>
              <w:t xml:space="preserve"> </w:t>
            </w:r>
          </w:p>
        </w:tc>
        <w:tc>
          <w:tcPr>
            <w:tcW w:w="2573" w:type="dxa"/>
            <w:shd w:val="clear" w:color="auto" w:fill="DEEAF6" w:themeFill="accent1" w:themeFillTint="33"/>
          </w:tcPr>
          <w:p w14:paraId="3C0B9A71" w14:textId="1B9FB2F0" w:rsidR="009C1849" w:rsidRDefault="009C1849" w:rsidP="00703D08">
            <w:pPr>
              <w:rPr>
                <w:rFonts w:ascii="Calibri" w:hAnsi="Calibri" w:cs="Arial"/>
                <w:color w:val="000000"/>
                <w:kern w:val="24"/>
              </w:rPr>
            </w:pPr>
            <w:r>
              <w:rPr>
                <w:rFonts w:ascii="Calibri" w:hAnsi="Calibri" w:cs="Arial"/>
                <w:color w:val="000000"/>
                <w:kern w:val="24"/>
              </w:rPr>
              <w:t>1 (4)</w:t>
            </w:r>
          </w:p>
        </w:tc>
        <w:tc>
          <w:tcPr>
            <w:tcW w:w="2551" w:type="dxa"/>
            <w:shd w:val="clear" w:color="auto" w:fill="DEEAF6" w:themeFill="accent1" w:themeFillTint="33"/>
          </w:tcPr>
          <w:p w14:paraId="2430B0A0" w14:textId="7CC54814" w:rsidR="009C1849" w:rsidRPr="002C31AC" w:rsidRDefault="009C1849" w:rsidP="00703D08">
            <w:pPr>
              <w:rPr>
                <w:rFonts w:cstheme="minorHAnsi"/>
                <w:color w:val="000000"/>
                <w:kern w:val="24"/>
              </w:rPr>
            </w:pPr>
            <w:r>
              <w:rPr>
                <w:rFonts w:cstheme="minorHAnsi"/>
                <w:color w:val="000000"/>
                <w:kern w:val="24"/>
              </w:rPr>
              <w:t>0 (0)</w:t>
            </w:r>
          </w:p>
        </w:tc>
        <w:tc>
          <w:tcPr>
            <w:tcW w:w="2410" w:type="dxa"/>
            <w:shd w:val="clear" w:color="auto" w:fill="DEEAF6" w:themeFill="accent1" w:themeFillTint="33"/>
          </w:tcPr>
          <w:p w14:paraId="7AF4C037" w14:textId="524514A7" w:rsidR="009C1849" w:rsidRPr="002C31AC" w:rsidRDefault="009C1849" w:rsidP="00703D08">
            <w:pPr>
              <w:rPr>
                <w:rFonts w:cstheme="minorHAnsi"/>
                <w:color w:val="000000"/>
                <w:kern w:val="24"/>
              </w:rPr>
            </w:pPr>
            <w:r>
              <w:rPr>
                <w:rFonts w:cstheme="minorHAnsi"/>
                <w:color w:val="000000"/>
                <w:kern w:val="24"/>
              </w:rPr>
              <w:t>Fisher p=1</w:t>
            </w:r>
          </w:p>
        </w:tc>
      </w:tr>
      <w:bookmarkEnd w:id="236"/>
    </w:tbl>
    <w:p w14:paraId="3DFD73A1" w14:textId="2BE9BBD4" w:rsidR="00332EBC" w:rsidRDefault="00332EBC" w:rsidP="00001905"/>
    <w:p w14:paraId="40D78D8E" w14:textId="285E5CC0" w:rsidR="00F20949" w:rsidRDefault="00F20949" w:rsidP="00001905"/>
    <w:p w14:paraId="070B622C" w14:textId="49C580B1" w:rsidR="00F20949" w:rsidRDefault="00F20949" w:rsidP="00001905"/>
    <w:p w14:paraId="38E6E7DC" w14:textId="0D59A96F" w:rsidR="004E39EF" w:rsidRDefault="004E39EF" w:rsidP="00001905"/>
    <w:p w14:paraId="43C5B7E1" w14:textId="132C0131" w:rsidR="004E39EF" w:rsidRDefault="004E39EF" w:rsidP="00001905"/>
    <w:p w14:paraId="1A366F19" w14:textId="3550D1B2" w:rsidR="004E39EF" w:rsidRDefault="004E39EF" w:rsidP="00001905"/>
    <w:p w14:paraId="78897BAB" w14:textId="4D5A3F70" w:rsidR="004E39EF" w:rsidRDefault="004E39EF" w:rsidP="00001905"/>
    <w:p w14:paraId="1A409052" w14:textId="39ED4B18" w:rsidR="004E39EF" w:rsidRDefault="004E39EF" w:rsidP="00001905"/>
    <w:p w14:paraId="5F669F20" w14:textId="7EF36C6F" w:rsidR="004E39EF" w:rsidRDefault="004E39EF" w:rsidP="00001905"/>
    <w:p w14:paraId="24FBB589" w14:textId="77777777" w:rsidR="004E39EF" w:rsidRPr="001D04B2" w:rsidRDefault="004E39EF" w:rsidP="004E39EF">
      <w:pPr>
        <w:spacing w:line="360" w:lineRule="auto"/>
        <w:rPr>
          <w:u w:val="single"/>
        </w:rPr>
      </w:pPr>
      <w:r w:rsidRPr="001D04B2">
        <w:rPr>
          <w:u w:val="single"/>
        </w:rPr>
        <w:lastRenderedPageBreak/>
        <w:t>Antibiotic exposure at baseline</w:t>
      </w:r>
    </w:p>
    <w:p w14:paraId="67701784" w14:textId="77777777" w:rsidR="004E39EF" w:rsidRDefault="004E39EF" w:rsidP="004E39EF">
      <w:pPr>
        <w:spacing w:line="360" w:lineRule="auto"/>
      </w:pPr>
      <w:r w:rsidRPr="001D04B2">
        <w:t xml:space="preserve">The median number of acute courses of antibiotics before the study in the </w:t>
      </w:r>
      <w:r>
        <w:t xml:space="preserve">combined </w:t>
      </w:r>
      <w:r w:rsidRPr="001D04B2">
        <w:t>comparison group</w:t>
      </w:r>
      <w:r>
        <w:t>s</w:t>
      </w:r>
      <w:r w:rsidRPr="001D04B2">
        <w:t xml:space="preserve"> was 7 (IQR 4-10) compared to a median of 10 courses (IQR 6-13) in the </w:t>
      </w:r>
      <w:r>
        <w:t xml:space="preserve">combined </w:t>
      </w:r>
      <w:r w:rsidRPr="001D04B2">
        <w:t xml:space="preserve">azithromycin group. Poisson regression analysis </w:t>
      </w:r>
      <w:r>
        <w:t xml:space="preserve">determined </w:t>
      </w:r>
      <w:r w:rsidRPr="001D04B2">
        <w:t>the mean number of courses of antibiotics prescribed over both groups to be 8.6 with a variance of 26.93, indicating over</w:t>
      </w:r>
      <w:r>
        <w:t>-</w:t>
      </w:r>
      <w:r w:rsidRPr="001D04B2">
        <w:t xml:space="preserve">dispersion (the presence of higher variation than expected when using Poisson regression). Given that the mean and variance were not equal, negative binomial regression (NBR) was used instead. NBR is a generalisation of Poisson regression that corrects for over dispersion. </w:t>
      </w:r>
      <w:r>
        <w:t xml:space="preserve">See </w:t>
      </w:r>
      <w:r w:rsidRPr="0039053A">
        <w:fldChar w:fldCharType="begin"/>
      </w:r>
      <w:r w:rsidRPr="0039053A">
        <w:instrText xml:space="preserve"> REF _Ref105618759 \h  \* MERGEFORMAT </w:instrText>
      </w:r>
      <w:r w:rsidRPr="0039053A">
        <w:fldChar w:fldCharType="separate"/>
      </w:r>
      <w:r w:rsidRPr="0039053A">
        <w:rPr>
          <w:color w:val="000000" w:themeColor="text1"/>
        </w:rPr>
        <w:t xml:space="preserve">Table </w:t>
      </w:r>
      <w:r w:rsidRPr="0039053A">
        <w:rPr>
          <w:noProof/>
          <w:color w:val="000000" w:themeColor="text1"/>
        </w:rPr>
        <w:t>23</w:t>
      </w:r>
      <w:r w:rsidRPr="0039053A">
        <w:fldChar w:fldCharType="end"/>
      </w:r>
      <w:r>
        <w:t xml:space="preserve"> for the antibiotic exposure at baseline for the combined studies.</w:t>
      </w:r>
    </w:p>
    <w:p w14:paraId="0E222952" w14:textId="77777777" w:rsidR="004E39EF" w:rsidRDefault="004E39EF" w:rsidP="00001905"/>
    <w:p w14:paraId="4755F720" w14:textId="77777777" w:rsidR="00F20949" w:rsidRDefault="00F20949" w:rsidP="00001905"/>
    <w:p w14:paraId="22105C72" w14:textId="1F36FA62" w:rsidR="0039053A" w:rsidRPr="0039053A" w:rsidRDefault="0039053A" w:rsidP="0039053A">
      <w:pPr>
        <w:pStyle w:val="Caption"/>
        <w:rPr>
          <w:i w:val="0"/>
          <w:iCs w:val="0"/>
          <w:color w:val="000000" w:themeColor="text1"/>
          <w:sz w:val="24"/>
          <w:szCs w:val="24"/>
        </w:rPr>
      </w:pPr>
      <w:bookmarkStart w:id="237" w:name="_Ref105618759"/>
      <w:bookmarkStart w:id="238" w:name="_Toc117780264"/>
      <w:r w:rsidRPr="0039053A">
        <w:rPr>
          <w:b/>
          <w:bCs/>
          <w:i w:val="0"/>
          <w:iCs w:val="0"/>
          <w:color w:val="000000" w:themeColor="text1"/>
          <w:sz w:val="24"/>
          <w:szCs w:val="24"/>
        </w:rPr>
        <w:t xml:space="preserve">Table </w:t>
      </w:r>
      <w:r w:rsidRPr="0039053A">
        <w:rPr>
          <w:b/>
          <w:bCs/>
          <w:i w:val="0"/>
          <w:iCs w:val="0"/>
          <w:color w:val="000000" w:themeColor="text1"/>
          <w:sz w:val="24"/>
          <w:szCs w:val="24"/>
        </w:rPr>
        <w:fldChar w:fldCharType="begin"/>
      </w:r>
      <w:r w:rsidRPr="0039053A">
        <w:rPr>
          <w:b/>
          <w:bCs/>
          <w:i w:val="0"/>
          <w:iCs w:val="0"/>
          <w:color w:val="000000" w:themeColor="text1"/>
          <w:sz w:val="24"/>
          <w:szCs w:val="24"/>
        </w:rPr>
        <w:instrText xml:space="preserve"> SEQ Table \* ARABIC </w:instrText>
      </w:r>
      <w:r w:rsidRPr="0039053A">
        <w:rPr>
          <w:b/>
          <w:bCs/>
          <w:i w:val="0"/>
          <w:iCs w:val="0"/>
          <w:color w:val="000000" w:themeColor="text1"/>
          <w:sz w:val="24"/>
          <w:szCs w:val="24"/>
        </w:rPr>
        <w:fldChar w:fldCharType="separate"/>
      </w:r>
      <w:r w:rsidR="00592CBF">
        <w:rPr>
          <w:b/>
          <w:bCs/>
          <w:i w:val="0"/>
          <w:iCs w:val="0"/>
          <w:noProof/>
          <w:color w:val="000000" w:themeColor="text1"/>
          <w:sz w:val="24"/>
          <w:szCs w:val="24"/>
        </w:rPr>
        <w:t>23</w:t>
      </w:r>
      <w:r w:rsidRPr="0039053A">
        <w:rPr>
          <w:b/>
          <w:bCs/>
          <w:i w:val="0"/>
          <w:iCs w:val="0"/>
          <w:color w:val="000000" w:themeColor="text1"/>
          <w:sz w:val="24"/>
          <w:szCs w:val="24"/>
        </w:rPr>
        <w:fldChar w:fldCharType="end"/>
      </w:r>
      <w:bookmarkEnd w:id="237"/>
      <w:r w:rsidRPr="0039053A">
        <w:rPr>
          <w:b/>
          <w:bCs/>
          <w:i w:val="0"/>
          <w:iCs w:val="0"/>
          <w:color w:val="000000" w:themeColor="text1"/>
          <w:sz w:val="24"/>
          <w:szCs w:val="24"/>
        </w:rPr>
        <w:t>:</w:t>
      </w:r>
      <w:r w:rsidRPr="0039053A">
        <w:rPr>
          <w:i w:val="0"/>
          <w:iCs w:val="0"/>
          <w:color w:val="000000" w:themeColor="text1"/>
          <w:sz w:val="24"/>
          <w:szCs w:val="24"/>
        </w:rPr>
        <w:t xml:space="preserve"> Antibiotic exposure at baseline for PBB studies 1 and 2</w:t>
      </w:r>
      <w:bookmarkEnd w:id="238"/>
    </w:p>
    <w:tbl>
      <w:tblPr>
        <w:tblStyle w:val="TableGrid"/>
        <w:tblW w:w="9493" w:type="dxa"/>
        <w:tblLook w:val="04A0" w:firstRow="1" w:lastRow="0" w:firstColumn="1" w:lastColumn="0" w:noHBand="0" w:noVBand="1"/>
      </w:tblPr>
      <w:tblGrid>
        <w:gridCol w:w="2972"/>
        <w:gridCol w:w="2268"/>
        <w:gridCol w:w="2268"/>
        <w:gridCol w:w="1985"/>
      </w:tblGrid>
      <w:tr w:rsidR="00FE5DBE" w14:paraId="5B0408DF" w14:textId="77777777" w:rsidTr="00FA2D62">
        <w:tc>
          <w:tcPr>
            <w:tcW w:w="2972" w:type="dxa"/>
            <w:shd w:val="clear" w:color="auto" w:fill="9CC2E5" w:themeFill="accent1" w:themeFillTint="99"/>
          </w:tcPr>
          <w:p w14:paraId="4996E9A3" w14:textId="52425934" w:rsidR="00FE5DBE" w:rsidRPr="00FE5DBE" w:rsidRDefault="00FE5DBE" w:rsidP="00FE5DBE">
            <w:pPr>
              <w:spacing w:line="360" w:lineRule="auto"/>
              <w:rPr>
                <w:b/>
                <w:bCs/>
              </w:rPr>
            </w:pPr>
            <w:r w:rsidRPr="00FE5DBE">
              <w:rPr>
                <w:b/>
                <w:bCs/>
              </w:rPr>
              <w:t>Exposure</w:t>
            </w:r>
          </w:p>
        </w:tc>
        <w:tc>
          <w:tcPr>
            <w:tcW w:w="2268" w:type="dxa"/>
            <w:shd w:val="clear" w:color="auto" w:fill="9CC2E5" w:themeFill="accent1" w:themeFillTint="99"/>
          </w:tcPr>
          <w:p w14:paraId="3D8DEC21" w14:textId="77777777" w:rsidR="00FE5DBE" w:rsidRPr="00FE5DBE" w:rsidRDefault="00FE5DBE" w:rsidP="00FE5DBE">
            <w:pPr>
              <w:spacing w:line="360" w:lineRule="auto"/>
              <w:rPr>
                <w:b/>
                <w:bCs/>
              </w:rPr>
            </w:pPr>
            <w:r w:rsidRPr="00FE5DBE">
              <w:rPr>
                <w:b/>
                <w:bCs/>
              </w:rPr>
              <w:t>Comparison group</w:t>
            </w:r>
          </w:p>
          <w:p w14:paraId="08A886A2" w14:textId="77777777" w:rsidR="00FE5DBE" w:rsidRPr="00FE5DBE" w:rsidRDefault="00FE5DBE" w:rsidP="00FE5DBE">
            <w:pPr>
              <w:spacing w:line="360" w:lineRule="auto"/>
              <w:rPr>
                <w:b/>
                <w:bCs/>
              </w:rPr>
            </w:pPr>
            <w:r w:rsidRPr="00FE5DBE">
              <w:rPr>
                <w:b/>
                <w:bCs/>
              </w:rPr>
              <w:t>Median (25</w:t>
            </w:r>
            <w:r w:rsidRPr="00FE5DBE">
              <w:rPr>
                <w:b/>
                <w:bCs/>
                <w:vertAlign w:val="superscript"/>
              </w:rPr>
              <w:t>th</w:t>
            </w:r>
            <w:r w:rsidRPr="00FE5DBE">
              <w:rPr>
                <w:b/>
                <w:bCs/>
              </w:rPr>
              <w:t>-75</w:t>
            </w:r>
            <w:r w:rsidRPr="00FE5DBE">
              <w:rPr>
                <w:b/>
                <w:bCs/>
                <w:vertAlign w:val="superscript"/>
              </w:rPr>
              <w:t>th</w:t>
            </w:r>
            <w:r w:rsidRPr="00FE5DBE">
              <w:rPr>
                <w:b/>
                <w:bCs/>
              </w:rPr>
              <w:t>)</w:t>
            </w:r>
          </w:p>
        </w:tc>
        <w:tc>
          <w:tcPr>
            <w:tcW w:w="2268" w:type="dxa"/>
            <w:shd w:val="clear" w:color="auto" w:fill="9CC2E5" w:themeFill="accent1" w:themeFillTint="99"/>
          </w:tcPr>
          <w:p w14:paraId="4441A3C2" w14:textId="77777777" w:rsidR="00FE5DBE" w:rsidRPr="00FE5DBE" w:rsidRDefault="00FE5DBE" w:rsidP="00FE5DBE">
            <w:pPr>
              <w:spacing w:line="360" w:lineRule="auto"/>
              <w:rPr>
                <w:b/>
                <w:bCs/>
              </w:rPr>
            </w:pPr>
            <w:r w:rsidRPr="00FE5DBE">
              <w:rPr>
                <w:b/>
                <w:bCs/>
              </w:rPr>
              <w:t>Azithromycin group</w:t>
            </w:r>
          </w:p>
          <w:p w14:paraId="25341814" w14:textId="77777777" w:rsidR="00FE5DBE" w:rsidRPr="00FE5DBE" w:rsidRDefault="00FE5DBE" w:rsidP="00FE5DBE">
            <w:pPr>
              <w:spacing w:line="360" w:lineRule="auto"/>
              <w:rPr>
                <w:b/>
                <w:bCs/>
              </w:rPr>
            </w:pPr>
            <w:r w:rsidRPr="00FE5DBE">
              <w:rPr>
                <w:b/>
                <w:bCs/>
              </w:rPr>
              <w:t>Median (25</w:t>
            </w:r>
            <w:r w:rsidRPr="00FE5DBE">
              <w:rPr>
                <w:b/>
                <w:bCs/>
                <w:vertAlign w:val="superscript"/>
              </w:rPr>
              <w:t>th</w:t>
            </w:r>
            <w:r w:rsidRPr="00FE5DBE">
              <w:rPr>
                <w:b/>
                <w:bCs/>
              </w:rPr>
              <w:t>-75</w:t>
            </w:r>
            <w:r w:rsidRPr="00FE5DBE">
              <w:rPr>
                <w:b/>
                <w:bCs/>
                <w:vertAlign w:val="superscript"/>
              </w:rPr>
              <w:t>th</w:t>
            </w:r>
            <w:r w:rsidRPr="00FE5DBE">
              <w:rPr>
                <w:b/>
                <w:bCs/>
              </w:rPr>
              <w:t>)</w:t>
            </w:r>
          </w:p>
        </w:tc>
        <w:tc>
          <w:tcPr>
            <w:tcW w:w="1985" w:type="dxa"/>
            <w:shd w:val="clear" w:color="auto" w:fill="9CC2E5" w:themeFill="accent1" w:themeFillTint="99"/>
          </w:tcPr>
          <w:p w14:paraId="5A8C7F7F" w14:textId="77777777" w:rsidR="00FE5DBE" w:rsidRPr="00FE5DBE" w:rsidRDefault="00FE5DBE" w:rsidP="00FE5DBE">
            <w:pPr>
              <w:spacing w:line="360" w:lineRule="auto"/>
              <w:rPr>
                <w:b/>
                <w:bCs/>
              </w:rPr>
            </w:pPr>
            <w:r w:rsidRPr="00FE5DBE">
              <w:rPr>
                <w:b/>
                <w:bCs/>
              </w:rPr>
              <w:t>Statistics</w:t>
            </w:r>
          </w:p>
        </w:tc>
      </w:tr>
      <w:tr w:rsidR="00FE5DBE" w14:paraId="246DBF96" w14:textId="77777777" w:rsidTr="00FE5DBE">
        <w:tc>
          <w:tcPr>
            <w:tcW w:w="2972" w:type="dxa"/>
          </w:tcPr>
          <w:p w14:paraId="44D535C4" w14:textId="77777777" w:rsidR="00FE5DBE" w:rsidRPr="00FE5DBE" w:rsidRDefault="00FE5DBE" w:rsidP="00FE5DBE">
            <w:pPr>
              <w:spacing w:line="360" w:lineRule="auto"/>
            </w:pPr>
            <w:r w:rsidRPr="00FE5DBE">
              <w:t>Acute courses of antibiotics before study enrolment</w:t>
            </w:r>
          </w:p>
        </w:tc>
        <w:tc>
          <w:tcPr>
            <w:tcW w:w="2268" w:type="dxa"/>
          </w:tcPr>
          <w:p w14:paraId="427C897A" w14:textId="77777777" w:rsidR="00FE5DBE" w:rsidRPr="00FE5DBE" w:rsidRDefault="00FE5DBE" w:rsidP="00FE5DBE">
            <w:pPr>
              <w:spacing w:line="360" w:lineRule="auto"/>
            </w:pPr>
            <w:r w:rsidRPr="00FE5DBE">
              <w:t>7 (4 – 10)</w:t>
            </w:r>
          </w:p>
        </w:tc>
        <w:tc>
          <w:tcPr>
            <w:tcW w:w="2268" w:type="dxa"/>
          </w:tcPr>
          <w:p w14:paraId="3EB2EF07" w14:textId="77777777" w:rsidR="00FE5DBE" w:rsidRPr="00FE5DBE" w:rsidRDefault="00FE5DBE" w:rsidP="00FE5DBE">
            <w:pPr>
              <w:spacing w:line="360" w:lineRule="auto"/>
            </w:pPr>
            <w:r w:rsidRPr="00FE5DBE">
              <w:t>10 (6 – 13)</w:t>
            </w:r>
          </w:p>
        </w:tc>
        <w:tc>
          <w:tcPr>
            <w:tcW w:w="1985" w:type="dxa"/>
          </w:tcPr>
          <w:p w14:paraId="7188B3FC" w14:textId="77777777" w:rsidR="00FE5DBE" w:rsidRPr="00FE5DBE" w:rsidRDefault="00FE5DBE" w:rsidP="00FE5DBE">
            <w:pPr>
              <w:spacing w:line="360" w:lineRule="auto"/>
            </w:pPr>
            <w:r w:rsidRPr="00FE5DBE">
              <w:t>IRR,  p = 0.037</w:t>
            </w:r>
          </w:p>
        </w:tc>
      </w:tr>
      <w:tr w:rsidR="00FE5DBE" w14:paraId="3022666F" w14:textId="77777777" w:rsidTr="00005065">
        <w:tc>
          <w:tcPr>
            <w:tcW w:w="2972" w:type="dxa"/>
            <w:shd w:val="clear" w:color="auto" w:fill="DEEAF6" w:themeFill="accent1" w:themeFillTint="33"/>
          </w:tcPr>
          <w:p w14:paraId="215BACD8" w14:textId="77777777" w:rsidR="00FE5DBE" w:rsidRPr="00FE5DBE" w:rsidRDefault="00FE5DBE" w:rsidP="00FE5DBE">
            <w:pPr>
              <w:spacing w:line="360" w:lineRule="auto"/>
            </w:pPr>
            <w:r w:rsidRPr="00FE5DBE">
              <w:t xml:space="preserve">Antibiotics &gt;2 weeks duration before study enrolment </w:t>
            </w:r>
          </w:p>
        </w:tc>
        <w:tc>
          <w:tcPr>
            <w:tcW w:w="2268" w:type="dxa"/>
            <w:shd w:val="clear" w:color="auto" w:fill="DEEAF6" w:themeFill="accent1" w:themeFillTint="33"/>
          </w:tcPr>
          <w:p w14:paraId="55029BA8" w14:textId="77777777" w:rsidR="00FE5DBE" w:rsidRPr="00FE5DBE" w:rsidRDefault="00FE5DBE" w:rsidP="00FE5DBE">
            <w:pPr>
              <w:spacing w:line="360" w:lineRule="auto"/>
            </w:pPr>
            <w:r w:rsidRPr="00FE5DBE">
              <w:t>1 (1 – 2)</w:t>
            </w:r>
          </w:p>
        </w:tc>
        <w:tc>
          <w:tcPr>
            <w:tcW w:w="2268" w:type="dxa"/>
            <w:shd w:val="clear" w:color="auto" w:fill="DEEAF6" w:themeFill="accent1" w:themeFillTint="33"/>
          </w:tcPr>
          <w:p w14:paraId="601A56EB" w14:textId="77777777" w:rsidR="00FE5DBE" w:rsidRPr="00FE5DBE" w:rsidRDefault="00FE5DBE" w:rsidP="00FE5DBE">
            <w:pPr>
              <w:spacing w:line="360" w:lineRule="auto"/>
            </w:pPr>
            <w:r w:rsidRPr="00FE5DBE">
              <w:t>2 (2 – 3)</w:t>
            </w:r>
          </w:p>
        </w:tc>
        <w:tc>
          <w:tcPr>
            <w:tcW w:w="1985" w:type="dxa"/>
            <w:shd w:val="clear" w:color="auto" w:fill="DEEAF6" w:themeFill="accent1" w:themeFillTint="33"/>
          </w:tcPr>
          <w:p w14:paraId="6D855BDF" w14:textId="77777777" w:rsidR="00FE5DBE" w:rsidRPr="00FE5DBE" w:rsidRDefault="00FE5DBE" w:rsidP="00FE5DBE">
            <w:pPr>
              <w:spacing w:line="360" w:lineRule="auto"/>
            </w:pPr>
            <w:r w:rsidRPr="00FE5DBE">
              <w:t>IRR, p = 0.070</w:t>
            </w:r>
          </w:p>
        </w:tc>
      </w:tr>
      <w:tr w:rsidR="00FE5DBE" w14:paraId="249555FE" w14:textId="77777777" w:rsidTr="00FE5DBE">
        <w:tc>
          <w:tcPr>
            <w:tcW w:w="2972" w:type="dxa"/>
          </w:tcPr>
          <w:p w14:paraId="32C083DF" w14:textId="77777777" w:rsidR="00FE5DBE" w:rsidRPr="00FE5DBE" w:rsidRDefault="00FE5DBE" w:rsidP="00FE5DBE">
            <w:pPr>
              <w:spacing w:line="360" w:lineRule="auto"/>
            </w:pPr>
            <w:r w:rsidRPr="00FE5DBE">
              <w:t>Time from last course of antibiotics</w:t>
            </w:r>
          </w:p>
        </w:tc>
        <w:tc>
          <w:tcPr>
            <w:tcW w:w="2268" w:type="dxa"/>
          </w:tcPr>
          <w:p w14:paraId="1E8FC9CC" w14:textId="77777777" w:rsidR="00FE5DBE" w:rsidRPr="00FE5DBE" w:rsidRDefault="00FE5DBE" w:rsidP="00FE5DBE">
            <w:pPr>
              <w:spacing w:line="360" w:lineRule="auto"/>
            </w:pPr>
            <w:r w:rsidRPr="00FE5DBE">
              <w:t>11 (2 – 25)</w:t>
            </w:r>
          </w:p>
        </w:tc>
        <w:tc>
          <w:tcPr>
            <w:tcW w:w="2268" w:type="dxa"/>
          </w:tcPr>
          <w:p w14:paraId="0D3D4B0A" w14:textId="77777777" w:rsidR="00FE5DBE" w:rsidRPr="00FE5DBE" w:rsidRDefault="00FE5DBE" w:rsidP="00FE5DBE">
            <w:pPr>
              <w:spacing w:line="360" w:lineRule="auto"/>
            </w:pPr>
            <w:r w:rsidRPr="00FE5DBE">
              <w:t>5 (4 – 21)</w:t>
            </w:r>
          </w:p>
        </w:tc>
        <w:tc>
          <w:tcPr>
            <w:tcW w:w="1985" w:type="dxa"/>
          </w:tcPr>
          <w:p w14:paraId="318C2178" w14:textId="67ECB37C" w:rsidR="00111F0F" w:rsidRDefault="00111F0F" w:rsidP="00FE5DBE">
            <w:pPr>
              <w:spacing w:line="360" w:lineRule="auto"/>
            </w:pPr>
            <w:r w:rsidRPr="00111F0F">
              <w:t xml:space="preserve">Fisher’s </w:t>
            </w:r>
          </w:p>
          <w:p w14:paraId="03746D64" w14:textId="4E586E4B" w:rsidR="00FE5DBE" w:rsidRPr="00FE5DBE" w:rsidRDefault="00111F0F" w:rsidP="00FE5DBE">
            <w:pPr>
              <w:spacing w:line="360" w:lineRule="auto"/>
            </w:pPr>
            <w:r w:rsidRPr="00111F0F">
              <w:t>p = 0.737</w:t>
            </w:r>
          </w:p>
        </w:tc>
      </w:tr>
      <w:tr w:rsidR="00FE5DBE" w14:paraId="6D59A33F" w14:textId="77777777" w:rsidTr="00005065">
        <w:tc>
          <w:tcPr>
            <w:tcW w:w="2972" w:type="dxa"/>
            <w:shd w:val="clear" w:color="auto" w:fill="DEEAF6" w:themeFill="accent1" w:themeFillTint="33"/>
          </w:tcPr>
          <w:p w14:paraId="1010C1C0" w14:textId="5E890C94" w:rsidR="00FE5DBE" w:rsidRPr="00FE5DBE" w:rsidRDefault="00FE5DBE" w:rsidP="00FE5DBE">
            <w:pPr>
              <w:spacing w:line="360" w:lineRule="auto"/>
            </w:pPr>
            <w:r w:rsidRPr="00FE5DBE">
              <w:t>Previous macrolide use before study enrolment</w:t>
            </w:r>
          </w:p>
        </w:tc>
        <w:tc>
          <w:tcPr>
            <w:tcW w:w="2268" w:type="dxa"/>
            <w:shd w:val="clear" w:color="auto" w:fill="DEEAF6" w:themeFill="accent1" w:themeFillTint="33"/>
          </w:tcPr>
          <w:p w14:paraId="6DE5995F" w14:textId="77777777" w:rsidR="00FE5DBE" w:rsidRPr="00FE5DBE" w:rsidRDefault="00FE5DBE" w:rsidP="00FE5DBE">
            <w:pPr>
              <w:spacing w:line="360" w:lineRule="auto"/>
            </w:pPr>
            <w:r w:rsidRPr="00FE5DBE">
              <w:t>15 out of 25 (56%)</w:t>
            </w:r>
          </w:p>
        </w:tc>
        <w:tc>
          <w:tcPr>
            <w:tcW w:w="2268" w:type="dxa"/>
            <w:shd w:val="clear" w:color="auto" w:fill="DEEAF6" w:themeFill="accent1" w:themeFillTint="33"/>
          </w:tcPr>
          <w:p w14:paraId="1C39BB50" w14:textId="77777777" w:rsidR="00FE5DBE" w:rsidRPr="00FE5DBE" w:rsidRDefault="00FE5DBE" w:rsidP="00FE5DBE">
            <w:pPr>
              <w:spacing w:line="360" w:lineRule="auto"/>
            </w:pPr>
            <w:r w:rsidRPr="00FE5DBE">
              <w:t>13 out of 25 (52%)</w:t>
            </w:r>
          </w:p>
        </w:tc>
        <w:tc>
          <w:tcPr>
            <w:tcW w:w="1985" w:type="dxa"/>
            <w:shd w:val="clear" w:color="auto" w:fill="DEEAF6" w:themeFill="accent1" w:themeFillTint="33"/>
          </w:tcPr>
          <w:p w14:paraId="6DD3B1D1" w14:textId="77777777" w:rsidR="00FE5DBE" w:rsidRPr="00FE5DBE" w:rsidRDefault="00FE5DBE" w:rsidP="00FE5DBE">
            <w:pPr>
              <w:spacing w:line="360" w:lineRule="auto"/>
            </w:pPr>
            <w:r w:rsidRPr="00FE5DBE">
              <w:t>Fisher’s p = 0.776</w:t>
            </w:r>
          </w:p>
        </w:tc>
      </w:tr>
    </w:tbl>
    <w:p w14:paraId="7ECECA3E" w14:textId="77777777" w:rsidR="00FE5DBE" w:rsidRPr="001D04B2" w:rsidRDefault="00FE5DBE" w:rsidP="001D04B2">
      <w:pPr>
        <w:spacing w:line="360" w:lineRule="auto"/>
      </w:pPr>
    </w:p>
    <w:p w14:paraId="178F5DDC" w14:textId="32D779A3" w:rsidR="00C346F5" w:rsidRPr="001D04B2" w:rsidRDefault="00302334" w:rsidP="0064056D">
      <w:pPr>
        <w:spacing w:after="160" w:line="360" w:lineRule="auto"/>
      </w:pPr>
      <w:r w:rsidRPr="001D04B2">
        <w:t>Using NBR</w:t>
      </w:r>
      <w:r w:rsidR="00C91AA2" w:rsidRPr="001D04B2">
        <w:t xml:space="preserve">, participants in the </w:t>
      </w:r>
      <w:r w:rsidR="006637B7">
        <w:t xml:space="preserve">combined </w:t>
      </w:r>
      <w:r w:rsidR="00C91AA2" w:rsidRPr="001D04B2">
        <w:t>azithromycin group</w:t>
      </w:r>
      <w:r w:rsidR="006637B7">
        <w:t>s</w:t>
      </w:r>
      <w:r w:rsidR="00C91AA2" w:rsidRPr="001D04B2">
        <w:t xml:space="preserve"> at baseline were found to have been prescribed more courses of antibiotics than those in the </w:t>
      </w:r>
      <w:r w:rsidR="006637B7">
        <w:t xml:space="preserve">combined </w:t>
      </w:r>
      <w:r w:rsidR="00C91AA2" w:rsidRPr="001D04B2">
        <w:t>comparison group</w:t>
      </w:r>
      <w:r w:rsidR="006637B7">
        <w:t>s</w:t>
      </w:r>
      <w:r w:rsidR="00C91AA2" w:rsidRPr="001D04B2">
        <w:t xml:space="preserve"> </w:t>
      </w:r>
      <w:r w:rsidR="00C0207D" w:rsidRPr="001D04B2">
        <w:t xml:space="preserve">with an incident rate ratio of 1.38 (95%CI 1.02-1.89), </w:t>
      </w:r>
      <w:r w:rsidRPr="001D04B2">
        <w:t>p= 0.037</w:t>
      </w:r>
      <w:r w:rsidR="00001905" w:rsidRPr="001D04B2">
        <w:t xml:space="preserve">. </w:t>
      </w:r>
      <w:r w:rsidR="00C91AA2" w:rsidRPr="001D04B2">
        <w:t xml:space="preserve">However participants in the </w:t>
      </w:r>
      <w:r w:rsidR="006637B7">
        <w:t xml:space="preserve">merged </w:t>
      </w:r>
      <w:r w:rsidR="00C91AA2" w:rsidRPr="001D04B2">
        <w:t>azithromycin group</w:t>
      </w:r>
      <w:r w:rsidR="006637B7">
        <w:t>s</w:t>
      </w:r>
      <w:r w:rsidR="00C91AA2" w:rsidRPr="001D04B2">
        <w:t xml:space="preserve"> were </w:t>
      </w:r>
      <w:r w:rsidR="00D86D42" w:rsidRPr="001D04B2">
        <w:t xml:space="preserve">older and when correcting for age, the difference was not significant, </w:t>
      </w:r>
      <w:r w:rsidR="00001905" w:rsidRPr="001D04B2">
        <w:t>p=0.12</w:t>
      </w:r>
      <w:r w:rsidR="008847B8">
        <w:t xml:space="preserve">. </w:t>
      </w:r>
    </w:p>
    <w:p w14:paraId="2B5AFDFE" w14:textId="6D7DC17E" w:rsidR="00C0207D" w:rsidRPr="001D04B2" w:rsidRDefault="00C0207D" w:rsidP="0064056D">
      <w:pPr>
        <w:spacing w:after="160" w:line="360" w:lineRule="auto"/>
      </w:pPr>
      <w:r w:rsidRPr="001D04B2">
        <w:lastRenderedPageBreak/>
        <w:t xml:space="preserve">When reviewing the number of prescriptions of antibiotics for a duration of &gt; 2 weeks (presumed treatment for exacerbations of PBB), the </w:t>
      </w:r>
      <w:r w:rsidR="006637B7">
        <w:t xml:space="preserve">combined </w:t>
      </w:r>
      <w:r w:rsidR="00D86D42">
        <w:t>azithromycin group</w:t>
      </w:r>
      <w:r w:rsidR="006637B7">
        <w:t>s</w:t>
      </w:r>
      <w:r w:rsidR="00D86D42">
        <w:t xml:space="preserve"> trended towards a higher exposure, </w:t>
      </w:r>
      <w:r w:rsidRPr="001D04B2">
        <w:t xml:space="preserve">IRR 1.42 (95%CI 0.97-2.08), </w:t>
      </w:r>
      <w:r w:rsidR="001874B5">
        <w:t>but this was not statis</w:t>
      </w:r>
      <w:r w:rsidR="006637B7">
        <w:t xml:space="preserve">tically significant, </w:t>
      </w:r>
      <w:r w:rsidRPr="001D04B2">
        <w:t>p=0.07.</w:t>
      </w:r>
      <w:r w:rsidR="00C6111C" w:rsidRPr="001D04B2">
        <w:t xml:space="preserve"> When adjusting for age at the start of the study, the IRR did not change 0.073</w:t>
      </w:r>
      <w:r w:rsidR="009C1849">
        <w:t>.</w:t>
      </w:r>
      <w:r w:rsidR="00E20CC3">
        <w:t xml:space="preserve"> </w:t>
      </w:r>
    </w:p>
    <w:p w14:paraId="67401A5C" w14:textId="78C9A584" w:rsidR="00973D47" w:rsidRPr="00973D47" w:rsidRDefault="007742D4" w:rsidP="004E39EF">
      <w:pPr>
        <w:spacing w:after="160" w:line="360" w:lineRule="auto"/>
      </w:pPr>
      <w:r w:rsidRPr="001D04B2">
        <w:t>The median</w:t>
      </w:r>
      <w:r w:rsidR="00927F7F" w:rsidRPr="001D04B2">
        <w:t xml:space="preserve"> time from the last course of </w:t>
      </w:r>
      <w:r w:rsidR="00414BCB" w:rsidRPr="001D04B2">
        <w:t>antibiotics</w:t>
      </w:r>
      <w:r w:rsidR="00927F7F" w:rsidRPr="001D04B2">
        <w:t xml:space="preserve"> in the </w:t>
      </w:r>
      <w:r w:rsidR="006637B7">
        <w:t xml:space="preserve">merged </w:t>
      </w:r>
      <w:r w:rsidR="00414BCB" w:rsidRPr="001D04B2">
        <w:t>comparison group</w:t>
      </w:r>
      <w:r w:rsidR="006637B7">
        <w:t>s</w:t>
      </w:r>
      <w:r w:rsidR="00414BCB" w:rsidRPr="001D04B2">
        <w:t xml:space="preserve"> was 11 weeks (IQR 2-25) and 5 weeks in the </w:t>
      </w:r>
      <w:r w:rsidR="006637B7">
        <w:t xml:space="preserve">merged </w:t>
      </w:r>
      <w:r w:rsidR="00414BCB" w:rsidRPr="001D04B2">
        <w:t xml:space="preserve">azithromycin </w:t>
      </w:r>
      <w:r w:rsidR="00414BCB" w:rsidRPr="005B4EFC">
        <w:t>group</w:t>
      </w:r>
      <w:r w:rsidR="006637B7" w:rsidRPr="005B4EFC">
        <w:t>s</w:t>
      </w:r>
      <w:r w:rsidR="00414BCB" w:rsidRPr="005B4EFC">
        <w:t xml:space="preserve"> (IQR 4-21). </w:t>
      </w:r>
      <w:r w:rsidR="009B6EFE" w:rsidRPr="005B4EFC">
        <w:t>The diff</w:t>
      </w:r>
      <w:r w:rsidR="009B6EFE" w:rsidRPr="0055667E">
        <w:t>erence</w:t>
      </w:r>
      <w:r w:rsidR="009B6EFE" w:rsidRPr="00346D5E">
        <w:t xml:space="preserve"> in means was not significant using </w:t>
      </w:r>
      <w:r w:rsidR="00D9497F" w:rsidRPr="005B4EFC">
        <w:t xml:space="preserve">a </w:t>
      </w:r>
      <w:r w:rsidR="005B4EFC" w:rsidRPr="005B4EFC">
        <w:t>T</w:t>
      </w:r>
      <w:r w:rsidR="00070149" w:rsidRPr="005B4EFC">
        <w:t xml:space="preserve"> test, p=0.737</w:t>
      </w:r>
      <w:r w:rsidR="009B6EFE" w:rsidRPr="0055667E">
        <w:t>.</w:t>
      </w:r>
      <w:r w:rsidR="009B6EFE" w:rsidRPr="005B4EFC">
        <w:t xml:space="preserve"> Of</w:t>
      </w:r>
      <w:r w:rsidR="009B6EFE" w:rsidRPr="001D04B2">
        <w:t xml:space="preserve"> the participants in the comparison group</w:t>
      </w:r>
      <w:r w:rsidR="006637B7">
        <w:t>s</w:t>
      </w:r>
      <w:r w:rsidR="009B6EFE" w:rsidRPr="001D04B2">
        <w:t>, 14 out of 25 (56%) has previously been prescribed a macrolide. In the azithromycin group, 13 out of 25</w:t>
      </w:r>
      <w:r w:rsidR="00332EBC" w:rsidRPr="001D04B2">
        <w:t xml:space="preserve"> (52%)</w:t>
      </w:r>
      <w:r w:rsidR="009B6EFE" w:rsidRPr="001D04B2">
        <w:t xml:space="preserve"> had previously been prescribed either</w:t>
      </w:r>
      <w:r w:rsidR="00332EBC" w:rsidRPr="001D04B2">
        <w:t xml:space="preserve"> an</w:t>
      </w:r>
      <w:r w:rsidR="009B6EFE" w:rsidRPr="001D04B2">
        <w:t xml:space="preserve"> acute </w:t>
      </w:r>
      <w:r w:rsidR="00332EBC" w:rsidRPr="001D04B2">
        <w:t xml:space="preserve">course </w:t>
      </w:r>
      <w:r w:rsidR="009B6EFE" w:rsidRPr="001D04B2">
        <w:t>o</w:t>
      </w:r>
      <w:r w:rsidR="00332EBC" w:rsidRPr="001D04B2">
        <w:t>r</w:t>
      </w:r>
      <w:r w:rsidR="009B6EFE" w:rsidRPr="001D04B2">
        <w:t xml:space="preserve"> long-term </w:t>
      </w:r>
      <w:r w:rsidR="00332EBC" w:rsidRPr="001D04B2">
        <w:t>macrolide therapy.</w:t>
      </w:r>
    </w:p>
    <w:p w14:paraId="64572075" w14:textId="41C45ABA" w:rsidR="00436658" w:rsidRDefault="00442A0F" w:rsidP="004E39EF">
      <w:pPr>
        <w:pStyle w:val="Heading3"/>
        <w:numPr>
          <w:ilvl w:val="0"/>
          <w:numId w:val="0"/>
        </w:numPr>
        <w:spacing w:before="0" w:line="360" w:lineRule="auto"/>
        <w:ind w:left="720" w:hanging="720"/>
      </w:pPr>
      <w:bookmarkStart w:id="239" w:name="_Toc117765990"/>
      <w:r>
        <w:t xml:space="preserve">4.4.2 </w:t>
      </w:r>
      <w:r w:rsidR="00FC43D8">
        <w:tab/>
      </w:r>
      <w:r w:rsidR="005B73EF">
        <w:t>S</w:t>
      </w:r>
      <w:r>
        <w:t>wab results</w:t>
      </w:r>
      <w:bookmarkEnd w:id="239"/>
      <w:r w:rsidR="005B73EF">
        <w:t xml:space="preserve"> </w:t>
      </w:r>
    </w:p>
    <w:p w14:paraId="677B2404" w14:textId="79EC42F2" w:rsidR="004E39EF" w:rsidRDefault="005B73EF" w:rsidP="00A21877">
      <w:pPr>
        <w:spacing w:line="360" w:lineRule="auto"/>
      </w:pPr>
      <w:r w:rsidRPr="001D04B2">
        <w:t xml:space="preserve">At baseline, </w:t>
      </w:r>
      <w:r w:rsidR="00C74402">
        <w:t>25 swabs were collected in each</w:t>
      </w:r>
      <w:r w:rsidR="006637B7">
        <w:t xml:space="preserve"> merged</w:t>
      </w:r>
      <w:r w:rsidR="00C74402">
        <w:t xml:space="preserve"> group (</w:t>
      </w:r>
      <w:r w:rsidR="00845017" w:rsidRPr="00845017">
        <w:fldChar w:fldCharType="begin"/>
      </w:r>
      <w:r w:rsidR="00845017" w:rsidRPr="00845017">
        <w:instrText xml:space="preserve"> REF _Ref105618864 \h  \* MERGEFORMAT </w:instrText>
      </w:r>
      <w:r w:rsidR="00845017" w:rsidRPr="00845017">
        <w:fldChar w:fldCharType="separate"/>
      </w:r>
      <w:r w:rsidR="00845017" w:rsidRPr="00845017">
        <w:rPr>
          <w:color w:val="000000" w:themeColor="text1"/>
        </w:rPr>
        <w:t xml:space="preserve">Table </w:t>
      </w:r>
      <w:r w:rsidR="00845017" w:rsidRPr="00845017">
        <w:rPr>
          <w:noProof/>
          <w:color w:val="000000" w:themeColor="text1"/>
        </w:rPr>
        <w:t>24</w:t>
      </w:r>
      <w:r w:rsidR="00845017" w:rsidRPr="00845017">
        <w:fldChar w:fldCharType="end"/>
      </w:r>
      <w:r w:rsidR="00C74402">
        <w:t>). T</w:t>
      </w:r>
      <w:r w:rsidRPr="001D04B2">
        <w:t xml:space="preserve">here was a non-significant trend towards fewer bacterial isolates being cultured in the </w:t>
      </w:r>
      <w:r w:rsidR="006637B7">
        <w:t>c</w:t>
      </w:r>
      <w:r w:rsidR="00DB069C">
        <w:t>o</w:t>
      </w:r>
      <w:r w:rsidR="006637B7">
        <w:t>mb</w:t>
      </w:r>
      <w:r w:rsidR="00DB069C">
        <w:t>i</w:t>
      </w:r>
      <w:r w:rsidR="006637B7">
        <w:t xml:space="preserve">ned </w:t>
      </w:r>
      <w:r w:rsidRPr="001D04B2">
        <w:t>azithromycin group, IRR 0.69 (95%CI 0.40-118), p=0.18</w:t>
      </w:r>
      <w:r w:rsidR="00E20CC3">
        <w:t xml:space="preserve">. </w:t>
      </w:r>
      <w:r w:rsidR="00F0305F" w:rsidRPr="001D04B2">
        <w:t xml:space="preserve">Of these isolates, </w:t>
      </w:r>
      <w:r w:rsidR="00DB069C">
        <w:t xml:space="preserve">slightly </w:t>
      </w:r>
      <w:r w:rsidR="0005102F">
        <w:t>fewer</w:t>
      </w:r>
      <w:r w:rsidR="00F0305F" w:rsidRPr="001D04B2">
        <w:t xml:space="preserve"> were resistant to azithromycin in the azithromycin group</w:t>
      </w:r>
      <w:r w:rsidR="00C74402">
        <w:t xml:space="preserve"> </w:t>
      </w:r>
      <w:r w:rsidR="00F0305F" w:rsidRPr="001D04B2">
        <w:t>although</w:t>
      </w:r>
      <w:r w:rsidR="006637B7">
        <w:t xml:space="preserve"> again</w:t>
      </w:r>
      <w:r w:rsidR="00F0305F" w:rsidRPr="001D04B2">
        <w:t xml:space="preserve"> </w:t>
      </w:r>
      <w:r w:rsidR="0057773C">
        <w:t xml:space="preserve">this was </w:t>
      </w:r>
      <w:r w:rsidR="00F0305F" w:rsidRPr="001D04B2">
        <w:t>not significant, IRR 0.71 (95%CI 0.35-1.43), p=0.34</w:t>
      </w:r>
      <w:r w:rsidR="00E20CC3">
        <w:t>.</w:t>
      </w:r>
    </w:p>
    <w:p w14:paraId="77D12CBB" w14:textId="2EADF4A6" w:rsidR="004E39EF" w:rsidRDefault="004E39EF" w:rsidP="00A21877">
      <w:pPr>
        <w:spacing w:line="360" w:lineRule="auto"/>
      </w:pPr>
    </w:p>
    <w:p w14:paraId="7985AF0C" w14:textId="77777777" w:rsidR="004E39EF" w:rsidRDefault="004E39EF" w:rsidP="004E39EF">
      <w:pPr>
        <w:spacing w:line="360" w:lineRule="auto"/>
        <w:rPr>
          <w:rFonts w:cstheme="minorHAnsi"/>
        </w:rPr>
      </w:pPr>
      <w:r>
        <w:rPr>
          <w:rFonts w:cstheme="minorHAnsi"/>
        </w:rPr>
        <w:t>Participants in the merged azithromycin groups were prescribed long-term azithromycin for a median of 7 months (IQR 4.5-12 months) over the study period. During the study a total of 77 swabs were collected in the merged comparison groups and 64 in the merged azithromycin groups (</w:t>
      </w:r>
      <w:r w:rsidRPr="00845017">
        <w:rPr>
          <w:rFonts w:cstheme="minorHAnsi"/>
        </w:rPr>
        <w:fldChar w:fldCharType="begin"/>
      </w:r>
      <w:r w:rsidRPr="00845017">
        <w:rPr>
          <w:rFonts w:cstheme="minorHAnsi"/>
        </w:rPr>
        <w:instrText xml:space="preserve"> REF _Ref105618910 \h  \* MERGEFORMAT </w:instrText>
      </w:r>
      <w:r w:rsidRPr="00845017">
        <w:rPr>
          <w:rFonts w:cstheme="minorHAnsi"/>
        </w:rPr>
      </w:r>
      <w:r w:rsidRPr="00845017">
        <w:rPr>
          <w:rFonts w:cstheme="minorHAnsi"/>
        </w:rPr>
        <w:fldChar w:fldCharType="separate"/>
      </w:r>
      <w:r w:rsidRPr="00845017">
        <w:rPr>
          <w:color w:val="000000" w:themeColor="text1"/>
        </w:rPr>
        <w:t xml:space="preserve">Table </w:t>
      </w:r>
      <w:r w:rsidRPr="00845017">
        <w:rPr>
          <w:noProof/>
          <w:color w:val="000000" w:themeColor="text1"/>
        </w:rPr>
        <w:t>25</w:t>
      </w:r>
      <w:r w:rsidRPr="00845017">
        <w:rPr>
          <w:rFonts w:cstheme="minorHAnsi"/>
        </w:rPr>
        <w:fldChar w:fldCharType="end"/>
      </w:r>
      <w:r w:rsidRPr="00845017">
        <w:rPr>
          <w:rFonts w:cstheme="minorHAnsi"/>
        </w:rPr>
        <w:t>)</w:t>
      </w:r>
      <w:r>
        <w:rPr>
          <w:rFonts w:cstheme="minorHAnsi"/>
        </w:rPr>
        <w:t>. Significantly fewer bacteria were isolated from swabs collected in the azithromycin groups, IRR 0.58 (95%CI 0.34-0.98) p= 0.044. Of these bacteria, there was a non-significant trend towards fewer azithromycin resistant bacteria being present in the azithromycin group, IRR 0.63 (95%CI 0.37-1.06) p= 0.083. Adjusting for the number of bacteria isolated did not change this lack of significance (p=0.68) nor did adjustment for duration in the study (p=0.67).</w:t>
      </w:r>
    </w:p>
    <w:p w14:paraId="628F61BD" w14:textId="3755040E" w:rsidR="004E39EF" w:rsidRDefault="004E39EF" w:rsidP="00A21877">
      <w:pPr>
        <w:spacing w:line="360" w:lineRule="auto"/>
      </w:pPr>
    </w:p>
    <w:p w14:paraId="53896F9E" w14:textId="4030BDC0" w:rsidR="004E39EF" w:rsidRDefault="004E39EF" w:rsidP="00A21877">
      <w:pPr>
        <w:spacing w:line="360" w:lineRule="auto"/>
      </w:pPr>
    </w:p>
    <w:p w14:paraId="3374B5FE" w14:textId="77777777" w:rsidR="004E39EF" w:rsidRDefault="004E39EF" w:rsidP="00A21877">
      <w:pPr>
        <w:spacing w:line="360" w:lineRule="auto"/>
      </w:pPr>
    </w:p>
    <w:p w14:paraId="7A7678FE" w14:textId="1C0F2B77" w:rsidR="003A67AE" w:rsidRPr="001D04B2" w:rsidRDefault="003A67AE" w:rsidP="001D04B2">
      <w:pPr>
        <w:pStyle w:val="Caption"/>
        <w:keepNext/>
        <w:rPr>
          <w:i w:val="0"/>
          <w:iCs w:val="0"/>
          <w:color w:val="000000" w:themeColor="text1"/>
          <w:sz w:val="24"/>
          <w:szCs w:val="24"/>
        </w:rPr>
      </w:pPr>
      <w:bookmarkStart w:id="240" w:name="_Ref105618864"/>
      <w:bookmarkStart w:id="241" w:name="_Toc117780265"/>
      <w:r w:rsidRPr="001D04B2">
        <w:rPr>
          <w:b/>
          <w:bCs/>
          <w:i w:val="0"/>
          <w:iCs w:val="0"/>
          <w:color w:val="000000" w:themeColor="text1"/>
          <w:sz w:val="24"/>
          <w:szCs w:val="24"/>
        </w:rPr>
        <w:lastRenderedPageBreak/>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24</w:t>
      </w:r>
      <w:r w:rsidRPr="001D04B2">
        <w:rPr>
          <w:b/>
          <w:bCs/>
          <w:i w:val="0"/>
          <w:iCs w:val="0"/>
          <w:color w:val="000000" w:themeColor="text1"/>
          <w:sz w:val="24"/>
          <w:szCs w:val="24"/>
        </w:rPr>
        <w:fldChar w:fldCharType="end"/>
      </w:r>
      <w:bookmarkEnd w:id="240"/>
      <w:r w:rsidRPr="001D04B2">
        <w:rPr>
          <w:i w:val="0"/>
          <w:iCs w:val="0"/>
          <w:color w:val="000000" w:themeColor="text1"/>
          <w:sz w:val="24"/>
          <w:szCs w:val="24"/>
        </w:rPr>
        <w:t>: Combined baseline swab results from PBB studies 1 &amp; 2</w:t>
      </w:r>
      <w:bookmarkEnd w:id="241"/>
    </w:p>
    <w:tbl>
      <w:tblPr>
        <w:tblStyle w:val="TableGrid"/>
        <w:tblW w:w="9350" w:type="dxa"/>
        <w:tblLook w:val="04A0" w:firstRow="1" w:lastRow="0" w:firstColumn="1" w:lastColumn="0" w:noHBand="0" w:noVBand="1"/>
      </w:tblPr>
      <w:tblGrid>
        <w:gridCol w:w="3428"/>
        <w:gridCol w:w="2115"/>
        <w:gridCol w:w="2021"/>
        <w:gridCol w:w="1786"/>
      </w:tblGrid>
      <w:tr w:rsidR="00FE5DBE" w:rsidRPr="00A21877" w14:paraId="65F79965" w14:textId="60FD9167" w:rsidTr="00FE5DBE">
        <w:tc>
          <w:tcPr>
            <w:tcW w:w="3428" w:type="dxa"/>
            <w:shd w:val="clear" w:color="auto" w:fill="9CC2E5" w:themeFill="accent1" w:themeFillTint="99"/>
          </w:tcPr>
          <w:p w14:paraId="5C8ECD43" w14:textId="125973D5" w:rsidR="00FE5DBE" w:rsidRPr="001D04B2" w:rsidRDefault="00FE5DBE" w:rsidP="00703D08">
            <w:pPr>
              <w:spacing w:line="360" w:lineRule="auto"/>
              <w:rPr>
                <w:rFonts w:cstheme="minorHAnsi"/>
                <w:b/>
                <w:bCs/>
              </w:rPr>
            </w:pPr>
            <w:r w:rsidRPr="001D04B2">
              <w:rPr>
                <w:rFonts w:cstheme="minorHAnsi"/>
                <w:b/>
                <w:bCs/>
              </w:rPr>
              <w:t>Baseline investigations</w:t>
            </w:r>
          </w:p>
        </w:tc>
        <w:tc>
          <w:tcPr>
            <w:tcW w:w="2115" w:type="dxa"/>
            <w:shd w:val="clear" w:color="auto" w:fill="9CC2E5" w:themeFill="accent1" w:themeFillTint="99"/>
          </w:tcPr>
          <w:p w14:paraId="653B994D" w14:textId="32362514" w:rsidR="00FE5DBE" w:rsidRPr="001D04B2" w:rsidRDefault="00FE5DBE" w:rsidP="00703D08">
            <w:pPr>
              <w:spacing w:line="360" w:lineRule="auto"/>
              <w:rPr>
                <w:rFonts w:cstheme="minorHAnsi"/>
                <w:b/>
                <w:bCs/>
              </w:rPr>
            </w:pPr>
            <w:r w:rsidRPr="001D04B2">
              <w:rPr>
                <w:rFonts w:cstheme="minorHAnsi"/>
                <w:b/>
                <w:bCs/>
              </w:rPr>
              <w:t xml:space="preserve">Comparison Groups </w:t>
            </w:r>
          </w:p>
          <w:p w14:paraId="3A751CEE" w14:textId="77777777" w:rsidR="00FE5DBE" w:rsidRPr="00A21877" w:rsidRDefault="00FE5DBE" w:rsidP="00703D08">
            <w:pPr>
              <w:spacing w:line="360" w:lineRule="auto"/>
              <w:rPr>
                <w:rFonts w:cstheme="minorHAnsi"/>
              </w:rPr>
            </w:pPr>
            <w:r>
              <w:rPr>
                <w:rFonts w:cstheme="minorHAnsi"/>
              </w:rPr>
              <w:t>N=25</w:t>
            </w:r>
          </w:p>
        </w:tc>
        <w:tc>
          <w:tcPr>
            <w:tcW w:w="2021" w:type="dxa"/>
            <w:shd w:val="clear" w:color="auto" w:fill="9CC2E5" w:themeFill="accent1" w:themeFillTint="99"/>
          </w:tcPr>
          <w:p w14:paraId="39E396E6" w14:textId="77777777" w:rsidR="00FE5DBE" w:rsidRPr="001D04B2" w:rsidRDefault="00FE5DBE" w:rsidP="00703D08">
            <w:pPr>
              <w:spacing w:line="360" w:lineRule="auto"/>
              <w:rPr>
                <w:rFonts w:cstheme="minorHAnsi"/>
                <w:b/>
                <w:bCs/>
              </w:rPr>
            </w:pPr>
            <w:r w:rsidRPr="001D04B2">
              <w:rPr>
                <w:rFonts w:cstheme="minorHAnsi"/>
                <w:b/>
                <w:bCs/>
              </w:rPr>
              <w:t xml:space="preserve">Azithromycin Groups </w:t>
            </w:r>
          </w:p>
          <w:p w14:paraId="6B20D77C" w14:textId="77777777" w:rsidR="00FE5DBE" w:rsidRPr="00A21877" w:rsidRDefault="00FE5DBE" w:rsidP="00703D08">
            <w:pPr>
              <w:spacing w:line="360" w:lineRule="auto"/>
              <w:rPr>
                <w:rFonts w:cstheme="minorHAnsi"/>
              </w:rPr>
            </w:pPr>
            <w:r>
              <w:rPr>
                <w:rFonts w:cstheme="minorHAnsi"/>
              </w:rPr>
              <w:t>N=25</w:t>
            </w:r>
          </w:p>
        </w:tc>
        <w:tc>
          <w:tcPr>
            <w:tcW w:w="1786" w:type="dxa"/>
            <w:shd w:val="clear" w:color="auto" w:fill="9CC2E5" w:themeFill="accent1" w:themeFillTint="99"/>
          </w:tcPr>
          <w:p w14:paraId="59583CA6" w14:textId="0760C7A4" w:rsidR="00FE5DBE" w:rsidRDefault="00FE5DBE" w:rsidP="00703D08">
            <w:pPr>
              <w:spacing w:line="360" w:lineRule="auto"/>
              <w:rPr>
                <w:rFonts w:cstheme="minorHAnsi"/>
                <w:b/>
                <w:bCs/>
              </w:rPr>
            </w:pPr>
            <w:r>
              <w:rPr>
                <w:rFonts w:cstheme="minorHAnsi"/>
                <w:b/>
                <w:bCs/>
              </w:rPr>
              <w:t>Statistics</w:t>
            </w:r>
          </w:p>
          <w:p w14:paraId="26D79162" w14:textId="4358FDD7" w:rsidR="00070149" w:rsidRPr="00070149" w:rsidRDefault="00443AB3" w:rsidP="00703D08">
            <w:pPr>
              <w:spacing w:line="360" w:lineRule="auto"/>
              <w:rPr>
                <w:rFonts w:cstheme="minorHAnsi"/>
              </w:rPr>
            </w:pPr>
            <w:r>
              <w:rPr>
                <w:rFonts w:cstheme="minorHAnsi"/>
              </w:rPr>
              <w:t>IRR</w:t>
            </w:r>
          </w:p>
          <w:p w14:paraId="7AC0199F" w14:textId="493ADC93" w:rsidR="008A34E2" w:rsidRPr="00D81399" w:rsidRDefault="008A34E2" w:rsidP="00703D08">
            <w:pPr>
              <w:spacing w:line="360" w:lineRule="auto"/>
              <w:rPr>
                <w:rFonts w:cstheme="minorHAnsi"/>
              </w:rPr>
            </w:pPr>
          </w:p>
        </w:tc>
      </w:tr>
      <w:tr w:rsidR="00FE5DBE" w:rsidRPr="00A21877" w14:paraId="21383C0C" w14:textId="36A3D69C" w:rsidTr="00FE5DBE">
        <w:tc>
          <w:tcPr>
            <w:tcW w:w="3428" w:type="dxa"/>
            <w:shd w:val="clear" w:color="auto" w:fill="auto"/>
          </w:tcPr>
          <w:p w14:paraId="00051888" w14:textId="77777777" w:rsidR="00FE5DBE" w:rsidRPr="00A21877" w:rsidRDefault="00FE5DBE" w:rsidP="00703D08">
            <w:pPr>
              <w:spacing w:line="360" w:lineRule="auto"/>
              <w:rPr>
                <w:rFonts w:cstheme="minorHAnsi"/>
              </w:rPr>
            </w:pPr>
            <w:r w:rsidRPr="00C74402">
              <w:rPr>
                <w:rFonts w:cstheme="minorHAnsi"/>
              </w:rPr>
              <w:t>Total number of swabs collected</w:t>
            </w:r>
          </w:p>
        </w:tc>
        <w:tc>
          <w:tcPr>
            <w:tcW w:w="2115" w:type="dxa"/>
            <w:shd w:val="clear" w:color="auto" w:fill="auto"/>
          </w:tcPr>
          <w:p w14:paraId="5E8AD533" w14:textId="77777777" w:rsidR="00FE5DBE" w:rsidRPr="00A21877" w:rsidRDefault="00FE5DBE" w:rsidP="00703D08">
            <w:pPr>
              <w:spacing w:line="360" w:lineRule="auto"/>
              <w:rPr>
                <w:rFonts w:cstheme="minorHAnsi"/>
              </w:rPr>
            </w:pPr>
            <w:r w:rsidRPr="00A21877">
              <w:rPr>
                <w:rFonts w:cstheme="minorHAnsi"/>
              </w:rPr>
              <w:t>25</w:t>
            </w:r>
            <w:r>
              <w:rPr>
                <w:rFonts w:cstheme="minorHAnsi"/>
              </w:rPr>
              <w:t xml:space="preserve"> </w:t>
            </w:r>
          </w:p>
        </w:tc>
        <w:tc>
          <w:tcPr>
            <w:tcW w:w="2021" w:type="dxa"/>
            <w:shd w:val="clear" w:color="auto" w:fill="auto"/>
          </w:tcPr>
          <w:p w14:paraId="0F21DD6C" w14:textId="77777777" w:rsidR="00FE5DBE" w:rsidRPr="00A21877" w:rsidRDefault="00FE5DBE" w:rsidP="00703D08">
            <w:pPr>
              <w:spacing w:line="360" w:lineRule="auto"/>
              <w:rPr>
                <w:rFonts w:cstheme="minorHAnsi"/>
              </w:rPr>
            </w:pPr>
            <w:r w:rsidRPr="00A21877">
              <w:rPr>
                <w:rFonts w:cstheme="minorHAnsi"/>
              </w:rPr>
              <w:t>25</w:t>
            </w:r>
            <w:r>
              <w:rPr>
                <w:rFonts w:cstheme="minorHAnsi"/>
              </w:rPr>
              <w:t xml:space="preserve"> </w:t>
            </w:r>
          </w:p>
        </w:tc>
        <w:tc>
          <w:tcPr>
            <w:tcW w:w="1786" w:type="dxa"/>
          </w:tcPr>
          <w:p w14:paraId="466CDD3D" w14:textId="4EEA0820" w:rsidR="00FE5DBE" w:rsidRPr="00A21877" w:rsidRDefault="00FE5DBE" w:rsidP="00703D08">
            <w:pPr>
              <w:spacing w:line="360" w:lineRule="auto"/>
              <w:rPr>
                <w:rFonts w:cstheme="minorHAnsi"/>
              </w:rPr>
            </w:pPr>
          </w:p>
        </w:tc>
      </w:tr>
      <w:tr w:rsidR="00FE5DBE" w:rsidRPr="00A21877" w14:paraId="5F7D9EE0" w14:textId="59703A56" w:rsidTr="00FE5DBE">
        <w:tc>
          <w:tcPr>
            <w:tcW w:w="3428" w:type="dxa"/>
            <w:shd w:val="clear" w:color="auto" w:fill="DEEAF6" w:themeFill="accent1" w:themeFillTint="33"/>
          </w:tcPr>
          <w:p w14:paraId="05645A9A" w14:textId="77777777" w:rsidR="00FE5DBE" w:rsidRPr="00A21877" w:rsidRDefault="00FE5DBE" w:rsidP="00703D08">
            <w:pPr>
              <w:spacing w:line="360" w:lineRule="auto"/>
              <w:rPr>
                <w:rFonts w:cstheme="minorHAnsi"/>
              </w:rPr>
            </w:pPr>
            <w:r w:rsidRPr="00A21877">
              <w:rPr>
                <w:rFonts w:cstheme="minorHAnsi"/>
              </w:rPr>
              <w:t>Number of swabs with positive bacterial growth</w:t>
            </w:r>
          </w:p>
        </w:tc>
        <w:tc>
          <w:tcPr>
            <w:tcW w:w="2115" w:type="dxa"/>
            <w:shd w:val="clear" w:color="auto" w:fill="DEEAF6" w:themeFill="accent1" w:themeFillTint="33"/>
          </w:tcPr>
          <w:p w14:paraId="75F468EF" w14:textId="77777777" w:rsidR="00FE5DBE" w:rsidRPr="00A21877" w:rsidRDefault="00FE5DBE" w:rsidP="00703D08">
            <w:pPr>
              <w:spacing w:line="360" w:lineRule="auto"/>
              <w:rPr>
                <w:rFonts w:cstheme="minorHAnsi"/>
              </w:rPr>
            </w:pPr>
            <w:r w:rsidRPr="00A21877">
              <w:rPr>
                <w:rFonts w:cstheme="minorHAnsi"/>
              </w:rPr>
              <w:t>19</w:t>
            </w:r>
          </w:p>
        </w:tc>
        <w:tc>
          <w:tcPr>
            <w:tcW w:w="2021" w:type="dxa"/>
            <w:shd w:val="clear" w:color="auto" w:fill="DEEAF6" w:themeFill="accent1" w:themeFillTint="33"/>
          </w:tcPr>
          <w:p w14:paraId="3C6A925C" w14:textId="77777777" w:rsidR="00FE5DBE" w:rsidRPr="00A21877" w:rsidRDefault="00FE5DBE" w:rsidP="00703D08">
            <w:pPr>
              <w:spacing w:line="360" w:lineRule="auto"/>
              <w:rPr>
                <w:rFonts w:cstheme="minorHAnsi"/>
              </w:rPr>
            </w:pPr>
            <w:r w:rsidRPr="00A21877">
              <w:rPr>
                <w:rFonts w:cstheme="minorHAnsi"/>
              </w:rPr>
              <w:t>16</w:t>
            </w:r>
          </w:p>
        </w:tc>
        <w:tc>
          <w:tcPr>
            <w:tcW w:w="1786" w:type="dxa"/>
            <w:shd w:val="clear" w:color="auto" w:fill="DEEAF6" w:themeFill="accent1" w:themeFillTint="33"/>
          </w:tcPr>
          <w:p w14:paraId="417AD287" w14:textId="075E8035" w:rsidR="00FE5DBE" w:rsidRPr="00A21877" w:rsidRDefault="00FE5DBE" w:rsidP="00703D08">
            <w:pPr>
              <w:spacing w:line="360" w:lineRule="auto"/>
              <w:rPr>
                <w:rFonts w:cstheme="minorHAnsi"/>
              </w:rPr>
            </w:pPr>
          </w:p>
        </w:tc>
      </w:tr>
      <w:tr w:rsidR="00FE5DBE" w:rsidRPr="00A21877" w14:paraId="12628751" w14:textId="1FEB645B" w:rsidTr="00FE5DBE">
        <w:tc>
          <w:tcPr>
            <w:tcW w:w="3428" w:type="dxa"/>
          </w:tcPr>
          <w:p w14:paraId="7144CDD7" w14:textId="77777777" w:rsidR="00FE5DBE" w:rsidRPr="00A21877" w:rsidRDefault="00FE5DBE" w:rsidP="00703D08">
            <w:pPr>
              <w:spacing w:line="360" w:lineRule="auto"/>
              <w:rPr>
                <w:rFonts w:cstheme="minorHAnsi"/>
              </w:rPr>
            </w:pPr>
            <w:r w:rsidRPr="00A21877">
              <w:rPr>
                <w:rFonts w:cstheme="minorHAnsi"/>
              </w:rPr>
              <w:t xml:space="preserve">Number of swabs with azithromycin resistant bacteria </w:t>
            </w:r>
          </w:p>
          <w:p w14:paraId="7799A278" w14:textId="77777777" w:rsidR="00FE5DBE" w:rsidRPr="00A21877" w:rsidRDefault="00FE5DBE" w:rsidP="00703D08">
            <w:pPr>
              <w:spacing w:line="360" w:lineRule="auto"/>
              <w:rPr>
                <w:rFonts w:cstheme="minorHAnsi"/>
              </w:rPr>
            </w:pPr>
            <w:r w:rsidRPr="00A21877">
              <w:rPr>
                <w:rFonts w:cstheme="minorHAnsi"/>
              </w:rPr>
              <w:t>(% of baseline swabs with positive bacterial growth)</w:t>
            </w:r>
          </w:p>
        </w:tc>
        <w:tc>
          <w:tcPr>
            <w:tcW w:w="2115" w:type="dxa"/>
          </w:tcPr>
          <w:p w14:paraId="5BFACF0D" w14:textId="77777777" w:rsidR="00FE5DBE" w:rsidRPr="00A21877" w:rsidRDefault="00FE5DBE" w:rsidP="00703D08">
            <w:pPr>
              <w:spacing w:line="360" w:lineRule="auto"/>
              <w:rPr>
                <w:rFonts w:cstheme="minorHAnsi"/>
              </w:rPr>
            </w:pPr>
            <w:r w:rsidRPr="00A21877">
              <w:rPr>
                <w:rFonts w:cstheme="minorHAnsi"/>
              </w:rPr>
              <w:t xml:space="preserve">14 </w:t>
            </w:r>
          </w:p>
          <w:p w14:paraId="3FE6107F" w14:textId="77777777" w:rsidR="00FE5DBE" w:rsidRPr="00A21877" w:rsidRDefault="00FE5DBE" w:rsidP="00703D08">
            <w:pPr>
              <w:spacing w:line="360" w:lineRule="auto"/>
              <w:rPr>
                <w:rFonts w:cstheme="minorHAnsi"/>
              </w:rPr>
            </w:pPr>
            <w:r w:rsidRPr="00A21877">
              <w:rPr>
                <w:rFonts w:cstheme="minorHAnsi"/>
              </w:rPr>
              <w:t>(73.7%)</w:t>
            </w:r>
          </w:p>
        </w:tc>
        <w:tc>
          <w:tcPr>
            <w:tcW w:w="2021" w:type="dxa"/>
          </w:tcPr>
          <w:p w14:paraId="7813ABC1" w14:textId="77777777" w:rsidR="00FE5DBE" w:rsidRPr="00A21877" w:rsidRDefault="00FE5DBE" w:rsidP="00703D08">
            <w:pPr>
              <w:spacing w:line="360" w:lineRule="auto"/>
              <w:rPr>
                <w:rFonts w:cstheme="minorHAnsi"/>
              </w:rPr>
            </w:pPr>
            <w:r w:rsidRPr="00A21877">
              <w:rPr>
                <w:rFonts w:cstheme="minorHAnsi"/>
              </w:rPr>
              <w:t xml:space="preserve">11 </w:t>
            </w:r>
          </w:p>
          <w:p w14:paraId="25B1003A" w14:textId="77777777" w:rsidR="00FE5DBE" w:rsidRPr="00A21877" w:rsidRDefault="00FE5DBE" w:rsidP="00703D08">
            <w:pPr>
              <w:spacing w:line="360" w:lineRule="auto"/>
              <w:rPr>
                <w:rFonts w:cstheme="minorHAnsi"/>
              </w:rPr>
            </w:pPr>
            <w:r w:rsidRPr="00A21877">
              <w:rPr>
                <w:rFonts w:cstheme="minorHAnsi"/>
              </w:rPr>
              <w:t>(68.8%)</w:t>
            </w:r>
          </w:p>
        </w:tc>
        <w:tc>
          <w:tcPr>
            <w:tcW w:w="1786" w:type="dxa"/>
          </w:tcPr>
          <w:p w14:paraId="2475AC56" w14:textId="39798E8D" w:rsidR="00FE5DBE" w:rsidRPr="00A21877" w:rsidRDefault="00FE5DBE" w:rsidP="00703D08">
            <w:pPr>
              <w:spacing w:line="360" w:lineRule="auto"/>
              <w:rPr>
                <w:rFonts w:cstheme="minorHAnsi"/>
              </w:rPr>
            </w:pPr>
          </w:p>
        </w:tc>
      </w:tr>
      <w:tr w:rsidR="00FE5DBE" w:rsidRPr="00A21877" w14:paraId="34231436" w14:textId="51611856" w:rsidTr="00FE5DBE">
        <w:tc>
          <w:tcPr>
            <w:tcW w:w="3428" w:type="dxa"/>
            <w:shd w:val="clear" w:color="auto" w:fill="DEEAF6" w:themeFill="accent1" w:themeFillTint="33"/>
          </w:tcPr>
          <w:p w14:paraId="68EDE486" w14:textId="77777777" w:rsidR="00FE5DBE" w:rsidRPr="00A21877" w:rsidRDefault="00FE5DBE" w:rsidP="00703D08">
            <w:pPr>
              <w:spacing w:line="360" w:lineRule="auto"/>
              <w:rPr>
                <w:rFonts w:cstheme="minorHAnsi"/>
              </w:rPr>
            </w:pPr>
            <w:r w:rsidRPr="00A21877">
              <w:rPr>
                <w:rFonts w:cstheme="minorHAnsi"/>
              </w:rPr>
              <w:t>Number of bacterial isolates</w:t>
            </w:r>
          </w:p>
        </w:tc>
        <w:tc>
          <w:tcPr>
            <w:tcW w:w="2115" w:type="dxa"/>
            <w:shd w:val="clear" w:color="auto" w:fill="DEEAF6" w:themeFill="accent1" w:themeFillTint="33"/>
          </w:tcPr>
          <w:p w14:paraId="0964C811" w14:textId="77777777" w:rsidR="00FE5DBE" w:rsidRPr="00A21877" w:rsidRDefault="00FE5DBE" w:rsidP="00703D08">
            <w:pPr>
              <w:spacing w:line="360" w:lineRule="auto"/>
              <w:rPr>
                <w:rFonts w:cstheme="minorHAnsi"/>
              </w:rPr>
            </w:pPr>
            <w:r w:rsidRPr="00A21877">
              <w:rPr>
                <w:rFonts w:cstheme="minorHAnsi"/>
              </w:rPr>
              <w:t>34</w:t>
            </w:r>
          </w:p>
        </w:tc>
        <w:tc>
          <w:tcPr>
            <w:tcW w:w="2021" w:type="dxa"/>
            <w:shd w:val="clear" w:color="auto" w:fill="DEEAF6" w:themeFill="accent1" w:themeFillTint="33"/>
          </w:tcPr>
          <w:p w14:paraId="7A5BF06A" w14:textId="77777777" w:rsidR="00FE5DBE" w:rsidRPr="00A21877" w:rsidRDefault="00FE5DBE" w:rsidP="00703D08">
            <w:pPr>
              <w:spacing w:line="360" w:lineRule="auto"/>
              <w:rPr>
                <w:rFonts w:cstheme="minorHAnsi"/>
              </w:rPr>
            </w:pPr>
            <w:r w:rsidRPr="00A21877">
              <w:rPr>
                <w:rFonts w:cstheme="minorHAnsi"/>
              </w:rPr>
              <w:t>24</w:t>
            </w:r>
          </w:p>
        </w:tc>
        <w:tc>
          <w:tcPr>
            <w:tcW w:w="1786" w:type="dxa"/>
            <w:shd w:val="clear" w:color="auto" w:fill="DEEAF6" w:themeFill="accent1" w:themeFillTint="33"/>
          </w:tcPr>
          <w:p w14:paraId="14EF84D2" w14:textId="4C95D7F1" w:rsidR="00FE5DBE" w:rsidRPr="00A21877" w:rsidRDefault="002B2C99" w:rsidP="00703D08">
            <w:pPr>
              <w:spacing w:line="360" w:lineRule="auto"/>
              <w:rPr>
                <w:rFonts w:cstheme="minorHAnsi"/>
              </w:rPr>
            </w:pPr>
            <w:r>
              <w:rPr>
                <w:rFonts w:cstheme="minorHAnsi"/>
              </w:rPr>
              <w:t>p = 0.18</w:t>
            </w:r>
          </w:p>
        </w:tc>
      </w:tr>
      <w:tr w:rsidR="00FE5DBE" w:rsidRPr="00A21877" w14:paraId="4CE5231A" w14:textId="43C71D24" w:rsidTr="00FE5DBE">
        <w:tc>
          <w:tcPr>
            <w:tcW w:w="3428" w:type="dxa"/>
            <w:shd w:val="clear" w:color="auto" w:fill="auto"/>
          </w:tcPr>
          <w:p w14:paraId="40CB1F47" w14:textId="77777777" w:rsidR="00FE5DBE" w:rsidRPr="00A21877" w:rsidRDefault="00FE5DBE" w:rsidP="00703D08">
            <w:pPr>
              <w:spacing w:line="360" w:lineRule="auto"/>
              <w:rPr>
                <w:rFonts w:cstheme="minorHAnsi"/>
              </w:rPr>
            </w:pPr>
            <w:r w:rsidRPr="00A21877">
              <w:rPr>
                <w:rFonts w:cstheme="minorHAnsi"/>
              </w:rPr>
              <w:t xml:space="preserve">Number of azithromycin resistant bacterial isolates </w:t>
            </w:r>
          </w:p>
          <w:p w14:paraId="4B7BC175" w14:textId="77777777" w:rsidR="00FE5DBE" w:rsidRPr="00A21877" w:rsidRDefault="00FE5DBE" w:rsidP="00703D08">
            <w:pPr>
              <w:spacing w:line="360" w:lineRule="auto"/>
              <w:rPr>
                <w:rFonts w:cstheme="minorHAnsi"/>
              </w:rPr>
            </w:pPr>
            <w:r w:rsidRPr="00A21877">
              <w:rPr>
                <w:rFonts w:cstheme="minorHAnsi"/>
              </w:rPr>
              <w:t>(% of azithromycin resistant bacterial isolates)</w:t>
            </w:r>
          </w:p>
        </w:tc>
        <w:tc>
          <w:tcPr>
            <w:tcW w:w="2115" w:type="dxa"/>
            <w:shd w:val="clear" w:color="auto" w:fill="auto"/>
          </w:tcPr>
          <w:p w14:paraId="65B97719" w14:textId="77777777" w:rsidR="00FE5DBE" w:rsidRPr="00A21877" w:rsidRDefault="00FE5DBE" w:rsidP="00703D08">
            <w:pPr>
              <w:spacing w:line="360" w:lineRule="auto"/>
              <w:rPr>
                <w:rFonts w:cstheme="minorHAnsi"/>
              </w:rPr>
            </w:pPr>
            <w:r w:rsidRPr="00A21877">
              <w:rPr>
                <w:rFonts w:cstheme="minorHAnsi"/>
              </w:rPr>
              <w:t>18</w:t>
            </w:r>
          </w:p>
          <w:p w14:paraId="171AF2DF" w14:textId="77777777" w:rsidR="00FE5DBE" w:rsidRPr="00A21877" w:rsidRDefault="00FE5DBE" w:rsidP="00703D08">
            <w:pPr>
              <w:spacing w:line="360" w:lineRule="auto"/>
              <w:rPr>
                <w:rFonts w:cstheme="minorHAnsi"/>
              </w:rPr>
            </w:pPr>
            <w:r w:rsidRPr="00A21877">
              <w:rPr>
                <w:rFonts w:cstheme="minorHAnsi"/>
              </w:rPr>
              <w:t>(52.9%)</w:t>
            </w:r>
          </w:p>
        </w:tc>
        <w:tc>
          <w:tcPr>
            <w:tcW w:w="2021" w:type="dxa"/>
            <w:shd w:val="clear" w:color="auto" w:fill="auto"/>
          </w:tcPr>
          <w:p w14:paraId="7FE400FE" w14:textId="77777777" w:rsidR="00FE5DBE" w:rsidRPr="00A21877" w:rsidRDefault="00FE5DBE" w:rsidP="00703D08">
            <w:pPr>
              <w:spacing w:line="360" w:lineRule="auto"/>
              <w:rPr>
                <w:rFonts w:cstheme="minorHAnsi"/>
              </w:rPr>
            </w:pPr>
            <w:r w:rsidRPr="00A21877">
              <w:rPr>
                <w:rFonts w:cstheme="minorHAnsi"/>
              </w:rPr>
              <w:t>14</w:t>
            </w:r>
          </w:p>
          <w:p w14:paraId="69070203" w14:textId="77777777" w:rsidR="00FE5DBE" w:rsidRPr="00A21877" w:rsidRDefault="00FE5DBE" w:rsidP="00703D08">
            <w:pPr>
              <w:spacing w:line="360" w:lineRule="auto"/>
              <w:rPr>
                <w:rFonts w:cstheme="minorHAnsi"/>
              </w:rPr>
            </w:pPr>
            <w:r w:rsidRPr="00A21877">
              <w:rPr>
                <w:rFonts w:cstheme="minorHAnsi"/>
              </w:rPr>
              <w:t>(58.3%)</w:t>
            </w:r>
          </w:p>
        </w:tc>
        <w:tc>
          <w:tcPr>
            <w:tcW w:w="1786" w:type="dxa"/>
          </w:tcPr>
          <w:p w14:paraId="48B5D867" w14:textId="3FC390C6" w:rsidR="00FE5DBE" w:rsidRPr="00A21877" w:rsidRDefault="002B2C99" w:rsidP="00703D08">
            <w:pPr>
              <w:spacing w:line="360" w:lineRule="auto"/>
              <w:rPr>
                <w:rFonts w:cstheme="minorHAnsi"/>
              </w:rPr>
            </w:pPr>
            <w:r>
              <w:rPr>
                <w:rFonts w:cstheme="minorHAnsi"/>
              </w:rPr>
              <w:t>p = 0.34</w:t>
            </w:r>
          </w:p>
        </w:tc>
      </w:tr>
    </w:tbl>
    <w:p w14:paraId="6C51A038" w14:textId="40B5C3AC" w:rsidR="00541F75" w:rsidRDefault="00541F75" w:rsidP="00A21877">
      <w:pPr>
        <w:spacing w:line="360" w:lineRule="auto"/>
      </w:pPr>
    </w:p>
    <w:p w14:paraId="0304382A" w14:textId="189963AF" w:rsidR="00845017" w:rsidRDefault="00845017" w:rsidP="00A21877">
      <w:pPr>
        <w:spacing w:line="360" w:lineRule="auto"/>
        <w:rPr>
          <w:rFonts w:cstheme="minorHAnsi"/>
        </w:rPr>
      </w:pPr>
    </w:p>
    <w:p w14:paraId="4F920205" w14:textId="2F6464AA" w:rsidR="004E39EF" w:rsidRDefault="004E39EF" w:rsidP="00A21877">
      <w:pPr>
        <w:spacing w:line="360" w:lineRule="auto"/>
        <w:rPr>
          <w:rFonts w:cstheme="minorHAnsi"/>
        </w:rPr>
      </w:pPr>
    </w:p>
    <w:p w14:paraId="3976A859" w14:textId="18842B9E" w:rsidR="004E39EF" w:rsidRDefault="004E39EF" w:rsidP="00A21877">
      <w:pPr>
        <w:spacing w:line="360" w:lineRule="auto"/>
        <w:rPr>
          <w:rFonts w:cstheme="minorHAnsi"/>
        </w:rPr>
      </w:pPr>
    </w:p>
    <w:p w14:paraId="218A1B4D" w14:textId="6A80E52F" w:rsidR="004E39EF" w:rsidRDefault="004E39EF" w:rsidP="00A21877">
      <w:pPr>
        <w:spacing w:line="360" w:lineRule="auto"/>
        <w:rPr>
          <w:rFonts w:cstheme="minorHAnsi"/>
        </w:rPr>
      </w:pPr>
    </w:p>
    <w:p w14:paraId="6DE53DC6" w14:textId="573FE4C8" w:rsidR="004E39EF" w:rsidRDefault="004E39EF" w:rsidP="00A21877">
      <w:pPr>
        <w:spacing w:line="360" w:lineRule="auto"/>
        <w:rPr>
          <w:rFonts w:cstheme="minorHAnsi"/>
        </w:rPr>
      </w:pPr>
    </w:p>
    <w:p w14:paraId="4938BCD3" w14:textId="0BDE1082" w:rsidR="004E39EF" w:rsidRDefault="004E39EF" w:rsidP="00A21877">
      <w:pPr>
        <w:spacing w:line="360" w:lineRule="auto"/>
        <w:rPr>
          <w:rFonts w:cstheme="minorHAnsi"/>
        </w:rPr>
      </w:pPr>
    </w:p>
    <w:p w14:paraId="612C0957" w14:textId="4DB651FC" w:rsidR="004E39EF" w:rsidRDefault="004E39EF" w:rsidP="00A21877">
      <w:pPr>
        <w:spacing w:line="360" w:lineRule="auto"/>
        <w:rPr>
          <w:rFonts w:cstheme="minorHAnsi"/>
        </w:rPr>
      </w:pPr>
    </w:p>
    <w:p w14:paraId="667401EB" w14:textId="3D78609F" w:rsidR="004E39EF" w:rsidRDefault="004E39EF" w:rsidP="00A21877">
      <w:pPr>
        <w:spacing w:line="360" w:lineRule="auto"/>
        <w:rPr>
          <w:rFonts w:cstheme="minorHAnsi"/>
        </w:rPr>
      </w:pPr>
    </w:p>
    <w:p w14:paraId="4E1F8DE6" w14:textId="7E8A906A" w:rsidR="004E39EF" w:rsidRDefault="004E39EF" w:rsidP="00A21877">
      <w:pPr>
        <w:spacing w:line="360" w:lineRule="auto"/>
        <w:rPr>
          <w:rFonts w:cstheme="minorHAnsi"/>
        </w:rPr>
      </w:pPr>
    </w:p>
    <w:p w14:paraId="24D33CE7" w14:textId="10BE6EA0" w:rsidR="004E39EF" w:rsidRDefault="004E39EF" w:rsidP="00A21877">
      <w:pPr>
        <w:spacing w:line="360" w:lineRule="auto"/>
        <w:rPr>
          <w:rFonts w:cstheme="minorHAnsi"/>
        </w:rPr>
      </w:pPr>
    </w:p>
    <w:p w14:paraId="74A6A9AB" w14:textId="77777777" w:rsidR="004E39EF" w:rsidRPr="00845017" w:rsidRDefault="004E39EF" w:rsidP="00A21877">
      <w:pPr>
        <w:spacing w:line="360" w:lineRule="auto"/>
        <w:rPr>
          <w:rFonts w:cstheme="minorHAnsi"/>
        </w:rPr>
      </w:pPr>
    </w:p>
    <w:p w14:paraId="7379BDDC" w14:textId="6B64F4A9" w:rsidR="00BD1DA9" w:rsidRPr="001D04B2" w:rsidRDefault="00BD1DA9" w:rsidP="001D04B2">
      <w:pPr>
        <w:pStyle w:val="Caption"/>
        <w:keepNext/>
        <w:rPr>
          <w:i w:val="0"/>
          <w:iCs w:val="0"/>
          <w:color w:val="000000" w:themeColor="text1"/>
          <w:sz w:val="24"/>
          <w:szCs w:val="24"/>
        </w:rPr>
      </w:pPr>
      <w:bookmarkStart w:id="242" w:name="_Ref105618910"/>
      <w:bookmarkStart w:id="243" w:name="_Toc117780266"/>
      <w:r w:rsidRPr="001D04B2">
        <w:rPr>
          <w:b/>
          <w:bCs/>
          <w:i w:val="0"/>
          <w:iCs w:val="0"/>
          <w:color w:val="000000" w:themeColor="text1"/>
          <w:sz w:val="24"/>
          <w:szCs w:val="24"/>
        </w:rPr>
        <w:lastRenderedPageBreak/>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25</w:t>
      </w:r>
      <w:r w:rsidRPr="001D04B2">
        <w:rPr>
          <w:b/>
          <w:bCs/>
          <w:i w:val="0"/>
          <w:iCs w:val="0"/>
          <w:color w:val="000000" w:themeColor="text1"/>
          <w:sz w:val="24"/>
          <w:szCs w:val="24"/>
        </w:rPr>
        <w:fldChar w:fldCharType="end"/>
      </w:r>
      <w:bookmarkEnd w:id="242"/>
      <w:r w:rsidRPr="001D04B2">
        <w:rPr>
          <w:i w:val="0"/>
          <w:iCs w:val="0"/>
          <w:color w:val="000000" w:themeColor="text1"/>
          <w:sz w:val="24"/>
          <w:szCs w:val="24"/>
        </w:rPr>
        <w:t>: Combined swab result data during PBB studies 1 &amp; 2</w:t>
      </w:r>
      <w:bookmarkEnd w:id="243"/>
    </w:p>
    <w:tbl>
      <w:tblPr>
        <w:tblStyle w:val="TableGrid"/>
        <w:tblW w:w="9350" w:type="dxa"/>
        <w:tblLook w:val="04A0" w:firstRow="1" w:lastRow="0" w:firstColumn="1" w:lastColumn="0" w:noHBand="0" w:noVBand="1"/>
      </w:tblPr>
      <w:tblGrid>
        <w:gridCol w:w="3723"/>
        <w:gridCol w:w="1870"/>
        <w:gridCol w:w="2010"/>
        <w:gridCol w:w="1747"/>
      </w:tblGrid>
      <w:tr w:rsidR="005B6F55" w:rsidRPr="00A21877" w14:paraId="6FBB8663" w14:textId="1AA75775" w:rsidTr="00005065">
        <w:tc>
          <w:tcPr>
            <w:tcW w:w="3723" w:type="dxa"/>
            <w:shd w:val="clear" w:color="auto" w:fill="9CC2E5" w:themeFill="accent1" w:themeFillTint="99"/>
          </w:tcPr>
          <w:p w14:paraId="283CE9EE" w14:textId="7EFBD8A8" w:rsidR="005B6F55" w:rsidRPr="00A21877" w:rsidRDefault="005B6F55" w:rsidP="00A21877">
            <w:pPr>
              <w:spacing w:line="360" w:lineRule="auto"/>
              <w:rPr>
                <w:rFonts w:cstheme="minorHAnsi"/>
                <w:b/>
                <w:bCs/>
              </w:rPr>
            </w:pPr>
            <w:r w:rsidRPr="00A21877">
              <w:rPr>
                <w:rFonts w:cstheme="minorHAnsi"/>
                <w:b/>
                <w:bCs/>
              </w:rPr>
              <w:t>During study</w:t>
            </w:r>
            <w:r>
              <w:rPr>
                <w:rFonts w:cstheme="minorHAnsi"/>
                <w:b/>
                <w:bCs/>
              </w:rPr>
              <w:t>: Investigations</w:t>
            </w:r>
          </w:p>
        </w:tc>
        <w:tc>
          <w:tcPr>
            <w:tcW w:w="1870" w:type="dxa"/>
            <w:shd w:val="clear" w:color="auto" w:fill="9CC2E5" w:themeFill="accent1" w:themeFillTint="99"/>
          </w:tcPr>
          <w:p w14:paraId="43E722DB" w14:textId="548F5578" w:rsidR="005B6F55" w:rsidRPr="001D04B2" w:rsidRDefault="005B6F55" w:rsidP="00A21877">
            <w:pPr>
              <w:spacing w:line="360" w:lineRule="auto"/>
              <w:rPr>
                <w:rFonts w:cstheme="minorHAnsi"/>
                <w:b/>
                <w:bCs/>
              </w:rPr>
            </w:pPr>
            <w:r w:rsidRPr="001D04B2">
              <w:rPr>
                <w:rFonts w:cstheme="minorHAnsi"/>
                <w:b/>
                <w:bCs/>
              </w:rPr>
              <w:t>Comparison groups</w:t>
            </w:r>
          </w:p>
        </w:tc>
        <w:tc>
          <w:tcPr>
            <w:tcW w:w="2010" w:type="dxa"/>
            <w:shd w:val="clear" w:color="auto" w:fill="9CC2E5" w:themeFill="accent1" w:themeFillTint="99"/>
          </w:tcPr>
          <w:p w14:paraId="15310BC5" w14:textId="01DBEE92" w:rsidR="005B6F55" w:rsidRPr="001D04B2" w:rsidRDefault="005B6F55" w:rsidP="00A21877">
            <w:pPr>
              <w:spacing w:line="360" w:lineRule="auto"/>
              <w:rPr>
                <w:rFonts w:cstheme="minorHAnsi"/>
                <w:b/>
                <w:bCs/>
              </w:rPr>
            </w:pPr>
            <w:r w:rsidRPr="001D04B2">
              <w:rPr>
                <w:rFonts w:cstheme="minorHAnsi"/>
                <w:b/>
                <w:bCs/>
              </w:rPr>
              <w:t>Azithromycin groups</w:t>
            </w:r>
          </w:p>
        </w:tc>
        <w:tc>
          <w:tcPr>
            <w:tcW w:w="1747" w:type="dxa"/>
            <w:shd w:val="clear" w:color="auto" w:fill="9CC2E5" w:themeFill="accent1" w:themeFillTint="99"/>
          </w:tcPr>
          <w:p w14:paraId="37B19B37" w14:textId="77777777" w:rsidR="005B6F55" w:rsidRDefault="005B6F55" w:rsidP="00A21877">
            <w:pPr>
              <w:spacing w:line="360" w:lineRule="auto"/>
              <w:rPr>
                <w:rFonts w:cstheme="minorHAnsi"/>
                <w:b/>
                <w:bCs/>
              </w:rPr>
            </w:pPr>
            <w:r>
              <w:rPr>
                <w:rFonts w:cstheme="minorHAnsi"/>
                <w:b/>
                <w:bCs/>
              </w:rPr>
              <w:t>Statistics</w:t>
            </w:r>
          </w:p>
          <w:p w14:paraId="20D2DCE7" w14:textId="31E29871" w:rsidR="00F96E89" w:rsidRPr="00D81399" w:rsidRDefault="00F96E89" w:rsidP="00A21877">
            <w:pPr>
              <w:spacing w:line="360" w:lineRule="auto"/>
              <w:rPr>
                <w:rFonts w:cstheme="minorHAnsi"/>
              </w:rPr>
            </w:pPr>
          </w:p>
        </w:tc>
      </w:tr>
      <w:tr w:rsidR="005B6F55" w:rsidRPr="00A21877" w14:paraId="5CDEF041" w14:textId="547142A3" w:rsidTr="005B6F55">
        <w:tc>
          <w:tcPr>
            <w:tcW w:w="3723" w:type="dxa"/>
          </w:tcPr>
          <w:p w14:paraId="081F6BE5" w14:textId="1058F85B" w:rsidR="005B6F55" w:rsidRPr="00A21877" w:rsidRDefault="005B6F55" w:rsidP="00A21877">
            <w:pPr>
              <w:spacing w:line="360" w:lineRule="auto"/>
              <w:rPr>
                <w:rFonts w:cstheme="minorHAnsi"/>
              </w:rPr>
            </w:pPr>
            <w:r w:rsidRPr="00A21877">
              <w:rPr>
                <w:rFonts w:cstheme="minorHAnsi"/>
              </w:rPr>
              <w:t>Total number of swabs collected</w:t>
            </w:r>
          </w:p>
        </w:tc>
        <w:tc>
          <w:tcPr>
            <w:tcW w:w="1870" w:type="dxa"/>
          </w:tcPr>
          <w:p w14:paraId="387AE145" w14:textId="00C8221F" w:rsidR="005B6F55" w:rsidRPr="00A21877" w:rsidRDefault="005B6F55" w:rsidP="00A21877">
            <w:pPr>
              <w:spacing w:line="360" w:lineRule="auto"/>
              <w:rPr>
                <w:rFonts w:cstheme="minorHAnsi"/>
              </w:rPr>
            </w:pPr>
            <w:r w:rsidRPr="00A21877">
              <w:rPr>
                <w:rFonts w:cstheme="minorHAnsi"/>
              </w:rPr>
              <w:t>77</w:t>
            </w:r>
          </w:p>
        </w:tc>
        <w:tc>
          <w:tcPr>
            <w:tcW w:w="2010" w:type="dxa"/>
          </w:tcPr>
          <w:p w14:paraId="5D20ECEE" w14:textId="3F7DD170" w:rsidR="005B6F55" w:rsidRPr="00A21877" w:rsidRDefault="005B6F55" w:rsidP="00A21877">
            <w:pPr>
              <w:spacing w:line="360" w:lineRule="auto"/>
              <w:rPr>
                <w:rFonts w:cstheme="minorHAnsi"/>
              </w:rPr>
            </w:pPr>
            <w:r w:rsidRPr="00A21877">
              <w:rPr>
                <w:rFonts w:cstheme="minorHAnsi"/>
              </w:rPr>
              <w:t>64</w:t>
            </w:r>
          </w:p>
        </w:tc>
        <w:tc>
          <w:tcPr>
            <w:tcW w:w="1747" w:type="dxa"/>
          </w:tcPr>
          <w:p w14:paraId="18165450" w14:textId="77777777" w:rsidR="005B6F55" w:rsidRPr="00A21877" w:rsidRDefault="005B6F55" w:rsidP="00A21877">
            <w:pPr>
              <w:spacing w:line="360" w:lineRule="auto"/>
              <w:rPr>
                <w:rFonts w:cstheme="minorHAnsi"/>
              </w:rPr>
            </w:pPr>
          </w:p>
        </w:tc>
      </w:tr>
      <w:tr w:rsidR="005B6F55" w:rsidRPr="00A21877" w14:paraId="5F05053C" w14:textId="2BAD4686" w:rsidTr="00005065">
        <w:tc>
          <w:tcPr>
            <w:tcW w:w="3723" w:type="dxa"/>
            <w:shd w:val="clear" w:color="auto" w:fill="DEEAF6" w:themeFill="accent1" w:themeFillTint="33"/>
          </w:tcPr>
          <w:p w14:paraId="69E8AB29" w14:textId="5E9A26FC" w:rsidR="005B6F55" w:rsidRPr="00A21877" w:rsidRDefault="005B6F55" w:rsidP="00A21877">
            <w:pPr>
              <w:spacing w:line="360" w:lineRule="auto"/>
              <w:rPr>
                <w:rFonts w:cstheme="minorHAnsi"/>
              </w:rPr>
            </w:pPr>
            <w:r w:rsidRPr="00A21877">
              <w:rPr>
                <w:rFonts w:cstheme="minorHAnsi"/>
              </w:rPr>
              <w:t>Number of swabs with positive bacterial growth</w:t>
            </w:r>
          </w:p>
        </w:tc>
        <w:tc>
          <w:tcPr>
            <w:tcW w:w="1870" w:type="dxa"/>
            <w:shd w:val="clear" w:color="auto" w:fill="DEEAF6" w:themeFill="accent1" w:themeFillTint="33"/>
          </w:tcPr>
          <w:p w14:paraId="1DFB2621" w14:textId="3B2D942C" w:rsidR="005B6F55" w:rsidRPr="00A21877" w:rsidRDefault="005B6F55" w:rsidP="00A21877">
            <w:pPr>
              <w:spacing w:line="360" w:lineRule="auto"/>
              <w:rPr>
                <w:rFonts w:cstheme="minorHAnsi"/>
              </w:rPr>
            </w:pPr>
            <w:r w:rsidRPr="00A21877">
              <w:rPr>
                <w:rFonts w:cstheme="minorHAnsi"/>
              </w:rPr>
              <w:t xml:space="preserve">49 </w:t>
            </w:r>
          </w:p>
        </w:tc>
        <w:tc>
          <w:tcPr>
            <w:tcW w:w="2010" w:type="dxa"/>
            <w:shd w:val="clear" w:color="auto" w:fill="DEEAF6" w:themeFill="accent1" w:themeFillTint="33"/>
          </w:tcPr>
          <w:p w14:paraId="46F2787C" w14:textId="77240054" w:rsidR="005B6F55" w:rsidRPr="00A21877" w:rsidRDefault="005B6F55" w:rsidP="00A21877">
            <w:pPr>
              <w:spacing w:line="360" w:lineRule="auto"/>
              <w:rPr>
                <w:rFonts w:cstheme="minorHAnsi"/>
              </w:rPr>
            </w:pPr>
            <w:r w:rsidRPr="00A21877">
              <w:rPr>
                <w:rFonts w:cstheme="minorHAnsi"/>
              </w:rPr>
              <w:t>26</w:t>
            </w:r>
          </w:p>
        </w:tc>
        <w:tc>
          <w:tcPr>
            <w:tcW w:w="1747" w:type="dxa"/>
            <w:shd w:val="clear" w:color="auto" w:fill="DEEAF6" w:themeFill="accent1" w:themeFillTint="33"/>
          </w:tcPr>
          <w:p w14:paraId="317744C5" w14:textId="5CFEE3E4" w:rsidR="005B6F55" w:rsidRPr="00A21877" w:rsidRDefault="005B6F55" w:rsidP="00A21877">
            <w:pPr>
              <w:spacing w:line="360" w:lineRule="auto"/>
              <w:rPr>
                <w:rFonts w:cstheme="minorHAnsi"/>
              </w:rPr>
            </w:pPr>
          </w:p>
        </w:tc>
      </w:tr>
      <w:tr w:rsidR="005B6F55" w:rsidRPr="00A21877" w14:paraId="0625EB5B" w14:textId="4795F4FC" w:rsidTr="005B6F55">
        <w:tc>
          <w:tcPr>
            <w:tcW w:w="3723" w:type="dxa"/>
          </w:tcPr>
          <w:p w14:paraId="10C460F0" w14:textId="5E0436D1" w:rsidR="005B6F55" w:rsidRPr="00A21877" w:rsidRDefault="005B6F55" w:rsidP="00A21877">
            <w:pPr>
              <w:spacing w:line="360" w:lineRule="auto"/>
              <w:rPr>
                <w:rFonts w:cstheme="minorHAnsi"/>
              </w:rPr>
            </w:pPr>
            <w:r w:rsidRPr="00A21877">
              <w:rPr>
                <w:rFonts w:cstheme="minorHAnsi"/>
              </w:rPr>
              <w:t xml:space="preserve">Number of swabs with azithromycin resistant bacteria </w:t>
            </w:r>
          </w:p>
          <w:p w14:paraId="0AB3FEEB" w14:textId="5D824244" w:rsidR="005B6F55" w:rsidRPr="00A21877" w:rsidRDefault="005B6F55" w:rsidP="00A21877">
            <w:pPr>
              <w:spacing w:line="360" w:lineRule="auto"/>
              <w:rPr>
                <w:rFonts w:cstheme="minorHAnsi"/>
              </w:rPr>
            </w:pPr>
            <w:r w:rsidRPr="00A21877">
              <w:rPr>
                <w:rFonts w:cstheme="minorHAnsi"/>
              </w:rPr>
              <w:t>(% of swabs during study with positive bacterial growth)</w:t>
            </w:r>
          </w:p>
        </w:tc>
        <w:tc>
          <w:tcPr>
            <w:tcW w:w="1870" w:type="dxa"/>
          </w:tcPr>
          <w:p w14:paraId="364739B0" w14:textId="27643642" w:rsidR="005B6F55" w:rsidRPr="00A21877" w:rsidRDefault="005B6F55" w:rsidP="00A21877">
            <w:pPr>
              <w:spacing w:line="360" w:lineRule="auto"/>
              <w:rPr>
                <w:rFonts w:cstheme="minorHAnsi"/>
              </w:rPr>
            </w:pPr>
            <w:r w:rsidRPr="00A21877">
              <w:rPr>
                <w:rFonts w:cstheme="minorHAnsi"/>
              </w:rPr>
              <w:t>34 (69.4%)</w:t>
            </w:r>
          </w:p>
        </w:tc>
        <w:tc>
          <w:tcPr>
            <w:tcW w:w="2010" w:type="dxa"/>
          </w:tcPr>
          <w:p w14:paraId="657CF73E" w14:textId="7DE3207B" w:rsidR="005B6F55" w:rsidRPr="00A21877" w:rsidRDefault="005B6F55" w:rsidP="00A21877">
            <w:pPr>
              <w:spacing w:line="360" w:lineRule="auto"/>
              <w:rPr>
                <w:rFonts w:cstheme="minorHAnsi"/>
              </w:rPr>
            </w:pPr>
            <w:r w:rsidRPr="00A21877">
              <w:rPr>
                <w:rFonts w:cstheme="minorHAnsi"/>
              </w:rPr>
              <w:t>19 (73.1%)</w:t>
            </w:r>
          </w:p>
        </w:tc>
        <w:tc>
          <w:tcPr>
            <w:tcW w:w="1747" w:type="dxa"/>
          </w:tcPr>
          <w:p w14:paraId="5EE442F5" w14:textId="2FD2B5B4" w:rsidR="005B6F55" w:rsidRPr="00A21877" w:rsidRDefault="005B6F55" w:rsidP="00A21877">
            <w:pPr>
              <w:spacing w:line="360" w:lineRule="auto"/>
              <w:rPr>
                <w:rFonts w:cstheme="minorHAnsi"/>
              </w:rPr>
            </w:pPr>
          </w:p>
        </w:tc>
      </w:tr>
      <w:tr w:rsidR="005B6F55" w:rsidRPr="00A21877" w14:paraId="014A867D" w14:textId="75E9A1EB" w:rsidTr="00005065">
        <w:tc>
          <w:tcPr>
            <w:tcW w:w="3723" w:type="dxa"/>
            <w:shd w:val="clear" w:color="auto" w:fill="DEEAF6" w:themeFill="accent1" w:themeFillTint="33"/>
          </w:tcPr>
          <w:p w14:paraId="55C1302E" w14:textId="34188B61" w:rsidR="005B6F55" w:rsidRPr="00A21877" w:rsidRDefault="005B6F55" w:rsidP="00A21877">
            <w:pPr>
              <w:spacing w:line="360" w:lineRule="auto"/>
              <w:rPr>
                <w:rFonts w:cstheme="minorHAnsi"/>
              </w:rPr>
            </w:pPr>
            <w:r w:rsidRPr="00A21877">
              <w:rPr>
                <w:rFonts w:cstheme="minorHAnsi"/>
              </w:rPr>
              <w:t>Number of bacterial isolates</w:t>
            </w:r>
          </w:p>
        </w:tc>
        <w:tc>
          <w:tcPr>
            <w:tcW w:w="1870" w:type="dxa"/>
            <w:shd w:val="clear" w:color="auto" w:fill="DEEAF6" w:themeFill="accent1" w:themeFillTint="33"/>
          </w:tcPr>
          <w:p w14:paraId="6F6236F0" w14:textId="5DBD3491" w:rsidR="005B6F55" w:rsidRPr="00A21877" w:rsidRDefault="005B6F55" w:rsidP="00A21877">
            <w:pPr>
              <w:spacing w:line="360" w:lineRule="auto"/>
              <w:rPr>
                <w:rFonts w:cstheme="minorHAnsi"/>
              </w:rPr>
            </w:pPr>
            <w:r w:rsidRPr="00A21877">
              <w:rPr>
                <w:rFonts w:cstheme="minorHAnsi"/>
              </w:rPr>
              <w:t>72</w:t>
            </w:r>
          </w:p>
        </w:tc>
        <w:tc>
          <w:tcPr>
            <w:tcW w:w="2010" w:type="dxa"/>
            <w:shd w:val="clear" w:color="auto" w:fill="DEEAF6" w:themeFill="accent1" w:themeFillTint="33"/>
          </w:tcPr>
          <w:p w14:paraId="25E29A69" w14:textId="4E3138A1" w:rsidR="005B6F55" w:rsidRPr="00A21877" w:rsidRDefault="005B6F55" w:rsidP="00A21877">
            <w:pPr>
              <w:spacing w:line="360" w:lineRule="auto"/>
              <w:rPr>
                <w:rFonts w:cstheme="minorHAnsi"/>
              </w:rPr>
            </w:pPr>
            <w:r w:rsidRPr="00A21877">
              <w:rPr>
                <w:rFonts w:cstheme="minorHAnsi"/>
              </w:rPr>
              <w:t>38</w:t>
            </w:r>
          </w:p>
        </w:tc>
        <w:tc>
          <w:tcPr>
            <w:tcW w:w="1747" w:type="dxa"/>
            <w:shd w:val="clear" w:color="auto" w:fill="DEEAF6" w:themeFill="accent1" w:themeFillTint="33"/>
          </w:tcPr>
          <w:p w14:paraId="1EF5AA50" w14:textId="07DF5F43" w:rsidR="005B6F55" w:rsidRPr="00A21877" w:rsidRDefault="00041BA4" w:rsidP="00A21877">
            <w:pPr>
              <w:spacing w:line="360" w:lineRule="auto"/>
              <w:rPr>
                <w:rFonts w:cstheme="minorHAnsi"/>
              </w:rPr>
            </w:pPr>
            <w:r>
              <w:rPr>
                <w:rFonts w:cstheme="minorHAnsi"/>
              </w:rPr>
              <w:t xml:space="preserve">IRR, </w:t>
            </w:r>
            <w:r w:rsidR="005B6F55">
              <w:rPr>
                <w:rFonts w:cstheme="minorHAnsi"/>
              </w:rPr>
              <w:t>p = 0.044</w:t>
            </w:r>
          </w:p>
        </w:tc>
      </w:tr>
      <w:tr w:rsidR="005B6F55" w:rsidRPr="00A21877" w14:paraId="3B7EB8D8" w14:textId="51936EF1" w:rsidTr="005B6F55">
        <w:tc>
          <w:tcPr>
            <w:tcW w:w="3723" w:type="dxa"/>
          </w:tcPr>
          <w:p w14:paraId="4C5F23F0" w14:textId="77777777" w:rsidR="005B6F55" w:rsidRPr="00A21877" w:rsidRDefault="005B6F55" w:rsidP="00A21877">
            <w:pPr>
              <w:spacing w:line="360" w:lineRule="auto"/>
              <w:rPr>
                <w:rFonts w:cstheme="minorHAnsi"/>
              </w:rPr>
            </w:pPr>
            <w:r w:rsidRPr="00A21877">
              <w:rPr>
                <w:rFonts w:cstheme="minorHAnsi"/>
              </w:rPr>
              <w:t>Number of azithromycin resistant bacterial isolates</w:t>
            </w:r>
          </w:p>
          <w:p w14:paraId="6F1D4C15" w14:textId="7805F0A3" w:rsidR="005B6F55" w:rsidRPr="00A21877" w:rsidRDefault="005B6F55" w:rsidP="00A21877">
            <w:pPr>
              <w:spacing w:line="360" w:lineRule="auto"/>
              <w:rPr>
                <w:rFonts w:cstheme="minorHAnsi"/>
              </w:rPr>
            </w:pPr>
            <w:r w:rsidRPr="00A21877">
              <w:rPr>
                <w:rFonts w:cstheme="minorHAnsi"/>
              </w:rPr>
              <w:t>(% of azithromycin resistant bacterial isolates)</w:t>
            </w:r>
          </w:p>
        </w:tc>
        <w:tc>
          <w:tcPr>
            <w:tcW w:w="1870" w:type="dxa"/>
          </w:tcPr>
          <w:p w14:paraId="31924817" w14:textId="77777777" w:rsidR="005B6F55" w:rsidRPr="00A21877" w:rsidRDefault="005B6F55" w:rsidP="00A21877">
            <w:pPr>
              <w:spacing w:line="360" w:lineRule="auto"/>
              <w:rPr>
                <w:rFonts w:cstheme="minorHAnsi"/>
              </w:rPr>
            </w:pPr>
            <w:r w:rsidRPr="00A21877">
              <w:rPr>
                <w:rFonts w:cstheme="minorHAnsi"/>
              </w:rPr>
              <w:t>44</w:t>
            </w:r>
          </w:p>
          <w:p w14:paraId="51FCA475" w14:textId="00D33710" w:rsidR="005B6F55" w:rsidRPr="00A21877" w:rsidRDefault="005B6F55" w:rsidP="00A21877">
            <w:pPr>
              <w:spacing w:line="360" w:lineRule="auto"/>
              <w:rPr>
                <w:rFonts w:cstheme="minorHAnsi"/>
              </w:rPr>
            </w:pPr>
            <w:r w:rsidRPr="00A21877">
              <w:rPr>
                <w:rFonts w:cstheme="minorHAnsi"/>
              </w:rPr>
              <w:t>(61.1%)</w:t>
            </w:r>
          </w:p>
        </w:tc>
        <w:tc>
          <w:tcPr>
            <w:tcW w:w="2010" w:type="dxa"/>
          </w:tcPr>
          <w:p w14:paraId="4B25B348" w14:textId="77777777" w:rsidR="005B6F55" w:rsidRPr="00A21877" w:rsidRDefault="005B6F55" w:rsidP="00A21877">
            <w:pPr>
              <w:spacing w:line="360" w:lineRule="auto"/>
              <w:rPr>
                <w:rFonts w:cstheme="minorHAnsi"/>
              </w:rPr>
            </w:pPr>
            <w:r w:rsidRPr="00A21877">
              <w:rPr>
                <w:rFonts w:cstheme="minorHAnsi"/>
              </w:rPr>
              <w:t>26</w:t>
            </w:r>
          </w:p>
          <w:p w14:paraId="643E0CD2" w14:textId="73284809" w:rsidR="005B6F55" w:rsidRPr="00A21877" w:rsidRDefault="005B6F55" w:rsidP="00A21877">
            <w:pPr>
              <w:spacing w:line="360" w:lineRule="auto"/>
              <w:rPr>
                <w:rFonts w:cstheme="minorHAnsi"/>
              </w:rPr>
            </w:pPr>
            <w:r w:rsidRPr="00A21877">
              <w:rPr>
                <w:rFonts w:cstheme="minorHAnsi"/>
              </w:rPr>
              <w:t>(68.4%)</w:t>
            </w:r>
          </w:p>
        </w:tc>
        <w:tc>
          <w:tcPr>
            <w:tcW w:w="1747" w:type="dxa"/>
          </w:tcPr>
          <w:p w14:paraId="2013F004" w14:textId="5EBE481A" w:rsidR="005B6F55" w:rsidRPr="00A21877" w:rsidRDefault="00041BA4" w:rsidP="00A21877">
            <w:pPr>
              <w:spacing w:line="360" w:lineRule="auto"/>
              <w:rPr>
                <w:rFonts w:cstheme="minorHAnsi"/>
              </w:rPr>
            </w:pPr>
            <w:r>
              <w:rPr>
                <w:rFonts w:cstheme="minorHAnsi"/>
              </w:rPr>
              <w:t xml:space="preserve">IRR, </w:t>
            </w:r>
            <w:r w:rsidR="005B6F55">
              <w:rPr>
                <w:rFonts w:cstheme="minorHAnsi"/>
              </w:rPr>
              <w:t>p = 0.083</w:t>
            </w:r>
          </w:p>
        </w:tc>
      </w:tr>
    </w:tbl>
    <w:p w14:paraId="1BEB191F" w14:textId="1CAC23C6" w:rsidR="00A21877" w:rsidRDefault="00A21877" w:rsidP="00A21877">
      <w:pPr>
        <w:spacing w:line="360" w:lineRule="auto"/>
        <w:rPr>
          <w:rFonts w:cstheme="minorHAnsi"/>
        </w:rPr>
      </w:pPr>
    </w:p>
    <w:p w14:paraId="4C470750" w14:textId="77777777" w:rsidR="008802B9" w:rsidRPr="00A21877" w:rsidRDefault="008802B9" w:rsidP="00A21877">
      <w:pPr>
        <w:spacing w:line="360" w:lineRule="auto"/>
        <w:rPr>
          <w:rFonts w:cstheme="minorHAnsi"/>
        </w:rPr>
      </w:pPr>
    </w:p>
    <w:p w14:paraId="504339EA" w14:textId="0A6414E4" w:rsidR="000D7AEE" w:rsidRPr="00845017" w:rsidRDefault="00151FA2" w:rsidP="00845017">
      <w:pPr>
        <w:pStyle w:val="Heading3"/>
        <w:numPr>
          <w:ilvl w:val="0"/>
          <w:numId w:val="0"/>
        </w:numPr>
        <w:spacing w:line="360" w:lineRule="auto"/>
        <w:ind w:left="720" w:hanging="720"/>
        <w:rPr>
          <w:rFonts w:asciiTheme="minorHAnsi" w:hAnsiTheme="minorHAnsi" w:cstheme="minorHAnsi"/>
        </w:rPr>
      </w:pPr>
      <w:bookmarkStart w:id="244" w:name="_Toc117765991"/>
      <w:r w:rsidRPr="00A21877">
        <w:rPr>
          <w:rFonts w:asciiTheme="minorHAnsi" w:hAnsiTheme="minorHAnsi" w:cstheme="minorHAnsi"/>
        </w:rPr>
        <w:t xml:space="preserve">4.4.2 </w:t>
      </w:r>
      <w:r w:rsidR="00FC43D8">
        <w:rPr>
          <w:rFonts w:asciiTheme="minorHAnsi" w:hAnsiTheme="minorHAnsi" w:cstheme="minorHAnsi"/>
        </w:rPr>
        <w:tab/>
      </w:r>
      <w:r w:rsidRPr="00A21877">
        <w:rPr>
          <w:rFonts w:asciiTheme="minorHAnsi" w:hAnsiTheme="minorHAnsi" w:cstheme="minorHAnsi"/>
        </w:rPr>
        <w:t>Combined MIC</w:t>
      </w:r>
      <w:r w:rsidR="00CF5B55" w:rsidRPr="00A21877">
        <w:rPr>
          <w:rFonts w:asciiTheme="minorHAnsi" w:hAnsiTheme="minorHAnsi" w:cstheme="minorHAnsi"/>
        </w:rPr>
        <w:t xml:space="preserve"> data</w:t>
      </w:r>
      <w:bookmarkEnd w:id="244"/>
    </w:p>
    <w:p w14:paraId="07DA46D6" w14:textId="49E05B69" w:rsidR="00CF5B55" w:rsidRPr="00A21877" w:rsidRDefault="003633CF" w:rsidP="00A21877">
      <w:pPr>
        <w:spacing w:line="360" w:lineRule="auto"/>
        <w:rPr>
          <w:rFonts w:cstheme="minorHAnsi"/>
        </w:rPr>
      </w:pPr>
      <w:r w:rsidRPr="00A21877">
        <w:rPr>
          <w:rFonts w:cstheme="minorHAnsi"/>
        </w:rPr>
        <w:t xml:space="preserve">The MIC data from studies PBB1 and </w:t>
      </w:r>
      <w:r w:rsidR="009C1204" w:rsidRPr="00A21877">
        <w:rPr>
          <w:rFonts w:cstheme="minorHAnsi"/>
        </w:rPr>
        <w:t>PBB</w:t>
      </w:r>
      <w:r w:rsidRPr="00A21877">
        <w:rPr>
          <w:rFonts w:cstheme="minorHAnsi"/>
        </w:rPr>
        <w:t xml:space="preserve">2 build upon each other making the </w:t>
      </w:r>
      <w:r w:rsidR="00151FA2" w:rsidRPr="00A21877">
        <w:rPr>
          <w:rFonts w:cstheme="minorHAnsi"/>
        </w:rPr>
        <w:t xml:space="preserve">unimodal distribution clearer in </w:t>
      </w:r>
      <w:r w:rsidR="009C1204" w:rsidRPr="00A21877">
        <w:rPr>
          <w:rFonts w:cstheme="minorHAnsi"/>
        </w:rPr>
        <w:t xml:space="preserve">the </w:t>
      </w:r>
      <w:r w:rsidR="00151FA2" w:rsidRPr="00A21877">
        <w:rPr>
          <w:rFonts w:cstheme="minorHAnsi"/>
        </w:rPr>
        <w:t xml:space="preserve">isolates </w:t>
      </w:r>
      <w:r w:rsidR="00151FA2" w:rsidRPr="00A21877">
        <w:rPr>
          <w:rFonts w:cstheme="minorHAnsi"/>
          <w:i/>
          <w:iCs/>
        </w:rPr>
        <w:t>H. influenzae</w:t>
      </w:r>
      <w:r w:rsidR="00151FA2" w:rsidRPr="00A21877">
        <w:rPr>
          <w:rFonts w:cstheme="minorHAnsi"/>
        </w:rPr>
        <w:t xml:space="preserve"> and </w:t>
      </w:r>
      <w:r w:rsidR="00151FA2" w:rsidRPr="00A21877">
        <w:rPr>
          <w:rFonts w:cstheme="minorHAnsi"/>
          <w:i/>
          <w:iCs/>
        </w:rPr>
        <w:t>M. catarrhalis</w:t>
      </w:r>
      <w:r w:rsidR="00031929">
        <w:rPr>
          <w:rFonts w:cstheme="minorHAnsi"/>
          <w:i/>
          <w:iCs/>
        </w:rPr>
        <w:t xml:space="preserve"> </w:t>
      </w:r>
      <w:r w:rsidR="00031929" w:rsidRPr="00031929">
        <w:rPr>
          <w:rFonts w:cstheme="minorHAnsi"/>
        </w:rPr>
        <w:t>(</w:t>
      </w:r>
      <w:r w:rsidR="00031929" w:rsidRPr="00031929">
        <w:rPr>
          <w:rFonts w:cstheme="minorHAnsi"/>
        </w:rPr>
        <w:fldChar w:fldCharType="begin"/>
      </w:r>
      <w:r w:rsidR="00031929" w:rsidRPr="00031929">
        <w:rPr>
          <w:rFonts w:cstheme="minorHAnsi"/>
        </w:rPr>
        <w:instrText xml:space="preserve"> REF _Ref105509718 \h  \* MERGEFORMAT </w:instrText>
      </w:r>
      <w:r w:rsidR="00031929" w:rsidRPr="00031929">
        <w:rPr>
          <w:rFonts w:cstheme="minorHAnsi"/>
        </w:rPr>
      </w:r>
      <w:r w:rsidR="00031929" w:rsidRPr="00031929">
        <w:rPr>
          <w:rFonts w:cstheme="minorHAnsi"/>
        </w:rPr>
        <w:fldChar w:fldCharType="separate"/>
      </w:r>
      <w:r w:rsidR="00031929" w:rsidRPr="00031929">
        <w:t xml:space="preserve">Figure </w:t>
      </w:r>
      <w:r w:rsidR="00031929" w:rsidRPr="00031929">
        <w:rPr>
          <w:noProof/>
        </w:rPr>
        <w:t>4</w:t>
      </w:r>
      <w:r w:rsidR="00031929" w:rsidRPr="00031929">
        <w:noBreakHyphen/>
      </w:r>
      <w:r w:rsidR="00031929" w:rsidRPr="00031929">
        <w:rPr>
          <w:noProof/>
        </w:rPr>
        <w:t>12</w:t>
      </w:r>
      <w:r w:rsidR="00031929" w:rsidRPr="00031929">
        <w:rPr>
          <w:rFonts w:cstheme="minorHAnsi"/>
        </w:rPr>
        <w:fldChar w:fldCharType="end"/>
      </w:r>
      <w:r w:rsidR="00031929">
        <w:rPr>
          <w:rFonts w:cstheme="minorHAnsi"/>
        </w:rPr>
        <w:t>)</w:t>
      </w:r>
      <w:r w:rsidR="00151FA2" w:rsidRPr="00A21877">
        <w:rPr>
          <w:rFonts w:cstheme="minorHAnsi"/>
        </w:rPr>
        <w:t xml:space="preserve">. </w:t>
      </w:r>
      <w:r w:rsidR="007324D7">
        <w:rPr>
          <w:rFonts w:cstheme="minorHAnsi"/>
        </w:rPr>
        <w:t>For</w:t>
      </w:r>
      <w:r w:rsidR="007324D7" w:rsidRPr="00A21877">
        <w:rPr>
          <w:rFonts w:cstheme="minorHAnsi"/>
        </w:rPr>
        <w:t xml:space="preserve"> </w:t>
      </w:r>
      <w:r w:rsidR="009C1204" w:rsidRPr="00A21877">
        <w:rPr>
          <w:rFonts w:cstheme="minorHAnsi"/>
        </w:rPr>
        <w:t xml:space="preserve">these isolates, the </w:t>
      </w:r>
      <w:r w:rsidR="007324D7">
        <w:rPr>
          <w:rFonts w:cstheme="minorHAnsi"/>
        </w:rPr>
        <w:t>median value</w:t>
      </w:r>
      <w:r w:rsidR="007324D7" w:rsidRPr="00A21877">
        <w:rPr>
          <w:rFonts w:cstheme="minorHAnsi"/>
        </w:rPr>
        <w:t xml:space="preserve"> </w:t>
      </w:r>
      <w:r w:rsidR="00DB069C">
        <w:rPr>
          <w:rFonts w:cstheme="minorHAnsi"/>
        </w:rPr>
        <w:t>equates to</w:t>
      </w:r>
      <w:r w:rsidR="00E00848" w:rsidRPr="00A21877">
        <w:rPr>
          <w:rFonts w:cstheme="minorHAnsi"/>
        </w:rPr>
        <w:t xml:space="preserve"> the MIC cut off for denoting resistant bacteria. </w:t>
      </w:r>
      <w:r w:rsidR="00DB069C">
        <w:rPr>
          <w:rFonts w:cstheme="minorHAnsi"/>
        </w:rPr>
        <w:t>A</w:t>
      </w:r>
      <w:r w:rsidR="00DB069C" w:rsidRPr="00A21877">
        <w:rPr>
          <w:rFonts w:cstheme="minorHAnsi"/>
        </w:rPr>
        <w:t xml:space="preserve">ll but 2 </w:t>
      </w:r>
      <w:r w:rsidR="00DB069C">
        <w:rPr>
          <w:rFonts w:cstheme="minorHAnsi"/>
        </w:rPr>
        <w:t xml:space="preserve">of the </w:t>
      </w:r>
      <w:r w:rsidR="00DB069C" w:rsidRPr="00A21877">
        <w:rPr>
          <w:rFonts w:cstheme="minorHAnsi"/>
          <w:i/>
          <w:iCs/>
        </w:rPr>
        <w:t>S. pneumoniae</w:t>
      </w:r>
      <w:r w:rsidR="00DB069C" w:rsidRPr="00A21877">
        <w:rPr>
          <w:rFonts w:cstheme="minorHAnsi"/>
        </w:rPr>
        <w:t xml:space="preserve"> isolates were</w:t>
      </w:r>
      <w:r w:rsidR="00DB069C">
        <w:rPr>
          <w:rFonts w:cstheme="minorHAnsi"/>
        </w:rPr>
        <w:t xml:space="preserve"> classed as azithromycin </w:t>
      </w:r>
      <w:r w:rsidR="00DB069C" w:rsidRPr="00A21877">
        <w:rPr>
          <w:rFonts w:cstheme="minorHAnsi"/>
        </w:rPr>
        <w:t>resistant</w:t>
      </w:r>
      <w:r w:rsidR="00DB069C">
        <w:rPr>
          <w:rFonts w:cstheme="minorHAnsi"/>
        </w:rPr>
        <w:t xml:space="preserve"> by the EUCAST criteria </w:t>
      </w:r>
      <w:r w:rsidR="00DB069C">
        <w:rPr>
          <w:rFonts w:cstheme="minorHAnsi"/>
        </w:rPr>
        <w:fldChar w:fldCharType="begin"/>
      </w:r>
      <w:r w:rsidR="00DB069C">
        <w:rPr>
          <w:rFonts w:cstheme="minorHAnsi"/>
        </w:rPr>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DB069C">
        <w:rPr>
          <w:rFonts w:cstheme="minorHAnsi"/>
        </w:rPr>
        <w:fldChar w:fldCharType="separate"/>
      </w:r>
      <w:r w:rsidR="00DB069C">
        <w:rPr>
          <w:rFonts w:cstheme="minorHAnsi"/>
          <w:noProof/>
        </w:rPr>
        <w:t>(EUCAST, 2022)</w:t>
      </w:r>
      <w:r w:rsidR="00DB069C">
        <w:rPr>
          <w:rFonts w:cstheme="minorHAnsi"/>
        </w:rPr>
        <w:fldChar w:fldCharType="end"/>
      </w:r>
      <w:r w:rsidR="00DB069C" w:rsidRPr="00A21877">
        <w:rPr>
          <w:rFonts w:cstheme="minorHAnsi"/>
        </w:rPr>
        <w:t xml:space="preserve">. </w:t>
      </w:r>
      <w:r w:rsidR="00DB069C">
        <w:rPr>
          <w:rFonts w:cstheme="minorHAnsi"/>
        </w:rPr>
        <w:t xml:space="preserve">The median MIC for these isolates was 1.5mg/L (3-fold higher than the breakpoint) with the majority of isolates having an MIC in the range of 1-2mg/L. </w:t>
      </w:r>
      <w:r w:rsidR="00151FA2" w:rsidRPr="00A21877">
        <w:rPr>
          <w:rFonts w:cstheme="minorHAnsi"/>
        </w:rPr>
        <w:t>In the</w:t>
      </w:r>
      <w:r w:rsidR="00DB069C">
        <w:rPr>
          <w:rFonts w:cstheme="minorHAnsi"/>
        </w:rPr>
        <w:t>se</w:t>
      </w:r>
      <w:r w:rsidR="00151FA2" w:rsidRPr="00A21877">
        <w:rPr>
          <w:rFonts w:cstheme="minorHAnsi"/>
        </w:rPr>
        <w:t xml:space="preserve"> </w:t>
      </w:r>
      <w:r w:rsidR="00151FA2" w:rsidRPr="00A21877">
        <w:rPr>
          <w:rFonts w:cstheme="minorHAnsi"/>
          <w:i/>
          <w:iCs/>
        </w:rPr>
        <w:t>S. pneumoniae</w:t>
      </w:r>
      <w:r w:rsidR="00151FA2" w:rsidRPr="00A21877">
        <w:rPr>
          <w:rFonts w:cstheme="minorHAnsi"/>
        </w:rPr>
        <w:t xml:space="preserve"> isolates, a </w:t>
      </w:r>
      <w:r w:rsidR="00031929">
        <w:rPr>
          <w:rFonts w:cstheme="minorHAnsi"/>
        </w:rPr>
        <w:t xml:space="preserve">second smaller peak of </w:t>
      </w:r>
      <w:r w:rsidR="00151FA2" w:rsidRPr="00A21877">
        <w:rPr>
          <w:rFonts w:cstheme="minorHAnsi"/>
        </w:rPr>
        <w:t>high</w:t>
      </w:r>
      <w:r w:rsidR="00031929">
        <w:rPr>
          <w:rFonts w:cstheme="minorHAnsi"/>
        </w:rPr>
        <w:t>ly</w:t>
      </w:r>
      <w:r w:rsidR="00151FA2" w:rsidRPr="00A21877">
        <w:rPr>
          <w:rFonts w:cstheme="minorHAnsi"/>
        </w:rPr>
        <w:t xml:space="preserve"> resista</w:t>
      </w:r>
      <w:r w:rsidR="00031929">
        <w:rPr>
          <w:rFonts w:cstheme="minorHAnsi"/>
        </w:rPr>
        <w:t>nt isolates</w:t>
      </w:r>
      <w:r w:rsidR="00151FA2" w:rsidRPr="00A21877">
        <w:rPr>
          <w:rFonts w:cstheme="minorHAnsi"/>
        </w:rPr>
        <w:t xml:space="preserve"> </w:t>
      </w:r>
      <w:r w:rsidR="007324D7">
        <w:rPr>
          <w:rFonts w:cstheme="minorHAnsi"/>
        </w:rPr>
        <w:t>(</w:t>
      </w:r>
      <w:r w:rsidR="00151FA2" w:rsidRPr="00A21877">
        <w:rPr>
          <w:rFonts w:cstheme="minorHAnsi"/>
        </w:rPr>
        <w:t xml:space="preserve">MIC </w:t>
      </w:r>
      <w:r w:rsidR="007324D7">
        <w:rPr>
          <w:rFonts w:cstheme="minorHAnsi"/>
        </w:rPr>
        <w:t>&gt;</w:t>
      </w:r>
      <w:r w:rsidR="00151FA2" w:rsidRPr="00A21877">
        <w:rPr>
          <w:rFonts w:cstheme="minorHAnsi"/>
        </w:rPr>
        <w:t>256mg/L</w:t>
      </w:r>
      <w:r w:rsidR="007324D7">
        <w:rPr>
          <w:rFonts w:cstheme="minorHAnsi"/>
        </w:rPr>
        <w:t>) w</w:t>
      </w:r>
      <w:r w:rsidR="00031929">
        <w:rPr>
          <w:rFonts w:cstheme="minorHAnsi"/>
        </w:rPr>
        <w:t>as</w:t>
      </w:r>
      <w:r w:rsidR="007324D7">
        <w:rPr>
          <w:rFonts w:cstheme="minorHAnsi"/>
        </w:rPr>
        <w:t xml:space="preserve"> found</w:t>
      </w:r>
      <w:r w:rsidR="00031929">
        <w:rPr>
          <w:rFonts w:cstheme="minorHAnsi"/>
        </w:rPr>
        <w:t xml:space="preserve">. </w:t>
      </w:r>
      <w:r w:rsidR="00151FA2" w:rsidRPr="00A21877">
        <w:rPr>
          <w:rFonts w:cstheme="minorHAnsi"/>
        </w:rPr>
        <w:t xml:space="preserve">Few </w:t>
      </w:r>
      <w:r w:rsidR="00151FA2" w:rsidRPr="00A21877">
        <w:rPr>
          <w:rFonts w:cstheme="minorHAnsi"/>
          <w:i/>
          <w:iCs/>
        </w:rPr>
        <w:t>S. aureus</w:t>
      </w:r>
      <w:r w:rsidR="00151FA2" w:rsidRPr="00A21877">
        <w:rPr>
          <w:rFonts w:cstheme="minorHAnsi"/>
        </w:rPr>
        <w:t xml:space="preserve"> isolates were collected </w:t>
      </w:r>
      <w:r w:rsidR="007324D7">
        <w:rPr>
          <w:rFonts w:cstheme="minorHAnsi"/>
        </w:rPr>
        <w:t>with a broad range of azithromycin MICs</w:t>
      </w:r>
      <w:r w:rsidR="00151FA2" w:rsidRPr="00A21877">
        <w:rPr>
          <w:rFonts w:cstheme="minorHAnsi"/>
        </w:rPr>
        <w:t xml:space="preserve">. </w:t>
      </w:r>
    </w:p>
    <w:p w14:paraId="5C7643A5" w14:textId="4687218A" w:rsidR="00337153" w:rsidRDefault="00337153" w:rsidP="00A21877">
      <w:pPr>
        <w:spacing w:line="360" w:lineRule="auto"/>
        <w:rPr>
          <w:rFonts w:cstheme="minorHAnsi"/>
        </w:rPr>
      </w:pPr>
      <w:r w:rsidRPr="00A21877">
        <w:rPr>
          <w:rFonts w:cstheme="minorHAnsi"/>
          <w:noProof/>
        </w:rPr>
        <w:lastRenderedPageBreak/>
        <w:drawing>
          <wp:inline distT="0" distB="0" distL="0" distR="0" wp14:anchorId="1B9DB214" wp14:editId="6429FD35">
            <wp:extent cx="5943600" cy="2188210"/>
            <wp:effectExtent l="0" t="0" r="0" b="2540"/>
            <wp:docPr id="17" name="Chart 17">
              <a:extLst xmlns:a="http://schemas.openxmlformats.org/drawingml/2006/main">
                <a:ext uri="{FF2B5EF4-FFF2-40B4-BE49-F238E27FC236}">
                  <a16:creationId xmlns:a16="http://schemas.microsoft.com/office/drawing/2014/main" id="{85FACB4D-BFC2-4BE0-B33B-0F3E62730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2E8F402" w14:textId="480EFDDE" w:rsidR="00CF5B55" w:rsidRPr="00A21877" w:rsidRDefault="00CF5B55" w:rsidP="00A21877">
      <w:pPr>
        <w:spacing w:line="360" w:lineRule="auto"/>
        <w:rPr>
          <w:rFonts w:cstheme="minorHAnsi"/>
        </w:rPr>
      </w:pPr>
    </w:p>
    <w:p w14:paraId="01266079" w14:textId="209B6A3D" w:rsidR="002E05B6" w:rsidRPr="00BF2D6A" w:rsidRDefault="00D63645">
      <w:pPr>
        <w:pStyle w:val="ListParagraph"/>
        <w:numPr>
          <w:ilvl w:val="0"/>
          <w:numId w:val="47"/>
        </w:numPr>
        <w:spacing w:line="360" w:lineRule="auto"/>
        <w:rPr>
          <w:rFonts w:cstheme="minorHAnsi"/>
          <w:i/>
          <w:iCs/>
          <w:sz w:val="24"/>
          <w:szCs w:val="24"/>
        </w:rPr>
      </w:pPr>
      <w:r w:rsidRPr="002E05B6">
        <w:rPr>
          <w:rFonts w:cstheme="minorHAnsi"/>
          <w:sz w:val="24"/>
          <w:szCs w:val="24"/>
        </w:rPr>
        <w:t xml:space="preserve">MIC distribution of </w:t>
      </w:r>
      <w:r w:rsidR="00337153">
        <w:rPr>
          <w:rFonts w:cstheme="minorHAnsi"/>
          <w:i/>
          <w:iCs/>
          <w:sz w:val="24"/>
          <w:szCs w:val="24"/>
        </w:rPr>
        <w:t>Streptococcus pneumoniae</w:t>
      </w:r>
      <w:r w:rsidRPr="002E05B6">
        <w:rPr>
          <w:rFonts w:cstheme="minorHAnsi"/>
          <w:sz w:val="24"/>
          <w:szCs w:val="24"/>
        </w:rPr>
        <w:t xml:space="preserve"> isolates</w:t>
      </w:r>
      <w:r w:rsidR="002E05B6" w:rsidRPr="002E05B6">
        <w:rPr>
          <w:rFonts w:cstheme="minorHAnsi"/>
          <w:sz w:val="24"/>
          <w:szCs w:val="24"/>
        </w:rPr>
        <w:t xml:space="preserve"> (PBB Studies 1 and 2). </w:t>
      </w:r>
    </w:p>
    <w:p w14:paraId="78228D9F" w14:textId="491E953B" w:rsidR="002E05B6" w:rsidRPr="002E05B6" w:rsidRDefault="00337153" w:rsidP="0072389D">
      <w:pPr>
        <w:pStyle w:val="ListParagraph"/>
        <w:spacing w:line="240" w:lineRule="auto"/>
        <w:rPr>
          <w:rFonts w:cstheme="minorHAnsi"/>
          <w:i/>
          <w:iCs/>
          <w:sz w:val="24"/>
          <w:szCs w:val="24"/>
        </w:rPr>
      </w:pPr>
      <w:r>
        <w:rPr>
          <w:noProof/>
        </w:rPr>
        <mc:AlternateContent>
          <mc:Choice Requires="wps">
            <w:drawing>
              <wp:anchor distT="0" distB="0" distL="114299" distR="114299" simplePos="0" relativeHeight="251883008" behindDoc="0" locked="0" layoutInCell="1" allowOverlap="1" wp14:anchorId="7F07DF17" wp14:editId="4174DC68">
                <wp:simplePos x="0" y="0"/>
                <wp:positionH relativeFrom="column">
                  <wp:posOffset>2418080</wp:posOffset>
                </wp:positionH>
                <wp:positionV relativeFrom="paragraph">
                  <wp:posOffset>287655</wp:posOffset>
                </wp:positionV>
                <wp:extent cx="0" cy="1562280"/>
                <wp:effectExtent l="0" t="0" r="38100" b="19050"/>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2280"/>
                        </a:xfrm>
                        <a:prstGeom prst="line">
                          <a:avLst/>
                        </a:prstGeom>
                        <a:noFill/>
                        <a:ln w="127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7CB2A" id="Straight Connector 427" o:spid="_x0000_s1026" style="position:absolute;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4pt,22.65pt" to="190.4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" strokecolor="red" strokeweight="1pt">
                <v:stroke dashstyle="dash" joinstyle="miter"/>
                <o:lock v:ext="edit" shapetype="f"/>
              </v:line>
            </w:pict>
          </mc:Fallback>
        </mc:AlternateContent>
      </w:r>
    </w:p>
    <w:p w14:paraId="60ABF1FF" w14:textId="0E04A264" w:rsidR="00D63645" w:rsidRDefault="00337153" w:rsidP="00D63645">
      <w:pPr>
        <w:spacing w:line="360" w:lineRule="auto"/>
        <w:rPr>
          <w:rFonts w:cstheme="minorHAnsi"/>
          <w:i/>
          <w:iCs/>
        </w:rPr>
      </w:pPr>
      <w:r>
        <w:rPr>
          <w:noProof/>
        </w:rPr>
        <w:drawing>
          <wp:inline distT="0" distB="0" distL="0" distR="0" wp14:anchorId="57C7F47B" wp14:editId="62B8845E">
            <wp:extent cx="5943600" cy="2115583"/>
            <wp:effectExtent l="0" t="0" r="0" b="18415"/>
            <wp:docPr id="23" name="Chart 23">
              <a:extLst xmlns:a="http://schemas.openxmlformats.org/drawingml/2006/main">
                <a:ext uri="{FF2B5EF4-FFF2-40B4-BE49-F238E27FC236}">
                  <a16:creationId xmlns:a16="http://schemas.microsoft.com/office/drawing/2014/main" id="{D428B6BA-83F2-407B-31A4-83835473E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199D37" w14:textId="18047AAE" w:rsidR="00F76F3A" w:rsidRPr="002E05B6" w:rsidRDefault="00D63645">
      <w:pPr>
        <w:pStyle w:val="ListParagraph"/>
        <w:numPr>
          <w:ilvl w:val="0"/>
          <w:numId w:val="47"/>
        </w:numPr>
      </w:pPr>
      <w:r w:rsidRPr="00BF2D6A">
        <w:rPr>
          <w:rFonts w:cstheme="minorHAnsi"/>
          <w:sz w:val="24"/>
          <w:szCs w:val="24"/>
        </w:rPr>
        <w:t xml:space="preserve">MIC distribution of </w:t>
      </w:r>
      <w:r w:rsidR="00337153" w:rsidRPr="00752DA8">
        <w:rPr>
          <w:rFonts w:cstheme="minorHAnsi"/>
          <w:i/>
          <w:iCs/>
          <w:sz w:val="24"/>
          <w:szCs w:val="24"/>
        </w:rPr>
        <w:t>Haemophilus influenzae</w:t>
      </w:r>
      <w:r w:rsidR="00337153">
        <w:rPr>
          <w:rFonts w:cstheme="minorHAnsi"/>
          <w:sz w:val="24"/>
          <w:szCs w:val="24"/>
        </w:rPr>
        <w:t xml:space="preserve"> </w:t>
      </w:r>
      <w:r w:rsidRPr="00BF2D6A">
        <w:rPr>
          <w:rFonts w:cstheme="minorHAnsi"/>
          <w:sz w:val="24"/>
          <w:szCs w:val="24"/>
        </w:rPr>
        <w:t>isolates</w:t>
      </w:r>
      <w:r w:rsidR="002E05B6" w:rsidRPr="00BF2D6A">
        <w:rPr>
          <w:rFonts w:cstheme="minorHAnsi"/>
          <w:sz w:val="24"/>
          <w:szCs w:val="24"/>
        </w:rPr>
        <w:t xml:space="preserve"> (PBB Studies 1 and 2). </w:t>
      </w:r>
    </w:p>
    <w:p w14:paraId="7D0FF727" w14:textId="62D6A18E" w:rsidR="00F76F3A" w:rsidRPr="001D04B2" w:rsidRDefault="00F114E8" w:rsidP="001D04B2">
      <w:pPr>
        <w:rPr>
          <w:rFonts w:cstheme="minorHAnsi"/>
        </w:rPr>
      </w:pPr>
      <w:r>
        <w:rPr>
          <w:noProof/>
        </w:rPr>
        <mc:AlternateContent>
          <mc:Choice Requires="wps">
            <w:drawing>
              <wp:anchor distT="0" distB="0" distL="114299" distR="114299" simplePos="0" relativeHeight="251885056" behindDoc="0" locked="0" layoutInCell="1" allowOverlap="1" wp14:anchorId="18B1F740" wp14:editId="5033B1D7">
                <wp:simplePos x="0" y="0"/>
                <wp:positionH relativeFrom="column">
                  <wp:posOffset>2226558</wp:posOffset>
                </wp:positionH>
                <wp:positionV relativeFrom="paragraph">
                  <wp:posOffset>365733</wp:posOffset>
                </wp:positionV>
                <wp:extent cx="0" cy="590550"/>
                <wp:effectExtent l="0" t="0" r="19050" b="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1270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B67F48" id="Straight Connector 426" o:spid="_x0000_s1026" style="position:absolute;z-index:2518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5.3pt,28.8pt" to="175.3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" strokecolor="red" strokeweight="1pt">
                <v:stroke dashstyle="dash" joinstyle="miter"/>
                <o:lock v:ext="edit" shapetype="f"/>
              </v:line>
            </w:pict>
          </mc:Fallback>
        </mc:AlternateContent>
      </w:r>
      <w:r w:rsidR="00337153">
        <w:rPr>
          <w:noProof/>
        </w:rPr>
        <w:drawing>
          <wp:inline distT="0" distB="0" distL="0" distR="0" wp14:anchorId="5E16DEA4" wp14:editId="5BDCCEB7">
            <wp:extent cx="5943600" cy="2105025"/>
            <wp:effectExtent l="0" t="0" r="0" b="9525"/>
            <wp:docPr id="19" name="Chart 19">
              <a:extLst xmlns:a="http://schemas.openxmlformats.org/drawingml/2006/main">
                <a:ext uri="{FF2B5EF4-FFF2-40B4-BE49-F238E27FC236}">
                  <a16:creationId xmlns:a16="http://schemas.microsoft.com/office/drawing/2014/main" id="{37389800-AE03-4A0E-B4EE-4D23849CB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47F725" w14:textId="42A74A6F" w:rsidR="00CF5B55" w:rsidRPr="002E05B6" w:rsidRDefault="00F76F3A">
      <w:pPr>
        <w:pStyle w:val="ListParagraph"/>
        <w:numPr>
          <w:ilvl w:val="0"/>
          <w:numId w:val="47"/>
        </w:numPr>
        <w:spacing w:line="360" w:lineRule="auto"/>
        <w:rPr>
          <w:rFonts w:cstheme="minorHAnsi"/>
          <w:sz w:val="24"/>
          <w:szCs w:val="24"/>
        </w:rPr>
      </w:pPr>
      <w:r>
        <w:t xml:space="preserve">MIC distribution of </w:t>
      </w:r>
      <w:r w:rsidR="00337153" w:rsidRPr="00BF2D6A">
        <w:rPr>
          <w:rFonts w:cstheme="minorHAnsi"/>
          <w:i/>
          <w:iCs/>
          <w:sz w:val="24"/>
          <w:szCs w:val="24"/>
        </w:rPr>
        <w:t xml:space="preserve">Moraxella catarrhalis </w:t>
      </w:r>
      <w:r>
        <w:t>isolates</w:t>
      </w:r>
      <w:r w:rsidR="002E05B6">
        <w:t xml:space="preserve"> </w:t>
      </w:r>
      <w:r w:rsidR="002E05B6" w:rsidRPr="002E05B6">
        <w:rPr>
          <w:rFonts w:cstheme="minorHAnsi"/>
          <w:sz w:val="24"/>
          <w:szCs w:val="24"/>
        </w:rPr>
        <w:t xml:space="preserve">(PBB Studies 1 and 2). </w:t>
      </w:r>
    </w:p>
    <w:p w14:paraId="266DB4BF" w14:textId="77777777" w:rsidR="00914789" w:rsidRPr="00A21877" w:rsidRDefault="00CF5B55" w:rsidP="00A21877">
      <w:pPr>
        <w:keepNext/>
        <w:spacing w:line="360" w:lineRule="auto"/>
        <w:rPr>
          <w:rFonts w:cstheme="minorHAnsi"/>
        </w:rPr>
      </w:pPr>
      <w:r w:rsidRPr="00A21877">
        <w:rPr>
          <w:rFonts w:cstheme="minorHAnsi"/>
          <w:noProof/>
        </w:rPr>
        <w:lastRenderedPageBreak/>
        <w:drawing>
          <wp:inline distT="0" distB="0" distL="0" distR="0" wp14:anchorId="028092C5" wp14:editId="2DC005C1">
            <wp:extent cx="5943600" cy="1821356"/>
            <wp:effectExtent l="0" t="0" r="0" b="7620"/>
            <wp:docPr id="423" name="Chart 423">
              <a:extLst xmlns:a="http://schemas.openxmlformats.org/drawingml/2006/main">
                <a:ext uri="{FF2B5EF4-FFF2-40B4-BE49-F238E27FC236}">
                  <a16:creationId xmlns:a16="http://schemas.microsoft.com/office/drawing/2014/main" id="{8B27209E-8AE1-4D98-88E1-4691ECE4A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F72525" w14:textId="4AB2C28C" w:rsidR="00F76F3A" w:rsidRPr="001D04B2" w:rsidRDefault="00F76F3A">
      <w:pPr>
        <w:pStyle w:val="Caption"/>
        <w:numPr>
          <w:ilvl w:val="0"/>
          <w:numId w:val="47"/>
        </w:numPr>
        <w:spacing w:line="360" w:lineRule="auto"/>
        <w:rPr>
          <w:rFonts w:cstheme="minorHAnsi"/>
          <w:i w:val="0"/>
          <w:iCs w:val="0"/>
          <w:color w:val="000000" w:themeColor="text1"/>
          <w:sz w:val="24"/>
          <w:szCs w:val="24"/>
        </w:rPr>
      </w:pPr>
      <w:r>
        <w:rPr>
          <w:rFonts w:cstheme="minorHAnsi"/>
          <w:i w:val="0"/>
          <w:iCs w:val="0"/>
          <w:color w:val="000000" w:themeColor="text1"/>
          <w:sz w:val="24"/>
          <w:szCs w:val="24"/>
        </w:rPr>
        <w:t xml:space="preserve">MIC distribution of </w:t>
      </w:r>
      <w:r w:rsidRPr="001D04B2">
        <w:rPr>
          <w:rFonts w:cstheme="minorHAnsi"/>
          <w:color w:val="000000" w:themeColor="text1"/>
          <w:sz w:val="24"/>
          <w:szCs w:val="24"/>
        </w:rPr>
        <w:t xml:space="preserve">S. aureus </w:t>
      </w:r>
      <w:r>
        <w:rPr>
          <w:rFonts w:cstheme="minorHAnsi"/>
          <w:i w:val="0"/>
          <w:iCs w:val="0"/>
          <w:color w:val="000000" w:themeColor="text1"/>
          <w:sz w:val="24"/>
          <w:szCs w:val="24"/>
        </w:rPr>
        <w:t>isolates</w:t>
      </w:r>
      <w:r w:rsidR="002E05B6">
        <w:rPr>
          <w:rFonts w:cstheme="minorHAnsi"/>
          <w:i w:val="0"/>
          <w:iCs w:val="0"/>
          <w:color w:val="000000" w:themeColor="text1"/>
          <w:sz w:val="24"/>
          <w:szCs w:val="24"/>
        </w:rPr>
        <w:t xml:space="preserve"> </w:t>
      </w:r>
      <w:r w:rsidR="002E05B6" w:rsidRPr="00BF2D6A">
        <w:rPr>
          <w:rFonts w:cstheme="minorHAnsi"/>
          <w:i w:val="0"/>
          <w:iCs w:val="0"/>
          <w:sz w:val="24"/>
          <w:szCs w:val="24"/>
        </w:rPr>
        <w:t>(PBB Studies 1 and 2).</w:t>
      </w:r>
    </w:p>
    <w:p w14:paraId="562C2985" w14:textId="665413D5" w:rsidR="00E14A1A" w:rsidRPr="00031929" w:rsidRDefault="00031929" w:rsidP="00031929">
      <w:pPr>
        <w:pStyle w:val="Caption"/>
        <w:rPr>
          <w:rFonts w:cstheme="minorHAnsi"/>
          <w:i w:val="0"/>
          <w:iCs w:val="0"/>
          <w:color w:val="auto"/>
          <w:sz w:val="24"/>
          <w:szCs w:val="24"/>
        </w:rPr>
      </w:pPr>
      <w:bookmarkStart w:id="245" w:name="_Ref105509718"/>
      <w:bookmarkStart w:id="246" w:name="_Toc117780229"/>
      <w:r w:rsidRPr="00031929">
        <w:rPr>
          <w:b/>
          <w:bCs/>
          <w:i w:val="0"/>
          <w:iCs w:val="0"/>
          <w:color w:val="auto"/>
          <w:sz w:val="24"/>
          <w:szCs w:val="24"/>
        </w:rPr>
        <w:t xml:space="preserve">Figure </w:t>
      </w:r>
      <w:r w:rsidR="00F42C6F">
        <w:rPr>
          <w:b/>
          <w:bCs/>
          <w:i w:val="0"/>
          <w:iCs w:val="0"/>
          <w:color w:val="auto"/>
          <w:sz w:val="24"/>
          <w:szCs w:val="24"/>
        </w:rPr>
        <w:fldChar w:fldCharType="begin"/>
      </w:r>
      <w:r w:rsidR="00F42C6F">
        <w:rPr>
          <w:b/>
          <w:bCs/>
          <w:i w:val="0"/>
          <w:iCs w:val="0"/>
          <w:color w:val="auto"/>
          <w:sz w:val="24"/>
          <w:szCs w:val="24"/>
        </w:rPr>
        <w:instrText xml:space="preserve"> STYLEREF 1 \s </w:instrText>
      </w:r>
      <w:r w:rsidR="00F42C6F">
        <w:rPr>
          <w:b/>
          <w:bCs/>
          <w:i w:val="0"/>
          <w:iCs w:val="0"/>
          <w:color w:val="auto"/>
          <w:sz w:val="24"/>
          <w:szCs w:val="24"/>
        </w:rPr>
        <w:fldChar w:fldCharType="separate"/>
      </w:r>
      <w:r w:rsidR="00F42C6F">
        <w:rPr>
          <w:b/>
          <w:bCs/>
          <w:i w:val="0"/>
          <w:iCs w:val="0"/>
          <w:noProof/>
          <w:color w:val="auto"/>
          <w:sz w:val="24"/>
          <w:szCs w:val="24"/>
        </w:rPr>
        <w:t>4</w:t>
      </w:r>
      <w:r w:rsidR="00F42C6F">
        <w:rPr>
          <w:b/>
          <w:bCs/>
          <w:i w:val="0"/>
          <w:iCs w:val="0"/>
          <w:color w:val="auto"/>
          <w:sz w:val="24"/>
          <w:szCs w:val="24"/>
        </w:rPr>
        <w:fldChar w:fldCharType="end"/>
      </w:r>
      <w:r w:rsidR="00F42C6F">
        <w:rPr>
          <w:b/>
          <w:bCs/>
          <w:i w:val="0"/>
          <w:iCs w:val="0"/>
          <w:color w:val="auto"/>
          <w:sz w:val="24"/>
          <w:szCs w:val="24"/>
        </w:rPr>
        <w:noBreakHyphen/>
      </w:r>
      <w:r w:rsidR="00F42C6F">
        <w:rPr>
          <w:b/>
          <w:bCs/>
          <w:i w:val="0"/>
          <w:iCs w:val="0"/>
          <w:color w:val="auto"/>
          <w:sz w:val="24"/>
          <w:szCs w:val="24"/>
        </w:rPr>
        <w:fldChar w:fldCharType="begin"/>
      </w:r>
      <w:r w:rsidR="00F42C6F">
        <w:rPr>
          <w:b/>
          <w:bCs/>
          <w:i w:val="0"/>
          <w:iCs w:val="0"/>
          <w:color w:val="auto"/>
          <w:sz w:val="24"/>
          <w:szCs w:val="24"/>
        </w:rPr>
        <w:instrText xml:space="preserve"> SEQ Figure \* ARABIC \s 1 </w:instrText>
      </w:r>
      <w:r w:rsidR="00F42C6F">
        <w:rPr>
          <w:b/>
          <w:bCs/>
          <w:i w:val="0"/>
          <w:iCs w:val="0"/>
          <w:color w:val="auto"/>
          <w:sz w:val="24"/>
          <w:szCs w:val="24"/>
        </w:rPr>
        <w:fldChar w:fldCharType="separate"/>
      </w:r>
      <w:r w:rsidR="00F42C6F">
        <w:rPr>
          <w:b/>
          <w:bCs/>
          <w:i w:val="0"/>
          <w:iCs w:val="0"/>
          <w:noProof/>
          <w:color w:val="auto"/>
          <w:sz w:val="24"/>
          <w:szCs w:val="24"/>
        </w:rPr>
        <w:t>12</w:t>
      </w:r>
      <w:r w:rsidR="00F42C6F">
        <w:rPr>
          <w:b/>
          <w:bCs/>
          <w:i w:val="0"/>
          <w:iCs w:val="0"/>
          <w:color w:val="auto"/>
          <w:sz w:val="24"/>
          <w:szCs w:val="24"/>
        </w:rPr>
        <w:fldChar w:fldCharType="end"/>
      </w:r>
      <w:bookmarkEnd w:id="245"/>
      <w:r w:rsidR="00914789" w:rsidRPr="00031929">
        <w:rPr>
          <w:rFonts w:cstheme="minorHAnsi"/>
          <w:b/>
          <w:bCs/>
          <w:i w:val="0"/>
          <w:iCs w:val="0"/>
          <w:color w:val="auto"/>
          <w:sz w:val="24"/>
          <w:szCs w:val="24"/>
        </w:rPr>
        <w:t>:</w:t>
      </w:r>
      <w:r w:rsidR="00914789" w:rsidRPr="00031929">
        <w:rPr>
          <w:rFonts w:cstheme="minorHAnsi"/>
          <w:i w:val="0"/>
          <w:iCs w:val="0"/>
          <w:color w:val="auto"/>
          <w:sz w:val="24"/>
          <w:szCs w:val="24"/>
        </w:rPr>
        <w:t xml:space="preserve"> </w:t>
      </w:r>
      <w:r w:rsidR="00E00848" w:rsidRPr="00031929">
        <w:rPr>
          <w:rFonts w:cstheme="minorHAnsi"/>
          <w:bCs/>
          <w:i w:val="0"/>
          <w:iCs w:val="0"/>
          <w:color w:val="auto"/>
          <w:sz w:val="24"/>
          <w:szCs w:val="24"/>
        </w:rPr>
        <w:t>Distribution of azithromycin MICs for all bacterial isolates</w:t>
      </w:r>
      <w:r w:rsidR="002E05B6">
        <w:rPr>
          <w:rFonts w:cstheme="minorHAnsi"/>
          <w:bCs/>
          <w:i w:val="0"/>
          <w:iCs w:val="0"/>
          <w:color w:val="auto"/>
          <w:sz w:val="24"/>
          <w:szCs w:val="24"/>
        </w:rPr>
        <w:t xml:space="preserve"> (PBB studies 1 and 2)</w:t>
      </w:r>
      <w:bookmarkEnd w:id="246"/>
    </w:p>
    <w:p w14:paraId="7EDA701E" w14:textId="62268330" w:rsidR="00337153" w:rsidRDefault="00E00848" w:rsidP="0064056D">
      <w:pPr>
        <w:spacing w:line="276" w:lineRule="auto"/>
        <w:rPr>
          <w:rFonts w:cstheme="minorHAnsi"/>
          <w:i/>
          <w:iCs/>
          <w:lang w:val="fr-FR"/>
        </w:rPr>
      </w:pPr>
      <w:r w:rsidRPr="00031929">
        <w:rPr>
          <w:rFonts w:cstheme="minorHAnsi"/>
          <w:i/>
          <w:iCs/>
        </w:rPr>
        <w:t>Azithromycin MIC results for all the bacterial isolates obtained over PBB study 1 and 2. Azithromycin susceptibility was tested using E-test strips. Susceptibility was determined using the EUCAST break points for each</w:t>
      </w:r>
      <w:r w:rsidR="002E05B6">
        <w:rPr>
          <w:rFonts w:cstheme="minorHAnsi"/>
          <w:i/>
          <w:iCs/>
        </w:rPr>
        <w:t xml:space="preserve"> isolate</w:t>
      </w:r>
      <w:r w:rsidRPr="00031929">
        <w:rPr>
          <w:rFonts w:cstheme="minorHAnsi"/>
          <w:i/>
          <w:iCs/>
        </w:rPr>
        <w:t>. The dotted red line indicates the breakpoint. Zero denotes isolates where an MIC was not tested due to laboratory errors.</w:t>
      </w:r>
      <w:r w:rsidR="00D63645" w:rsidRPr="00031929">
        <w:rPr>
          <w:rFonts w:cstheme="minorHAnsi"/>
          <w:i/>
          <w:iCs/>
        </w:rPr>
        <w:t xml:space="preserve"> </w:t>
      </w:r>
      <w:r w:rsidR="00D63645" w:rsidRPr="00031929">
        <w:rPr>
          <w:rFonts w:cstheme="minorHAnsi"/>
          <w:i/>
          <w:iCs/>
          <w:lang w:val="fr-FR"/>
        </w:rPr>
        <w:t>A</w:t>
      </w:r>
      <w:r w:rsidR="00F83B67">
        <w:rPr>
          <w:rFonts w:cstheme="minorHAnsi"/>
          <w:i/>
          <w:iCs/>
          <w:lang w:val="fr-FR"/>
        </w:rPr>
        <w:t> </w:t>
      </w:r>
      <w:r w:rsidR="00D63645" w:rsidRPr="00031929">
        <w:rPr>
          <w:rFonts w:cstheme="minorHAnsi"/>
          <w:i/>
          <w:iCs/>
          <w:lang w:val="fr-FR"/>
        </w:rPr>
        <w:t>:</w:t>
      </w:r>
      <w:r w:rsidR="00337153" w:rsidRPr="00337153">
        <w:rPr>
          <w:rFonts w:cstheme="minorHAnsi"/>
          <w:i/>
          <w:iCs/>
          <w:lang w:val="fr-FR"/>
        </w:rPr>
        <w:t xml:space="preserve"> </w:t>
      </w:r>
      <w:r w:rsidR="00337153" w:rsidRPr="00031929">
        <w:rPr>
          <w:rFonts w:cstheme="minorHAnsi"/>
          <w:i/>
          <w:iCs/>
          <w:lang w:val="fr-FR"/>
        </w:rPr>
        <w:t xml:space="preserve">S. </w:t>
      </w:r>
      <w:proofErr w:type="spellStart"/>
      <w:r w:rsidR="00337153" w:rsidRPr="00031929">
        <w:rPr>
          <w:rFonts w:cstheme="minorHAnsi"/>
          <w:i/>
          <w:iCs/>
          <w:lang w:val="fr-FR"/>
        </w:rPr>
        <w:t>pneumoniae</w:t>
      </w:r>
      <w:proofErr w:type="spellEnd"/>
      <w:r w:rsidR="00F76F3A" w:rsidRPr="00031929">
        <w:rPr>
          <w:rFonts w:cstheme="minorHAnsi"/>
          <w:i/>
          <w:iCs/>
          <w:lang w:val="fr-FR"/>
        </w:rPr>
        <w:t xml:space="preserve">, </w:t>
      </w:r>
    </w:p>
    <w:p w14:paraId="423CF7E2" w14:textId="78916665" w:rsidR="00914789" w:rsidRPr="00031929" w:rsidRDefault="00DB069C" w:rsidP="0064056D">
      <w:pPr>
        <w:spacing w:line="276" w:lineRule="auto"/>
        <w:rPr>
          <w:rFonts w:cstheme="minorHAnsi"/>
          <w:i/>
          <w:iCs/>
          <w:lang w:val="fr-FR"/>
        </w:rPr>
      </w:pPr>
      <w:r>
        <w:rPr>
          <w:rFonts w:cstheme="minorHAnsi"/>
          <w:i/>
          <w:iCs/>
          <w:lang w:val="fr-FR"/>
        </w:rPr>
        <w:t>B</w:t>
      </w:r>
      <w:r w:rsidR="00F83B67">
        <w:rPr>
          <w:rFonts w:cstheme="minorHAnsi"/>
          <w:i/>
          <w:iCs/>
          <w:lang w:val="fr-FR"/>
        </w:rPr>
        <w:t> </w:t>
      </w:r>
      <w:r>
        <w:rPr>
          <w:rFonts w:cstheme="minorHAnsi"/>
          <w:i/>
          <w:iCs/>
          <w:lang w:val="fr-FR"/>
        </w:rPr>
        <w:t xml:space="preserve">: </w:t>
      </w:r>
      <w:r w:rsidR="00337153" w:rsidRPr="00031929">
        <w:rPr>
          <w:rFonts w:cstheme="minorHAnsi"/>
          <w:i/>
          <w:iCs/>
          <w:lang w:val="fr-FR"/>
        </w:rPr>
        <w:t>H. influenzae</w:t>
      </w:r>
      <w:r w:rsidR="00F76F3A" w:rsidRPr="00031929">
        <w:rPr>
          <w:rFonts w:cstheme="minorHAnsi"/>
          <w:i/>
          <w:iCs/>
          <w:lang w:val="fr-FR"/>
        </w:rPr>
        <w:t>,</w:t>
      </w:r>
      <w:r>
        <w:rPr>
          <w:rFonts w:cstheme="minorHAnsi"/>
          <w:i/>
          <w:iCs/>
          <w:lang w:val="fr-FR"/>
        </w:rPr>
        <w:t xml:space="preserve"> C</w:t>
      </w:r>
      <w:r w:rsidR="00F83B67">
        <w:rPr>
          <w:rFonts w:cstheme="minorHAnsi"/>
          <w:i/>
          <w:iCs/>
          <w:lang w:val="fr-FR"/>
        </w:rPr>
        <w:t> </w:t>
      </w:r>
      <w:r>
        <w:rPr>
          <w:rFonts w:cstheme="minorHAnsi"/>
          <w:i/>
          <w:iCs/>
          <w:lang w:val="fr-FR"/>
        </w:rPr>
        <w:t>:</w:t>
      </w:r>
      <w:r w:rsidR="00337153" w:rsidRPr="00337153">
        <w:rPr>
          <w:rFonts w:cstheme="minorHAnsi"/>
          <w:i/>
          <w:iCs/>
          <w:lang w:val="fr-FR"/>
        </w:rPr>
        <w:t xml:space="preserve"> </w:t>
      </w:r>
      <w:r w:rsidR="00337153" w:rsidRPr="00031929">
        <w:rPr>
          <w:rFonts w:cstheme="minorHAnsi"/>
          <w:i/>
          <w:iCs/>
          <w:lang w:val="fr-FR"/>
        </w:rPr>
        <w:t xml:space="preserve">M. </w:t>
      </w:r>
      <w:proofErr w:type="spellStart"/>
      <w:r w:rsidR="00337153" w:rsidRPr="00031929">
        <w:rPr>
          <w:rFonts w:cstheme="minorHAnsi"/>
          <w:i/>
          <w:iCs/>
          <w:lang w:val="fr-FR"/>
        </w:rPr>
        <w:t>catarrhalis</w:t>
      </w:r>
      <w:proofErr w:type="spellEnd"/>
      <w:r w:rsidR="00F76F3A" w:rsidRPr="00031929">
        <w:rPr>
          <w:rFonts w:cstheme="minorHAnsi"/>
          <w:i/>
          <w:iCs/>
          <w:lang w:val="fr-FR"/>
        </w:rPr>
        <w:t xml:space="preserve">, </w:t>
      </w:r>
      <w:r>
        <w:rPr>
          <w:rFonts w:cstheme="minorHAnsi"/>
          <w:i/>
          <w:iCs/>
          <w:lang w:val="fr-FR"/>
        </w:rPr>
        <w:t>D</w:t>
      </w:r>
      <w:r w:rsidR="00F83B67">
        <w:rPr>
          <w:rFonts w:cstheme="minorHAnsi"/>
          <w:i/>
          <w:iCs/>
          <w:lang w:val="fr-FR"/>
        </w:rPr>
        <w:t> </w:t>
      </w:r>
      <w:r>
        <w:rPr>
          <w:rFonts w:cstheme="minorHAnsi"/>
          <w:i/>
          <w:iCs/>
          <w:lang w:val="fr-FR"/>
        </w:rPr>
        <w:t xml:space="preserve">: </w:t>
      </w:r>
      <w:r w:rsidR="00F76F3A" w:rsidRPr="00031929">
        <w:rPr>
          <w:rFonts w:cstheme="minorHAnsi"/>
          <w:i/>
          <w:iCs/>
          <w:lang w:val="fr-FR"/>
        </w:rPr>
        <w:t>S. aureus.</w:t>
      </w:r>
    </w:p>
    <w:p w14:paraId="46D1D4E0" w14:textId="4B7CBE6D" w:rsidR="00E00848" w:rsidRDefault="00E00848" w:rsidP="00A21877">
      <w:pPr>
        <w:spacing w:line="360" w:lineRule="auto"/>
        <w:rPr>
          <w:rFonts w:cstheme="minorHAnsi"/>
          <w:lang w:val="fr-FR"/>
        </w:rPr>
      </w:pPr>
    </w:p>
    <w:p w14:paraId="0BA23F1B" w14:textId="77777777" w:rsidR="008802B9" w:rsidRPr="000754FB" w:rsidRDefault="008802B9" w:rsidP="00A21877">
      <w:pPr>
        <w:spacing w:line="360" w:lineRule="auto"/>
        <w:rPr>
          <w:rFonts w:cstheme="minorHAnsi"/>
          <w:lang w:val="fr-FR"/>
        </w:rPr>
      </w:pPr>
    </w:p>
    <w:p w14:paraId="7741C940" w14:textId="5CB57715" w:rsidR="00E14A1A" w:rsidRDefault="00151FA2" w:rsidP="00A35FA0">
      <w:pPr>
        <w:pStyle w:val="Heading3"/>
        <w:numPr>
          <w:ilvl w:val="0"/>
          <w:numId w:val="0"/>
        </w:numPr>
        <w:spacing w:line="360" w:lineRule="auto"/>
        <w:ind w:left="720" w:hanging="720"/>
        <w:rPr>
          <w:rFonts w:asciiTheme="minorHAnsi" w:hAnsiTheme="minorHAnsi" w:cstheme="minorHAnsi"/>
        </w:rPr>
      </w:pPr>
      <w:bookmarkStart w:id="247" w:name="_Toc117765992"/>
      <w:r w:rsidRPr="00A21877">
        <w:rPr>
          <w:rFonts w:asciiTheme="minorHAnsi" w:hAnsiTheme="minorHAnsi" w:cstheme="minorHAnsi"/>
        </w:rPr>
        <w:t xml:space="preserve">4.4.3 </w:t>
      </w:r>
      <w:r w:rsidR="00FC43D8">
        <w:rPr>
          <w:rFonts w:asciiTheme="minorHAnsi" w:hAnsiTheme="minorHAnsi" w:cstheme="minorHAnsi"/>
        </w:rPr>
        <w:tab/>
      </w:r>
      <w:r w:rsidR="002C7857">
        <w:rPr>
          <w:rFonts w:asciiTheme="minorHAnsi" w:hAnsiTheme="minorHAnsi" w:cstheme="minorHAnsi"/>
        </w:rPr>
        <w:t>A</w:t>
      </w:r>
      <w:r w:rsidRPr="00A21877">
        <w:rPr>
          <w:rFonts w:asciiTheme="minorHAnsi" w:hAnsiTheme="minorHAnsi" w:cstheme="minorHAnsi"/>
        </w:rPr>
        <w:t xml:space="preserve">ntibiotic exposure </w:t>
      </w:r>
      <w:r w:rsidR="002C7857">
        <w:rPr>
          <w:rFonts w:asciiTheme="minorHAnsi" w:hAnsiTheme="minorHAnsi" w:cstheme="minorHAnsi"/>
        </w:rPr>
        <w:t>during the study</w:t>
      </w:r>
      <w:bookmarkEnd w:id="247"/>
    </w:p>
    <w:p w14:paraId="1B224A3D" w14:textId="7D1233D0" w:rsidR="00DB069C" w:rsidRPr="00A7053B" w:rsidRDefault="00A7053B" w:rsidP="00B751E5">
      <w:pPr>
        <w:spacing w:after="160" w:line="360" w:lineRule="auto"/>
      </w:pPr>
      <w:r w:rsidRPr="00A7053B">
        <w:t>The duration of long</w:t>
      </w:r>
      <w:r w:rsidR="00FD0258">
        <w:t>-</w:t>
      </w:r>
      <w:r w:rsidRPr="00A7053B">
        <w:t xml:space="preserve">term azithromycin </w:t>
      </w:r>
      <w:r>
        <w:t xml:space="preserve">for participants in the combined azithromycin groups was for a mean of </w:t>
      </w:r>
      <w:r w:rsidR="006541F1">
        <w:t>8.2</w:t>
      </w:r>
      <w:r>
        <w:t xml:space="preserve"> months (median </w:t>
      </w:r>
      <w:r w:rsidR="006541F1">
        <w:t>7</w:t>
      </w:r>
      <w:r>
        <w:t xml:space="preserve"> months, IQR </w:t>
      </w:r>
      <w:r w:rsidR="006541F1">
        <w:t xml:space="preserve">4.5 </w:t>
      </w:r>
      <w:r w:rsidR="00F83B67">
        <w:t>–</w:t>
      </w:r>
      <w:r w:rsidR="006541F1">
        <w:t xml:space="preserve"> 12</w:t>
      </w:r>
      <w:r>
        <w:t>).</w:t>
      </w:r>
      <w:r w:rsidR="00DB069C">
        <w:rPr>
          <w:rFonts w:cstheme="minorHAnsi"/>
        </w:rPr>
        <w:t xml:space="preserve"> </w:t>
      </w:r>
    </w:p>
    <w:p w14:paraId="51CA01DC" w14:textId="2D607FF7" w:rsidR="007D3BCF" w:rsidRDefault="008E1134" w:rsidP="00B751E5">
      <w:pPr>
        <w:spacing w:after="160" w:line="360" w:lineRule="auto"/>
        <w:rPr>
          <w:rFonts w:cstheme="minorHAnsi"/>
        </w:rPr>
      </w:pPr>
      <w:r>
        <w:rPr>
          <w:rFonts w:cstheme="minorHAnsi"/>
        </w:rPr>
        <w:t xml:space="preserve">During the study, </w:t>
      </w:r>
      <w:r w:rsidR="004F063E">
        <w:rPr>
          <w:rFonts w:cstheme="minorHAnsi"/>
        </w:rPr>
        <w:t xml:space="preserve">there was a </w:t>
      </w:r>
      <w:r w:rsidR="00DB069C">
        <w:rPr>
          <w:rFonts w:cstheme="minorHAnsi"/>
        </w:rPr>
        <w:t xml:space="preserve">non-significant </w:t>
      </w:r>
      <w:r w:rsidR="004F063E">
        <w:rPr>
          <w:rFonts w:cstheme="minorHAnsi"/>
        </w:rPr>
        <w:t xml:space="preserve">trend to </w:t>
      </w:r>
      <w:r>
        <w:rPr>
          <w:rFonts w:cstheme="minorHAnsi"/>
        </w:rPr>
        <w:t xml:space="preserve">fewer acute courses of antibiotics prescribed </w:t>
      </w:r>
      <w:r w:rsidR="004F063E">
        <w:rPr>
          <w:rFonts w:cstheme="minorHAnsi"/>
        </w:rPr>
        <w:t xml:space="preserve">for presumed respiratory infection </w:t>
      </w:r>
      <w:r>
        <w:rPr>
          <w:rFonts w:cstheme="minorHAnsi"/>
        </w:rPr>
        <w:t xml:space="preserve">to those in the azithromycin group </w:t>
      </w:r>
      <w:r w:rsidR="004F063E">
        <w:rPr>
          <w:rFonts w:cstheme="minorHAnsi"/>
        </w:rPr>
        <w:t xml:space="preserve">versus </w:t>
      </w:r>
      <w:r>
        <w:rPr>
          <w:rFonts w:cstheme="minorHAnsi"/>
        </w:rPr>
        <w:t>the comparison group</w:t>
      </w:r>
      <w:r w:rsidR="002E05B6">
        <w:rPr>
          <w:rFonts w:cstheme="minorHAnsi"/>
        </w:rPr>
        <w:t xml:space="preserve">, </w:t>
      </w:r>
      <w:r w:rsidR="004F063E">
        <w:rPr>
          <w:rFonts w:cstheme="minorHAnsi"/>
        </w:rPr>
        <w:t xml:space="preserve">54 versus 33 respectively </w:t>
      </w:r>
      <w:r w:rsidRPr="009E7A22">
        <w:rPr>
          <w:rFonts w:cstheme="minorHAnsi"/>
        </w:rPr>
        <w:t>(</w:t>
      </w:r>
      <w:r w:rsidR="009E7A22" w:rsidRPr="009E7A22">
        <w:rPr>
          <w:rFonts w:cstheme="minorHAnsi"/>
        </w:rPr>
        <w:fldChar w:fldCharType="begin"/>
      </w:r>
      <w:r w:rsidR="009E7A22" w:rsidRPr="009E7A22">
        <w:rPr>
          <w:rFonts w:cstheme="minorHAnsi"/>
        </w:rPr>
        <w:instrText xml:space="preserve"> REF _Ref105706476 \h  \* MERGEFORMAT </w:instrText>
      </w:r>
      <w:r w:rsidR="009E7A22" w:rsidRPr="009E7A22">
        <w:rPr>
          <w:rFonts w:cstheme="minorHAnsi"/>
        </w:rPr>
      </w:r>
      <w:r w:rsidR="00000000">
        <w:rPr>
          <w:rFonts w:cstheme="minorHAnsi"/>
        </w:rPr>
        <w:fldChar w:fldCharType="separate"/>
      </w:r>
      <w:r w:rsidR="009E7A22" w:rsidRPr="009E7A22">
        <w:rPr>
          <w:rFonts w:cstheme="minorHAnsi"/>
        </w:rPr>
        <w:fldChar w:fldCharType="end"/>
      </w:r>
      <w:r w:rsidR="009E7A22" w:rsidRPr="009E7A22">
        <w:rPr>
          <w:rFonts w:cstheme="minorHAnsi"/>
        </w:rPr>
        <w:fldChar w:fldCharType="begin"/>
      </w:r>
      <w:r w:rsidR="009E7A22" w:rsidRPr="009E7A22">
        <w:rPr>
          <w:rFonts w:cstheme="minorHAnsi"/>
        </w:rPr>
        <w:instrText xml:space="preserve"> REF _Ref105618978 \h  \* MERGEFORMAT </w:instrText>
      </w:r>
      <w:r w:rsidR="009E7A22" w:rsidRPr="009E7A22">
        <w:rPr>
          <w:rFonts w:cstheme="minorHAnsi"/>
        </w:rPr>
      </w:r>
      <w:r w:rsidR="009E7A22" w:rsidRPr="009E7A22">
        <w:rPr>
          <w:rFonts w:cstheme="minorHAnsi"/>
        </w:rPr>
        <w:fldChar w:fldCharType="separate"/>
      </w:r>
      <w:r w:rsidR="009E7A22" w:rsidRPr="009E7A22">
        <w:rPr>
          <w:color w:val="000000" w:themeColor="text1"/>
        </w:rPr>
        <w:t xml:space="preserve">Table </w:t>
      </w:r>
      <w:r w:rsidR="009E7A22" w:rsidRPr="009E7A22">
        <w:rPr>
          <w:noProof/>
          <w:color w:val="000000" w:themeColor="text1"/>
        </w:rPr>
        <w:t>26</w:t>
      </w:r>
      <w:r w:rsidR="009E7A22" w:rsidRPr="009E7A22">
        <w:rPr>
          <w:rFonts w:cstheme="minorHAnsi"/>
        </w:rPr>
        <w:fldChar w:fldCharType="end"/>
      </w:r>
      <w:r>
        <w:rPr>
          <w:rFonts w:cstheme="minorHAnsi"/>
        </w:rPr>
        <w:t>), IRR  0.69 (95%CI 0.41-1.14), p=0.15.</w:t>
      </w:r>
      <w:r w:rsidR="00DB069C">
        <w:rPr>
          <w:rFonts w:cstheme="minorHAnsi"/>
        </w:rPr>
        <w:t xml:space="preserve"> </w:t>
      </w:r>
      <w:r w:rsidR="002C7857">
        <w:rPr>
          <w:rFonts w:cstheme="minorHAnsi"/>
        </w:rPr>
        <w:t xml:space="preserve">There were </w:t>
      </w:r>
      <w:r w:rsidR="00DB069C">
        <w:rPr>
          <w:rFonts w:cstheme="minorHAnsi"/>
        </w:rPr>
        <w:t xml:space="preserve">also somewhat </w:t>
      </w:r>
      <w:r w:rsidR="002C7857">
        <w:rPr>
          <w:rFonts w:cstheme="minorHAnsi"/>
        </w:rPr>
        <w:t xml:space="preserve">fewer prescriptions for courses of antibiotics &gt;2 weeks in duration to treat presumed PBB exacerbations in the azithromycin group compared to the comparison group </w:t>
      </w:r>
      <w:r w:rsidR="002C7857" w:rsidRPr="00845017">
        <w:rPr>
          <w:rFonts w:cstheme="minorHAnsi"/>
        </w:rPr>
        <w:t>(</w:t>
      </w:r>
      <w:r w:rsidR="00845017" w:rsidRPr="00845017">
        <w:rPr>
          <w:rFonts w:cstheme="minorHAnsi"/>
        </w:rPr>
        <w:fldChar w:fldCharType="begin"/>
      </w:r>
      <w:r w:rsidR="00845017" w:rsidRPr="00845017">
        <w:rPr>
          <w:rFonts w:cstheme="minorHAnsi"/>
        </w:rPr>
        <w:instrText xml:space="preserve"> REF _Ref105618910 \h  \* MERGEFORMAT </w:instrText>
      </w:r>
      <w:r w:rsidR="00845017" w:rsidRPr="00845017">
        <w:rPr>
          <w:rFonts w:cstheme="minorHAnsi"/>
        </w:rPr>
      </w:r>
      <w:r w:rsidR="00000000">
        <w:rPr>
          <w:rFonts w:cstheme="minorHAnsi"/>
        </w:rPr>
        <w:fldChar w:fldCharType="separate"/>
      </w:r>
      <w:r w:rsidR="00845017" w:rsidRPr="00845017">
        <w:rPr>
          <w:rFonts w:cstheme="minorHAnsi"/>
        </w:rPr>
        <w:fldChar w:fldCharType="end"/>
      </w:r>
      <w:r w:rsidR="00845017" w:rsidRPr="00845017">
        <w:rPr>
          <w:rFonts w:cstheme="minorHAnsi"/>
        </w:rPr>
        <w:fldChar w:fldCharType="begin"/>
      </w:r>
      <w:r w:rsidR="00845017" w:rsidRPr="00845017">
        <w:rPr>
          <w:rFonts w:cstheme="minorHAnsi"/>
        </w:rPr>
        <w:instrText xml:space="preserve"> REF _Ref105618978 \h  \* MERGEFORMAT </w:instrText>
      </w:r>
      <w:r w:rsidR="00845017" w:rsidRPr="00845017">
        <w:rPr>
          <w:rFonts w:cstheme="minorHAnsi"/>
        </w:rPr>
      </w:r>
      <w:r w:rsidR="00845017" w:rsidRPr="00845017">
        <w:rPr>
          <w:rFonts w:cstheme="minorHAnsi"/>
        </w:rPr>
        <w:fldChar w:fldCharType="separate"/>
      </w:r>
      <w:r w:rsidR="00845017" w:rsidRPr="00845017">
        <w:rPr>
          <w:color w:val="000000" w:themeColor="text1"/>
        </w:rPr>
        <w:t xml:space="preserve">Table </w:t>
      </w:r>
      <w:r w:rsidR="00845017" w:rsidRPr="00845017">
        <w:rPr>
          <w:noProof/>
          <w:color w:val="000000" w:themeColor="text1"/>
        </w:rPr>
        <w:t>26</w:t>
      </w:r>
      <w:r w:rsidR="00845017" w:rsidRPr="00845017">
        <w:rPr>
          <w:rFonts w:cstheme="minorHAnsi"/>
        </w:rPr>
        <w:fldChar w:fldCharType="end"/>
      </w:r>
      <w:r w:rsidR="00DB069C" w:rsidRPr="00845017">
        <w:rPr>
          <w:rFonts w:cstheme="minorHAnsi"/>
        </w:rPr>
        <w:t>)</w:t>
      </w:r>
      <w:r w:rsidR="00DB069C">
        <w:rPr>
          <w:rFonts w:cstheme="minorHAnsi"/>
        </w:rPr>
        <w:t xml:space="preserve">, but </w:t>
      </w:r>
      <w:r w:rsidR="004F063E">
        <w:rPr>
          <w:rFonts w:cstheme="minorHAnsi"/>
        </w:rPr>
        <w:t xml:space="preserve">again </w:t>
      </w:r>
      <w:r w:rsidR="00DB069C">
        <w:rPr>
          <w:rFonts w:cstheme="minorHAnsi"/>
        </w:rPr>
        <w:t xml:space="preserve">this was </w:t>
      </w:r>
      <w:r w:rsidR="002C7857">
        <w:rPr>
          <w:rFonts w:cstheme="minorHAnsi"/>
        </w:rPr>
        <w:t>not significant, IRR 0.65 (0.27-1.55), p=0.33</w:t>
      </w:r>
      <w:r w:rsidR="005F78CB">
        <w:rPr>
          <w:rFonts w:cstheme="minorHAnsi"/>
        </w:rPr>
        <w:t>.</w:t>
      </w:r>
    </w:p>
    <w:p w14:paraId="55F9B899" w14:textId="693B776E" w:rsidR="00DB069C" w:rsidRDefault="00DB069C" w:rsidP="00A21877">
      <w:pPr>
        <w:spacing w:line="360" w:lineRule="auto"/>
        <w:rPr>
          <w:rFonts w:cstheme="minorHAnsi"/>
        </w:rPr>
      </w:pPr>
    </w:p>
    <w:p w14:paraId="2961A482" w14:textId="1892CE1F" w:rsidR="00DB069C" w:rsidRDefault="00DB069C" w:rsidP="00A21877">
      <w:pPr>
        <w:spacing w:line="360" w:lineRule="auto"/>
        <w:rPr>
          <w:rFonts w:cstheme="minorHAnsi"/>
        </w:rPr>
      </w:pPr>
    </w:p>
    <w:p w14:paraId="52FA40DF" w14:textId="2696A1DD" w:rsidR="00DB069C" w:rsidRDefault="00DB069C" w:rsidP="00A21877">
      <w:pPr>
        <w:spacing w:line="360" w:lineRule="auto"/>
        <w:rPr>
          <w:rFonts w:cstheme="minorHAnsi"/>
        </w:rPr>
      </w:pPr>
    </w:p>
    <w:p w14:paraId="7BCC6DB4" w14:textId="77777777" w:rsidR="00DB069C" w:rsidRDefault="00DB069C" w:rsidP="00A21877">
      <w:pPr>
        <w:spacing w:line="360" w:lineRule="auto"/>
        <w:rPr>
          <w:rFonts w:cstheme="minorHAnsi"/>
        </w:rPr>
      </w:pPr>
    </w:p>
    <w:p w14:paraId="0AA7A977" w14:textId="514C0D54" w:rsidR="00BD1DA9" w:rsidRPr="001D04B2" w:rsidRDefault="00BD1DA9" w:rsidP="00832573">
      <w:pPr>
        <w:pStyle w:val="Caption"/>
        <w:keepNext/>
        <w:spacing w:after="0"/>
        <w:rPr>
          <w:i w:val="0"/>
          <w:iCs w:val="0"/>
          <w:color w:val="000000" w:themeColor="text1"/>
          <w:sz w:val="24"/>
          <w:szCs w:val="24"/>
        </w:rPr>
      </w:pPr>
      <w:bookmarkStart w:id="248" w:name="_Ref105618978"/>
      <w:bookmarkStart w:id="249" w:name="_Ref105706476"/>
      <w:bookmarkStart w:id="250" w:name="_Toc117780267"/>
      <w:r w:rsidRPr="001D04B2">
        <w:rPr>
          <w:b/>
          <w:bCs/>
          <w:i w:val="0"/>
          <w:iCs w:val="0"/>
          <w:color w:val="000000" w:themeColor="text1"/>
          <w:sz w:val="24"/>
          <w:szCs w:val="24"/>
        </w:rPr>
        <w:lastRenderedPageBreak/>
        <w:t xml:space="preserve">Table </w:t>
      </w:r>
      <w:r w:rsidRPr="001D04B2">
        <w:rPr>
          <w:b/>
          <w:bCs/>
          <w:i w:val="0"/>
          <w:iCs w:val="0"/>
          <w:color w:val="000000" w:themeColor="text1"/>
          <w:sz w:val="24"/>
          <w:szCs w:val="24"/>
        </w:rPr>
        <w:fldChar w:fldCharType="begin"/>
      </w:r>
      <w:r w:rsidRPr="001D04B2">
        <w:rPr>
          <w:b/>
          <w:bCs/>
          <w:i w:val="0"/>
          <w:iCs w:val="0"/>
          <w:color w:val="000000" w:themeColor="text1"/>
          <w:sz w:val="24"/>
          <w:szCs w:val="24"/>
        </w:rPr>
        <w:instrText xml:space="preserve"> SEQ Table \* ARABIC </w:instrText>
      </w:r>
      <w:r w:rsidRPr="001D04B2">
        <w:rPr>
          <w:b/>
          <w:bCs/>
          <w:i w:val="0"/>
          <w:iCs w:val="0"/>
          <w:color w:val="000000" w:themeColor="text1"/>
          <w:sz w:val="24"/>
          <w:szCs w:val="24"/>
        </w:rPr>
        <w:fldChar w:fldCharType="separate"/>
      </w:r>
      <w:r w:rsidR="00592CBF">
        <w:rPr>
          <w:b/>
          <w:bCs/>
          <w:i w:val="0"/>
          <w:iCs w:val="0"/>
          <w:noProof/>
          <w:color w:val="000000" w:themeColor="text1"/>
          <w:sz w:val="24"/>
          <w:szCs w:val="24"/>
        </w:rPr>
        <w:t>26</w:t>
      </w:r>
      <w:r w:rsidRPr="001D04B2">
        <w:rPr>
          <w:b/>
          <w:bCs/>
          <w:i w:val="0"/>
          <w:iCs w:val="0"/>
          <w:color w:val="000000" w:themeColor="text1"/>
          <w:sz w:val="24"/>
          <w:szCs w:val="24"/>
        </w:rPr>
        <w:fldChar w:fldCharType="end"/>
      </w:r>
      <w:bookmarkEnd w:id="248"/>
      <w:r w:rsidRPr="001D04B2">
        <w:rPr>
          <w:i w:val="0"/>
          <w:iCs w:val="0"/>
          <w:color w:val="000000" w:themeColor="text1"/>
          <w:sz w:val="24"/>
          <w:szCs w:val="24"/>
        </w:rPr>
        <w:t>: Combined antibiotics prescribing data for PBB studies 1 &amp; 2</w:t>
      </w:r>
      <w:bookmarkEnd w:id="249"/>
      <w:bookmarkEnd w:id="250"/>
    </w:p>
    <w:tbl>
      <w:tblPr>
        <w:tblStyle w:val="TableGrid"/>
        <w:tblpPr w:leftFromText="180" w:rightFromText="180" w:vertAnchor="text" w:horzAnchor="margin" w:tblpY="286"/>
        <w:tblW w:w="9350" w:type="dxa"/>
        <w:tblLook w:val="04A0" w:firstRow="1" w:lastRow="0" w:firstColumn="1" w:lastColumn="0" w:noHBand="0" w:noVBand="1"/>
      </w:tblPr>
      <w:tblGrid>
        <w:gridCol w:w="4094"/>
        <w:gridCol w:w="1713"/>
        <w:gridCol w:w="1663"/>
        <w:gridCol w:w="1880"/>
      </w:tblGrid>
      <w:tr w:rsidR="009E7A22" w:rsidRPr="00F964D4" w14:paraId="0ACA56ED" w14:textId="0D0E95BB" w:rsidTr="009E7A22">
        <w:tc>
          <w:tcPr>
            <w:tcW w:w="4094" w:type="dxa"/>
            <w:shd w:val="clear" w:color="auto" w:fill="BDD6EE" w:themeFill="accent1" w:themeFillTint="66"/>
          </w:tcPr>
          <w:p w14:paraId="365C8959" w14:textId="77777777" w:rsidR="009E7A22" w:rsidRPr="00F964D4" w:rsidRDefault="009E7A22" w:rsidP="00A21877">
            <w:pPr>
              <w:spacing w:line="360" w:lineRule="auto"/>
              <w:rPr>
                <w:b/>
                <w:bCs/>
              </w:rPr>
            </w:pPr>
            <w:r w:rsidRPr="00F964D4">
              <w:rPr>
                <w:b/>
                <w:bCs/>
              </w:rPr>
              <w:t>Antibiotic prescribed</w:t>
            </w:r>
          </w:p>
        </w:tc>
        <w:tc>
          <w:tcPr>
            <w:tcW w:w="1713" w:type="dxa"/>
            <w:shd w:val="clear" w:color="auto" w:fill="BDD6EE" w:themeFill="accent1" w:themeFillTint="66"/>
          </w:tcPr>
          <w:p w14:paraId="061BFCDA" w14:textId="77777777" w:rsidR="009E7A22" w:rsidRDefault="009E7A22" w:rsidP="00A21877">
            <w:pPr>
              <w:spacing w:line="360" w:lineRule="auto"/>
              <w:rPr>
                <w:b/>
                <w:bCs/>
              </w:rPr>
            </w:pPr>
            <w:r>
              <w:rPr>
                <w:b/>
                <w:bCs/>
              </w:rPr>
              <w:t>Comparison group</w:t>
            </w:r>
          </w:p>
          <w:p w14:paraId="7ABFF0BD" w14:textId="77777777" w:rsidR="009E7A22" w:rsidRPr="00540937" w:rsidRDefault="009E7A22" w:rsidP="00A21877">
            <w:pPr>
              <w:spacing w:line="360" w:lineRule="auto"/>
            </w:pPr>
            <w:r w:rsidRPr="00540937">
              <w:t>N = 25</w:t>
            </w:r>
          </w:p>
        </w:tc>
        <w:tc>
          <w:tcPr>
            <w:tcW w:w="1663" w:type="dxa"/>
            <w:shd w:val="clear" w:color="auto" w:fill="BDD6EE" w:themeFill="accent1" w:themeFillTint="66"/>
          </w:tcPr>
          <w:p w14:paraId="322F7141" w14:textId="77777777" w:rsidR="009E7A22" w:rsidRDefault="009E7A22" w:rsidP="00A21877">
            <w:pPr>
              <w:spacing w:line="360" w:lineRule="auto"/>
              <w:rPr>
                <w:b/>
                <w:bCs/>
              </w:rPr>
            </w:pPr>
            <w:r>
              <w:rPr>
                <w:b/>
                <w:bCs/>
              </w:rPr>
              <w:t>Azithromycin group</w:t>
            </w:r>
          </w:p>
          <w:p w14:paraId="6118A7E6" w14:textId="77777777" w:rsidR="009E7A22" w:rsidRPr="00540937" w:rsidRDefault="009E7A22" w:rsidP="00A21877">
            <w:pPr>
              <w:spacing w:line="360" w:lineRule="auto"/>
            </w:pPr>
            <w:r w:rsidRPr="00540937">
              <w:t>N= 25</w:t>
            </w:r>
          </w:p>
        </w:tc>
        <w:tc>
          <w:tcPr>
            <w:tcW w:w="1880" w:type="dxa"/>
            <w:shd w:val="clear" w:color="auto" w:fill="BDD6EE" w:themeFill="accent1" w:themeFillTint="66"/>
          </w:tcPr>
          <w:p w14:paraId="6679ACDD" w14:textId="77777777" w:rsidR="009E7A22" w:rsidRDefault="009E7A22" w:rsidP="00A21877">
            <w:pPr>
              <w:spacing w:line="360" w:lineRule="auto"/>
              <w:rPr>
                <w:b/>
                <w:bCs/>
              </w:rPr>
            </w:pPr>
            <w:r>
              <w:rPr>
                <w:b/>
                <w:bCs/>
              </w:rPr>
              <w:t>Statistics</w:t>
            </w:r>
          </w:p>
          <w:p w14:paraId="0392F012" w14:textId="042A3AB5" w:rsidR="008A34E2" w:rsidRPr="00D81399" w:rsidRDefault="00F50340" w:rsidP="00A21877">
            <w:pPr>
              <w:spacing w:line="360" w:lineRule="auto"/>
            </w:pPr>
            <w:r>
              <w:t>IRR</w:t>
            </w:r>
          </w:p>
        </w:tc>
      </w:tr>
      <w:tr w:rsidR="009E7A22" w:rsidRPr="00F964D4" w14:paraId="36868963" w14:textId="371085F2" w:rsidTr="009E7A22">
        <w:tc>
          <w:tcPr>
            <w:tcW w:w="4094" w:type="dxa"/>
            <w:shd w:val="clear" w:color="auto" w:fill="auto"/>
          </w:tcPr>
          <w:p w14:paraId="0F757B32" w14:textId="77777777" w:rsidR="009E7A22" w:rsidRPr="00F964D4" w:rsidRDefault="009E7A22" w:rsidP="00A21877">
            <w:r w:rsidRPr="00F964D4">
              <w:t>Amoxicillin</w:t>
            </w:r>
          </w:p>
        </w:tc>
        <w:tc>
          <w:tcPr>
            <w:tcW w:w="1713" w:type="dxa"/>
          </w:tcPr>
          <w:p w14:paraId="2903F060" w14:textId="77777777" w:rsidR="009E7A22" w:rsidRDefault="009E7A22" w:rsidP="00A21877">
            <w:r>
              <w:t>21</w:t>
            </w:r>
          </w:p>
        </w:tc>
        <w:tc>
          <w:tcPr>
            <w:tcW w:w="1663" w:type="dxa"/>
          </w:tcPr>
          <w:p w14:paraId="17296A18" w14:textId="77777777" w:rsidR="009E7A22" w:rsidRDefault="009E7A22" w:rsidP="00A21877">
            <w:r>
              <w:t>14</w:t>
            </w:r>
          </w:p>
        </w:tc>
        <w:tc>
          <w:tcPr>
            <w:tcW w:w="1880" w:type="dxa"/>
          </w:tcPr>
          <w:p w14:paraId="0FEF54DE" w14:textId="77777777" w:rsidR="009E7A22" w:rsidRDefault="009E7A22" w:rsidP="00A21877"/>
        </w:tc>
      </w:tr>
      <w:tr w:rsidR="009E7A22" w:rsidRPr="00F964D4" w14:paraId="703DED1B" w14:textId="6B97906D" w:rsidTr="009E7A22">
        <w:tc>
          <w:tcPr>
            <w:tcW w:w="4094" w:type="dxa"/>
            <w:shd w:val="clear" w:color="auto" w:fill="D9E2F3" w:themeFill="accent5" w:themeFillTint="33"/>
          </w:tcPr>
          <w:p w14:paraId="62515C13" w14:textId="77777777" w:rsidR="009E7A22" w:rsidRPr="00F964D4" w:rsidRDefault="009E7A22" w:rsidP="00A21877">
            <w:r w:rsidRPr="00F964D4">
              <w:t>Azithromycin</w:t>
            </w:r>
          </w:p>
        </w:tc>
        <w:tc>
          <w:tcPr>
            <w:tcW w:w="1713" w:type="dxa"/>
            <w:shd w:val="clear" w:color="auto" w:fill="D9E2F3" w:themeFill="accent5" w:themeFillTint="33"/>
          </w:tcPr>
          <w:p w14:paraId="66463F2F" w14:textId="77777777" w:rsidR="009E7A22" w:rsidRDefault="009E7A22" w:rsidP="00A21877">
            <w:r>
              <w:t>3</w:t>
            </w:r>
          </w:p>
        </w:tc>
        <w:tc>
          <w:tcPr>
            <w:tcW w:w="1663" w:type="dxa"/>
            <w:shd w:val="clear" w:color="auto" w:fill="D9E2F3" w:themeFill="accent5" w:themeFillTint="33"/>
          </w:tcPr>
          <w:p w14:paraId="2FF2D8B3" w14:textId="77777777" w:rsidR="009E7A22" w:rsidRDefault="009E7A22" w:rsidP="00A21877">
            <w:r>
              <w:t>2</w:t>
            </w:r>
          </w:p>
        </w:tc>
        <w:tc>
          <w:tcPr>
            <w:tcW w:w="1880" w:type="dxa"/>
            <w:shd w:val="clear" w:color="auto" w:fill="D9E2F3" w:themeFill="accent5" w:themeFillTint="33"/>
          </w:tcPr>
          <w:p w14:paraId="308CA640" w14:textId="77777777" w:rsidR="009E7A22" w:rsidRDefault="009E7A22" w:rsidP="00A21877"/>
        </w:tc>
      </w:tr>
      <w:tr w:rsidR="009E7A22" w:rsidRPr="00F964D4" w14:paraId="51431860" w14:textId="1ED2BA72" w:rsidTr="009E7A22">
        <w:tc>
          <w:tcPr>
            <w:tcW w:w="4094" w:type="dxa"/>
          </w:tcPr>
          <w:p w14:paraId="12BE2098" w14:textId="77777777" w:rsidR="009E7A22" w:rsidRPr="00F964D4" w:rsidRDefault="009E7A22" w:rsidP="00A21877">
            <w:r w:rsidRPr="00F964D4">
              <w:t>Clarithromycin</w:t>
            </w:r>
          </w:p>
        </w:tc>
        <w:tc>
          <w:tcPr>
            <w:tcW w:w="1713" w:type="dxa"/>
          </w:tcPr>
          <w:p w14:paraId="22F51D65" w14:textId="77777777" w:rsidR="009E7A22" w:rsidRDefault="009E7A22" w:rsidP="00A21877">
            <w:r>
              <w:t>2</w:t>
            </w:r>
          </w:p>
        </w:tc>
        <w:tc>
          <w:tcPr>
            <w:tcW w:w="1663" w:type="dxa"/>
          </w:tcPr>
          <w:p w14:paraId="30756BAE" w14:textId="77777777" w:rsidR="009E7A22" w:rsidRDefault="009E7A22" w:rsidP="00A21877">
            <w:r>
              <w:t>0</w:t>
            </w:r>
          </w:p>
        </w:tc>
        <w:tc>
          <w:tcPr>
            <w:tcW w:w="1880" w:type="dxa"/>
          </w:tcPr>
          <w:p w14:paraId="15476F0C" w14:textId="77777777" w:rsidR="009E7A22" w:rsidRDefault="009E7A22" w:rsidP="00A21877"/>
        </w:tc>
      </w:tr>
      <w:tr w:rsidR="009E7A22" w:rsidRPr="00F964D4" w14:paraId="7BA90F17" w14:textId="707BEBB5" w:rsidTr="009E7A22">
        <w:tc>
          <w:tcPr>
            <w:tcW w:w="4094" w:type="dxa"/>
            <w:shd w:val="clear" w:color="auto" w:fill="D9E2F3" w:themeFill="accent5" w:themeFillTint="33"/>
          </w:tcPr>
          <w:p w14:paraId="160B014E" w14:textId="77777777" w:rsidR="009E7A22" w:rsidRPr="00F964D4" w:rsidRDefault="009E7A22" w:rsidP="00A21877">
            <w:r w:rsidRPr="00F964D4">
              <w:t>Co-amoxiclav</w:t>
            </w:r>
          </w:p>
        </w:tc>
        <w:tc>
          <w:tcPr>
            <w:tcW w:w="1713" w:type="dxa"/>
            <w:shd w:val="clear" w:color="auto" w:fill="D9E2F3" w:themeFill="accent5" w:themeFillTint="33"/>
          </w:tcPr>
          <w:p w14:paraId="3F3DCC6D" w14:textId="77777777" w:rsidR="009E7A22" w:rsidRDefault="009E7A22" w:rsidP="00A21877">
            <w:r>
              <w:t>28</w:t>
            </w:r>
          </w:p>
        </w:tc>
        <w:tc>
          <w:tcPr>
            <w:tcW w:w="1663" w:type="dxa"/>
            <w:shd w:val="clear" w:color="auto" w:fill="D9E2F3" w:themeFill="accent5" w:themeFillTint="33"/>
          </w:tcPr>
          <w:p w14:paraId="40D84930" w14:textId="77777777" w:rsidR="009E7A22" w:rsidRDefault="009E7A22" w:rsidP="00A21877">
            <w:r>
              <w:t>17</w:t>
            </w:r>
          </w:p>
        </w:tc>
        <w:tc>
          <w:tcPr>
            <w:tcW w:w="1880" w:type="dxa"/>
            <w:shd w:val="clear" w:color="auto" w:fill="D9E2F3" w:themeFill="accent5" w:themeFillTint="33"/>
          </w:tcPr>
          <w:p w14:paraId="5D0E827A" w14:textId="77777777" w:rsidR="009E7A22" w:rsidRDefault="009E7A22" w:rsidP="00A21877"/>
        </w:tc>
      </w:tr>
      <w:tr w:rsidR="009E7A22" w:rsidRPr="00F964D4" w14:paraId="4DBE0A1F" w14:textId="10B068C0" w:rsidTr="009E7A22">
        <w:tc>
          <w:tcPr>
            <w:tcW w:w="4094" w:type="dxa"/>
          </w:tcPr>
          <w:p w14:paraId="1FB4CEB5" w14:textId="77777777" w:rsidR="009E7A22" w:rsidRPr="00F964D4" w:rsidRDefault="009E7A22" w:rsidP="00A21877">
            <w:r w:rsidRPr="00F964D4">
              <w:t>Flucloxacillin</w:t>
            </w:r>
            <w:r>
              <w:t xml:space="preserve"> (skin infection)</w:t>
            </w:r>
          </w:p>
        </w:tc>
        <w:tc>
          <w:tcPr>
            <w:tcW w:w="1713" w:type="dxa"/>
          </w:tcPr>
          <w:p w14:paraId="766AB836" w14:textId="77777777" w:rsidR="009E7A22" w:rsidRDefault="009E7A22" w:rsidP="00A21877">
            <w:r>
              <w:t>2</w:t>
            </w:r>
          </w:p>
        </w:tc>
        <w:tc>
          <w:tcPr>
            <w:tcW w:w="1663" w:type="dxa"/>
          </w:tcPr>
          <w:p w14:paraId="7729F43D" w14:textId="77777777" w:rsidR="009E7A22" w:rsidRDefault="009E7A22" w:rsidP="00A21877">
            <w:r>
              <w:t>1</w:t>
            </w:r>
          </w:p>
        </w:tc>
        <w:tc>
          <w:tcPr>
            <w:tcW w:w="1880" w:type="dxa"/>
          </w:tcPr>
          <w:p w14:paraId="5AAF4CD7" w14:textId="77777777" w:rsidR="009E7A22" w:rsidRDefault="009E7A22" w:rsidP="00A21877"/>
        </w:tc>
      </w:tr>
      <w:tr w:rsidR="009E7A22" w:rsidRPr="00F964D4" w14:paraId="278F4550" w14:textId="1223ABB3" w:rsidTr="009E7A22">
        <w:tc>
          <w:tcPr>
            <w:tcW w:w="4094" w:type="dxa"/>
            <w:shd w:val="clear" w:color="auto" w:fill="D9E2F3" w:themeFill="accent5" w:themeFillTint="33"/>
          </w:tcPr>
          <w:p w14:paraId="0E972A52" w14:textId="77777777" w:rsidR="009E7A22" w:rsidRPr="00F964D4" w:rsidRDefault="009E7A22" w:rsidP="00A21877">
            <w:r>
              <w:t>Penicillin (tonsilitis)</w:t>
            </w:r>
          </w:p>
        </w:tc>
        <w:tc>
          <w:tcPr>
            <w:tcW w:w="1713" w:type="dxa"/>
            <w:shd w:val="clear" w:color="auto" w:fill="D9E2F3" w:themeFill="accent5" w:themeFillTint="33"/>
          </w:tcPr>
          <w:p w14:paraId="583F4435" w14:textId="77777777" w:rsidR="009E7A22" w:rsidRDefault="009E7A22" w:rsidP="00A21877">
            <w:r>
              <w:t>1</w:t>
            </w:r>
          </w:p>
        </w:tc>
        <w:tc>
          <w:tcPr>
            <w:tcW w:w="1663" w:type="dxa"/>
            <w:shd w:val="clear" w:color="auto" w:fill="D9E2F3" w:themeFill="accent5" w:themeFillTint="33"/>
          </w:tcPr>
          <w:p w14:paraId="0E289CD8" w14:textId="77777777" w:rsidR="009E7A22" w:rsidRDefault="009E7A22" w:rsidP="00A21877">
            <w:r>
              <w:t>2</w:t>
            </w:r>
          </w:p>
        </w:tc>
        <w:tc>
          <w:tcPr>
            <w:tcW w:w="1880" w:type="dxa"/>
            <w:shd w:val="clear" w:color="auto" w:fill="D9E2F3" w:themeFill="accent5" w:themeFillTint="33"/>
          </w:tcPr>
          <w:p w14:paraId="7D7EB276" w14:textId="77777777" w:rsidR="009E7A22" w:rsidRDefault="009E7A22" w:rsidP="00A21877"/>
        </w:tc>
      </w:tr>
      <w:tr w:rsidR="009E7A22" w:rsidRPr="00F964D4" w14:paraId="4DCD0CCB" w14:textId="0091612A" w:rsidTr="009E7A22">
        <w:tc>
          <w:tcPr>
            <w:tcW w:w="4094" w:type="dxa"/>
          </w:tcPr>
          <w:p w14:paraId="3E62D791" w14:textId="77777777" w:rsidR="009E7A22" w:rsidRDefault="009E7A22" w:rsidP="00A21877">
            <w:r>
              <w:t>Trimethoprim (UTI)</w:t>
            </w:r>
          </w:p>
        </w:tc>
        <w:tc>
          <w:tcPr>
            <w:tcW w:w="1713" w:type="dxa"/>
          </w:tcPr>
          <w:p w14:paraId="70F4B6C8" w14:textId="77777777" w:rsidR="009E7A22" w:rsidRDefault="009E7A22" w:rsidP="00A21877">
            <w:r>
              <w:t>0</w:t>
            </w:r>
          </w:p>
        </w:tc>
        <w:tc>
          <w:tcPr>
            <w:tcW w:w="1663" w:type="dxa"/>
          </w:tcPr>
          <w:p w14:paraId="77150014" w14:textId="77777777" w:rsidR="009E7A22" w:rsidRDefault="009E7A22" w:rsidP="00A21877">
            <w:r>
              <w:t>0</w:t>
            </w:r>
          </w:p>
        </w:tc>
        <w:tc>
          <w:tcPr>
            <w:tcW w:w="1880" w:type="dxa"/>
          </w:tcPr>
          <w:p w14:paraId="64494B51" w14:textId="77777777" w:rsidR="009E7A22" w:rsidRDefault="009E7A22" w:rsidP="00A21877"/>
        </w:tc>
      </w:tr>
      <w:tr w:rsidR="009E7A22" w:rsidRPr="00F964D4" w14:paraId="72377342" w14:textId="6ADB5211" w:rsidTr="009E7A22">
        <w:tc>
          <w:tcPr>
            <w:tcW w:w="4094" w:type="dxa"/>
            <w:shd w:val="clear" w:color="auto" w:fill="auto"/>
          </w:tcPr>
          <w:p w14:paraId="4E709A17" w14:textId="77777777" w:rsidR="009E7A22" w:rsidRPr="00F964D4" w:rsidRDefault="009E7A22" w:rsidP="00A21877">
            <w:r w:rsidRPr="00F964D4">
              <w:t xml:space="preserve">Total </w:t>
            </w:r>
            <w:r>
              <w:t xml:space="preserve">acute </w:t>
            </w:r>
            <w:r w:rsidRPr="00F964D4">
              <w:t>antibiotic during study</w:t>
            </w:r>
            <w:r>
              <w:t>*</w:t>
            </w:r>
          </w:p>
        </w:tc>
        <w:tc>
          <w:tcPr>
            <w:tcW w:w="1713" w:type="dxa"/>
          </w:tcPr>
          <w:p w14:paraId="50D45619" w14:textId="77777777" w:rsidR="009E7A22" w:rsidRDefault="009E7A22" w:rsidP="00A21877">
            <w:r>
              <w:t>57</w:t>
            </w:r>
          </w:p>
        </w:tc>
        <w:tc>
          <w:tcPr>
            <w:tcW w:w="1663" w:type="dxa"/>
          </w:tcPr>
          <w:p w14:paraId="7CF7CC94" w14:textId="77777777" w:rsidR="009E7A22" w:rsidRDefault="009E7A22" w:rsidP="00A21877">
            <w:r>
              <w:t>36</w:t>
            </w:r>
          </w:p>
        </w:tc>
        <w:tc>
          <w:tcPr>
            <w:tcW w:w="1880" w:type="dxa"/>
          </w:tcPr>
          <w:p w14:paraId="7AE85434" w14:textId="77777777" w:rsidR="009E7A22" w:rsidRDefault="009E7A22" w:rsidP="00A21877"/>
        </w:tc>
      </w:tr>
      <w:tr w:rsidR="009E7A22" w:rsidRPr="00F964D4" w14:paraId="67BD0BC8" w14:textId="3DF33CD0" w:rsidTr="009E7A22">
        <w:tc>
          <w:tcPr>
            <w:tcW w:w="4094" w:type="dxa"/>
            <w:shd w:val="clear" w:color="auto" w:fill="4BD0FF"/>
          </w:tcPr>
          <w:p w14:paraId="544D923A" w14:textId="77777777" w:rsidR="009E7A22" w:rsidRPr="00F964D4" w:rsidRDefault="009E7A22" w:rsidP="00A21877">
            <w:r>
              <w:t>Total antibiotics for presumed respiratory tract infections</w:t>
            </w:r>
          </w:p>
        </w:tc>
        <w:tc>
          <w:tcPr>
            <w:tcW w:w="1713" w:type="dxa"/>
            <w:shd w:val="clear" w:color="auto" w:fill="4BD0FF"/>
          </w:tcPr>
          <w:p w14:paraId="3EEFA099" w14:textId="77777777" w:rsidR="009E7A22" w:rsidRDefault="009E7A22" w:rsidP="00A21877">
            <w:r>
              <w:t>54</w:t>
            </w:r>
          </w:p>
        </w:tc>
        <w:tc>
          <w:tcPr>
            <w:tcW w:w="1663" w:type="dxa"/>
            <w:shd w:val="clear" w:color="auto" w:fill="4BD0FF"/>
          </w:tcPr>
          <w:p w14:paraId="09F0EC25" w14:textId="77777777" w:rsidR="009E7A22" w:rsidRDefault="009E7A22" w:rsidP="00A21877">
            <w:r>
              <w:t>33</w:t>
            </w:r>
          </w:p>
        </w:tc>
        <w:tc>
          <w:tcPr>
            <w:tcW w:w="1880" w:type="dxa"/>
            <w:shd w:val="clear" w:color="auto" w:fill="4BD0FF"/>
          </w:tcPr>
          <w:p w14:paraId="3770BD06" w14:textId="2EFA30FC" w:rsidR="009E7A22" w:rsidRDefault="009E7A22" w:rsidP="00A21877">
            <w:r>
              <w:t>p = 0.15</w:t>
            </w:r>
          </w:p>
        </w:tc>
      </w:tr>
      <w:tr w:rsidR="009E7A22" w:rsidRPr="00F964D4" w14:paraId="7CF90B6B" w14:textId="7B105143" w:rsidTr="009E7A22">
        <w:tc>
          <w:tcPr>
            <w:tcW w:w="4094" w:type="dxa"/>
          </w:tcPr>
          <w:p w14:paraId="5A79DD7C" w14:textId="77777777" w:rsidR="009E7A22" w:rsidRPr="00F964D4" w:rsidRDefault="009E7A22" w:rsidP="00A21877">
            <w:r w:rsidRPr="00F964D4">
              <w:t>Total courses of antibiotics &gt; 2 weeks</w:t>
            </w:r>
          </w:p>
        </w:tc>
        <w:tc>
          <w:tcPr>
            <w:tcW w:w="1713" w:type="dxa"/>
          </w:tcPr>
          <w:p w14:paraId="1032B21F" w14:textId="77777777" w:rsidR="009E7A22" w:rsidRDefault="009E7A22" w:rsidP="00A21877">
            <w:r>
              <w:t>19</w:t>
            </w:r>
          </w:p>
        </w:tc>
        <w:tc>
          <w:tcPr>
            <w:tcW w:w="1663" w:type="dxa"/>
          </w:tcPr>
          <w:p w14:paraId="03E7FB19" w14:textId="77777777" w:rsidR="009E7A22" w:rsidRDefault="009E7A22" w:rsidP="00A21877">
            <w:r>
              <w:t>11*</w:t>
            </w:r>
          </w:p>
        </w:tc>
        <w:tc>
          <w:tcPr>
            <w:tcW w:w="1880" w:type="dxa"/>
          </w:tcPr>
          <w:p w14:paraId="3C0A7F7C" w14:textId="1C32F546" w:rsidR="009E7A22" w:rsidRDefault="009E7A22" w:rsidP="00A21877">
            <w:r>
              <w:t>p = 0.33</w:t>
            </w:r>
          </w:p>
        </w:tc>
      </w:tr>
    </w:tbl>
    <w:p w14:paraId="387CDBE7" w14:textId="61605111" w:rsidR="00F76F3A" w:rsidRDefault="00F76F3A" w:rsidP="001A5A1C"/>
    <w:p w14:paraId="4712D975" w14:textId="77777777" w:rsidR="00845017" w:rsidRDefault="00845017" w:rsidP="001A5A1C"/>
    <w:p w14:paraId="4BB08EBC" w14:textId="467539A2" w:rsidR="007D3BCF" w:rsidRPr="00845017" w:rsidRDefault="007D3BCF" w:rsidP="0064056D">
      <w:pPr>
        <w:spacing w:line="276" w:lineRule="auto"/>
        <w:ind w:left="576" w:hanging="576"/>
        <w:rPr>
          <w:i/>
          <w:iCs/>
        </w:rPr>
      </w:pPr>
      <w:r w:rsidRPr="00845017">
        <w:rPr>
          <w:i/>
          <w:iCs/>
        </w:rPr>
        <w:t xml:space="preserve">* </w:t>
      </w:r>
      <w:r w:rsidR="00845017">
        <w:rPr>
          <w:i/>
          <w:iCs/>
        </w:rPr>
        <w:tab/>
      </w:r>
      <w:r w:rsidRPr="00845017">
        <w:rPr>
          <w:i/>
          <w:iCs/>
        </w:rPr>
        <w:t xml:space="preserve">7 courses prescribed whilst not on azithromycin prophylaxis. 4 courses prescribed to A15 whilst taking long-term antibiotics, initially azithromycin but changed to co-trimoxazole. </w:t>
      </w:r>
    </w:p>
    <w:bookmarkEnd w:id="232"/>
    <w:p w14:paraId="5B4B7F93" w14:textId="0471605D" w:rsidR="00982FE0" w:rsidRDefault="00982FE0" w:rsidP="00845017">
      <w:pPr>
        <w:spacing w:line="360" w:lineRule="auto"/>
      </w:pPr>
    </w:p>
    <w:p w14:paraId="0C8A79D3" w14:textId="6A7F179E" w:rsidR="00DB069C" w:rsidRDefault="00DB069C" w:rsidP="00845017">
      <w:pPr>
        <w:spacing w:line="360" w:lineRule="auto"/>
        <w:rPr>
          <w:rFonts w:cstheme="minorHAnsi"/>
        </w:rPr>
      </w:pPr>
      <w:r>
        <w:t xml:space="preserve">Overall, these data showed our cohorts were well-matched, with those in the combined </w:t>
      </w:r>
      <w:r w:rsidRPr="001D04B2">
        <w:t>azithromycin group</w:t>
      </w:r>
      <w:r>
        <w:t>s</w:t>
      </w:r>
      <w:r w:rsidRPr="001D04B2">
        <w:t xml:space="preserve"> at baseline </w:t>
      </w:r>
      <w:r>
        <w:t xml:space="preserve">having </w:t>
      </w:r>
      <w:r w:rsidRPr="001D04B2">
        <w:t xml:space="preserve">been prescribed more courses of antibiotics </w:t>
      </w:r>
      <w:r>
        <w:t xml:space="preserve">prior to study commencement </w:t>
      </w:r>
      <w:r w:rsidRPr="001D04B2">
        <w:t xml:space="preserve">than those in the </w:t>
      </w:r>
      <w:r>
        <w:t xml:space="preserve">combined </w:t>
      </w:r>
      <w:r w:rsidRPr="001D04B2">
        <w:t>comparison group</w:t>
      </w:r>
      <w:r>
        <w:t xml:space="preserve">s. There were </w:t>
      </w:r>
      <w:r>
        <w:rPr>
          <w:rFonts w:cstheme="minorHAnsi"/>
        </w:rPr>
        <w:t>significantly fewer bacterial isolates in total from swabs obtained from PBB patients in the combined azithromycin than the combined comparison groups, other comparisons did not reach significance (perhaps due to the limited sample size</w:t>
      </w:r>
      <w:r w:rsidR="002674A7">
        <w:rPr>
          <w:rFonts w:cstheme="minorHAnsi"/>
        </w:rPr>
        <w:t>)</w:t>
      </w:r>
      <w:r>
        <w:rPr>
          <w:rFonts w:cstheme="minorHAnsi"/>
        </w:rPr>
        <w:t xml:space="preserve">. The most notable finding from PBB studies 1 and 2 was the high level of apparent azithromycin resistance in </w:t>
      </w:r>
      <w:r w:rsidRPr="0064056D">
        <w:rPr>
          <w:rFonts w:cstheme="minorHAnsi"/>
          <w:i/>
          <w:iCs/>
        </w:rPr>
        <w:t>S. pneumoniae</w:t>
      </w:r>
      <w:r>
        <w:rPr>
          <w:rFonts w:cstheme="minorHAnsi"/>
        </w:rPr>
        <w:t xml:space="preserve"> isolates</w:t>
      </w:r>
      <w:r w:rsidR="002674A7">
        <w:rPr>
          <w:rFonts w:cstheme="minorHAnsi"/>
        </w:rPr>
        <w:t xml:space="preserve"> in all cohorts</w:t>
      </w:r>
      <w:r>
        <w:rPr>
          <w:rFonts w:cstheme="minorHAnsi"/>
        </w:rPr>
        <w:t xml:space="preserve">, and a decision was made to interrogate this further. </w:t>
      </w:r>
    </w:p>
    <w:p w14:paraId="2243DA58" w14:textId="77777777" w:rsidR="00DB069C" w:rsidRDefault="00DB069C" w:rsidP="00845017">
      <w:pPr>
        <w:spacing w:line="360" w:lineRule="auto"/>
      </w:pPr>
    </w:p>
    <w:p w14:paraId="4632B474" w14:textId="30D6177C" w:rsidR="00C6611B" w:rsidRDefault="00996E10" w:rsidP="004F3338">
      <w:pPr>
        <w:pStyle w:val="Heading2"/>
      </w:pPr>
      <w:bookmarkStart w:id="251" w:name="_Toc117765993"/>
      <w:r w:rsidRPr="00FC43D8">
        <w:t xml:space="preserve">PBB study 3: </w:t>
      </w:r>
      <w:r w:rsidR="000C19A9" w:rsidRPr="00FC43D8">
        <w:t xml:space="preserve">Extended </w:t>
      </w:r>
      <w:r w:rsidR="00C46148" w:rsidRPr="00FC43D8">
        <w:t xml:space="preserve">antibiotic resistance testing </w:t>
      </w:r>
      <w:r w:rsidR="000F4748" w:rsidRPr="00FC43D8">
        <w:t>of bacterial isolates</w:t>
      </w:r>
      <w:bookmarkEnd w:id="251"/>
    </w:p>
    <w:p w14:paraId="4AAEB156" w14:textId="2C335250" w:rsidR="00C6611B" w:rsidRDefault="00C6611B" w:rsidP="00845017">
      <w:pPr>
        <w:spacing w:line="360" w:lineRule="auto"/>
      </w:pPr>
      <w:r w:rsidRPr="00C6611B">
        <w:t>In PBB stud</w:t>
      </w:r>
      <w:r>
        <w:t>ies 1</w:t>
      </w:r>
      <w:r w:rsidRPr="00C6611B">
        <w:t xml:space="preserve"> and 2</w:t>
      </w:r>
      <w:r w:rsidR="008E3DFA">
        <w:t>,</w:t>
      </w:r>
      <w:r w:rsidRPr="00C6611B">
        <w:t xml:space="preserve"> baseline azithromycin resistance</w:t>
      </w:r>
      <w:r w:rsidR="008E3DFA">
        <w:t xml:space="preserve"> </w:t>
      </w:r>
      <w:r>
        <w:t xml:space="preserve">of bacteria isolated from DNPS </w:t>
      </w:r>
      <w:r w:rsidRPr="00C6611B">
        <w:t>was markedly higher than expected</w:t>
      </w:r>
      <w:r w:rsidR="00BF5D3D">
        <w:t xml:space="preserve">, a surprising and </w:t>
      </w:r>
      <w:r w:rsidR="00DB069C">
        <w:t xml:space="preserve">potentially </w:t>
      </w:r>
      <w:r w:rsidR="00BF5D3D">
        <w:t>concerning observation</w:t>
      </w:r>
      <w:r w:rsidR="008E3DFA">
        <w:t xml:space="preserve">. Similar rates of resistant bacteria were seen throughout the study period in both groups and predominantly </w:t>
      </w:r>
      <w:r w:rsidR="00BF5D3D">
        <w:t>attributable to</w:t>
      </w:r>
      <w:r w:rsidR="008E3DFA">
        <w:t xml:space="preserve"> azithromycin resistant </w:t>
      </w:r>
      <w:r w:rsidR="008E3DFA" w:rsidRPr="008E3DFA">
        <w:rPr>
          <w:i/>
          <w:iCs/>
        </w:rPr>
        <w:t>S. pneumoniae</w:t>
      </w:r>
      <w:r w:rsidR="008E3DFA">
        <w:t xml:space="preserve">. Given the </w:t>
      </w:r>
      <w:r w:rsidR="00C46148">
        <w:t>unexpected</w:t>
      </w:r>
      <w:r w:rsidR="00DB069C">
        <w:t>ly high</w:t>
      </w:r>
      <w:r w:rsidR="008E3DFA">
        <w:t xml:space="preserve"> </w:t>
      </w:r>
      <w:r w:rsidR="00BF5D3D">
        <w:t>resistance rate</w:t>
      </w:r>
      <w:r w:rsidR="008E3DFA">
        <w:t xml:space="preserve">, the frozen </w:t>
      </w:r>
      <w:r w:rsidR="00C46148">
        <w:t>isolates</w:t>
      </w:r>
      <w:r w:rsidR="008E3DFA">
        <w:t xml:space="preserve"> were re</w:t>
      </w:r>
      <w:r w:rsidR="00C46148">
        <w:t>-</w:t>
      </w:r>
      <w:r w:rsidR="008E3DFA">
        <w:t>cultured and tes</w:t>
      </w:r>
      <w:r w:rsidR="00C46148">
        <w:t>ted</w:t>
      </w:r>
      <w:r w:rsidR="008E3DFA">
        <w:t xml:space="preserve"> against an extended </w:t>
      </w:r>
      <w:r w:rsidR="00C46148">
        <w:t>antibiotic</w:t>
      </w:r>
      <w:r w:rsidR="008E3DFA">
        <w:t xml:space="preserve"> panel for </w:t>
      </w:r>
      <w:r w:rsidR="00BF5D3D">
        <w:t xml:space="preserve">antibiotic </w:t>
      </w:r>
      <w:r w:rsidR="008E3DFA">
        <w:t xml:space="preserve">susceptibility. </w:t>
      </w:r>
    </w:p>
    <w:p w14:paraId="699AA45A" w14:textId="0C5A3658" w:rsidR="00B16BFB" w:rsidRPr="00C46148" w:rsidRDefault="00C46148" w:rsidP="00752DA8">
      <w:pPr>
        <w:pStyle w:val="Heading3"/>
      </w:pPr>
      <w:bookmarkStart w:id="252" w:name="_Toc117765994"/>
      <w:r w:rsidRPr="00C46148">
        <w:lastRenderedPageBreak/>
        <w:t>Phenotypic susceptibility testing</w:t>
      </w:r>
      <w:bookmarkEnd w:id="252"/>
    </w:p>
    <w:p w14:paraId="670E2079" w14:textId="29965F10" w:rsidR="000F4748" w:rsidRDefault="000F4748" w:rsidP="00845017">
      <w:pPr>
        <w:spacing w:line="360" w:lineRule="auto"/>
      </w:pPr>
      <w:r>
        <w:t>Of the 167 bacterial isolates from PBB studies 1 and 2, 159 were previously tested for azithromycin susceptibility using E</w:t>
      </w:r>
      <w:r w:rsidR="00F30E37">
        <w:t>-</w:t>
      </w:r>
      <w:r>
        <w:t>test strips (8 isolates were not tested due to laboratory errors). Of these 159 isolates, 100 (63%) were</w:t>
      </w:r>
      <w:r w:rsidR="00DB069C">
        <w:t xml:space="preserve"> classed</w:t>
      </w:r>
      <w:r>
        <w:t xml:space="preserve"> resistant to azithromycin.  95% of the </w:t>
      </w:r>
      <w:r w:rsidRPr="00845017">
        <w:rPr>
          <w:i/>
          <w:iCs/>
        </w:rPr>
        <w:t>S. pneumoniae</w:t>
      </w:r>
      <w:r>
        <w:t xml:space="preserve"> isolates (55 of 58), 38% of the </w:t>
      </w:r>
      <w:r w:rsidRPr="00845017">
        <w:rPr>
          <w:i/>
          <w:iCs/>
        </w:rPr>
        <w:t>H. influenzae</w:t>
      </w:r>
      <w:r>
        <w:t xml:space="preserve"> isolates (23 of 61), 32% of the </w:t>
      </w:r>
      <w:r w:rsidRPr="00845017">
        <w:rPr>
          <w:i/>
          <w:iCs/>
        </w:rPr>
        <w:t>M. catarrhalis</w:t>
      </w:r>
      <w:r>
        <w:t xml:space="preserve"> isolates (11 of 34) and 79% of the </w:t>
      </w:r>
      <w:r w:rsidRPr="00845017">
        <w:rPr>
          <w:i/>
          <w:iCs/>
        </w:rPr>
        <w:t>S. aureus</w:t>
      </w:r>
      <w:r>
        <w:t xml:space="preserve"> isolates (11 of 14) were </w:t>
      </w:r>
      <w:r w:rsidR="00DB069C">
        <w:t xml:space="preserve">categorised as </w:t>
      </w:r>
      <w:r>
        <w:t>resistant to azithromycin</w:t>
      </w:r>
      <w:r w:rsidR="00B73192">
        <w:t xml:space="preserve"> </w:t>
      </w:r>
      <w:r w:rsidR="000F4A2A" w:rsidRPr="000F4A2A">
        <w:rPr>
          <w:highlight w:val="yellow"/>
        </w:rPr>
        <w:fldChar w:fldCharType="begin"/>
      </w:r>
      <w:r w:rsidR="000F4A2A" w:rsidRPr="000F4A2A">
        <w:instrText xml:space="preserve"> REF _Ref105509718 \h </w:instrText>
      </w:r>
      <w:r w:rsidR="000F4A2A" w:rsidRPr="000F4A2A">
        <w:rPr>
          <w:highlight w:val="yellow"/>
        </w:rPr>
        <w:instrText xml:space="preserve"> \* MERGEFORMAT </w:instrText>
      </w:r>
      <w:r w:rsidR="000F4A2A" w:rsidRPr="000F4A2A">
        <w:rPr>
          <w:highlight w:val="yellow"/>
        </w:rPr>
      </w:r>
      <w:r w:rsidR="000F4A2A" w:rsidRPr="000F4A2A">
        <w:rPr>
          <w:highlight w:val="yellow"/>
        </w:rPr>
        <w:fldChar w:fldCharType="separate"/>
      </w:r>
      <w:r w:rsidR="000F4A2A" w:rsidRPr="000F4A2A">
        <w:t xml:space="preserve">Figure </w:t>
      </w:r>
      <w:r w:rsidR="000F4A2A" w:rsidRPr="000F4A2A">
        <w:rPr>
          <w:noProof/>
        </w:rPr>
        <w:t>4</w:t>
      </w:r>
      <w:r w:rsidR="000F4A2A" w:rsidRPr="000F4A2A">
        <w:noBreakHyphen/>
      </w:r>
      <w:r w:rsidR="000F4A2A" w:rsidRPr="000F4A2A">
        <w:rPr>
          <w:noProof/>
        </w:rPr>
        <w:t>12</w:t>
      </w:r>
      <w:r w:rsidR="000F4A2A" w:rsidRPr="000F4A2A">
        <w:rPr>
          <w:highlight w:val="yellow"/>
        </w:rPr>
        <w:fldChar w:fldCharType="end"/>
      </w:r>
      <w:r w:rsidR="000F4A2A" w:rsidRPr="000F4A2A">
        <w:t>.</w:t>
      </w:r>
    </w:p>
    <w:p w14:paraId="0EE2F82F" w14:textId="4F62C0E4" w:rsidR="00B73192" w:rsidRDefault="00B73192" w:rsidP="000F4748">
      <w:pPr>
        <w:spacing w:line="360" w:lineRule="auto"/>
      </w:pPr>
    </w:p>
    <w:p w14:paraId="0361415C" w14:textId="7BE3954C" w:rsidR="00EA45D1" w:rsidRDefault="00EA45D1" w:rsidP="000F4748">
      <w:pPr>
        <w:spacing w:line="360" w:lineRule="auto"/>
      </w:pPr>
      <w:r>
        <w:t xml:space="preserve">Of the 167 frozen bacterial isolates, </w:t>
      </w:r>
      <w:r w:rsidR="004C5E5C">
        <w:t xml:space="preserve">6 </w:t>
      </w:r>
      <w:r w:rsidR="00B314D6">
        <w:t>could not subsequently</w:t>
      </w:r>
      <w:r w:rsidR="004C5E5C">
        <w:t xml:space="preserve"> be located and </w:t>
      </w:r>
      <w:r w:rsidR="00B314D6">
        <w:t xml:space="preserve">were </w:t>
      </w:r>
      <w:r w:rsidR="004C5E5C">
        <w:t xml:space="preserve">presumed to </w:t>
      </w:r>
      <w:r w:rsidR="00B314D6">
        <w:t xml:space="preserve">have been </w:t>
      </w:r>
      <w:r w:rsidR="00BF5D3D">
        <w:t xml:space="preserve">inadvertently </w:t>
      </w:r>
      <w:r w:rsidR="00B314D6">
        <w:t>discarded</w:t>
      </w:r>
      <w:r w:rsidR="004C5E5C">
        <w:t xml:space="preserve">. </w:t>
      </w:r>
      <w:r w:rsidR="00117E2D">
        <w:t>T</w:t>
      </w:r>
      <w:r w:rsidR="00EE106E">
        <w:t>echnicians at the STH laboratory</w:t>
      </w:r>
      <w:r w:rsidR="00117E2D">
        <w:t xml:space="preserve"> were able to re-culture 150 of </w:t>
      </w:r>
      <w:r w:rsidR="002674A7">
        <w:t xml:space="preserve">the remaining 161 </w:t>
      </w:r>
      <w:r w:rsidR="00117E2D">
        <w:t>isolates</w:t>
      </w:r>
      <w:r w:rsidR="00EE106E" w:rsidRPr="00845017">
        <w:t xml:space="preserve">, </w:t>
      </w:r>
      <w:r w:rsidR="004C5E5C" w:rsidRPr="00845017">
        <w:t xml:space="preserve">see </w:t>
      </w:r>
      <w:r w:rsidR="00845017" w:rsidRPr="00845017">
        <w:fldChar w:fldCharType="begin"/>
      </w:r>
      <w:r w:rsidR="00845017" w:rsidRPr="00845017">
        <w:instrText xml:space="preserve"> REF _Ref105619101 \h  \* MERGEFORMAT </w:instrText>
      </w:r>
      <w:r w:rsidR="00845017" w:rsidRPr="00845017">
        <w:fldChar w:fldCharType="separate"/>
      </w:r>
      <w:r w:rsidR="00845017" w:rsidRPr="00845017">
        <w:rPr>
          <w:color w:val="000000" w:themeColor="text1"/>
        </w:rPr>
        <w:t xml:space="preserve">Tables </w:t>
      </w:r>
      <w:r w:rsidR="00845017" w:rsidRPr="00845017">
        <w:rPr>
          <w:noProof/>
          <w:color w:val="000000" w:themeColor="text1"/>
        </w:rPr>
        <w:t>27</w:t>
      </w:r>
      <w:r w:rsidR="00845017" w:rsidRPr="00845017">
        <w:fldChar w:fldCharType="end"/>
      </w:r>
      <w:r w:rsidR="00845017" w:rsidRPr="00845017">
        <w:t>-30</w:t>
      </w:r>
      <w:r w:rsidR="004C5E5C">
        <w:t xml:space="preserve">. Although 55 of the 58 </w:t>
      </w:r>
      <w:r w:rsidR="004C5E5C" w:rsidRPr="008C7116">
        <w:rPr>
          <w:i/>
          <w:iCs/>
        </w:rPr>
        <w:t>S. pneumoniae</w:t>
      </w:r>
      <w:r w:rsidR="004C5E5C">
        <w:t xml:space="preserve"> isolates were resistant to azithromycin, on testing for erythromycin susceptibility, only 5 were found to be resistant to erythromycin</w:t>
      </w:r>
      <w:r w:rsidR="00EE106E">
        <w:t xml:space="preserve"> on disk diffusion susceptibility testing (zone diameter breakpoint of &lt;19mm)</w:t>
      </w:r>
      <w:r w:rsidR="004C5E5C">
        <w:t xml:space="preserve">. </w:t>
      </w:r>
      <w:r w:rsidR="00D41BB3">
        <w:t xml:space="preserve">Of the 54 </w:t>
      </w:r>
      <w:r w:rsidR="00D41BB3" w:rsidRPr="008C7116">
        <w:rPr>
          <w:i/>
          <w:iCs/>
        </w:rPr>
        <w:t>H. influenzae</w:t>
      </w:r>
      <w:r w:rsidR="00D41BB3">
        <w:t xml:space="preserve"> isolates, 5 were resistant to erythromycin and 12 to ampicillin. Of the </w:t>
      </w:r>
      <w:r w:rsidR="00D41BB3" w:rsidRPr="008C7116">
        <w:rPr>
          <w:i/>
          <w:iCs/>
        </w:rPr>
        <w:t>S. aureus</w:t>
      </w:r>
      <w:r w:rsidR="00D41BB3">
        <w:t xml:space="preserve"> isolates, 2</w:t>
      </w:r>
      <w:r w:rsidR="00B314D6">
        <w:t xml:space="preserve"> were</w:t>
      </w:r>
      <w:r w:rsidR="00D41BB3">
        <w:t xml:space="preserve"> erythromycin resistant</w:t>
      </w:r>
      <w:r w:rsidR="008F6972">
        <w:t xml:space="preserve"> and none were resistant to tetracycline</w:t>
      </w:r>
      <w:r w:rsidR="00D41BB3">
        <w:t xml:space="preserve">. </w:t>
      </w:r>
    </w:p>
    <w:p w14:paraId="5D3175F1" w14:textId="77777777" w:rsidR="00EA45D1" w:rsidRDefault="00EA45D1" w:rsidP="000F4748">
      <w:pPr>
        <w:spacing w:line="360" w:lineRule="auto"/>
      </w:pPr>
    </w:p>
    <w:p w14:paraId="40BB372E" w14:textId="58E53BD0" w:rsidR="005E2E24" w:rsidRPr="005E2E24" w:rsidRDefault="005E2E24" w:rsidP="005E2E24">
      <w:pPr>
        <w:pStyle w:val="Caption"/>
        <w:keepNext/>
        <w:rPr>
          <w:i w:val="0"/>
          <w:iCs w:val="0"/>
          <w:color w:val="000000" w:themeColor="text1"/>
          <w:sz w:val="24"/>
          <w:szCs w:val="24"/>
        </w:rPr>
      </w:pPr>
      <w:bookmarkStart w:id="253" w:name="_Ref105619101"/>
      <w:bookmarkStart w:id="254" w:name="_Toc117780268"/>
      <w:r w:rsidRPr="005E2E24">
        <w:rPr>
          <w:b/>
          <w:bCs/>
          <w:i w:val="0"/>
          <w:iCs w:val="0"/>
          <w:color w:val="000000" w:themeColor="text1"/>
          <w:sz w:val="24"/>
          <w:szCs w:val="24"/>
        </w:rPr>
        <w:t xml:space="preserve">Table </w:t>
      </w:r>
      <w:r w:rsidRPr="005E2E24">
        <w:rPr>
          <w:b/>
          <w:bCs/>
          <w:i w:val="0"/>
          <w:iCs w:val="0"/>
          <w:color w:val="000000" w:themeColor="text1"/>
          <w:sz w:val="24"/>
          <w:szCs w:val="24"/>
        </w:rPr>
        <w:fldChar w:fldCharType="begin"/>
      </w:r>
      <w:r w:rsidRPr="005E2E24">
        <w:rPr>
          <w:b/>
          <w:bCs/>
          <w:i w:val="0"/>
          <w:iCs w:val="0"/>
          <w:color w:val="000000" w:themeColor="text1"/>
          <w:sz w:val="24"/>
          <w:szCs w:val="24"/>
        </w:rPr>
        <w:instrText xml:space="preserve"> SEQ Table \* ARABIC </w:instrText>
      </w:r>
      <w:r w:rsidRPr="005E2E24">
        <w:rPr>
          <w:b/>
          <w:bCs/>
          <w:i w:val="0"/>
          <w:iCs w:val="0"/>
          <w:color w:val="000000" w:themeColor="text1"/>
          <w:sz w:val="24"/>
          <w:szCs w:val="24"/>
        </w:rPr>
        <w:fldChar w:fldCharType="separate"/>
      </w:r>
      <w:r w:rsidR="00592CBF">
        <w:rPr>
          <w:b/>
          <w:bCs/>
          <w:i w:val="0"/>
          <w:iCs w:val="0"/>
          <w:noProof/>
          <w:color w:val="000000" w:themeColor="text1"/>
          <w:sz w:val="24"/>
          <w:szCs w:val="24"/>
        </w:rPr>
        <w:t>27</w:t>
      </w:r>
      <w:r w:rsidRPr="005E2E24">
        <w:rPr>
          <w:b/>
          <w:bCs/>
          <w:i w:val="0"/>
          <w:iCs w:val="0"/>
          <w:color w:val="000000" w:themeColor="text1"/>
          <w:sz w:val="24"/>
          <w:szCs w:val="24"/>
        </w:rPr>
        <w:fldChar w:fldCharType="end"/>
      </w:r>
      <w:bookmarkEnd w:id="253"/>
      <w:r w:rsidRPr="005E2E24">
        <w:rPr>
          <w:i w:val="0"/>
          <w:iCs w:val="0"/>
          <w:color w:val="000000" w:themeColor="text1"/>
          <w:sz w:val="24"/>
          <w:szCs w:val="24"/>
        </w:rPr>
        <w:t xml:space="preserve">: Antibiotic susceptibility of </w:t>
      </w:r>
      <w:r w:rsidRPr="005E2E24">
        <w:rPr>
          <w:color w:val="000000" w:themeColor="text1"/>
          <w:sz w:val="24"/>
          <w:szCs w:val="24"/>
        </w:rPr>
        <w:t>S. pneumoniae</w:t>
      </w:r>
      <w:r w:rsidRPr="005E2E24">
        <w:rPr>
          <w:i w:val="0"/>
          <w:iCs w:val="0"/>
          <w:color w:val="000000" w:themeColor="text1"/>
          <w:sz w:val="24"/>
          <w:szCs w:val="24"/>
        </w:rPr>
        <w:t xml:space="preserve"> isolates</w:t>
      </w:r>
      <w:bookmarkEnd w:id="254"/>
    </w:p>
    <w:tbl>
      <w:tblPr>
        <w:tblStyle w:val="TableGrid"/>
        <w:tblW w:w="10060" w:type="dxa"/>
        <w:tblLayout w:type="fixed"/>
        <w:tblLook w:val="04A0" w:firstRow="1" w:lastRow="0" w:firstColumn="1" w:lastColumn="0" w:noHBand="0" w:noVBand="1"/>
      </w:tblPr>
      <w:tblGrid>
        <w:gridCol w:w="1555"/>
        <w:gridCol w:w="850"/>
        <w:gridCol w:w="1418"/>
        <w:gridCol w:w="1134"/>
        <w:gridCol w:w="1984"/>
        <w:gridCol w:w="1559"/>
        <w:gridCol w:w="1560"/>
      </w:tblGrid>
      <w:tr w:rsidR="009D398B" w:rsidRPr="00886BE6" w14:paraId="23726BB3" w14:textId="77777777" w:rsidTr="00832573">
        <w:tc>
          <w:tcPr>
            <w:tcW w:w="1555" w:type="dxa"/>
            <w:vMerge w:val="restart"/>
          </w:tcPr>
          <w:p w14:paraId="66A00479" w14:textId="0FA2C93C" w:rsidR="009D398B" w:rsidRPr="00886BE6" w:rsidRDefault="009D398B" w:rsidP="00896913">
            <w:pPr>
              <w:rPr>
                <w:rFonts w:ascii="Calibri" w:eastAsia="Calibri" w:hAnsi="Calibri"/>
              </w:rPr>
            </w:pPr>
            <w:r w:rsidRPr="00886BE6">
              <w:rPr>
                <w:rFonts w:ascii="Calibri" w:eastAsia="Calibri" w:hAnsi="Calibri"/>
              </w:rPr>
              <w:t>Bacterial isolate</w:t>
            </w:r>
          </w:p>
        </w:tc>
        <w:tc>
          <w:tcPr>
            <w:tcW w:w="8505" w:type="dxa"/>
            <w:gridSpan w:val="6"/>
          </w:tcPr>
          <w:p w14:paraId="49B0EC9F" w14:textId="4B0FB5B2" w:rsidR="009D398B" w:rsidRDefault="009D398B" w:rsidP="00896913">
            <w:pPr>
              <w:rPr>
                <w:rFonts w:ascii="Calibri" w:eastAsia="Calibri" w:hAnsi="Calibri"/>
              </w:rPr>
            </w:pPr>
            <w:r>
              <w:rPr>
                <w:rFonts w:ascii="Calibri" w:eastAsia="Calibri" w:hAnsi="Calibri"/>
              </w:rPr>
              <w:t>Antibiotic resistance</w:t>
            </w:r>
          </w:p>
        </w:tc>
      </w:tr>
      <w:tr w:rsidR="009D398B" w:rsidRPr="00886BE6" w14:paraId="1DED8770" w14:textId="77777777" w:rsidTr="00832573">
        <w:tc>
          <w:tcPr>
            <w:tcW w:w="1555" w:type="dxa"/>
            <w:vMerge/>
          </w:tcPr>
          <w:p w14:paraId="0711B26A" w14:textId="69C041A2" w:rsidR="009D398B" w:rsidRPr="00886BE6" w:rsidRDefault="009D398B" w:rsidP="00896913">
            <w:pPr>
              <w:rPr>
                <w:rFonts w:ascii="Calibri" w:eastAsia="Calibri" w:hAnsi="Calibri"/>
              </w:rPr>
            </w:pPr>
          </w:p>
        </w:tc>
        <w:tc>
          <w:tcPr>
            <w:tcW w:w="850" w:type="dxa"/>
          </w:tcPr>
          <w:p w14:paraId="71DCC855" w14:textId="77777777" w:rsidR="009D398B" w:rsidRDefault="00832573" w:rsidP="00896913">
            <w:r>
              <w:t>AZM</w:t>
            </w:r>
          </w:p>
          <w:p w14:paraId="3CEF3421" w14:textId="3DFE4B62" w:rsidR="00832573" w:rsidRPr="00886BE6" w:rsidRDefault="00832573" w:rsidP="00896913">
            <w:pPr>
              <w:rPr>
                <w:rFonts w:ascii="Calibri" w:eastAsia="Calibri" w:hAnsi="Calibri"/>
              </w:rPr>
            </w:pPr>
            <w:r>
              <w:t>*</w:t>
            </w:r>
          </w:p>
        </w:tc>
        <w:tc>
          <w:tcPr>
            <w:tcW w:w="1418" w:type="dxa"/>
          </w:tcPr>
          <w:p w14:paraId="1F65E82F" w14:textId="5D53FBF6" w:rsidR="009D398B" w:rsidRPr="00886BE6" w:rsidRDefault="009D398B" w:rsidP="00896913">
            <w:pPr>
              <w:rPr>
                <w:rFonts w:ascii="Calibri" w:eastAsia="Calibri" w:hAnsi="Calibri"/>
              </w:rPr>
            </w:pPr>
            <w:r w:rsidRPr="00886BE6">
              <w:rPr>
                <w:rFonts w:ascii="Calibri" w:eastAsia="Calibri" w:hAnsi="Calibri"/>
              </w:rPr>
              <w:t xml:space="preserve">Tetracycline </w:t>
            </w:r>
          </w:p>
        </w:tc>
        <w:tc>
          <w:tcPr>
            <w:tcW w:w="1134" w:type="dxa"/>
          </w:tcPr>
          <w:p w14:paraId="2389202D" w14:textId="79F5F9D6" w:rsidR="009D398B" w:rsidRPr="00886BE6" w:rsidRDefault="009D398B" w:rsidP="00896913">
            <w:pPr>
              <w:rPr>
                <w:rFonts w:ascii="Calibri" w:eastAsia="Calibri" w:hAnsi="Calibri"/>
              </w:rPr>
            </w:pPr>
            <w:r w:rsidRPr="00886BE6">
              <w:rPr>
                <w:rFonts w:ascii="Calibri" w:eastAsia="Calibri" w:hAnsi="Calibri"/>
              </w:rPr>
              <w:t xml:space="preserve">Oxacillin </w:t>
            </w:r>
          </w:p>
        </w:tc>
        <w:tc>
          <w:tcPr>
            <w:tcW w:w="1984" w:type="dxa"/>
          </w:tcPr>
          <w:p w14:paraId="5EA434AA" w14:textId="77777777" w:rsidR="009D398B" w:rsidRPr="00886BE6" w:rsidRDefault="009D398B" w:rsidP="00896913">
            <w:pPr>
              <w:rPr>
                <w:rFonts w:ascii="Calibri" w:eastAsia="Calibri" w:hAnsi="Calibri"/>
              </w:rPr>
            </w:pPr>
            <w:r w:rsidRPr="00886BE6">
              <w:rPr>
                <w:rFonts w:ascii="Calibri" w:eastAsia="Calibri" w:hAnsi="Calibri"/>
              </w:rPr>
              <w:t>Chloramphen</w:t>
            </w:r>
            <w:r>
              <w:rPr>
                <w:rFonts w:ascii="Calibri" w:eastAsia="Calibri" w:hAnsi="Calibri"/>
              </w:rPr>
              <w:t>icol</w:t>
            </w:r>
          </w:p>
          <w:p w14:paraId="5C854130" w14:textId="6C7E6F0A" w:rsidR="009D398B" w:rsidRPr="00886BE6" w:rsidRDefault="009D398B" w:rsidP="00896913">
            <w:pPr>
              <w:rPr>
                <w:rFonts w:ascii="Calibri" w:eastAsia="Calibri" w:hAnsi="Calibri"/>
              </w:rPr>
            </w:pPr>
          </w:p>
        </w:tc>
        <w:tc>
          <w:tcPr>
            <w:tcW w:w="1559" w:type="dxa"/>
          </w:tcPr>
          <w:p w14:paraId="7F22A9B2" w14:textId="77777777" w:rsidR="009D398B" w:rsidRPr="00886BE6" w:rsidRDefault="009D398B" w:rsidP="00896913">
            <w:pPr>
              <w:rPr>
                <w:rFonts w:ascii="Calibri" w:eastAsia="Calibri" w:hAnsi="Calibri"/>
              </w:rPr>
            </w:pPr>
            <w:r w:rsidRPr="00886BE6">
              <w:rPr>
                <w:rFonts w:ascii="Calibri" w:eastAsia="Calibri" w:hAnsi="Calibri"/>
              </w:rPr>
              <w:t>Erythromycin</w:t>
            </w:r>
          </w:p>
          <w:p w14:paraId="5D79F39E" w14:textId="77777777" w:rsidR="009D398B" w:rsidRPr="00886BE6" w:rsidRDefault="009D398B" w:rsidP="009D398B">
            <w:pPr>
              <w:rPr>
                <w:rFonts w:ascii="Calibri" w:eastAsia="Calibri" w:hAnsi="Calibri"/>
              </w:rPr>
            </w:pPr>
          </w:p>
        </w:tc>
        <w:tc>
          <w:tcPr>
            <w:tcW w:w="1560" w:type="dxa"/>
          </w:tcPr>
          <w:p w14:paraId="2A83D0C9" w14:textId="1CDE5060" w:rsidR="009D398B" w:rsidRPr="00886BE6" w:rsidRDefault="009D398B" w:rsidP="00896913">
            <w:pPr>
              <w:rPr>
                <w:rFonts w:ascii="Calibri" w:eastAsia="Calibri" w:hAnsi="Calibri"/>
              </w:rPr>
            </w:pPr>
            <w:r>
              <w:rPr>
                <w:rFonts w:ascii="Calibri" w:eastAsia="Calibri" w:hAnsi="Calibri"/>
              </w:rPr>
              <w:t xml:space="preserve">Levofloxacin </w:t>
            </w:r>
          </w:p>
        </w:tc>
      </w:tr>
      <w:tr w:rsidR="00386984" w:rsidRPr="00886BE6" w14:paraId="1C1F3FFF" w14:textId="77777777" w:rsidTr="00832573">
        <w:tc>
          <w:tcPr>
            <w:tcW w:w="1555" w:type="dxa"/>
            <w:shd w:val="clear" w:color="auto" w:fill="B4C6E7" w:themeFill="accent5" w:themeFillTint="66"/>
          </w:tcPr>
          <w:p w14:paraId="7C11AA95" w14:textId="77777777" w:rsidR="00386984" w:rsidRDefault="00386984" w:rsidP="00896913">
            <w:pPr>
              <w:rPr>
                <w:rFonts w:ascii="Calibri" w:eastAsia="Calibri" w:hAnsi="Calibri"/>
                <w:i/>
                <w:iCs/>
              </w:rPr>
            </w:pPr>
            <w:r w:rsidRPr="00162908">
              <w:rPr>
                <w:rFonts w:ascii="Calibri" w:eastAsia="Calibri" w:hAnsi="Calibri"/>
                <w:i/>
                <w:iCs/>
              </w:rPr>
              <w:t>S. pneumoniae</w:t>
            </w:r>
          </w:p>
          <w:p w14:paraId="3C71940D" w14:textId="2A3658B8" w:rsidR="00386984" w:rsidRPr="001D04B2" w:rsidRDefault="00386984" w:rsidP="00896913">
            <w:pPr>
              <w:rPr>
                <w:rFonts w:ascii="Calibri" w:eastAsia="Calibri" w:hAnsi="Calibri"/>
              </w:rPr>
            </w:pPr>
            <w:r>
              <w:rPr>
                <w:rFonts w:ascii="Calibri" w:eastAsia="Calibri" w:hAnsi="Calibri"/>
              </w:rPr>
              <w:t>N=55</w:t>
            </w:r>
          </w:p>
        </w:tc>
        <w:tc>
          <w:tcPr>
            <w:tcW w:w="850" w:type="dxa"/>
          </w:tcPr>
          <w:p w14:paraId="4FA34496" w14:textId="0A02BE19" w:rsidR="00386984" w:rsidRPr="00886BE6" w:rsidRDefault="00386984" w:rsidP="00896913">
            <w:pPr>
              <w:rPr>
                <w:rFonts w:ascii="Calibri" w:eastAsia="Calibri" w:hAnsi="Calibri"/>
              </w:rPr>
            </w:pPr>
            <w:r>
              <w:rPr>
                <w:rFonts w:ascii="Calibri" w:eastAsia="Calibri" w:hAnsi="Calibri"/>
              </w:rPr>
              <w:t>54</w:t>
            </w:r>
          </w:p>
        </w:tc>
        <w:tc>
          <w:tcPr>
            <w:tcW w:w="1418" w:type="dxa"/>
          </w:tcPr>
          <w:p w14:paraId="5D66D40B" w14:textId="3FAFA03E" w:rsidR="00386984" w:rsidRPr="00886BE6" w:rsidRDefault="00386984" w:rsidP="00896913">
            <w:pPr>
              <w:rPr>
                <w:rFonts w:ascii="Calibri" w:eastAsia="Calibri" w:hAnsi="Calibri"/>
              </w:rPr>
            </w:pPr>
            <w:r w:rsidRPr="00886BE6">
              <w:rPr>
                <w:rFonts w:ascii="Calibri" w:eastAsia="Calibri" w:hAnsi="Calibri"/>
              </w:rPr>
              <w:t>3</w:t>
            </w:r>
          </w:p>
        </w:tc>
        <w:tc>
          <w:tcPr>
            <w:tcW w:w="1134" w:type="dxa"/>
          </w:tcPr>
          <w:p w14:paraId="4CE1925F" w14:textId="77777777" w:rsidR="00386984" w:rsidRPr="00886BE6" w:rsidRDefault="00386984" w:rsidP="00896913">
            <w:pPr>
              <w:rPr>
                <w:rFonts w:ascii="Calibri" w:eastAsia="Calibri" w:hAnsi="Calibri"/>
              </w:rPr>
            </w:pPr>
            <w:r w:rsidRPr="00886BE6">
              <w:rPr>
                <w:rFonts w:ascii="Calibri" w:eastAsia="Calibri" w:hAnsi="Calibri"/>
              </w:rPr>
              <w:t>5</w:t>
            </w:r>
          </w:p>
        </w:tc>
        <w:tc>
          <w:tcPr>
            <w:tcW w:w="1984" w:type="dxa"/>
          </w:tcPr>
          <w:p w14:paraId="04B92154" w14:textId="77777777" w:rsidR="00386984" w:rsidRPr="00886BE6" w:rsidRDefault="00386984" w:rsidP="00896913">
            <w:pPr>
              <w:rPr>
                <w:rFonts w:ascii="Calibri" w:eastAsia="Calibri" w:hAnsi="Calibri"/>
              </w:rPr>
            </w:pPr>
            <w:r w:rsidRPr="00886BE6">
              <w:rPr>
                <w:rFonts w:ascii="Calibri" w:eastAsia="Calibri" w:hAnsi="Calibri"/>
              </w:rPr>
              <w:t>0</w:t>
            </w:r>
          </w:p>
        </w:tc>
        <w:tc>
          <w:tcPr>
            <w:tcW w:w="1559" w:type="dxa"/>
          </w:tcPr>
          <w:p w14:paraId="4D404CAF" w14:textId="77777777" w:rsidR="00386984" w:rsidRPr="00886BE6" w:rsidRDefault="00386984" w:rsidP="00896913">
            <w:pPr>
              <w:rPr>
                <w:rFonts w:ascii="Calibri" w:eastAsia="Calibri" w:hAnsi="Calibri"/>
              </w:rPr>
            </w:pPr>
            <w:r w:rsidRPr="00886BE6">
              <w:rPr>
                <w:rFonts w:ascii="Calibri" w:eastAsia="Calibri" w:hAnsi="Calibri"/>
              </w:rPr>
              <w:t>5</w:t>
            </w:r>
          </w:p>
        </w:tc>
        <w:tc>
          <w:tcPr>
            <w:tcW w:w="1560" w:type="dxa"/>
          </w:tcPr>
          <w:p w14:paraId="36CAC61E" w14:textId="5F9EB4A8" w:rsidR="00386984" w:rsidRPr="00886BE6" w:rsidRDefault="00386984" w:rsidP="00896913">
            <w:pPr>
              <w:rPr>
                <w:rFonts w:ascii="Calibri" w:eastAsia="Calibri" w:hAnsi="Calibri"/>
              </w:rPr>
            </w:pPr>
            <w:r>
              <w:rPr>
                <w:rFonts w:ascii="Calibri" w:eastAsia="Calibri" w:hAnsi="Calibri"/>
              </w:rPr>
              <w:t>0*</w:t>
            </w:r>
            <w:r w:rsidR="00832573">
              <w:rPr>
                <w:rFonts w:ascii="Calibri" w:eastAsia="Calibri" w:hAnsi="Calibri"/>
              </w:rPr>
              <w:t>*</w:t>
            </w:r>
          </w:p>
        </w:tc>
      </w:tr>
    </w:tbl>
    <w:p w14:paraId="2C2D2777" w14:textId="77777777" w:rsidR="00832573" w:rsidRPr="00832573" w:rsidRDefault="00832573" w:rsidP="00832573"/>
    <w:p w14:paraId="6167C770" w14:textId="5B4FB847" w:rsidR="00DB069C" w:rsidRDefault="000F4748" w:rsidP="000F4748">
      <w:pPr>
        <w:pStyle w:val="Caption"/>
        <w:keepNext/>
        <w:rPr>
          <w:color w:val="000000" w:themeColor="text1"/>
          <w:sz w:val="24"/>
          <w:szCs w:val="24"/>
        </w:rPr>
      </w:pPr>
      <w:r w:rsidRPr="0064056D">
        <w:rPr>
          <w:b/>
          <w:bCs/>
          <w:color w:val="000000" w:themeColor="text1"/>
          <w:sz w:val="24"/>
          <w:szCs w:val="24"/>
        </w:rPr>
        <w:t xml:space="preserve">* </w:t>
      </w:r>
      <w:r w:rsidRPr="0064056D">
        <w:rPr>
          <w:color w:val="000000" w:themeColor="text1"/>
          <w:sz w:val="24"/>
          <w:szCs w:val="24"/>
        </w:rPr>
        <w:t xml:space="preserve">Of the 55 </w:t>
      </w:r>
      <w:r w:rsidRPr="00DB069C">
        <w:rPr>
          <w:color w:val="000000" w:themeColor="text1"/>
          <w:sz w:val="24"/>
          <w:szCs w:val="24"/>
        </w:rPr>
        <w:t>S. pneumoniae</w:t>
      </w:r>
      <w:r w:rsidRPr="0064056D">
        <w:rPr>
          <w:color w:val="000000" w:themeColor="text1"/>
          <w:sz w:val="24"/>
          <w:szCs w:val="24"/>
        </w:rPr>
        <w:t xml:space="preserve"> isolates, 30 were not susceptibility tested to levofloxacin due to laboratory error. </w:t>
      </w:r>
    </w:p>
    <w:p w14:paraId="1C5D508A" w14:textId="1832E4F7" w:rsidR="00832573" w:rsidRDefault="00832573" w:rsidP="00832573">
      <w:pPr>
        <w:rPr>
          <w:i/>
          <w:iCs/>
        </w:rPr>
      </w:pPr>
      <w:r w:rsidRPr="00832573">
        <w:rPr>
          <w:i/>
          <w:iCs/>
        </w:rPr>
        <w:t xml:space="preserve">** AZM </w:t>
      </w:r>
      <w:r>
        <w:rPr>
          <w:i/>
          <w:iCs/>
        </w:rPr>
        <w:t>–</w:t>
      </w:r>
      <w:r w:rsidRPr="00832573">
        <w:rPr>
          <w:i/>
          <w:iCs/>
        </w:rPr>
        <w:t xml:space="preserve"> Azithromycin</w:t>
      </w:r>
    </w:p>
    <w:p w14:paraId="3A0F3B36" w14:textId="77777777" w:rsidR="00832573" w:rsidRPr="00832573" w:rsidRDefault="00832573" w:rsidP="00832573">
      <w:pPr>
        <w:rPr>
          <w:i/>
          <w:iCs/>
        </w:rPr>
      </w:pPr>
    </w:p>
    <w:p w14:paraId="75E6DDF8" w14:textId="613FA347" w:rsidR="000F4748" w:rsidRPr="0064056D" w:rsidRDefault="000F4748" w:rsidP="000F4748">
      <w:pPr>
        <w:pStyle w:val="Caption"/>
        <w:keepNext/>
        <w:rPr>
          <w:color w:val="000000" w:themeColor="text1"/>
          <w:sz w:val="24"/>
          <w:szCs w:val="24"/>
        </w:rPr>
      </w:pPr>
      <w:r w:rsidRPr="0064056D">
        <w:rPr>
          <w:color w:val="000000" w:themeColor="text1"/>
          <w:sz w:val="24"/>
          <w:szCs w:val="24"/>
        </w:rPr>
        <w:t xml:space="preserve">Of the 5 erythromycin resistant isolates, 4 of these were susceptible to levofloxacin and 1 was </w:t>
      </w:r>
      <w:r w:rsidR="007756BB" w:rsidRPr="0064056D">
        <w:rPr>
          <w:color w:val="000000" w:themeColor="text1"/>
          <w:sz w:val="24"/>
          <w:szCs w:val="24"/>
        </w:rPr>
        <w:t>n</w:t>
      </w:r>
      <w:r w:rsidRPr="0064056D">
        <w:rPr>
          <w:color w:val="000000" w:themeColor="text1"/>
          <w:sz w:val="24"/>
          <w:szCs w:val="24"/>
        </w:rPr>
        <w:t xml:space="preserve">ot tested. </w:t>
      </w:r>
      <w:r w:rsidR="004F2FE5" w:rsidRPr="0064056D">
        <w:rPr>
          <w:color w:val="000000" w:themeColor="text1"/>
          <w:sz w:val="24"/>
          <w:szCs w:val="24"/>
        </w:rPr>
        <w:t xml:space="preserve">All 5 were resistant to azithromycin. </w:t>
      </w:r>
      <w:r w:rsidR="00E50301" w:rsidRPr="0064056D">
        <w:rPr>
          <w:color w:val="000000" w:themeColor="text1"/>
          <w:sz w:val="24"/>
          <w:szCs w:val="24"/>
        </w:rPr>
        <w:t xml:space="preserve">Beta-lactam resistance screening was performed using oxacillin with only 5 isolates being resistant to beta-lactams. </w:t>
      </w:r>
    </w:p>
    <w:p w14:paraId="5FD5635E" w14:textId="6ADFB123" w:rsidR="000F4748" w:rsidRDefault="000F4748" w:rsidP="000F4748">
      <w:pPr>
        <w:spacing w:line="360" w:lineRule="auto"/>
      </w:pPr>
    </w:p>
    <w:p w14:paraId="229B730B" w14:textId="77777777" w:rsidR="005B4EFC" w:rsidRDefault="005B4EFC" w:rsidP="000F4748">
      <w:pPr>
        <w:spacing w:line="360" w:lineRule="auto"/>
      </w:pPr>
    </w:p>
    <w:p w14:paraId="25122598" w14:textId="61F26303" w:rsidR="005E2E24" w:rsidRPr="005E2E24" w:rsidRDefault="005E2E24" w:rsidP="005E2E24">
      <w:pPr>
        <w:pStyle w:val="Caption"/>
        <w:keepNext/>
        <w:rPr>
          <w:i w:val="0"/>
          <w:iCs w:val="0"/>
          <w:color w:val="000000" w:themeColor="text1"/>
          <w:sz w:val="24"/>
          <w:szCs w:val="24"/>
        </w:rPr>
      </w:pPr>
      <w:bookmarkStart w:id="255" w:name="_Toc117780269"/>
      <w:r w:rsidRPr="005E2E24">
        <w:rPr>
          <w:b/>
          <w:bCs/>
          <w:i w:val="0"/>
          <w:iCs w:val="0"/>
          <w:color w:val="000000" w:themeColor="text1"/>
          <w:sz w:val="24"/>
          <w:szCs w:val="24"/>
        </w:rPr>
        <w:lastRenderedPageBreak/>
        <w:t xml:space="preserve">Table </w:t>
      </w:r>
      <w:r w:rsidRPr="005E2E24">
        <w:rPr>
          <w:b/>
          <w:bCs/>
          <w:i w:val="0"/>
          <w:iCs w:val="0"/>
          <w:color w:val="000000" w:themeColor="text1"/>
          <w:sz w:val="24"/>
          <w:szCs w:val="24"/>
        </w:rPr>
        <w:fldChar w:fldCharType="begin"/>
      </w:r>
      <w:r w:rsidRPr="005E2E24">
        <w:rPr>
          <w:b/>
          <w:bCs/>
          <w:i w:val="0"/>
          <w:iCs w:val="0"/>
          <w:color w:val="000000" w:themeColor="text1"/>
          <w:sz w:val="24"/>
          <w:szCs w:val="24"/>
        </w:rPr>
        <w:instrText xml:space="preserve"> SEQ Table \* ARABIC </w:instrText>
      </w:r>
      <w:r w:rsidRPr="005E2E24">
        <w:rPr>
          <w:b/>
          <w:bCs/>
          <w:i w:val="0"/>
          <w:iCs w:val="0"/>
          <w:color w:val="000000" w:themeColor="text1"/>
          <w:sz w:val="24"/>
          <w:szCs w:val="24"/>
        </w:rPr>
        <w:fldChar w:fldCharType="separate"/>
      </w:r>
      <w:r w:rsidR="00592CBF">
        <w:rPr>
          <w:b/>
          <w:bCs/>
          <w:i w:val="0"/>
          <w:iCs w:val="0"/>
          <w:noProof/>
          <w:color w:val="000000" w:themeColor="text1"/>
          <w:sz w:val="24"/>
          <w:szCs w:val="24"/>
        </w:rPr>
        <w:t>28</w:t>
      </w:r>
      <w:r w:rsidRPr="005E2E24">
        <w:rPr>
          <w:b/>
          <w:bCs/>
          <w:i w:val="0"/>
          <w:iCs w:val="0"/>
          <w:color w:val="000000" w:themeColor="text1"/>
          <w:sz w:val="24"/>
          <w:szCs w:val="24"/>
        </w:rPr>
        <w:fldChar w:fldCharType="end"/>
      </w:r>
      <w:r w:rsidRPr="005E2E24">
        <w:rPr>
          <w:i w:val="0"/>
          <w:iCs w:val="0"/>
          <w:color w:val="000000" w:themeColor="text1"/>
          <w:sz w:val="24"/>
          <w:szCs w:val="24"/>
        </w:rPr>
        <w:t xml:space="preserve">: Antibiotics susceptibility of </w:t>
      </w:r>
      <w:r w:rsidRPr="005E2E24">
        <w:rPr>
          <w:color w:val="000000" w:themeColor="text1"/>
          <w:sz w:val="24"/>
          <w:szCs w:val="24"/>
        </w:rPr>
        <w:t>H. influenzae</w:t>
      </w:r>
      <w:r w:rsidRPr="005E2E24">
        <w:rPr>
          <w:i w:val="0"/>
          <w:iCs w:val="0"/>
          <w:color w:val="000000" w:themeColor="text1"/>
          <w:sz w:val="24"/>
          <w:szCs w:val="24"/>
        </w:rPr>
        <w:t xml:space="preserve"> isolates</w:t>
      </w:r>
      <w:bookmarkEnd w:id="255"/>
    </w:p>
    <w:tbl>
      <w:tblPr>
        <w:tblStyle w:val="TableGrid"/>
        <w:tblW w:w="10241" w:type="dxa"/>
        <w:tblInd w:w="-5" w:type="dxa"/>
        <w:tblLayout w:type="fixed"/>
        <w:tblLook w:val="04A0" w:firstRow="1" w:lastRow="0" w:firstColumn="1" w:lastColumn="0" w:noHBand="0" w:noVBand="1"/>
      </w:tblPr>
      <w:tblGrid>
        <w:gridCol w:w="1203"/>
        <w:gridCol w:w="853"/>
        <w:gridCol w:w="1843"/>
        <w:gridCol w:w="1276"/>
        <w:gridCol w:w="1134"/>
        <w:gridCol w:w="955"/>
        <w:gridCol w:w="1417"/>
        <w:gridCol w:w="1560"/>
      </w:tblGrid>
      <w:tr w:rsidR="006D0421" w14:paraId="0FBC8D44" w14:textId="77777777" w:rsidTr="00957BF9">
        <w:tc>
          <w:tcPr>
            <w:tcW w:w="1203" w:type="dxa"/>
            <w:vMerge w:val="restart"/>
          </w:tcPr>
          <w:p w14:paraId="5E46E5AC" w14:textId="4342A1D4" w:rsidR="006D0421" w:rsidRDefault="006D0421" w:rsidP="000F4748">
            <w:pPr>
              <w:spacing w:line="360" w:lineRule="auto"/>
            </w:pPr>
            <w:r>
              <w:t>Bacterial isolate</w:t>
            </w:r>
          </w:p>
        </w:tc>
        <w:tc>
          <w:tcPr>
            <w:tcW w:w="9038" w:type="dxa"/>
            <w:gridSpan w:val="7"/>
          </w:tcPr>
          <w:p w14:paraId="2069A3C5" w14:textId="79B6AD2C" w:rsidR="006D0421" w:rsidRDefault="006D0421" w:rsidP="000F4748">
            <w:pPr>
              <w:spacing w:line="360" w:lineRule="auto"/>
            </w:pPr>
            <w:r>
              <w:t>Antibiotic resistance</w:t>
            </w:r>
          </w:p>
        </w:tc>
      </w:tr>
      <w:tr w:rsidR="006D0421" w14:paraId="2C3A1389" w14:textId="77777777" w:rsidTr="00957BF9">
        <w:tc>
          <w:tcPr>
            <w:tcW w:w="1203" w:type="dxa"/>
            <w:vMerge/>
          </w:tcPr>
          <w:p w14:paraId="4F84353B" w14:textId="14D82651" w:rsidR="006D0421" w:rsidRDefault="006D0421" w:rsidP="000F4748">
            <w:pPr>
              <w:spacing w:line="360" w:lineRule="auto"/>
            </w:pPr>
          </w:p>
        </w:tc>
        <w:tc>
          <w:tcPr>
            <w:tcW w:w="853" w:type="dxa"/>
          </w:tcPr>
          <w:p w14:paraId="1DFAF5DF" w14:textId="63F65079" w:rsidR="006D0421" w:rsidRDefault="008802B9" w:rsidP="000F4748">
            <w:pPr>
              <w:spacing w:line="360" w:lineRule="auto"/>
            </w:pPr>
            <w:r>
              <w:t>AZM</w:t>
            </w:r>
            <w:r w:rsidR="00957BF9">
              <w:t>*</w:t>
            </w:r>
          </w:p>
        </w:tc>
        <w:tc>
          <w:tcPr>
            <w:tcW w:w="1843" w:type="dxa"/>
          </w:tcPr>
          <w:p w14:paraId="0CC556F7" w14:textId="77777777" w:rsidR="006D0421" w:rsidRPr="00886BE6" w:rsidRDefault="006D0421" w:rsidP="006D0421">
            <w:pPr>
              <w:rPr>
                <w:rFonts w:ascii="Calibri" w:eastAsia="Calibri" w:hAnsi="Calibri"/>
              </w:rPr>
            </w:pPr>
            <w:r w:rsidRPr="00886BE6">
              <w:rPr>
                <w:rFonts w:ascii="Calibri" w:eastAsia="Calibri" w:hAnsi="Calibri"/>
              </w:rPr>
              <w:t>Tetracycline and ciprofloxacin</w:t>
            </w:r>
          </w:p>
          <w:p w14:paraId="3FB732E5" w14:textId="713BA364" w:rsidR="006D0421" w:rsidRDefault="006D0421" w:rsidP="000F4748">
            <w:pPr>
              <w:spacing w:line="360" w:lineRule="auto"/>
            </w:pPr>
          </w:p>
        </w:tc>
        <w:tc>
          <w:tcPr>
            <w:tcW w:w="1276" w:type="dxa"/>
          </w:tcPr>
          <w:p w14:paraId="4712C51B" w14:textId="77777777" w:rsidR="006D0421" w:rsidRPr="00886BE6" w:rsidRDefault="006D0421" w:rsidP="006D0421">
            <w:pPr>
              <w:rPr>
                <w:rFonts w:ascii="Calibri" w:eastAsia="Calibri" w:hAnsi="Calibri"/>
              </w:rPr>
            </w:pPr>
            <w:r w:rsidRPr="00886BE6">
              <w:rPr>
                <w:rFonts w:ascii="Calibri" w:eastAsia="Calibri" w:hAnsi="Calibri"/>
              </w:rPr>
              <w:t>Ampicillin</w:t>
            </w:r>
          </w:p>
          <w:p w14:paraId="72284E95" w14:textId="77777777" w:rsidR="006D0421" w:rsidRDefault="006D0421" w:rsidP="000F4748">
            <w:pPr>
              <w:spacing w:line="360" w:lineRule="auto"/>
            </w:pPr>
          </w:p>
        </w:tc>
        <w:tc>
          <w:tcPr>
            <w:tcW w:w="1134" w:type="dxa"/>
          </w:tcPr>
          <w:p w14:paraId="468A727B" w14:textId="77777777" w:rsidR="00DB069C" w:rsidRDefault="006D0421" w:rsidP="006D0421">
            <w:pPr>
              <w:rPr>
                <w:rFonts w:ascii="Calibri" w:eastAsia="Calibri" w:hAnsi="Calibri"/>
              </w:rPr>
            </w:pPr>
            <w:proofErr w:type="spellStart"/>
            <w:r w:rsidRPr="00886BE6">
              <w:rPr>
                <w:rFonts w:ascii="Calibri" w:eastAsia="Calibri" w:hAnsi="Calibri"/>
              </w:rPr>
              <w:t>Chloram</w:t>
            </w:r>
            <w:proofErr w:type="spellEnd"/>
          </w:p>
          <w:p w14:paraId="3E2B69AE" w14:textId="6DD95B24" w:rsidR="006D0421" w:rsidRPr="00886BE6" w:rsidRDefault="006D0421" w:rsidP="006D0421">
            <w:pPr>
              <w:rPr>
                <w:rFonts w:ascii="Calibri" w:eastAsia="Calibri" w:hAnsi="Calibri"/>
              </w:rPr>
            </w:pPr>
            <w:r w:rsidRPr="00886BE6">
              <w:rPr>
                <w:rFonts w:ascii="Calibri" w:eastAsia="Calibri" w:hAnsi="Calibri"/>
              </w:rPr>
              <w:t>phen</w:t>
            </w:r>
            <w:r w:rsidR="00085D6A">
              <w:rPr>
                <w:rFonts w:ascii="Calibri" w:eastAsia="Calibri" w:hAnsi="Calibri"/>
              </w:rPr>
              <w:t>icol</w:t>
            </w:r>
          </w:p>
          <w:p w14:paraId="0F5BB0B4" w14:textId="77777777" w:rsidR="006D0421" w:rsidRDefault="006D0421" w:rsidP="000F4748">
            <w:pPr>
              <w:spacing w:line="360" w:lineRule="auto"/>
            </w:pPr>
          </w:p>
        </w:tc>
        <w:tc>
          <w:tcPr>
            <w:tcW w:w="955" w:type="dxa"/>
          </w:tcPr>
          <w:p w14:paraId="2AE89A38" w14:textId="168EC76B" w:rsidR="006D0421" w:rsidRDefault="006D0421" w:rsidP="006D0421">
            <w:pPr>
              <w:rPr>
                <w:rFonts w:ascii="Calibri" w:eastAsia="Calibri" w:hAnsi="Calibri"/>
              </w:rPr>
            </w:pPr>
            <w:proofErr w:type="spellStart"/>
            <w:r w:rsidRPr="00886BE6">
              <w:rPr>
                <w:rFonts w:ascii="Calibri" w:eastAsia="Calibri" w:hAnsi="Calibri"/>
              </w:rPr>
              <w:t>Erythro</w:t>
            </w:r>
            <w:proofErr w:type="spellEnd"/>
          </w:p>
          <w:p w14:paraId="7E850A7E" w14:textId="32A86629" w:rsidR="00957BF9" w:rsidRPr="00886BE6" w:rsidRDefault="00957BF9" w:rsidP="006D0421">
            <w:pPr>
              <w:rPr>
                <w:rFonts w:ascii="Calibri" w:eastAsia="Calibri" w:hAnsi="Calibri"/>
              </w:rPr>
            </w:pPr>
            <w:r>
              <w:rPr>
                <w:rFonts w:ascii="Calibri" w:eastAsia="Calibri" w:hAnsi="Calibri"/>
              </w:rPr>
              <w:t>**</w:t>
            </w:r>
          </w:p>
          <w:p w14:paraId="4B96A58F" w14:textId="77777777" w:rsidR="006D0421" w:rsidRDefault="006D0421" w:rsidP="000F4748">
            <w:pPr>
              <w:spacing w:line="360" w:lineRule="auto"/>
            </w:pPr>
          </w:p>
        </w:tc>
        <w:tc>
          <w:tcPr>
            <w:tcW w:w="1417" w:type="dxa"/>
          </w:tcPr>
          <w:p w14:paraId="6D5A3351" w14:textId="74FF29AF" w:rsidR="006D0421" w:rsidRDefault="006D0421" w:rsidP="000F4748">
            <w:pPr>
              <w:spacing w:line="360" w:lineRule="auto"/>
            </w:pPr>
            <w:r w:rsidRPr="00886BE6">
              <w:rPr>
                <w:rFonts w:ascii="Calibri" w:eastAsia="Calibri" w:hAnsi="Calibri"/>
              </w:rPr>
              <w:t>Cefuroxime</w:t>
            </w:r>
          </w:p>
        </w:tc>
        <w:tc>
          <w:tcPr>
            <w:tcW w:w="1560" w:type="dxa"/>
          </w:tcPr>
          <w:p w14:paraId="386F987F" w14:textId="01155E7F" w:rsidR="006D0421" w:rsidRDefault="006D0421" w:rsidP="000F4748">
            <w:pPr>
              <w:spacing w:line="360" w:lineRule="auto"/>
            </w:pPr>
            <w:r>
              <w:rPr>
                <w:rFonts w:ascii="Calibri" w:eastAsia="Calibri" w:hAnsi="Calibri"/>
              </w:rPr>
              <w:t>Co-amoxiclav</w:t>
            </w:r>
          </w:p>
        </w:tc>
      </w:tr>
      <w:tr w:rsidR="006D0421" w14:paraId="2C95B03B" w14:textId="77777777" w:rsidTr="00957BF9">
        <w:tc>
          <w:tcPr>
            <w:tcW w:w="1203" w:type="dxa"/>
            <w:shd w:val="clear" w:color="auto" w:fill="B4C6E7" w:themeFill="accent5" w:themeFillTint="66"/>
          </w:tcPr>
          <w:p w14:paraId="19F07AF6" w14:textId="5E2A5E76" w:rsidR="006D0421" w:rsidRPr="001D04B2" w:rsidRDefault="006D0421" w:rsidP="000F4748">
            <w:pPr>
              <w:spacing w:line="360" w:lineRule="auto"/>
              <w:rPr>
                <w:i/>
                <w:iCs/>
              </w:rPr>
            </w:pPr>
            <w:r w:rsidRPr="001D04B2">
              <w:rPr>
                <w:i/>
                <w:iCs/>
              </w:rPr>
              <w:t>H.</w:t>
            </w:r>
            <w:r>
              <w:rPr>
                <w:i/>
                <w:iCs/>
              </w:rPr>
              <w:t xml:space="preserve"> </w:t>
            </w:r>
            <w:r w:rsidRPr="001D04B2">
              <w:rPr>
                <w:i/>
                <w:iCs/>
              </w:rPr>
              <w:t>influenzae</w:t>
            </w:r>
          </w:p>
          <w:p w14:paraId="4B0C289D" w14:textId="1DA96E68" w:rsidR="006D0421" w:rsidRDefault="006D0421" w:rsidP="000F4748">
            <w:pPr>
              <w:spacing w:line="360" w:lineRule="auto"/>
            </w:pPr>
            <w:r>
              <w:t>N=54</w:t>
            </w:r>
          </w:p>
        </w:tc>
        <w:tc>
          <w:tcPr>
            <w:tcW w:w="853" w:type="dxa"/>
          </w:tcPr>
          <w:p w14:paraId="2C7EF191" w14:textId="240AB1C1" w:rsidR="006D0421" w:rsidRDefault="006D0421" w:rsidP="000F4748">
            <w:pPr>
              <w:spacing w:line="360" w:lineRule="auto"/>
            </w:pPr>
            <w:r>
              <w:t>19</w:t>
            </w:r>
          </w:p>
        </w:tc>
        <w:tc>
          <w:tcPr>
            <w:tcW w:w="1843" w:type="dxa"/>
          </w:tcPr>
          <w:p w14:paraId="1D061C0C" w14:textId="5BB08F1E" w:rsidR="006D0421" w:rsidRDefault="006D0421" w:rsidP="000F4748">
            <w:pPr>
              <w:spacing w:line="360" w:lineRule="auto"/>
            </w:pPr>
            <w:r>
              <w:t>0</w:t>
            </w:r>
          </w:p>
        </w:tc>
        <w:tc>
          <w:tcPr>
            <w:tcW w:w="1276" w:type="dxa"/>
          </w:tcPr>
          <w:p w14:paraId="0E6EC012" w14:textId="5853BF20" w:rsidR="006D0421" w:rsidRDefault="006D0421" w:rsidP="000F4748">
            <w:pPr>
              <w:spacing w:line="360" w:lineRule="auto"/>
            </w:pPr>
            <w:r>
              <w:t>12</w:t>
            </w:r>
          </w:p>
        </w:tc>
        <w:tc>
          <w:tcPr>
            <w:tcW w:w="1134" w:type="dxa"/>
          </w:tcPr>
          <w:p w14:paraId="49CB1F7F" w14:textId="4E841642" w:rsidR="006D0421" w:rsidRDefault="006D0421" w:rsidP="000F4748">
            <w:pPr>
              <w:spacing w:line="360" w:lineRule="auto"/>
            </w:pPr>
            <w:r>
              <w:t>2</w:t>
            </w:r>
          </w:p>
        </w:tc>
        <w:tc>
          <w:tcPr>
            <w:tcW w:w="955" w:type="dxa"/>
          </w:tcPr>
          <w:p w14:paraId="10842461" w14:textId="6EA6D4C1" w:rsidR="006D0421" w:rsidRDefault="006D0421" w:rsidP="000F4748">
            <w:pPr>
              <w:spacing w:line="360" w:lineRule="auto"/>
            </w:pPr>
            <w:r>
              <w:t>5</w:t>
            </w:r>
          </w:p>
        </w:tc>
        <w:tc>
          <w:tcPr>
            <w:tcW w:w="1417" w:type="dxa"/>
          </w:tcPr>
          <w:p w14:paraId="38745D87" w14:textId="0C6AA0A0" w:rsidR="006D0421" w:rsidRDefault="006D0421" w:rsidP="000F4748">
            <w:pPr>
              <w:spacing w:line="360" w:lineRule="auto"/>
            </w:pPr>
            <w:r>
              <w:t>1</w:t>
            </w:r>
          </w:p>
        </w:tc>
        <w:tc>
          <w:tcPr>
            <w:tcW w:w="1560" w:type="dxa"/>
          </w:tcPr>
          <w:p w14:paraId="6334D809" w14:textId="1FE6F000" w:rsidR="006D0421" w:rsidRDefault="006D0421" w:rsidP="000F4748">
            <w:pPr>
              <w:spacing w:line="360" w:lineRule="auto"/>
            </w:pPr>
            <w:r>
              <w:t>7</w:t>
            </w:r>
          </w:p>
        </w:tc>
      </w:tr>
    </w:tbl>
    <w:p w14:paraId="17B579A9" w14:textId="45A54360" w:rsidR="00957BF9" w:rsidRDefault="00957BF9" w:rsidP="00957BF9"/>
    <w:p w14:paraId="2ADF0739" w14:textId="77B9B3B0" w:rsidR="00957BF9" w:rsidRDefault="00957BF9" w:rsidP="00957BF9">
      <w:pPr>
        <w:spacing w:line="360" w:lineRule="auto"/>
        <w:rPr>
          <w:i/>
          <w:iCs/>
        </w:rPr>
      </w:pPr>
      <w:r w:rsidRPr="00957BF9">
        <w:rPr>
          <w:i/>
          <w:iCs/>
        </w:rPr>
        <w:t xml:space="preserve">*AZM </w:t>
      </w:r>
      <w:r>
        <w:rPr>
          <w:i/>
          <w:iCs/>
        </w:rPr>
        <w:t>–</w:t>
      </w:r>
      <w:r w:rsidRPr="00957BF9">
        <w:rPr>
          <w:i/>
          <w:iCs/>
        </w:rPr>
        <w:t xml:space="preserve"> Azithrom</w:t>
      </w:r>
      <w:r>
        <w:rPr>
          <w:i/>
          <w:iCs/>
        </w:rPr>
        <w:t>ycin</w:t>
      </w:r>
      <w:r>
        <w:rPr>
          <w:i/>
          <w:iCs/>
        </w:rPr>
        <w:tab/>
      </w:r>
      <w:r>
        <w:rPr>
          <w:i/>
          <w:iCs/>
        </w:rPr>
        <w:tab/>
        <w:t>**</w:t>
      </w:r>
      <w:proofErr w:type="spellStart"/>
      <w:r>
        <w:rPr>
          <w:i/>
          <w:iCs/>
        </w:rPr>
        <w:t>Erythro</w:t>
      </w:r>
      <w:proofErr w:type="spellEnd"/>
      <w:r>
        <w:rPr>
          <w:i/>
          <w:iCs/>
        </w:rPr>
        <w:t xml:space="preserve"> – Erythromycin</w:t>
      </w:r>
    </w:p>
    <w:p w14:paraId="2A2F4D4B" w14:textId="77777777" w:rsidR="00957BF9" w:rsidRPr="00957BF9" w:rsidRDefault="00957BF9" w:rsidP="00957BF9">
      <w:pPr>
        <w:spacing w:line="360" w:lineRule="auto"/>
        <w:rPr>
          <w:i/>
          <w:iCs/>
        </w:rPr>
      </w:pPr>
    </w:p>
    <w:p w14:paraId="7FDE6CE3" w14:textId="2C747362" w:rsidR="005E2E24" w:rsidRPr="005E2E24" w:rsidRDefault="005E2E24" w:rsidP="005E2E24">
      <w:pPr>
        <w:pStyle w:val="Caption"/>
        <w:keepNext/>
        <w:rPr>
          <w:i w:val="0"/>
          <w:iCs w:val="0"/>
          <w:color w:val="000000" w:themeColor="text1"/>
          <w:sz w:val="24"/>
          <w:szCs w:val="24"/>
        </w:rPr>
      </w:pPr>
      <w:bookmarkStart w:id="256" w:name="_Toc117780270"/>
      <w:r w:rsidRPr="005E2E24">
        <w:rPr>
          <w:b/>
          <w:bCs/>
          <w:i w:val="0"/>
          <w:iCs w:val="0"/>
          <w:color w:val="000000" w:themeColor="text1"/>
          <w:sz w:val="24"/>
          <w:szCs w:val="24"/>
        </w:rPr>
        <w:t xml:space="preserve">Table </w:t>
      </w:r>
      <w:r w:rsidRPr="005E2E24">
        <w:rPr>
          <w:b/>
          <w:bCs/>
          <w:i w:val="0"/>
          <w:iCs w:val="0"/>
          <w:color w:val="000000" w:themeColor="text1"/>
          <w:sz w:val="24"/>
          <w:szCs w:val="24"/>
        </w:rPr>
        <w:fldChar w:fldCharType="begin"/>
      </w:r>
      <w:r w:rsidRPr="005E2E24">
        <w:rPr>
          <w:b/>
          <w:bCs/>
          <w:i w:val="0"/>
          <w:iCs w:val="0"/>
          <w:color w:val="000000" w:themeColor="text1"/>
          <w:sz w:val="24"/>
          <w:szCs w:val="24"/>
        </w:rPr>
        <w:instrText xml:space="preserve"> SEQ Table \* ARABIC </w:instrText>
      </w:r>
      <w:r w:rsidRPr="005E2E24">
        <w:rPr>
          <w:b/>
          <w:bCs/>
          <w:i w:val="0"/>
          <w:iCs w:val="0"/>
          <w:color w:val="000000" w:themeColor="text1"/>
          <w:sz w:val="24"/>
          <w:szCs w:val="24"/>
        </w:rPr>
        <w:fldChar w:fldCharType="separate"/>
      </w:r>
      <w:r w:rsidR="00592CBF">
        <w:rPr>
          <w:b/>
          <w:bCs/>
          <w:i w:val="0"/>
          <w:iCs w:val="0"/>
          <w:noProof/>
          <w:color w:val="000000" w:themeColor="text1"/>
          <w:sz w:val="24"/>
          <w:szCs w:val="24"/>
        </w:rPr>
        <w:t>29</w:t>
      </w:r>
      <w:r w:rsidRPr="005E2E24">
        <w:rPr>
          <w:b/>
          <w:bCs/>
          <w:i w:val="0"/>
          <w:iCs w:val="0"/>
          <w:color w:val="000000" w:themeColor="text1"/>
          <w:sz w:val="24"/>
          <w:szCs w:val="24"/>
        </w:rPr>
        <w:fldChar w:fldCharType="end"/>
      </w:r>
      <w:r w:rsidRPr="005E2E24">
        <w:rPr>
          <w:i w:val="0"/>
          <w:iCs w:val="0"/>
          <w:color w:val="000000" w:themeColor="text1"/>
          <w:sz w:val="24"/>
          <w:szCs w:val="24"/>
        </w:rPr>
        <w:t xml:space="preserve">: Antibiotic susceptibility of </w:t>
      </w:r>
      <w:r w:rsidRPr="005E2E24">
        <w:rPr>
          <w:color w:val="000000" w:themeColor="text1"/>
          <w:sz w:val="24"/>
          <w:szCs w:val="24"/>
        </w:rPr>
        <w:t>M. catarrhalis</w:t>
      </w:r>
      <w:r w:rsidRPr="005E2E24">
        <w:rPr>
          <w:i w:val="0"/>
          <w:iCs w:val="0"/>
          <w:color w:val="000000" w:themeColor="text1"/>
          <w:sz w:val="24"/>
          <w:szCs w:val="24"/>
        </w:rPr>
        <w:t xml:space="preserve"> isolates</w:t>
      </w:r>
      <w:bookmarkEnd w:id="256"/>
    </w:p>
    <w:tbl>
      <w:tblPr>
        <w:tblStyle w:val="TableGrid"/>
        <w:tblW w:w="9776" w:type="dxa"/>
        <w:tblLayout w:type="fixed"/>
        <w:tblLook w:val="04A0" w:firstRow="1" w:lastRow="0" w:firstColumn="1" w:lastColumn="0" w:noHBand="0" w:noVBand="1"/>
      </w:tblPr>
      <w:tblGrid>
        <w:gridCol w:w="1551"/>
        <w:gridCol w:w="1563"/>
        <w:gridCol w:w="3042"/>
        <w:gridCol w:w="1526"/>
        <w:gridCol w:w="2094"/>
      </w:tblGrid>
      <w:tr w:rsidR="009D398B" w:rsidRPr="00886BE6" w14:paraId="0DAF1963" w14:textId="77777777" w:rsidTr="0064056D">
        <w:tc>
          <w:tcPr>
            <w:tcW w:w="1551" w:type="dxa"/>
            <w:vMerge w:val="restart"/>
          </w:tcPr>
          <w:p w14:paraId="1D169B8B" w14:textId="77777777" w:rsidR="009D398B" w:rsidRPr="00886BE6" w:rsidRDefault="009D398B" w:rsidP="00896913">
            <w:pPr>
              <w:rPr>
                <w:rFonts w:ascii="Calibri" w:eastAsia="Calibri" w:hAnsi="Calibri"/>
              </w:rPr>
            </w:pPr>
            <w:r w:rsidRPr="00886BE6">
              <w:rPr>
                <w:rFonts w:ascii="Calibri" w:eastAsia="Calibri" w:hAnsi="Calibri"/>
              </w:rPr>
              <w:t>Bacterial isolate</w:t>
            </w:r>
          </w:p>
        </w:tc>
        <w:tc>
          <w:tcPr>
            <w:tcW w:w="8225" w:type="dxa"/>
            <w:gridSpan w:val="4"/>
          </w:tcPr>
          <w:p w14:paraId="1C6945FF" w14:textId="11AC33D1" w:rsidR="009D398B" w:rsidRPr="00886BE6" w:rsidRDefault="009D398B" w:rsidP="00896913">
            <w:pPr>
              <w:rPr>
                <w:rFonts w:ascii="Calibri" w:eastAsia="Calibri" w:hAnsi="Calibri"/>
              </w:rPr>
            </w:pPr>
            <w:r>
              <w:rPr>
                <w:rFonts w:ascii="Calibri" w:eastAsia="Calibri" w:hAnsi="Calibri"/>
              </w:rPr>
              <w:t>Antibiotic resistance</w:t>
            </w:r>
          </w:p>
        </w:tc>
      </w:tr>
      <w:tr w:rsidR="009D398B" w:rsidRPr="00886BE6" w14:paraId="3A6C6308" w14:textId="77777777" w:rsidTr="0064056D">
        <w:tc>
          <w:tcPr>
            <w:tcW w:w="1551" w:type="dxa"/>
            <w:vMerge/>
          </w:tcPr>
          <w:p w14:paraId="2BADEF73" w14:textId="77777777" w:rsidR="009D398B" w:rsidRPr="00886BE6" w:rsidRDefault="009D398B" w:rsidP="00896913">
            <w:pPr>
              <w:rPr>
                <w:rFonts w:ascii="Calibri" w:eastAsia="Calibri" w:hAnsi="Calibri"/>
              </w:rPr>
            </w:pPr>
          </w:p>
        </w:tc>
        <w:tc>
          <w:tcPr>
            <w:tcW w:w="1563" w:type="dxa"/>
          </w:tcPr>
          <w:p w14:paraId="4AC7CCE4" w14:textId="1CE44AD7" w:rsidR="009D398B" w:rsidRDefault="00DB069C" w:rsidP="00896913">
            <w:pPr>
              <w:rPr>
                <w:rFonts w:ascii="Calibri" w:eastAsia="Calibri" w:hAnsi="Calibri"/>
              </w:rPr>
            </w:pPr>
            <w:r>
              <w:rPr>
                <w:rFonts w:ascii="Calibri" w:eastAsia="Calibri" w:hAnsi="Calibri"/>
              </w:rPr>
              <w:t>Azithromycin</w:t>
            </w:r>
          </w:p>
        </w:tc>
        <w:tc>
          <w:tcPr>
            <w:tcW w:w="3042" w:type="dxa"/>
          </w:tcPr>
          <w:p w14:paraId="6E0C36EB" w14:textId="66DD349D" w:rsidR="009D398B" w:rsidRPr="00886BE6" w:rsidRDefault="009D398B" w:rsidP="00896913">
            <w:pPr>
              <w:rPr>
                <w:rFonts w:ascii="Calibri" w:eastAsia="Calibri" w:hAnsi="Calibri"/>
              </w:rPr>
            </w:pPr>
            <w:r>
              <w:rPr>
                <w:rFonts w:ascii="Calibri" w:eastAsia="Calibri" w:hAnsi="Calibri"/>
              </w:rPr>
              <w:t>Tetracycline, Ciprofloxacin, Chloramphenicol, Cefuroxime</w:t>
            </w:r>
          </w:p>
        </w:tc>
        <w:tc>
          <w:tcPr>
            <w:tcW w:w="1526" w:type="dxa"/>
          </w:tcPr>
          <w:p w14:paraId="65A3CB62" w14:textId="032ACF63" w:rsidR="009D398B" w:rsidRPr="00886BE6" w:rsidRDefault="009D398B" w:rsidP="00896913">
            <w:pPr>
              <w:rPr>
                <w:rFonts w:ascii="Calibri" w:eastAsia="Calibri" w:hAnsi="Calibri"/>
              </w:rPr>
            </w:pPr>
            <w:r>
              <w:rPr>
                <w:rFonts w:ascii="Calibri" w:eastAsia="Calibri" w:hAnsi="Calibri"/>
              </w:rPr>
              <w:t>Erythromycin</w:t>
            </w:r>
          </w:p>
        </w:tc>
        <w:tc>
          <w:tcPr>
            <w:tcW w:w="2094" w:type="dxa"/>
          </w:tcPr>
          <w:p w14:paraId="57BE4BBC" w14:textId="5E1B5F92" w:rsidR="009D398B" w:rsidRDefault="009D398B" w:rsidP="00896913">
            <w:pPr>
              <w:rPr>
                <w:rFonts w:ascii="Calibri" w:eastAsia="Calibri" w:hAnsi="Calibri"/>
              </w:rPr>
            </w:pPr>
            <w:r>
              <w:rPr>
                <w:rFonts w:ascii="Calibri" w:eastAsia="Calibri" w:hAnsi="Calibri"/>
              </w:rPr>
              <w:t>Co-amoxiclav</w:t>
            </w:r>
          </w:p>
        </w:tc>
      </w:tr>
      <w:tr w:rsidR="000F4748" w:rsidRPr="00886BE6" w14:paraId="7CC15C7A" w14:textId="77777777" w:rsidTr="0064056D">
        <w:tc>
          <w:tcPr>
            <w:tcW w:w="1551" w:type="dxa"/>
            <w:shd w:val="clear" w:color="auto" w:fill="B4C6E7" w:themeFill="accent5" w:themeFillTint="66"/>
          </w:tcPr>
          <w:p w14:paraId="10F7BE68" w14:textId="77777777" w:rsidR="000F4748" w:rsidRDefault="000F4748" w:rsidP="00896913">
            <w:pPr>
              <w:rPr>
                <w:rFonts w:ascii="Calibri" w:eastAsia="Calibri" w:hAnsi="Calibri"/>
              </w:rPr>
            </w:pPr>
            <w:r w:rsidRPr="00162908">
              <w:rPr>
                <w:rFonts w:ascii="Calibri" w:eastAsia="Calibri" w:hAnsi="Calibri"/>
                <w:i/>
                <w:iCs/>
              </w:rPr>
              <w:t>M. Catarrhalis</w:t>
            </w:r>
          </w:p>
          <w:p w14:paraId="116DA4F6" w14:textId="35093ECB" w:rsidR="008109B2" w:rsidRPr="001D04B2" w:rsidRDefault="008109B2" w:rsidP="00896913">
            <w:pPr>
              <w:rPr>
                <w:rFonts w:ascii="Calibri" w:eastAsia="Calibri" w:hAnsi="Calibri"/>
              </w:rPr>
            </w:pPr>
            <w:r>
              <w:rPr>
                <w:rFonts w:ascii="Calibri" w:eastAsia="Calibri" w:hAnsi="Calibri"/>
              </w:rPr>
              <w:t>N=30</w:t>
            </w:r>
          </w:p>
        </w:tc>
        <w:tc>
          <w:tcPr>
            <w:tcW w:w="1563" w:type="dxa"/>
          </w:tcPr>
          <w:p w14:paraId="365E3B79" w14:textId="1AD0DD01" w:rsidR="000F4748" w:rsidRPr="00886BE6" w:rsidRDefault="008109B2" w:rsidP="00896913">
            <w:pPr>
              <w:rPr>
                <w:rFonts w:ascii="Calibri" w:eastAsia="Calibri" w:hAnsi="Calibri"/>
              </w:rPr>
            </w:pPr>
            <w:r>
              <w:rPr>
                <w:rFonts w:ascii="Calibri" w:eastAsia="Calibri" w:hAnsi="Calibri"/>
              </w:rPr>
              <w:t>9</w:t>
            </w:r>
          </w:p>
        </w:tc>
        <w:tc>
          <w:tcPr>
            <w:tcW w:w="3042" w:type="dxa"/>
          </w:tcPr>
          <w:p w14:paraId="581C5D15" w14:textId="77777777" w:rsidR="000F4748" w:rsidRPr="00886BE6" w:rsidRDefault="000F4748" w:rsidP="00896913">
            <w:pPr>
              <w:rPr>
                <w:rFonts w:ascii="Calibri" w:eastAsia="Calibri" w:hAnsi="Calibri"/>
              </w:rPr>
            </w:pPr>
            <w:r w:rsidRPr="00886BE6">
              <w:rPr>
                <w:rFonts w:ascii="Calibri" w:eastAsia="Calibri" w:hAnsi="Calibri"/>
              </w:rPr>
              <w:t>0</w:t>
            </w:r>
          </w:p>
        </w:tc>
        <w:tc>
          <w:tcPr>
            <w:tcW w:w="1526" w:type="dxa"/>
          </w:tcPr>
          <w:p w14:paraId="532BDD72" w14:textId="77777777" w:rsidR="000F4748" w:rsidRPr="00886BE6" w:rsidRDefault="000F4748" w:rsidP="00896913">
            <w:pPr>
              <w:rPr>
                <w:rFonts w:ascii="Calibri" w:eastAsia="Calibri" w:hAnsi="Calibri"/>
              </w:rPr>
            </w:pPr>
            <w:r>
              <w:rPr>
                <w:rFonts w:ascii="Calibri" w:eastAsia="Calibri" w:hAnsi="Calibri"/>
              </w:rPr>
              <w:t>2</w:t>
            </w:r>
          </w:p>
        </w:tc>
        <w:tc>
          <w:tcPr>
            <w:tcW w:w="2094" w:type="dxa"/>
          </w:tcPr>
          <w:p w14:paraId="54DB510E" w14:textId="77777777" w:rsidR="000F4748" w:rsidRPr="00886BE6" w:rsidRDefault="000F4748" w:rsidP="00896913">
            <w:pPr>
              <w:rPr>
                <w:rFonts w:ascii="Calibri" w:eastAsia="Calibri" w:hAnsi="Calibri"/>
              </w:rPr>
            </w:pPr>
            <w:r w:rsidRPr="00886BE6">
              <w:rPr>
                <w:rFonts w:ascii="Calibri" w:eastAsia="Calibri" w:hAnsi="Calibri"/>
              </w:rPr>
              <w:t>2</w:t>
            </w:r>
          </w:p>
        </w:tc>
      </w:tr>
    </w:tbl>
    <w:p w14:paraId="097F910B" w14:textId="77777777" w:rsidR="00DB069C" w:rsidRDefault="00DB069C" w:rsidP="005E2E24">
      <w:pPr>
        <w:pStyle w:val="Caption"/>
        <w:keepNext/>
        <w:rPr>
          <w:b/>
          <w:bCs/>
          <w:i w:val="0"/>
          <w:iCs w:val="0"/>
          <w:color w:val="000000" w:themeColor="text1"/>
          <w:sz w:val="24"/>
          <w:szCs w:val="24"/>
        </w:rPr>
      </w:pPr>
    </w:p>
    <w:p w14:paraId="6EFBCAB7" w14:textId="7426A472" w:rsidR="005E2E24" w:rsidRPr="005E2E24" w:rsidRDefault="005E2E24" w:rsidP="005E2E24">
      <w:pPr>
        <w:pStyle w:val="Caption"/>
        <w:keepNext/>
        <w:rPr>
          <w:i w:val="0"/>
          <w:iCs w:val="0"/>
          <w:color w:val="000000" w:themeColor="text1"/>
          <w:sz w:val="24"/>
          <w:szCs w:val="24"/>
        </w:rPr>
      </w:pPr>
      <w:bookmarkStart w:id="257" w:name="_Toc117780271"/>
      <w:r w:rsidRPr="005E2E24">
        <w:rPr>
          <w:b/>
          <w:bCs/>
          <w:i w:val="0"/>
          <w:iCs w:val="0"/>
          <w:color w:val="000000" w:themeColor="text1"/>
          <w:sz w:val="24"/>
          <w:szCs w:val="24"/>
        </w:rPr>
        <w:t xml:space="preserve">Table </w:t>
      </w:r>
      <w:r w:rsidRPr="005E2E24">
        <w:rPr>
          <w:b/>
          <w:bCs/>
          <w:i w:val="0"/>
          <w:iCs w:val="0"/>
          <w:color w:val="000000" w:themeColor="text1"/>
          <w:sz w:val="24"/>
          <w:szCs w:val="24"/>
        </w:rPr>
        <w:fldChar w:fldCharType="begin"/>
      </w:r>
      <w:r w:rsidRPr="005E2E24">
        <w:rPr>
          <w:b/>
          <w:bCs/>
          <w:i w:val="0"/>
          <w:iCs w:val="0"/>
          <w:color w:val="000000" w:themeColor="text1"/>
          <w:sz w:val="24"/>
          <w:szCs w:val="24"/>
        </w:rPr>
        <w:instrText xml:space="preserve"> SEQ Table \* ARABIC </w:instrText>
      </w:r>
      <w:r w:rsidRPr="005E2E24">
        <w:rPr>
          <w:b/>
          <w:bCs/>
          <w:i w:val="0"/>
          <w:iCs w:val="0"/>
          <w:color w:val="000000" w:themeColor="text1"/>
          <w:sz w:val="24"/>
          <w:szCs w:val="24"/>
        </w:rPr>
        <w:fldChar w:fldCharType="separate"/>
      </w:r>
      <w:r w:rsidR="00592CBF">
        <w:rPr>
          <w:b/>
          <w:bCs/>
          <w:i w:val="0"/>
          <w:iCs w:val="0"/>
          <w:noProof/>
          <w:color w:val="000000" w:themeColor="text1"/>
          <w:sz w:val="24"/>
          <w:szCs w:val="24"/>
        </w:rPr>
        <w:t>30</w:t>
      </w:r>
      <w:r w:rsidRPr="005E2E24">
        <w:rPr>
          <w:b/>
          <w:bCs/>
          <w:i w:val="0"/>
          <w:iCs w:val="0"/>
          <w:color w:val="000000" w:themeColor="text1"/>
          <w:sz w:val="24"/>
          <w:szCs w:val="24"/>
        </w:rPr>
        <w:fldChar w:fldCharType="end"/>
      </w:r>
      <w:r w:rsidRPr="005E2E24">
        <w:rPr>
          <w:i w:val="0"/>
          <w:iCs w:val="0"/>
          <w:color w:val="000000" w:themeColor="text1"/>
          <w:sz w:val="24"/>
          <w:szCs w:val="24"/>
        </w:rPr>
        <w:t xml:space="preserve">: Antibiotic susceptibility of </w:t>
      </w:r>
      <w:r w:rsidRPr="005E2E24">
        <w:rPr>
          <w:color w:val="000000" w:themeColor="text1"/>
          <w:sz w:val="24"/>
          <w:szCs w:val="24"/>
        </w:rPr>
        <w:t>S. aureus</w:t>
      </w:r>
      <w:r w:rsidRPr="005E2E24">
        <w:rPr>
          <w:i w:val="0"/>
          <w:iCs w:val="0"/>
          <w:color w:val="000000" w:themeColor="text1"/>
          <w:sz w:val="24"/>
          <w:szCs w:val="24"/>
        </w:rPr>
        <w:t xml:space="preserve"> isolates</w:t>
      </w:r>
      <w:bookmarkEnd w:id="257"/>
    </w:p>
    <w:tbl>
      <w:tblPr>
        <w:tblStyle w:val="TableGrid"/>
        <w:tblW w:w="10257" w:type="dxa"/>
        <w:tblInd w:w="-5" w:type="dxa"/>
        <w:tblLook w:val="04A0" w:firstRow="1" w:lastRow="0" w:firstColumn="1" w:lastColumn="0" w:noHBand="0" w:noVBand="1"/>
      </w:tblPr>
      <w:tblGrid>
        <w:gridCol w:w="1072"/>
        <w:gridCol w:w="757"/>
        <w:gridCol w:w="1981"/>
        <w:gridCol w:w="1281"/>
        <w:gridCol w:w="1127"/>
        <w:gridCol w:w="1526"/>
        <w:gridCol w:w="1323"/>
        <w:gridCol w:w="1190"/>
      </w:tblGrid>
      <w:tr w:rsidR="009D398B" w:rsidRPr="00AB4A2C" w14:paraId="61291805" w14:textId="77777777" w:rsidTr="008802B9">
        <w:tc>
          <w:tcPr>
            <w:tcW w:w="1072" w:type="dxa"/>
            <w:vMerge w:val="restart"/>
          </w:tcPr>
          <w:p w14:paraId="06C6A114" w14:textId="3E43BFDF" w:rsidR="009D398B" w:rsidRPr="00AB4A2C" w:rsidRDefault="009D398B" w:rsidP="00896913">
            <w:pPr>
              <w:rPr>
                <w:rFonts w:ascii="Calibri" w:eastAsia="Calibri" w:hAnsi="Calibri"/>
              </w:rPr>
            </w:pPr>
            <w:r w:rsidRPr="00AB4A2C">
              <w:rPr>
                <w:rFonts w:ascii="Calibri" w:eastAsia="Calibri" w:hAnsi="Calibri"/>
              </w:rPr>
              <w:t>Bacterial isolate</w:t>
            </w:r>
          </w:p>
        </w:tc>
        <w:tc>
          <w:tcPr>
            <w:tcW w:w="9185" w:type="dxa"/>
            <w:gridSpan w:val="7"/>
          </w:tcPr>
          <w:p w14:paraId="7B21F7B7" w14:textId="12DA1EF9" w:rsidR="009D398B" w:rsidRDefault="009D398B" w:rsidP="00896913">
            <w:pPr>
              <w:rPr>
                <w:rFonts w:ascii="Calibri" w:eastAsia="Calibri" w:hAnsi="Calibri"/>
              </w:rPr>
            </w:pPr>
            <w:r>
              <w:rPr>
                <w:rFonts w:ascii="Calibri" w:eastAsia="Calibri" w:hAnsi="Calibri"/>
              </w:rPr>
              <w:t>Antibiotic resistance</w:t>
            </w:r>
          </w:p>
        </w:tc>
      </w:tr>
      <w:tr w:rsidR="00DB069C" w:rsidRPr="00AB4A2C" w14:paraId="518F6B5A" w14:textId="77777777" w:rsidTr="008802B9">
        <w:tc>
          <w:tcPr>
            <w:tcW w:w="1072" w:type="dxa"/>
            <w:vMerge/>
          </w:tcPr>
          <w:p w14:paraId="6D85D9E6" w14:textId="4549E0D9" w:rsidR="009D398B" w:rsidRPr="00AB4A2C" w:rsidRDefault="009D398B" w:rsidP="00896913">
            <w:pPr>
              <w:rPr>
                <w:rFonts w:ascii="Calibri" w:eastAsia="Calibri" w:hAnsi="Calibri"/>
              </w:rPr>
            </w:pPr>
          </w:p>
        </w:tc>
        <w:tc>
          <w:tcPr>
            <w:tcW w:w="757" w:type="dxa"/>
          </w:tcPr>
          <w:p w14:paraId="0BB55D78" w14:textId="16540FC4" w:rsidR="009D398B" w:rsidRDefault="008802B9" w:rsidP="00896913">
            <w:pPr>
              <w:rPr>
                <w:rFonts w:ascii="Calibri" w:eastAsia="Calibri" w:hAnsi="Calibri"/>
              </w:rPr>
            </w:pPr>
            <w:r>
              <w:rPr>
                <w:rFonts w:ascii="Calibri" w:eastAsia="Calibri" w:hAnsi="Calibri"/>
              </w:rPr>
              <w:t>AZM</w:t>
            </w:r>
          </w:p>
          <w:p w14:paraId="4305475D" w14:textId="75DD4A8E" w:rsidR="009D398B" w:rsidRPr="00AB4A2C" w:rsidRDefault="009D398B" w:rsidP="00896913">
            <w:pPr>
              <w:rPr>
                <w:rFonts w:ascii="Calibri" w:eastAsia="Calibri" w:hAnsi="Calibri"/>
              </w:rPr>
            </w:pPr>
          </w:p>
        </w:tc>
        <w:tc>
          <w:tcPr>
            <w:tcW w:w="1981" w:type="dxa"/>
          </w:tcPr>
          <w:p w14:paraId="3C8F8989" w14:textId="77777777" w:rsidR="009D398B" w:rsidRDefault="009D398B" w:rsidP="00896913">
            <w:pPr>
              <w:rPr>
                <w:rFonts w:ascii="Calibri" w:eastAsia="Calibri" w:hAnsi="Calibri"/>
              </w:rPr>
            </w:pPr>
            <w:r w:rsidRPr="00AB4A2C">
              <w:rPr>
                <w:rFonts w:ascii="Calibri" w:eastAsia="Calibri" w:hAnsi="Calibri"/>
              </w:rPr>
              <w:t>Tetracycline</w:t>
            </w:r>
            <w:r>
              <w:rPr>
                <w:rFonts w:ascii="Calibri" w:eastAsia="Calibri" w:hAnsi="Calibri"/>
              </w:rPr>
              <w:t>,</w:t>
            </w:r>
            <w:r w:rsidRPr="00AB4A2C">
              <w:rPr>
                <w:rFonts w:ascii="Calibri" w:eastAsia="Calibri" w:hAnsi="Calibri"/>
              </w:rPr>
              <w:t xml:space="preserve"> </w:t>
            </w:r>
            <w:r>
              <w:rPr>
                <w:rFonts w:ascii="Calibri" w:eastAsia="Calibri" w:hAnsi="Calibri"/>
              </w:rPr>
              <w:t>C</w:t>
            </w:r>
            <w:r w:rsidRPr="00AB4A2C">
              <w:rPr>
                <w:rFonts w:ascii="Calibri" w:eastAsia="Calibri" w:hAnsi="Calibri"/>
              </w:rPr>
              <w:t>iprofloxacin</w:t>
            </w:r>
          </w:p>
          <w:p w14:paraId="699C22EF" w14:textId="77777777" w:rsidR="009D398B" w:rsidRDefault="009D398B" w:rsidP="00896913">
            <w:pPr>
              <w:rPr>
                <w:rFonts w:ascii="Calibri" w:eastAsia="Calibri" w:hAnsi="Calibri"/>
              </w:rPr>
            </w:pPr>
            <w:r>
              <w:rPr>
                <w:rFonts w:ascii="Calibri" w:eastAsia="Calibri" w:hAnsi="Calibri"/>
              </w:rPr>
              <w:t>Vancomycin,</w:t>
            </w:r>
          </w:p>
          <w:p w14:paraId="25F526AF" w14:textId="77777777" w:rsidR="009D398B" w:rsidRPr="00AB4A2C" w:rsidRDefault="009D398B" w:rsidP="00896913">
            <w:pPr>
              <w:rPr>
                <w:rFonts w:ascii="Calibri" w:eastAsia="Calibri" w:hAnsi="Calibri"/>
              </w:rPr>
            </w:pPr>
            <w:r>
              <w:rPr>
                <w:rFonts w:ascii="Calibri" w:eastAsia="Calibri" w:hAnsi="Calibri"/>
              </w:rPr>
              <w:t>Chloramphenicol, Trimethoprim, Teicoplanin, Gentamicin, Rifampicin, Nitrofurantoin</w:t>
            </w:r>
          </w:p>
          <w:p w14:paraId="48D9C4B7" w14:textId="723F30A7" w:rsidR="009D398B" w:rsidRPr="00AB4A2C" w:rsidRDefault="009D398B" w:rsidP="00896913">
            <w:pPr>
              <w:rPr>
                <w:rFonts w:ascii="Calibri" w:eastAsia="Calibri" w:hAnsi="Calibri"/>
              </w:rPr>
            </w:pPr>
          </w:p>
        </w:tc>
        <w:tc>
          <w:tcPr>
            <w:tcW w:w="1281" w:type="dxa"/>
          </w:tcPr>
          <w:p w14:paraId="655C82B6" w14:textId="77777777" w:rsidR="009D398B" w:rsidRPr="00AB4A2C" w:rsidRDefault="009D398B" w:rsidP="00896913">
            <w:pPr>
              <w:rPr>
                <w:rFonts w:ascii="Calibri" w:eastAsia="Calibri" w:hAnsi="Calibri"/>
              </w:rPr>
            </w:pPr>
            <w:r w:rsidRPr="00AB4A2C">
              <w:rPr>
                <w:rFonts w:ascii="Calibri" w:eastAsia="Calibri" w:hAnsi="Calibri"/>
              </w:rPr>
              <w:t>Amoxicillin</w:t>
            </w:r>
          </w:p>
          <w:p w14:paraId="290F5EFA" w14:textId="13841237" w:rsidR="009D398B" w:rsidRPr="00AB4A2C" w:rsidRDefault="009D398B" w:rsidP="00896913">
            <w:pPr>
              <w:rPr>
                <w:rFonts w:ascii="Calibri" w:eastAsia="Calibri" w:hAnsi="Calibri"/>
              </w:rPr>
            </w:pPr>
          </w:p>
        </w:tc>
        <w:tc>
          <w:tcPr>
            <w:tcW w:w="1127" w:type="dxa"/>
          </w:tcPr>
          <w:p w14:paraId="4DBB7503" w14:textId="77777777" w:rsidR="009D398B" w:rsidRPr="00AB4A2C" w:rsidRDefault="009D398B" w:rsidP="00896913">
            <w:pPr>
              <w:rPr>
                <w:rFonts w:ascii="Calibri" w:eastAsia="Calibri" w:hAnsi="Calibri"/>
              </w:rPr>
            </w:pPr>
            <w:r w:rsidRPr="00AB4A2C">
              <w:rPr>
                <w:rFonts w:ascii="Calibri" w:eastAsia="Calibri" w:hAnsi="Calibri"/>
              </w:rPr>
              <w:t>Penicillin</w:t>
            </w:r>
          </w:p>
          <w:p w14:paraId="2B84C5EA" w14:textId="69ECFF41" w:rsidR="009D398B" w:rsidRPr="00AB4A2C" w:rsidRDefault="009D398B" w:rsidP="00896913">
            <w:pPr>
              <w:rPr>
                <w:rFonts w:ascii="Calibri" w:eastAsia="Calibri" w:hAnsi="Calibri"/>
              </w:rPr>
            </w:pPr>
          </w:p>
        </w:tc>
        <w:tc>
          <w:tcPr>
            <w:tcW w:w="1526" w:type="dxa"/>
          </w:tcPr>
          <w:p w14:paraId="1FA962F9" w14:textId="77777777" w:rsidR="009D398B" w:rsidRPr="00AB4A2C" w:rsidRDefault="009D398B" w:rsidP="00896913">
            <w:pPr>
              <w:rPr>
                <w:rFonts w:ascii="Calibri" w:eastAsia="Calibri" w:hAnsi="Calibri"/>
              </w:rPr>
            </w:pPr>
            <w:r w:rsidRPr="00AB4A2C">
              <w:rPr>
                <w:rFonts w:ascii="Calibri" w:eastAsia="Calibri" w:hAnsi="Calibri"/>
              </w:rPr>
              <w:t>Erythromycin</w:t>
            </w:r>
          </w:p>
          <w:p w14:paraId="4046B071" w14:textId="2A36D0D6" w:rsidR="009D398B" w:rsidRPr="00AB4A2C" w:rsidRDefault="009D398B" w:rsidP="00896913">
            <w:pPr>
              <w:rPr>
                <w:rFonts w:ascii="Calibri" w:eastAsia="Calibri" w:hAnsi="Calibri"/>
              </w:rPr>
            </w:pPr>
          </w:p>
        </w:tc>
        <w:tc>
          <w:tcPr>
            <w:tcW w:w="1323" w:type="dxa"/>
          </w:tcPr>
          <w:p w14:paraId="72EBAB8D" w14:textId="1542182A" w:rsidR="009D398B" w:rsidRPr="00AB4A2C" w:rsidRDefault="009D398B" w:rsidP="00896913">
            <w:pPr>
              <w:rPr>
                <w:rFonts w:ascii="Calibri" w:eastAsia="Calibri" w:hAnsi="Calibri"/>
              </w:rPr>
            </w:pPr>
            <w:proofErr w:type="spellStart"/>
            <w:r>
              <w:rPr>
                <w:rFonts w:ascii="Calibri" w:eastAsia="Calibri" w:hAnsi="Calibri"/>
              </w:rPr>
              <w:t>Fusidic</w:t>
            </w:r>
            <w:proofErr w:type="spellEnd"/>
            <w:r>
              <w:rPr>
                <w:rFonts w:ascii="Calibri" w:eastAsia="Calibri" w:hAnsi="Calibri"/>
              </w:rPr>
              <w:t xml:space="preserve"> acid</w:t>
            </w:r>
            <w:r w:rsidRPr="00AB4A2C">
              <w:rPr>
                <w:rFonts w:ascii="Calibri" w:eastAsia="Calibri" w:hAnsi="Calibri"/>
              </w:rPr>
              <w:t xml:space="preserve"> </w:t>
            </w:r>
          </w:p>
        </w:tc>
        <w:tc>
          <w:tcPr>
            <w:tcW w:w="1190" w:type="dxa"/>
          </w:tcPr>
          <w:p w14:paraId="56212B85" w14:textId="5E798094" w:rsidR="009D398B" w:rsidRPr="00AB4A2C" w:rsidDel="00FC5E60" w:rsidRDefault="009D398B" w:rsidP="00896913">
            <w:pPr>
              <w:rPr>
                <w:rFonts w:ascii="Calibri" w:eastAsia="Calibri" w:hAnsi="Calibri"/>
              </w:rPr>
            </w:pPr>
            <w:r>
              <w:rPr>
                <w:rFonts w:ascii="Calibri" w:eastAsia="Calibri" w:hAnsi="Calibri"/>
              </w:rPr>
              <w:t xml:space="preserve">Oxacillin </w:t>
            </w:r>
          </w:p>
        </w:tc>
      </w:tr>
      <w:tr w:rsidR="00DB069C" w:rsidRPr="00AB4A2C" w14:paraId="5A5B0A96" w14:textId="77777777" w:rsidTr="008802B9">
        <w:tc>
          <w:tcPr>
            <w:tcW w:w="1072" w:type="dxa"/>
            <w:shd w:val="clear" w:color="auto" w:fill="B4C6E7" w:themeFill="accent5" w:themeFillTint="66"/>
          </w:tcPr>
          <w:p w14:paraId="4BCCA86C" w14:textId="77777777" w:rsidR="000F4748" w:rsidRDefault="000F4748" w:rsidP="00896913">
            <w:pPr>
              <w:rPr>
                <w:rFonts w:ascii="Calibri" w:eastAsia="Calibri" w:hAnsi="Calibri"/>
              </w:rPr>
            </w:pPr>
            <w:r w:rsidRPr="00CD3E28">
              <w:rPr>
                <w:rFonts w:ascii="Calibri" w:eastAsia="Calibri" w:hAnsi="Calibri"/>
                <w:i/>
                <w:iCs/>
              </w:rPr>
              <w:t>S.</w:t>
            </w:r>
            <w:r>
              <w:rPr>
                <w:rFonts w:ascii="Calibri" w:eastAsia="Calibri" w:hAnsi="Calibri"/>
                <w:i/>
                <w:iCs/>
              </w:rPr>
              <w:t xml:space="preserve"> </w:t>
            </w:r>
            <w:r w:rsidRPr="00CD3E28">
              <w:rPr>
                <w:rFonts w:ascii="Calibri" w:eastAsia="Calibri" w:hAnsi="Calibri"/>
                <w:i/>
                <w:iCs/>
              </w:rPr>
              <w:t>aureus</w:t>
            </w:r>
          </w:p>
          <w:p w14:paraId="061633F7" w14:textId="3C986CB5" w:rsidR="008109B2" w:rsidRPr="001D04B2" w:rsidRDefault="008109B2" w:rsidP="00896913">
            <w:pPr>
              <w:rPr>
                <w:rFonts w:ascii="Calibri" w:eastAsia="Calibri" w:hAnsi="Calibri"/>
              </w:rPr>
            </w:pPr>
            <w:r>
              <w:rPr>
                <w:rFonts w:ascii="Calibri" w:eastAsia="Calibri" w:hAnsi="Calibri"/>
              </w:rPr>
              <w:t>N=11</w:t>
            </w:r>
          </w:p>
        </w:tc>
        <w:tc>
          <w:tcPr>
            <w:tcW w:w="757" w:type="dxa"/>
          </w:tcPr>
          <w:p w14:paraId="1CD43D29" w14:textId="00D6F886" w:rsidR="000F4748" w:rsidRPr="00AB4A2C" w:rsidRDefault="008109B2" w:rsidP="00896913">
            <w:pPr>
              <w:rPr>
                <w:rFonts w:ascii="Calibri" w:eastAsia="Calibri" w:hAnsi="Calibri"/>
              </w:rPr>
            </w:pPr>
            <w:r>
              <w:rPr>
                <w:rFonts w:ascii="Calibri" w:eastAsia="Calibri" w:hAnsi="Calibri"/>
              </w:rPr>
              <w:t>6</w:t>
            </w:r>
          </w:p>
        </w:tc>
        <w:tc>
          <w:tcPr>
            <w:tcW w:w="1981" w:type="dxa"/>
          </w:tcPr>
          <w:p w14:paraId="153B0ABD" w14:textId="77777777" w:rsidR="000F4748" w:rsidRPr="00AB4A2C" w:rsidRDefault="000F4748" w:rsidP="00896913">
            <w:pPr>
              <w:rPr>
                <w:rFonts w:ascii="Calibri" w:eastAsia="Calibri" w:hAnsi="Calibri"/>
              </w:rPr>
            </w:pPr>
            <w:r w:rsidRPr="00AB4A2C">
              <w:rPr>
                <w:rFonts w:ascii="Calibri" w:eastAsia="Calibri" w:hAnsi="Calibri"/>
              </w:rPr>
              <w:t>0</w:t>
            </w:r>
          </w:p>
        </w:tc>
        <w:tc>
          <w:tcPr>
            <w:tcW w:w="1281" w:type="dxa"/>
          </w:tcPr>
          <w:p w14:paraId="1517BB05" w14:textId="77777777" w:rsidR="000F4748" w:rsidRPr="00AB4A2C" w:rsidRDefault="000F4748" w:rsidP="00896913">
            <w:pPr>
              <w:rPr>
                <w:rFonts w:ascii="Calibri" w:eastAsia="Calibri" w:hAnsi="Calibri"/>
              </w:rPr>
            </w:pPr>
            <w:r w:rsidRPr="00AB4A2C">
              <w:rPr>
                <w:rFonts w:ascii="Calibri" w:eastAsia="Calibri" w:hAnsi="Calibri"/>
              </w:rPr>
              <w:t>4</w:t>
            </w:r>
          </w:p>
        </w:tc>
        <w:tc>
          <w:tcPr>
            <w:tcW w:w="1127" w:type="dxa"/>
          </w:tcPr>
          <w:p w14:paraId="4A6E77CC" w14:textId="77777777" w:rsidR="000F4748" w:rsidRPr="00AB4A2C" w:rsidRDefault="000F4748" w:rsidP="00896913">
            <w:pPr>
              <w:rPr>
                <w:rFonts w:ascii="Calibri" w:eastAsia="Calibri" w:hAnsi="Calibri"/>
              </w:rPr>
            </w:pPr>
            <w:r>
              <w:rPr>
                <w:rFonts w:ascii="Calibri" w:eastAsia="Calibri" w:hAnsi="Calibri"/>
              </w:rPr>
              <w:t>9</w:t>
            </w:r>
          </w:p>
        </w:tc>
        <w:tc>
          <w:tcPr>
            <w:tcW w:w="1526" w:type="dxa"/>
          </w:tcPr>
          <w:p w14:paraId="0AF6A3CE" w14:textId="77777777" w:rsidR="000F4748" w:rsidRPr="00AB4A2C" w:rsidRDefault="000F4748" w:rsidP="00896913">
            <w:pPr>
              <w:rPr>
                <w:rFonts w:ascii="Calibri" w:eastAsia="Calibri" w:hAnsi="Calibri"/>
              </w:rPr>
            </w:pPr>
            <w:r>
              <w:rPr>
                <w:rFonts w:ascii="Calibri" w:eastAsia="Calibri" w:hAnsi="Calibri"/>
              </w:rPr>
              <w:t>2</w:t>
            </w:r>
          </w:p>
        </w:tc>
        <w:tc>
          <w:tcPr>
            <w:tcW w:w="1323" w:type="dxa"/>
          </w:tcPr>
          <w:p w14:paraId="32F6CF62" w14:textId="77777777" w:rsidR="000F4748" w:rsidRPr="00AB4A2C" w:rsidRDefault="000F4748" w:rsidP="00896913">
            <w:pPr>
              <w:rPr>
                <w:rFonts w:ascii="Calibri" w:eastAsia="Calibri" w:hAnsi="Calibri"/>
              </w:rPr>
            </w:pPr>
            <w:r>
              <w:rPr>
                <w:rFonts w:ascii="Calibri" w:eastAsia="Calibri" w:hAnsi="Calibri"/>
              </w:rPr>
              <w:t>1</w:t>
            </w:r>
          </w:p>
          <w:p w14:paraId="417EA942" w14:textId="77777777" w:rsidR="000F4748" w:rsidRPr="00AB4A2C" w:rsidRDefault="000F4748" w:rsidP="00896913">
            <w:pPr>
              <w:rPr>
                <w:rFonts w:ascii="Calibri" w:eastAsia="Calibri" w:hAnsi="Calibri"/>
              </w:rPr>
            </w:pPr>
          </w:p>
        </w:tc>
        <w:tc>
          <w:tcPr>
            <w:tcW w:w="1190" w:type="dxa"/>
          </w:tcPr>
          <w:p w14:paraId="33302DD5" w14:textId="77777777" w:rsidR="000F4748" w:rsidRDefault="000F4748" w:rsidP="00896913">
            <w:pPr>
              <w:rPr>
                <w:rFonts w:ascii="Calibri" w:eastAsia="Calibri" w:hAnsi="Calibri"/>
              </w:rPr>
            </w:pPr>
            <w:r>
              <w:rPr>
                <w:rFonts w:ascii="Calibri" w:eastAsia="Calibri" w:hAnsi="Calibri"/>
              </w:rPr>
              <w:t>8</w:t>
            </w:r>
          </w:p>
        </w:tc>
      </w:tr>
    </w:tbl>
    <w:p w14:paraId="71B1FDE5" w14:textId="6EAFC42D" w:rsidR="000F4748" w:rsidRDefault="000F4748" w:rsidP="000F4748"/>
    <w:p w14:paraId="6805F35F" w14:textId="64E381D0" w:rsidR="00957BF9" w:rsidRPr="00957BF9" w:rsidRDefault="00957BF9" w:rsidP="000F4748">
      <w:pPr>
        <w:rPr>
          <w:i/>
          <w:iCs/>
        </w:rPr>
      </w:pPr>
      <w:r w:rsidRPr="00957BF9">
        <w:rPr>
          <w:i/>
          <w:iCs/>
        </w:rPr>
        <w:t xml:space="preserve">*AZM </w:t>
      </w:r>
      <w:r w:rsidR="00F83B67">
        <w:rPr>
          <w:i/>
          <w:iCs/>
        </w:rPr>
        <w:t>–</w:t>
      </w:r>
      <w:r w:rsidRPr="00957BF9">
        <w:rPr>
          <w:i/>
          <w:iCs/>
        </w:rPr>
        <w:t xml:space="preserve"> Azithromycin</w:t>
      </w:r>
    </w:p>
    <w:p w14:paraId="54663F7D" w14:textId="08E47728" w:rsidR="000F4748" w:rsidRDefault="00D41BB3" w:rsidP="008C7116">
      <w:pPr>
        <w:spacing w:line="360" w:lineRule="auto"/>
      </w:pPr>
      <w:r>
        <w:lastRenderedPageBreak/>
        <w:t xml:space="preserve">The number of </w:t>
      </w:r>
      <w:r w:rsidR="000F4748" w:rsidRPr="00CD3E28">
        <w:rPr>
          <w:i/>
          <w:iCs/>
        </w:rPr>
        <w:t>S. pneumoniae</w:t>
      </w:r>
      <w:r w:rsidR="000F4748">
        <w:t xml:space="preserve"> </w:t>
      </w:r>
      <w:r>
        <w:t xml:space="preserve">isolates resistant to erythromycin was much lower than the azithromycin resistance previously found, 9% vs 95%. </w:t>
      </w:r>
      <w:r w:rsidR="000F4748" w:rsidRPr="00BF2F1A">
        <w:t>The 5 erythromycin resistant isolates were</w:t>
      </w:r>
      <w:r w:rsidR="00650935">
        <w:t xml:space="preserve"> those</w:t>
      </w:r>
      <w:r w:rsidR="000F4748" w:rsidRPr="00BF2F1A">
        <w:t xml:space="preserve"> previously found to have MICs to azithromycin of &gt;256</w:t>
      </w:r>
      <w:r w:rsidR="00D0798A" w:rsidRPr="00BF2F1A">
        <w:t xml:space="preserve">. </w:t>
      </w:r>
      <w:r w:rsidR="000F4748" w:rsidRPr="00BF2F1A">
        <w:t>A subset</w:t>
      </w:r>
      <w:r w:rsidR="000F4748">
        <w:t xml:space="preserve"> of 10 azithromycin resistant, </w:t>
      </w:r>
      <w:r w:rsidR="000F4748" w:rsidRPr="00CD3E28">
        <w:rPr>
          <w:i/>
          <w:iCs/>
        </w:rPr>
        <w:t>S. pneumoniae</w:t>
      </w:r>
      <w:r w:rsidR="000F4748">
        <w:t xml:space="preserve"> isolates were therefore re-cultured</w:t>
      </w:r>
      <w:r>
        <w:t xml:space="preserve"> </w:t>
      </w:r>
      <w:r w:rsidR="00D76E15">
        <w:t xml:space="preserve">again </w:t>
      </w:r>
      <w:r>
        <w:t>to see if the freezing process had selected for non-resistant strains</w:t>
      </w:r>
      <w:r w:rsidR="000F4748">
        <w:t xml:space="preserve">. E-test </w:t>
      </w:r>
      <w:r w:rsidR="00085D6A">
        <w:t xml:space="preserve">for </w:t>
      </w:r>
      <w:r w:rsidR="000F4748">
        <w:t>azithromycin susceptibility and disk diffusion</w:t>
      </w:r>
      <w:r w:rsidR="00715A26">
        <w:t xml:space="preserve"> and E-test</w:t>
      </w:r>
      <w:r w:rsidR="000F4748">
        <w:t xml:space="preserve"> </w:t>
      </w:r>
      <w:r w:rsidR="00085D6A">
        <w:t xml:space="preserve">for </w:t>
      </w:r>
      <w:r w:rsidR="000F4748">
        <w:t xml:space="preserve">erythromycin susceptibility were carried out in parallel to further investigate this unexpected </w:t>
      </w:r>
      <w:r w:rsidR="000137F6">
        <w:t xml:space="preserve">finding </w:t>
      </w:r>
      <w:r w:rsidR="000F4748">
        <w:t xml:space="preserve">(see </w:t>
      </w:r>
      <w:r w:rsidR="00B214DF" w:rsidRPr="00B214DF">
        <w:fldChar w:fldCharType="begin"/>
      </w:r>
      <w:r w:rsidR="00B214DF" w:rsidRPr="00B214DF">
        <w:instrText xml:space="preserve"> REF _Ref105619386 \h  \* MERGEFORMAT </w:instrText>
      </w:r>
      <w:r w:rsidR="00B214DF" w:rsidRPr="00B214DF">
        <w:fldChar w:fldCharType="separate"/>
      </w:r>
      <w:r w:rsidR="00B214DF" w:rsidRPr="00B214DF">
        <w:rPr>
          <w:color w:val="000000" w:themeColor="text1"/>
        </w:rPr>
        <w:t xml:space="preserve">Table </w:t>
      </w:r>
      <w:r w:rsidR="00B214DF" w:rsidRPr="00B214DF">
        <w:rPr>
          <w:noProof/>
          <w:color w:val="000000" w:themeColor="text1"/>
        </w:rPr>
        <w:t>31</w:t>
      </w:r>
      <w:r w:rsidR="00B214DF" w:rsidRPr="00B214DF">
        <w:fldChar w:fldCharType="end"/>
      </w:r>
      <w:r w:rsidR="000F4748">
        <w:t xml:space="preserve">). Only 5 of the </w:t>
      </w:r>
      <w:r w:rsidR="00DB069C">
        <w:t xml:space="preserve">10 </w:t>
      </w:r>
      <w:r w:rsidR="000F4748">
        <w:t>isolates were able to be re-cultured</w:t>
      </w:r>
      <w:r w:rsidR="00D76E15">
        <w:t xml:space="preserve"> on this occasion</w:t>
      </w:r>
      <w:r w:rsidR="000F4748">
        <w:t xml:space="preserve">, the others did not grow. </w:t>
      </w:r>
      <w:r w:rsidR="00DB069C">
        <w:t xml:space="preserve">The repeat azithromycin MICs corresponded precisely with those previously measured for all 5 re-tested isolates (Table 31) with all classed as azithromycin resistant but erythromycin sensitive. </w:t>
      </w:r>
    </w:p>
    <w:p w14:paraId="6619E72A" w14:textId="77777777" w:rsidR="00763BF8" w:rsidRDefault="00763BF8" w:rsidP="000F4748"/>
    <w:p w14:paraId="4C3918F6" w14:textId="60B85E1B" w:rsidR="00DB5822" w:rsidRPr="00DB5822" w:rsidRDefault="00DB5822" w:rsidP="00DB5822">
      <w:pPr>
        <w:pStyle w:val="Caption"/>
        <w:keepNext/>
        <w:rPr>
          <w:i w:val="0"/>
          <w:iCs w:val="0"/>
          <w:color w:val="000000" w:themeColor="text1"/>
          <w:sz w:val="24"/>
          <w:szCs w:val="24"/>
        </w:rPr>
      </w:pPr>
      <w:bookmarkStart w:id="258" w:name="_Ref105619386"/>
      <w:bookmarkStart w:id="259" w:name="_Toc117780272"/>
      <w:r w:rsidRPr="00DB5822">
        <w:rPr>
          <w:b/>
          <w:bCs/>
          <w:i w:val="0"/>
          <w:iCs w:val="0"/>
          <w:color w:val="000000" w:themeColor="text1"/>
          <w:sz w:val="24"/>
          <w:szCs w:val="24"/>
        </w:rPr>
        <w:t xml:space="preserve">Table </w:t>
      </w:r>
      <w:r w:rsidRPr="00DB5822">
        <w:rPr>
          <w:b/>
          <w:bCs/>
          <w:i w:val="0"/>
          <w:iCs w:val="0"/>
          <w:color w:val="000000" w:themeColor="text1"/>
          <w:sz w:val="24"/>
          <w:szCs w:val="24"/>
        </w:rPr>
        <w:fldChar w:fldCharType="begin"/>
      </w:r>
      <w:r w:rsidRPr="00DB5822">
        <w:rPr>
          <w:b/>
          <w:bCs/>
          <w:i w:val="0"/>
          <w:iCs w:val="0"/>
          <w:color w:val="000000" w:themeColor="text1"/>
          <w:sz w:val="24"/>
          <w:szCs w:val="24"/>
        </w:rPr>
        <w:instrText xml:space="preserve"> SEQ Table \* ARABIC </w:instrText>
      </w:r>
      <w:r w:rsidRPr="00DB5822">
        <w:rPr>
          <w:b/>
          <w:bCs/>
          <w:i w:val="0"/>
          <w:iCs w:val="0"/>
          <w:color w:val="000000" w:themeColor="text1"/>
          <w:sz w:val="24"/>
          <w:szCs w:val="24"/>
        </w:rPr>
        <w:fldChar w:fldCharType="separate"/>
      </w:r>
      <w:r w:rsidR="00592CBF">
        <w:rPr>
          <w:b/>
          <w:bCs/>
          <w:i w:val="0"/>
          <w:iCs w:val="0"/>
          <w:noProof/>
          <w:color w:val="000000" w:themeColor="text1"/>
          <w:sz w:val="24"/>
          <w:szCs w:val="24"/>
        </w:rPr>
        <w:t>31</w:t>
      </w:r>
      <w:r w:rsidRPr="00DB5822">
        <w:rPr>
          <w:b/>
          <w:bCs/>
          <w:i w:val="0"/>
          <w:iCs w:val="0"/>
          <w:color w:val="000000" w:themeColor="text1"/>
          <w:sz w:val="24"/>
          <w:szCs w:val="24"/>
        </w:rPr>
        <w:fldChar w:fldCharType="end"/>
      </w:r>
      <w:bookmarkEnd w:id="258"/>
      <w:r w:rsidRPr="00DB5822">
        <w:rPr>
          <w:i w:val="0"/>
          <w:iCs w:val="0"/>
          <w:color w:val="000000" w:themeColor="text1"/>
          <w:sz w:val="24"/>
          <w:szCs w:val="24"/>
        </w:rPr>
        <w:t xml:space="preserve">: Repeat parallel susceptibility testing of a subset of </w:t>
      </w:r>
      <w:r w:rsidRPr="00DB5822">
        <w:rPr>
          <w:color w:val="000000" w:themeColor="text1"/>
          <w:sz w:val="24"/>
          <w:szCs w:val="24"/>
        </w:rPr>
        <w:t>S. pneumoniae</w:t>
      </w:r>
      <w:r w:rsidRPr="00DB5822">
        <w:rPr>
          <w:i w:val="0"/>
          <w:iCs w:val="0"/>
          <w:color w:val="000000" w:themeColor="text1"/>
          <w:sz w:val="24"/>
          <w:szCs w:val="24"/>
        </w:rPr>
        <w:t xml:space="preserve"> isolates</w:t>
      </w:r>
      <w:bookmarkEnd w:id="259"/>
    </w:p>
    <w:tbl>
      <w:tblPr>
        <w:tblStyle w:val="TableGrid"/>
        <w:tblW w:w="9493" w:type="dxa"/>
        <w:tblLook w:val="04A0" w:firstRow="1" w:lastRow="0" w:firstColumn="1" w:lastColumn="0" w:noHBand="0" w:noVBand="1"/>
      </w:tblPr>
      <w:tblGrid>
        <w:gridCol w:w="1129"/>
        <w:gridCol w:w="1276"/>
        <w:gridCol w:w="1559"/>
        <w:gridCol w:w="1276"/>
        <w:gridCol w:w="1985"/>
        <w:gridCol w:w="2268"/>
      </w:tblGrid>
      <w:tr w:rsidR="000F4748" w14:paraId="3FF23120" w14:textId="77777777" w:rsidTr="00597680">
        <w:tc>
          <w:tcPr>
            <w:tcW w:w="1129" w:type="dxa"/>
            <w:shd w:val="clear" w:color="auto" w:fill="9CC2E5" w:themeFill="accent1" w:themeFillTint="99"/>
          </w:tcPr>
          <w:p w14:paraId="0595FF68" w14:textId="77777777" w:rsidR="000F4748" w:rsidRDefault="000F4748" w:rsidP="00896913">
            <w:r>
              <w:t>Sample</w:t>
            </w:r>
          </w:p>
        </w:tc>
        <w:tc>
          <w:tcPr>
            <w:tcW w:w="1276" w:type="dxa"/>
            <w:shd w:val="clear" w:color="auto" w:fill="9CC2E5" w:themeFill="accent1" w:themeFillTint="99"/>
          </w:tcPr>
          <w:p w14:paraId="3AD00997" w14:textId="72593162" w:rsidR="003061AE" w:rsidRDefault="00DB069C" w:rsidP="00896913">
            <w:r>
              <w:t>*</w:t>
            </w:r>
            <w:r w:rsidR="000F4748">
              <w:t xml:space="preserve">AZM MIC </w:t>
            </w:r>
            <w:r w:rsidR="003061AE">
              <w:t>mg/L</w:t>
            </w:r>
          </w:p>
          <w:p w14:paraId="6673E330" w14:textId="5FD99FB0" w:rsidR="000F4748" w:rsidRDefault="000F4748" w:rsidP="00896913">
            <w:r>
              <w:t>(first E-test strip)</w:t>
            </w:r>
          </w:p>
        </w:tc>
        <w:tc>
          <w:tcPr>
            <w:tcW w:w="1559" w:type="dxa"/>
            <w:shd w:val="clear" w:color="auto" w:fill="9CC2E5" w:themeFill="accent1" w:themeFillTint="99"/>
          </w:tcPr>
          <w:p w14:paraId="06DFA14D" w14:textId="444DBAAD" w:rsidR="000F4748" w:rsidRDefault="000F4748" w:rsidP="00896913">
            <w:r>
              <w:t xml:space="preserve">Erythromycin Disk diffusion </w:t>
            </w:r>
            <w:r w:rsidR="00C90C05">
              <w:t>in mm</w:t>
            </w:r>
            <w:r w:rsidR="00D174D8">
              <w:t xml:space="preserve"> </w:t>
            </w:r>
            <w:r>
              <w:t>(first)</w:t>
            </w:r>
          </w:p>
        </w:tc>
        <w:tc>
          <w:tcPr>
            <w:tcW w:w="1276" w:type="dxa"/>
            <w:shd w:val="clear" w:color="auto" w:fill="9CC2E5" w:themeFill="accent1" w:themeFillTint="99"/>
          </w:tcPr>
          <w:p w14:paraId="150C94BF" w14:textId="77777777" w:rsidR="003061AE" w:rsidRDefault="00DB069C" w:rsidP="00896913">
            <w:r>
              <w:t>*</w:t>
            </w:r>
            <w:r w:rsidR="000F4748">
              <w:t xml:space="preserve">AZM MIC </w:t>
            </w:r>
            <w:r w:rsidR="003061AE">
              <w:t>mg/L</w:t>
            </w:r>
          </w:p>
          <w:p w14:paraId="4C3BB9EC" w14:textId="196D66C7" w:rsidR="000F4748" w:rsidRDefault="000F4748" w:rsidP="00896913">
            <w:r>
              <w:t>(2</w:t>
            </w:r>
            <w:r w:rsidRPr="00BB07E9">
              <w:rPr>
                <w:vertAlign w:val="superscript"/>
              </w:rPr>
              <w:t>nd</w:t>
            </w:r>
            <w:r>
              <w:rPr>
                <w:vertAlign w:val="superscript"/>
              </w:rPr>
              <w:t xml:space="preserve"> </w:t>
            </w:r>
            <w:r>
              <w:t>E-test strip)</w:t>
            </w:r>
          </w:p>
        </w:tc>
        <w:tc>
          <w:tcPr>
            <w:tcW w:w="1985" w:type="dxa"/>
            <w:shd w:val="clear" w:color="auto" w:fill="9CC2E5" w:themeFill="accent1" w:themeFillTint="99"/>
          </w:tcPr>
          <w:p w14:paraId="55120795" w14:textId="77777777" w:rsidR="00C90C05" w:rsidRDefault="000F4748" w:rsidP="00896913">
            <w:r>
              <w:t xml:space="preserve">Erythromycin Disk diffusion </w:t>
            </w:r>
            <w:r w:rsidR="00C90C05">
              <w:t xml:space="preserve">in mm </w:t>
            </w:r>
          </w:p>
          <w:p w14:paraId="2A58805B" w14:textId="60C73390" w:rsidR="000F4748" w:rsidRDefault="000F4748" w:rsidP="00896913">
            <w:r>
              <w:t>(2</w:t>
            </w:r>
            <w:r w:rsidRPr="00BB07E9">
              <w:rPr>
                <w:vertAlign w:val="superscript"/>
              </w:rPr>
              <w:t>nd</w:t>
            </w:r>
            <w:r>
              <w:t>)</w:t>
            </w:r>
          </w:p>
        </w:tc>
        <w:tc>
          <w:tcPr>
            <w:tcW w:w="2268" w:type="dxa"/>
            <w:shd w:val="clear" w:color="auto" w:fill="9CC2E5" w:themeFill="accent1" w:themeFillTint="99"/>
          </w:tcPr>
          <w:p w14:paraId="2040F2EF" w14:textId="77777777" w:rsidR="000F4748" w:rsidRDefault="000F4748" w:rsidP="00896913">
            <w:r>
              <w:t>Erythromycin MIC</w:t>
            </w:r>
          </w:p>
          <w:p w14:paraId="76B4866D" w14:textId="77777777" w:rsidR="000F4748" w:rsidRDefault="000F4748" w:rsidP="00896913">
            <w:r>
              <w:t>Resistant &gt; 0.5mg/L</w:t>
            </w:r>
          </w:p>
          <w:p w14:paraId="0695E801" w14:textId="77777777" w:rsidR="000F4748" w:rsidRDefault="000F4748" w:rsidP="00896913">
            <w:r>
              <w:t>(E-test strip)</w:t>
            </w:r>
          </w:p>
        </w:tc>
      </w:tr>
      <w:tr w:rsidR="000F4748" w14:paraId="7C3C195A" w14:textId="77777777" w:rsidTr="00896913">
        <w:tc>
          <w:tcPr>
            <w:tcW w:w="1129" w:type="dxa"/>
          </w:tcPr>
          <w:p w14:paraId="49536C65" w14:textId="77777777" w:rsidR="000F4748" w:rsidRDefault="000F4748" w:rsidP="00896913">
            <w:r>
              <w:t>1</w:t>
            </w:r>
          </w:p>
        </w:tc>
        <w:tc>
          <w:tcPr>
            <w:tcW w:w="1276" w:type="dxa"/>
          </w:tcPr>
          <w:p w14:paraId="20723B61" w14:textId="77777777" w:rsidR="000F4748" w:rsidRDefault="000F4748" w:rsidP="00896913">
            <w:r>
              <w:t>1</w:t>
            </w:r>
          </w:p>
        </w:tc>
        <w:tc>
          <w:tcPr>
            <w:tcW w:w="1559" w:type="dxa"/>
          </w:tcPr>
          <w:p w14:paraId="595CC62A" w14:textId="77777777" w:rsidR="000F4748" w:rsidRDefault="000F4748" w:rsidP="00896913">
            <w:r>
              <w:t>31</w:t>
            </w:r>
          </w:p>
        </w:tc>
        <w:tc>
          <w:tcPr>
            <w:tcW w:w="1276" w:type="dxa"/>
          </w:tcPr>
          <w:p w14:paraId="572B0F80" w14:textId="77777777" w:rsidR="000F4748" w:rsidRDefault="000F4748" w:rsidP="00896913">
            <w:r>
              <w:t>1</w:t>
            </w:r>
          </w:p>
        </w:tc>
        <w:tc>
          <w:tcPr>
            <w:tcW w:w="1985" w:type="dxa"/>
          </w:tcPr>
          <w:p w14:paraId="29FE7DF7" w14:textId="77777777" w:rsidR="000F4748" w:rsidRDefault="000F4748" w:rsidP="00896913">
            <w:r>
              <w:t>31</w:t>
            </w:r>
          </w:p>
        </w:tc>
        <w:tc>
          <w:tcPr>
            <w:tcW w:w="2268" w:type="dxa"/>
          </w:tcPr>
          <w:p w14:paraId="233325C1" w14:textId="77777777" w:rsidR="000F4748" w:rsidRDefault="000F4748" w:rsidP="00896913">
            <w:r>
              <w:t>0.25</w:t>
            </w:r>
          </w:p>
        </w:tc>
      </w:tr>
      <w:tr w:rsidR="000F4748" w14:paraId="19EB7800" w14:textId="77777777" w:rsidTr="00597680">
        <w:tc>
          <w:tcPr>
            <w:tcW w:w="1129" w:type="dxa"/>
            <w:shd w:val="clear" w:color="auto" w:fill="DEEAF6" w:themeFill="accent1" w:themeFillTint="33"/>
          </w:tcPr>
          <w:p w14:paraId="28A59366" w14:textId="77777777" w:rsidR="000F4748" w:rsidRDefault="000F4748" w:rsidP="00896913">
            <w:r>
              <w:t>2</w:t>
            </w:r>
          </w:p>
        </w:tc>
        <w:tc>
          <w:tcPr>
            <w:tcW w:w="1276" w:type="dxa"/>
            <w:shd w:val="clear" w:color="auto" w:fill="DEEAF6" w:themeFill="accent1" w:themeFillTint="33"/>
          </w:tcPr>
          <w:p w14:paraId="731473B6" w14:textId="77777777" w:rsidR="000F4748" w:rsidRDefault="000F4748" w:rsidP="00896913">
            <w:r>
              <w:t>1.5</w:t>
            </w:r>
          </w:p>
        </w:tc>
        <w:tc>
          <w:tcPr>
            <w:tcW w:w="1559" w:type="dxa"/>
            <w:shd w:val="clear" w:color="auto" w:fill="DEEAF6" w:themeFill="accent1" w:themeFillTint="33"/>
          </w:tcPr>
          <w:p w14:paraId="72A80E24" w14:textId="77777777" w:rsidR="000F4748" w:rsidRDefault="000F4748" w:rsidP="00896913">
            <w:r>
              <w:t>31</w:t>
            </w:r>
          </w:p>
        </w:tc>
        <w:tc>
          <w:tcPr>
            <w:tcW w:w="1276" w:type="dxa"/>
            <w:shd w:val="clear" w:color="auto" w:fill="DEEAF6" w:themeFill="accent1" w:themeFillTint="33"/>
          </w:tcPr>
          <w:p w14:paraId="34337330" w14:textId="77777777" w:rsidR="000F4748" w:rsidRDefault="000F4748" w:rsidP="00896913">
            <w:r>
              <w:t>1.5</w:t>
            </w:r>
          </w:p>
        </w:tc>
        <w:tc>
          <w:tcPr>
            <w:tcW w:w="1985" w:type="dxa"/>
            <w:shd w:val="clear" w:color="auto" w:fill="DEEAF6" w:themeFill="accent1" w:themeFillTint="33"/>
          </w:tcPr>
          <w:p w14:paraId="34D6D8DF" w14:textId="77777777" w:rsidR="000F4748" w:rsidRDefault="000F4748" w:rsidP="00896913">
            <w:r>
              <w:t>31</w:t>
            </w:r>
          </w:p>
        </w:tc>
        <w:tc>
          <w:tcPr>
            <w:tcW w:w="2268" w:type="dxa"/>
            <w:shd w:val="clear" w:color="auto" w:fill="DEEAF6" w:themeFill="accent1" w:themeFillTint="33"/>
          </w:tcPr>
          <w:p w14:paraId="314AB416" w14:textId="77777777" w:rsidR="000F4748" w:rsidRDefault="000F4748" w:rsidP="00896913">
            <w:r>
              <w:t>0.19</w:t>
            </w:r>
          </w:p>
        </w:tc>
      </w:tr>
      <w:tr w:rsidR="000F4748" w14:paraId="6F59618D" w14:textId="77777777" w:rsidTr="00896913">
        <w:tc>
          <w:tcPr>
            <w:tcW w:w="1129" w:type="dxa"/>
          </w:tcPr>
          <w:p w14:paraId="796760D4" w14:textId="77777777" w:rsidR="000F4748" w:rsidRDefault="000F4748" w:rsidP="00896913">
            <w:r>
              <w:t>3</w:t>
            </w:r>
          </w:p>
        </w:tc>
        <w:tc>
          <w:tcPr>
            <w:tcW w:w="1276" w:type="dxa"/>
          </w:tcPr>
          <w:p w14:paraId="0DFA9423" w14:textId="77777777" w:rsidR="000F4748" w:rsidRDefault="000F4748" w:rsidP="00896913">
            <w:r>
              <w:t>2</w:t>
            </w:r>
          </w:p>
        </w:tc>
        <w:tc>
          <w:tcPr>
            <w:tcW w:w="1559" w:type="dxa"/>
          </w:tcPr>
          <w:p w14:paraId="6111C493" w14:textId="77777777" w:rsidR="000F4748" w:rsidRDefault="000F4748" w:rsidP="00896913">
            <w:r>
              <w:t>29</w:t>
            </w:r>
          </w:p>
        </w:tc>
        <w:tc>
          <w:tcPr>
            <w:tcW w:w="1276" w:type="dxa"/>
          </w:tcPr>
          <w:p w14:paraId="01AF2EA5" w14:textId="77777777" w:rsidR="000F4748" w:rsidRDefault="000F4748" w:rsidP="00896913">
            <w:r>
              <w:t>2</w:t>
            </w:r>
          </w:p>
        </w:tc>
        <w:tc>
          <w:tcPr>
            <w:tcW w:w="1985" w:type="dxa"/>
          </w:tcPr>
          <w:p w14:paraId="389D315B" w14:textId="77777777" w:rsidR="000F4748" w:rsidRDefault="000F4748" w:rsidP="00896913">
            <w:r>
              <w:t>29</w:t>
            </w:r>
          </w:p>
        </w:tc>
        <w:tc>
          <w:tcPr>
            <w:tcW w:w="2268" w:type="dxa"/>
          </w:tcPr>
          <w:p w14:paraId="017B397F" w14:textId="77777777" w:rsidR="000F4748" w:rsidRDefault="000F4748" w:rsidP="00896913">
            <w:r>
              <w:t>0.125</w:t>
            </w:r>
          </w:p>
        </w:tc>
      </w:tr>
      <w:tr w:rsidR="000F4748" w14:paraId="5E690421" w14:textId="77777777" w:rsidTr="00597680">
        <w:tc>
          <w:tcPr>
            <w:tcW w:w="1129" w:type="dxa"/>
            <w:shd w:val="clear" w:color="auto" w:fill="DEEAF6" w:themeFill="accent1" w:themeFillTint="33"/>
          </w:tcPr>
          <w:p w14:paraId="530042B4" w14:textId="77777777" w:rsidR="000F4748" w:rsidRDefault="000F4748" w:rsidP="00896913">
            <w:r>
              <w:t>4</w:t>
            </w:r>
          </w:p>
        </w:tc>
        <w:tc>
          <w:tcPr>
            <w:tcW w:w="1276" w:type="dxa"/>
            <w:shd w:val="clear" w:color="auto" w:fill="DEEAF6" w:themeFill="accent1" w:themeFillTint="33"/>
          </w:tcPr>
          <w:p w14:paraId="4C0BC8BC" w14:textId="77777777" w:rsidR="000F4748" w:rsidRDefault="000F4748" w:rsidP="00896913">
            <w:r>
              <w:t>0.75</w:t>
            </w:r>
          </w:p>
        </w:tc>
        <w:tc>
          <w:tcPr>
            <w:tcW w:w="1559" w:type="dxa"/>
            <w:shd w:val="clear" w:color="auto" w:fill="DEEAF6" w:themeFill="accent1" w:themeFillTint="33"/>
          </w:tcPr>
          <w:p w14:paraId="7B20A9DD" w14:textId="77777777" w:rsidR="000F4748" w:rsidRDefault="000F4748" w:rsidP="00896913">
            <w:r>
              <w:t>30</w:t>
            </w:r>
          </w:p>
        </w:tc>
        <w:tc>
          <w:tcPr>
            <w:tcW w:w="1276" w:type="dxa"/>
            <w:shd w:val="clear" w:color="auto" w:fill="DEEAF6" w:themeFill="accent1" w:themeFillTint="33"/>
          </w:tcPr>
          <w:p w14:paraId="2F216DC2" w14:textId="77777777" w:rsidR="000F4748" w:rsidRDefault="000F4748" w:rsidP="00896913">
            <w:r>
              <w:t>0.75</w:t>
            </w:r>
          </w:p>
        </w:tc>
        <w:tc>
          <w:tcPr>
            <w:tcW w:w="1985" w:type="dxa"/>
            <w:shd w:val="clear" w:color="auto" w:fill="DEEAF6" w:themeFill="accent1" w:themeFillTint="33"/>
          </w:tcPr>
          <w:p w14:paraId="307C89AA" w14:textId="77777777" w:rsidR="000F4748" w:rsidRDefault="000F4748" w:rsidP="00896913">
            <w:r>
              <w:t>30</w:t>
            </w:r>
          </w:p>
        </w:tc>
        <w:tc>
          <w:tcPr>
            <w:tcW w:w="2268" w:type="dxa"/>
            <w:shd w:val="clear" w:color="auto" w:fill="DEEAF6" w:themeFill="accent1" w:themeFillTint="33"/>
          </w:tcPr>
          <w:p w14:paraId="34B9FE99" w14:textId="77777777" w:rsidR="000F4748" w:rsidRDefault="000F4748" w:rsidP="00896913">
            <w:r>
              <w:t>0.25</w:t>
            </w:r>
          </w:p>
        </w:tc>
      </w:tr>
      <w:tr w:rsidR="000F4748" w14:paraId="30BBB02C" w14:textId="77777777" w:rsidTr="00896913">
        <w:tc>
          <w:tcPr>
            <w:tcW w:w="1129" w:type="dxa"/>
          </w:tcPr>
          <w:p w14:paraId="7DD049F0" w14:textId="77777777" w:rsidR="000F4748" w:rsidRDefault="000F4748" w:rsidP="00896913">
            <w:r>
              <w:t>5</w:t>
            </w:r>
          </w:p>
        </w:tc>
        <w:tc>
          <w:tcPr>
            <w:tcW w:w="1276" w:type="dxa"/>
          </w:tcPr>
          <w:p w14:paraId="3AB1883B" w14:textId="77777777" w:rsidR="000F4748" w:rsidRDefault="000F4748" w:rsidP="00896913">
            <w:r>
              <w:t>2</w:t>
            </w:r>
          </w:p>
        </w:tc>
        <w:tc>
          <w:tcPr>
            <w:tcW w:w="1559" w:type="dxa"/>
          </w:tcPr>
          <w:p w14:paraId="47C405A4" w14:textId="77777777" w:rsidR="000F4748" w:rsidRDefault="000F4748" w:rsidP="00896913">
            <w:r>
              <w:t>29</w:t>
            </w:r>
          </w:p>
        </w:tc>
        <w:tc>
          <w:tcPr>
            <w:tcW w:w="1276" w:type="dxa"/>
          </w:tcPr>
          <w:p w14:paraId="461945FC" w14:textId="77777777" w:rsidR="000F4748" w:rsidRDefault="000F4748" w:rsidP="00896913">
            <w:r>
              <w:t>2</w:t>
            </w:r>
          </w:p>
        </w:tc>
        <w:tc>
          <w:tcPr>
            <w:tcW w:w="1985" w:type="dxa"/>
          </w:tcPr>
          <w:p w14:paraId="529EB37B" w14:textId="77777777" w:rsidR="000F4748" w:rsidRDefault="000F4748" w:rsidP="00896913">
            <w:r>
              <w:t>29</w:t>
            </w:r>
          </w:p>
        </w:tc>
        <w:tc>
          <w:tcPr>
            <w:tcW w:w="2268" w:type="dxa"/>
          </w:tcPr>
          <w:p w14:paraId="2D5854D8" w14:textId="77777777" w:rsidR="000F4748" w:rsidRDefault="000F4748" w:rsidP="00896913">
            <w:r>
              <w:t>0.25</w:t>
            </w:r>
          </w:p>
        </w:tc>
      </w:tr>
    </w:tbl>
    <w:p w14:paraId="7CE49305" w14:textId="77777777" w:rsidR="00DB069C" w:rsidRDefault="00DB069C" w:rsidP="001B080B">
      <w:pPr>
        <w:spacing w:line="360" w:lineRule="auto"/>
      </w:pPr>
    </w:p>
    <w:p w14:paraId="6DA626C2" w14:textId="06F7F67C" w:rsidR="00763BF8" w:rsidRPr="0064056D" w:rsidRDefault="00DB069C" w:rsidP="001B080B">
      <w:pPr>
        <w:spacing w:line="360" w:lineRule="auto"/>
        <w:rPr>
          <w:i/>
          <w:iCs/>
        </w:rPr>
      </w:pPr>
      <w:r w:rsidRPr="0064056D">
        <w:rPr>
          <w:i/>
          <w:iCs/>
        </w:rPr>
        <w:t>*AZM</w:t>
      </w:r>
      <w:r>
        <w:rPr>
          <w:i/>
          <w:iCs/>
        </w:rPr>
        <w:t xml:space="preserve"> </w:t>
      </w:r>
      <w:r w:rsidR="00F83B67">
        <w:rPr>
          <w:i/>
          <w:iCs/>
        </w:rPr>
        <w:t>–</w:t>
      </w:r>
      <w:r w:rsidRPr="0064056D">
        <w:rPr>
          <w:i/>
          <w:iCs/>
        </w:rPr>
        <w:t xml:space="preserve"> </w:t>
      </w:r>
      <w:r w:rsidR="006A1081">
        <w:rPr>
          <w:i/>
          <w:iCs/>
        </w:rPr>
        <w:t>A</w:t>
      </w:r>
      <w:r w:rsidRPr="0064056D">
        <w:rPr>
          <w:i/>
          <w:iCs/>
        </w:rPr>
        <w:t>zithromycin</w:t>
      </w:r>
    </w:p>
    <w:p w14:paraId="7D82EC81" w14:textId="77777777" w:rsidR="0023285C" w:rsidRPr="00597680" w:rsidRDefault="0023285C" w:rsidP="001B080B">
      <w:pPr>
        <w:spacing w:line="360" w:lineRule="auto"/>
      </w:pPr>
    </w:p>
    <w:p w14:paraId="1574B70B" w14:textId="7E3173F4" w:rsidR="000F4748" w:rsidRDefault="000F4748" w:rsidP="001B080B">
      <w:pPr>
        <w:pStyle w:val="Heading3"/>
        <w:numPr>
          <w:ilvl w:val="0"/>
          <w:numId w:val="0"/>
        </w:numPr>
        <w:spacing w:before="0" w:line="360" w:lineRule="auto"/>
        <w:ind w:left="720" w:hanging="720"/>
      </w:pPr>
      <w:bookmarkStart w:id="260" w:name="_Toc117765995"/>
      <w:r>
        <w:t>4.</w:t>
      </w:r>
      <w:r w:rsidR="00E92008">
        <w:t>5</w:t>
      </w:r>
      <w:r>
        <w:t>.</w:t>
      </w:r>
      <w:r w:rsidR="00E92008">
        <w:t>2</w:t>
      </w:r>
      <w:r>
        <w:t xml:space="preserve"> </w:t>
      </w:r>
      <w:r w:rsidR="00FC43D8">
        <w:tab/>
      </w:r>
      <w:r>
        <w:t xml:space="preserve">Genotypic profiles of </w:t>
      </w:r>
      <w:r w:rsidRPr="004451A4">
        <w:rPr>
          <w:i/>
          <w:iCs/>
        </w:rPr>
        <w:t>S</w:t>
      </w:r>
      <w:r w:rsidR="004451A4" w:rsidRPr="004451A4">
        <w:rPr>
          <w:i/>
          <w:iCs/>
        </w:rPr>
        <w:t>treptococcus</w:t>
      </w:r>
      <w:r w:rsidRPr="004451A4">
        <w:rPr>
          <w:i/>
          <w:iCs/>
        </w:rPr>
        <w:t xml:space="preserve"> pneumoniae</w:t>
      </w:r>
      <w:r>
        <w:t xml:space="preserve"> sequences</w:t>
      </w:r>
      <w:bookmarkEnd w:id="260"/>
    </w:p>
    <w:p w14:paraId="18D10210" w14:textId="6526862E" w:rsidR="00B345C2" w:rsidRDefault="00983DC7" w:rsidP="0064056D">
      <w:pPr>
        <w:shd w:val="clear" w:color="auto" w:fill="FFFFFF" w:themeFill="background1"/>
        <w:spacing w:after="160" w:line="360" w:lineRule="auto"/>
      </w:pPr>
      <w:r>
        <w:t xml:space="preserve">The phenotypic resistance profiles demonstrated a </w:t>
      </w:r>
      <w:r w:rsidR="000137F6">
        <w:t xml:space="preserve">major </w:t>
      </w:r>
      <w:r>
        <w:t xml:space="preserve">discrepancy between erythromycin and azithromycin resistance amongst the </w:t>
      </w:r>
      <w:r w:rsidRPr="00983DC7">
        <w:rPr>
          <w:i/>
          <w:iCs/>
        </w:rPr>
        <w:t>S. pneumoniae</w:t>
      </w:r>
      <w:r>
        <w:t xml:space="preserve"> isolates, 5% vs 95% resistance respectively. In order to investigate this further, DNA was extracted from the </w:t>
      </w:r>
      <w:r w:rsidRPr="00983DC7">
        <w:rPr>
          <w:i/>
          <w:iCs/>
        </w:rPr>
        <w:t>S. pneumoniae</w:t>
      </w:r>
      <w:r>
        <w:t xml:space="preserve"> isolates and sequenced </w:t>
      </w:r>
      <w:r w:rsidR="00B345C2">
        <w:t xml:space="preserve">to provide </w:t>
      </w:r>
      <w:r w:rsidR="000137F6">
        <w:t xml:space="preserve">genomic </w:t>
      </w:r>
      <w:r w:rsidR="00B345C2">
        <w:t xml:space="preserve">data. </w:t>
      </w:r>
    </w:p>
    <w:p w14:paraId="48444F90" w14:textId="34C35F51" w:rsidR="006B5543" w:rsidRDefault="00051905" w:rsidP="006B5543">
      <w:pPr>
        <w:spacing w:after="160" w:line="360" w:lineRule="auto"/>
      </w:pPr>
      <w:r>
        <w:t xml:space="preserve">Of the 58 </w:t>
      </w:r>
      <w:r w:rsidRPr="000E1D59">
        <w:rPr>
          <w:i/>
          <w:iCs/>
        </w:rPr>
        <w:t>S. pneumoniae isolates</w:t>
      </w:r>
      <w:r>
        <w:t xml:space="preserve"> obtained from PBB studies 1 and 2, 55 were able to be re-cultured at the microbiology </w:t>
      </w:r>
      <w:r w:rsidR="00B01F31">
        <w:t>laboratory</w:t>
      </w:r>
      <w:r>
        <w:t xml:space="preserve"> in STH. Following this, 51 isolates </w:t>
      </w:r>
      <w:r w:rsidR="003F47E5">
        <w:t xml:space="preserve">(4 </w:t>
      </w:r>
      <w:r w:rsidR="00DB069C">
        <w:t xml:space="preserve">re-cultured </w:t>
      </w:r>
      <w:r w:rsidR="003F47E5">
        <w:t xml:space="preserve">samples could not be located by the </w:t>
      </w:r>
      <w:r w:rsidR="00DB069C">
        <w:t xml:space="preserve">STH </w:t>
      </w:r>
      <w:r w:rsidR="003F47E5">
        <w:t xml:space="preserve">microbiology laboratory) </w:t>
      </w:r>
      <w:r>
        <w:t xml:space="preserve">were transferred to the </w:t>
      </w:r>
      <w:r w:rsidR="003F47E5">
        <w:t xml:space="preserve">University </w:t>
      </w:r>
      <w:r>
        <w:t>of Sheffield for DNA extraction</w:t>
      </w:r>
      <w:r w:rsidR="00DB069C">
        <w:t>,</w:t>
      </w:r>
      <w:r w:rsidR="000137F6">
        <w:t xml:space="preserve"> with an extended lysis step to optimise DNA yield</w:t>
      </w:r>
      <w:r>
        <w:t xml:space="preserve"> </w:t>
      </w:r>
      <w:r w:rsidR="003F47E5">
        <w:t>as described in section 2.4.4.</w:t>
      </w:r>
      <w:r>
        <w:t xml:space="preserve"> Of these 51 samples, I was not able to re-culture 5 of the isolates. I </w:t>
      </w:r>
      <w:r>
        <w:lastRenderedPageBreak/>
        <w:t xml:space="preserve">extracted DNA from </w:t>
      </w:r>
      <w:r w:rsidR="00650935">
        <w:t xml:space="preserve">the </w:t>
      </w:r>
      <w:r>
        <w:t xml:space="preserve">46 </w:t>
      </w:r>
      <w:r w:rsidR="00650935">
        <w:t xml:space="preserve">remaining </w:t>
      </w:r>
      <w:r w:rsidRPr="00B345C2">
        <w:rPr>
          <w:i/>
          <w:iCs/>
        </w:rPr>
        <w:t>S. pneumoniae</w:t>
      </w:r>
      <w:r>
        <w:t xml:space="preserve"> isolates. The quality and concentration of DNA was measured using a nanodrop, </w:t>
      </w:r>
      <w:r w:rsidR="000F4A2A" w:rsidRPr="000F4A2A">
        <w:rPr>
          <w:highlight w:val="yellow"/>
        </w:rPr>
        <w:fldChar w:fldCharType="begin"/>
      </w:r>
      <w:r w:rsidR="000F4A2A" w:rsidRPr="000F4A2A">
        <w:instrText xml:space="preserve"> REF _Ref105509932 \h </w:instrText>
      </w:r>
      <w:r w:rsidR="000F4A2A" w:rsidRPr="000F4A2A">
        <w:rPr>
          <w:highlight w:val="yellow"/>
        </w:rPr>
        <w:instrText xml:space="preserve"> \* MERGEFORMAT </w:instrText>
      </w:r>
      <w:r w:rsidR="000F4A2A" w:rsidRPr="000F4A2A">
        <w:rPr>
          <w:highlight w:val="yellow"/>
        </w:rPr>
      </w:r>
      <w:r w:rsidR="000F4A2A" w:rsidRPr="000F4A2A">
        <w:rPr>
          <w:highlight w:val="yellow"/>
        </w:rPr>
        <w:fldChar w:fldCharType="separate"/>
      </w:r>
      <w:r w:rsidR="000F4A2A" w:rsidRPr="000F4A2A">
        <w:t xml:space="preserve">Figure </w:t>
      </w:r>
      <w:r w:rsidR="000F4A2A" w:rsidRPr="000F4A2A">
        <w:rPr>
          <w:noProof/>
        </w:rPr>
        <w:t>4</w:t>
      </w:r>
      <w:r w:rsidR="000F4A2A" w:rsidRPr="000F4A2A">
        <w:noBreakHyphen/>
      </w:r>
      <w:r w:rsidR="000F4A2A" w:rsidRPr="000F4A2A">
        <w:rPr>
          <w:noProof/>
        </w:rPr>
        <w:t>13</w:t>
      </w:r>
      <w:r w:rsidR="000F4A2A" w:rsidRPr="000F4A2A">
        <w:rPr>
          <w:highlight w:val="yellow"/>
        </w:rPr>
        <w:fldChar w:fldCharType="end"/>
      </w:r>
      <w:r w:rsidR="00C12B11">
        <w:t>. The median DNA concentration was 85.5 ng/</w:t>
      </w:r>
      <w:r w:rsidR="00C12B11">
        <w:rPr>
          <w:rFonts w:cstheme="minorHAnsi"/>
        </w:rPr>
        <w:t>µ</w:t>
      </w:r>
      <w:r w:rsidR="00C12B11">
        <w:t xml:space="preserve">L with a median 260/280 ratio of </w:t>
      </w:r>
      <w:r w:rsidR="00997A65">
        <w:t>2.02 and median 260/230 ratio of 2.19</w:t>
      </w:r>
      <w:r w:rsidR="00B345C2">
        <w:t xml:space="preserve">. </w:t>
      </w:r>
      <w:r w:rsidR="003F47E5">
        <w:t>The</w:t>
      </w:r>
      <w:r w:rsidR="00BF2D6A">
        <w:t xml:space="preserve"> </w:t>
      </w:r>
      <w:r w:rsidR="003F47E5">
        <w:t>slightly higher</w:t>
      </w:r>
      <w:r w:rsidR="006B5543">
        <w:t xml:space="preserve"> than optimal 260/280 ratio might have indicated minor RNA contamination of the sample although the 260/230 ration was reassuring.</w:t>
      </w:r>
    </w:p>
    <w:p w14:paraId="7FAD16F5" w14:textId="77777777" w:rsidR="006B5543" w:rsidRDefault="006B5543" w:rsidP="006B5543">
      <w:pPr>
        <w:spacing w:after="160" w:line="360" w:lineRule="auto"/>
      </w:pPr>
      <w:r>
        <w:t>Three samples had DNA concentrations of &lt;10 ng/</w:t>
      </w:r>
      <w:r>
        <w:rPr>
          <w:rFonts w:cstheme="minorHAnsi"/>
        </w:rPr>
        <w:t>µ</w:t>
      </w:r>
      <w:r>
        <w:t xml:space="preserve">l which was not sufficient for further analysis. From the total of 43 samples with adequate concentrations of DNA, 40 were selected to be sequenced by </w:t>
      </w:r>
      <w:proofErr w:type="spellStart"/>
      <w:r>
        <w:t>MicrobesNG</w:t>
      </w:r>
      <w:proofErr w:type="spellEnd"/>
      <w:r>
        <w:t xml:space="preserve">. Participants with more than 1 sample were prioritised in order to investigate longitudinal changes. Of these, 37 were used in the final analysis. The three samples not included in the final analysis were due to the following reasons: </w:t>
      </w:r>
    </w:p>
    <w:p w14:paraId="2E56B86E" w14:textId="77777777" w:rsidR="006B5543" w:rsidRPr="006B5543" w:rsidRDefault="006B5543">
      <w:pPr>
        <w:pStyle w:val="ListParagraph"/>
        <w:numPr>
          <w:ilvl w:val="0"/>
          <w:numId w:val="40"/>
        </w:numPr>
        <w:spacing w:after="0" w:line="360" w:lineRule="auto"/>
        <w:rPr>
          <w:rFonts w:ascii="Times New Roman" w:hAnsi="Times New Roman" w:cs="Times New Roman"/>
          <w:sz w:val="24"/>
          <w:szCs w:val="24"/>
        </w:rPr>
      </w:pPr>
      <w:r w:rsidRPr="006B5543">
        <w:rPr>
          <w:rFonts w:ascii="Times New Roman" w:hAnsi="Times New Roman" w:cs="Times New Roman"/>
          <w:sz w:val="24"/>
          <w:szCs w:val="24"/>
        </w:rPr>
        <w:t xml:space="preserve">Two samples had total contig lengths double that of </w:t>
      </w:r>
      <w:r w:rsidRPr="006B5543">
        <w:rPr>
          <w:rFonts w:ascii="Times New Roman" w:hAnsi="Times New Roman" w:cs="Times New Roman"/>
          <w:i/>
          <w:iCs/>
          <w:sz w:val="24"/>
          <w:szCs w:val="24"/>
        </w:rPr>
        <w:t>S. pneumoniae</w:t>
      </w:r>
      <w:r w:rsidRPr="006B5543">
        <w:rPr>
          <w:rFonts w:ascii="Times New Roman" w:hAnsi="Times New Roman" w:cs="Times New Roman"/>
          <w:sz w:val="24"/>
          <w:szCs w:val="24"/>
        </w:rPr>
        <w:t xml:space="preserve"> suggesting possible contamination</w:t>
      </w:r>
    </w:p>
    <w:p w14:paraId="4FEE1E84" w14:textId="77777777" w:rsidR="006B5543" w:rsidRPr="006B5543" w:rsidRDefault="006B5543">
      <w:pPr>
        <w:pStyle w:val="ListParagraph"/>
        <w:numPr>
          <w:ilvl w:val="0"/>
          <w:numId w:val="40"/>
        </w:numPr>
        <w:spacing w:after="0" w:line="360" w:lineRule="auto"/>
        <w:rPr>
          <w:rFonts w:ascii="Times New Roman" w:hAnsi="Times New Roman" w:cs="Times New Roman"/>
          <w:sz w:val="24"/>
          <w:szCs w:val="24"/>
        </w:rPr>
      </w:pPr>
      <w:r w:rsidRPr="006B5543">
        <w:rPr>
          <w:rFonts w:ascii="Times New Roman" w:hAnsi="Times New Roman" w:cs="Times New Roman"/>
          <w:sz w:val="24"/>
          <w:szCs w:val="24"/>
        </w:rPr>
        <w:t xml:space="preserve">One sample was identified as </w:t>
      </w:r>
      <w:r w:rsidRPr="006B5543">
        <w:rPr>
          <w:rFonts w:ascii="Times New Roman" w:hAnsi="Times New Roman" w:cs="Times New Roman"/>
          <w:i/>
          <w:iCs/>
          <w:sz w:val="24"/>
          <w:szCs w:val="24"/>
        </w:rPr>
        <w:t>H. Influenzae</w:t>
      </w:r>
      <w:r w:rsidRPr="006B5543">
        <w:rPr>
          <w:rFonts w:ascii="Times New Roman" w:hAnsi="Times New Roman" w:cs="Times New Roman"/>
          <w:sz w:val="24"/>
          <w:szCs w:val="24"/>
        </w:rPr>
        <w:t xml:space="preserve"> not </w:t>
      </w:r>
      <w:r w:rsidRPr="006B5543">
        <w:rPr>
          <w:rFonts w:ascii="Times New Roman" w:hAnsi="Times New Roman" w:cs="Times New Roman"/>
          <w:i/>
          <w:iCs/>
          <w:sz w:val="24"/>
          <w:szCs w:val="24"/>
        </w:rPr>
        <w:t>S. pneumoniae</w:t>
      </w:r>
      <w:r w:rsidRPr="006B5543">
        <w:rPr>
          <w:rFonts w:ascii="Times New Roman" w:hAnsi="Times New Roman" w:cs="Times New Roman"/>
          <w:sz w:val="24"/>
          <w:szCs w:val="24"/>
        </w:rPr>
        <w:t xml:space="preserve"> (labelling error).</w:t>
      </w:r>
    </w:p>
    <w:p w14:paraId="29A17B43" w14:textId="77777777" w:rsidR="007B65AB" w:rsidRDefault="007B65AB" w:rsidP="00051905">
      <w:pPr>
        <w:shd w:val="clear" w:color="auto" w:fill="FFFFFF" w:themeFill="background1"/>
        <w:spacing w:line="360" w:lineRule="auto"/>
      </w:pPr>
    </w:p>
    <w:tbl>
      <w:tblPr>
        <w:tblStyle w:val="TableGrid"/>
        <w:tblpPr w:leftFromText="180" w:rightFromText="180" w:vertAnchor="text" w:horzAnchor="margin" w:tblpXSpec="righ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2"/>
      </w:tblGrid>
      <w:tr w:rsidR="0023285C" w14:paraId="14FAC8F4" w14:textId="77777777" w:rsidTr="006A1081">
        <w:trPr>
          <w:trHeight w:val="3243"/>
        </w:trPr>
        <w:tc>
          <w:tcPr>
            <w:tcW w:w="7512" w:type="dxa"/>
          </w:tcPr>
          <w:p w14:paraId="0615FF96" w14:textId="54B23941" w:rsidR="0023285C" w:rsidRDefault="008B589B" w:rsidP="006A1081">
            <w:pPr>
              <w:spacing w:line="360" w:lineRule="auto"/>
            </w:pPr>
            <w:r w:rsidRPr="00106C20">
              <w:rPr>
                <w:noProof/>
              </w:rPr>
              <w:lastRenderedPageBreak/>
              <mc:AlternateContent>
                <mc:Choice Requires="cx1">
                  <w:drawing>
                    <wp:inline distT="0" distB="0" distL="0" distR="0" wp14:anchorId="63F8BFD9" wp14:editId="2179B219">
                      <wp:extent cx="4189730" cy="2004695"/>
                      <wp:effectExtent l="0" t="0" r="0" b="0"/>
                      <wp:docPr id="548" name="Chart 427"/>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w:drawing>
                    <wp:inline distT="0" distB="0" distL="0" distR="0" wp14:anchorId="63F8BFD9" wp14:editId="2179B219">
                      <wp:extent cx="4189730" cy="2004695"/>
                      <wp:effectExtent l="0" t="0" r="0" b="0"/>
                      <wp:docPr id="548" name="Chart 42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8" name="Chart 427"/>
                              <pic:cNvPicPr>
                                <a:picLocks noGrp="1" noRot="1" noChangeAspect="1" noMove="1" noResize="1" noEditPoints="1" noAdjustHandles="1" noChangeArrowheads="1" noChangeShapeType="1"/>
                              </pic:cNvPicPr>
                            </pic:nvPicPr>
                            <pic:blipFill>
                              <a:blip r:embed="rId55"/>
                              <a:stretch>
                                <a:fillRect/>
                              </a:stretch>
                            </pic:blipFill>
                            <pic:spPr>
                              <a:xfrm>
                                <a:off x="0" y="0"/>
                                <a:ext cx="4189730" cy="2004695"/>
                              </a:xfrm>
                              <a:prstGeom prst="rect">
                                <a:avLst/>
                              </a:prstGeom>
                            </pic:spPr>
                          </pic:pic>
                        </a:graphicData>
                      </a:graphic>
                    </wp:inline>
                  </w:drawing>
                </mc:Fallback>
              </mc:AlternateContent>
            </w:r>
          </w:p>
        </w:tc>
      </w:tr>
      <w:tr w:rsidR="0023285C" w14:paraId="24A3754B" w14:textId="77777777" w:rsidTr="006A1081">
        <w:tc>
          <w:tcPr>
            <w:tcW w:w="7512" w:type="dxa"/>
          </w:tcPr>
          <w:p w14:paraId="73FBF99A" w14:textId="58E9A967" w:rsidR="0023285C" w:rsidRDefault="008B589B" w:rsidP="0023285C">
            <w:pPr>
              <w:spacing w:line="360" w:lineRule="auto"/>
            </w:pPr>
            <w:r w:rsidRPr="00106C20">
              <w:rPr>
                <w:noProof/>
              </w:rPr>
              <mc:AlternateContent>
                <mc:Choice Requires="cx1">
                  <w:drawing>
                    <wp:inline distT="0" distB="0" distL="0" distR="0" wp14:anchorId="2F4255E1" wp14:editId="37372094">
                      <wp:extent cx="4209415" cy="2224405"/>
                      <wp:effectExtent l="0" t="0" r="0" b="0"/>
                      <wp:docPr id="547" name="Chart 428"/>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2F4255E1" wp14:editId="37372094">
                      <wp:extent cx="4209415" cy="2224405"/>
                      <wp:effectExtent l="0" t="0" r="0" b="0"/>
                      <wp:docPr id="547" name="Chart 42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7" name="Chart 428"/>
                              <pic:cNvPicPr>
                                <a:picLocks noGrp="1" noRot="1" noChangeAspect="1" noMove="1" noResize="1" noEditPoints="1" noAdjustHandles="1" noChangeArrowheads="1" noChangeShapeType="1"/>
                              </pic:cNvPicPr>
                            </pic:nvPicPr>
                            <pic:blipFill>
                              <a:blip r:embed="rId57"/>
                              <a:stretch>
                                <a:fillRect/>
                              </a:stretch>
                            </pic:blipFill>
                            <pic:spPr>
                              <a:xfrm>
                                <a:off x="0" y="0"/>
                                <a:ext cx="4209415" cy="2224405"/>
                              </a:xfrm>
                              <a:prstGeom prst="rect">
                                <a:avLst/>
                              </a:prstGeom>
                            </pic:spPr>
                          </pic:pic>
                        </a:graphicData>
                      </a:graphic>
                    </wp:inline>
                  </w:drawing>
                </mc:Fallback>
              </mc:AlternateContent>
            </w:r>
          </w:p>
        </w:tc>
      </w:tr>
      <w:tr w:rsidR="0023285C" w14:paraId="40F86C6D" w14:textId="77777777" w:rsidTr="006A1081">
        <w:trPr>
          <w:trHeight w:val="4021"/>
        </w:trPr>
        <w:tc>
          <w:tcPr>
            <w:tcW w:w="7512" w:type="dxa"/>
          </w:tcPr>
          <w:p w14:paraId="2DD78AE6" w14:textId="115F37B6" w:rsidR="0023285C" w:rsidRDefault="008B589B" w:rsidP="0023285C">
            <w:pPr>
              <w:spacing w:line="360" w:lineRule="auto"/>
            </w:pPr>
            <w:r w:rsidRPr="00106C20">
              <w:rPr>
                <w:noProof/>
              </w:rPr>
              <mc:AlternateContent>
                <mc:Choice Requires="cx1">
                  <w:drawing>
                    <wp:inline distT="0" distB="0" distL="0" distR="0" wp14:anchorId="6AB6A103" wp14:editId="7BEB6A70">
                      <wp:extent cx="4182745" cy="2418715"/>
                      <wp:effectExtent l="0" t="0" r="0" b="0"/>
                      <wp:docPr id="542" name="Chart 429"/>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6AB6A103" wp14:editId="7BEB6A70">
                      <wp:extent cx="4182745" cy="2418715"/>
                      <wp:effectExtent l="0" t="0" r="0" b="0"/>
                      <wp:docPr id="542" name="Chart 4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2" name="Chart 429"/>
                              <pic:cNvPicPr>
                                <a:picLocks noGrp="1" noRot="1" noChangeAspect="1" noMove="1" noResize="1" noEditPoints="1" noAdjustHandles="1" noChangeArrowheads="1" noChangeShapeType="1"/>
                              </pic:cNvPicPr>
                            </pic:nvPicPr>
                            <pic:blipFill>
                              <a:blip r:embed="rId59"/>
                              <a:stretch>
                                <a:fillRect/>
                              </a:stretch>
                            </pic:blipFill>
                            <pic:spPr>
                              <a:xfrm>
                                <a:off x="0" y="0"/>
                                <a:ext cx="4182745" cy="2418715"/>
                              </a:xfrm>
                              <a:prstGeom prst="rect">
                                <a:avLst/>
                              </a:prstGeom>
                            </pic:spPr>
                          </pic:pic>
                        </a:graphicData>
                      </a:graphic>
                    </wp:inline>
                  </w:drawing>
                </mc:Fallback>
              </mc:AlternateContent>
            </w:r>
          </w:p>
        </w:tc>
      </w:tr>
    </w:tbl>
    <w:p w14:paraId="4313CC44" w14:textId="02EFC57D" w:rsidR="00051905" w:rsidRDefault="00051905" w:rsidP="00051905">
      <w:pPr>
        <w:shd w:val="clear" w:color="auto" w:fill="FFFFFF" w:themeFill="background1"/>
        <w:spacing w:line="360" w:lineRule="auto"/>
      </w:pPr>
    </w:p>
    <w:p w14:paraId="6B616DE1" w14:textId="6E496A4F" w:rsidR="00C12B11" w:rsidRDefault="00C12B11" w:rsidP="00051905">
      <w:pPr>
        <w:shd w:val="clear" w:color="auto" w:fill="FFFFFF" w:themeFill="background1"/>
        <w:spacing w:line="360" w:lineRule="auto"/>
      </w:pPr>
    </w:p>
    <w:p w14:paraId="6B0613BE" w14:textId="77777777" w:rsidR="0023285C" w:rsidRDefault="0023285C" w:rsidP="000F4A2A">
      <w:pPr>
        <w:pStyle w:val="Caption"/>
        <w:rPr>
          <w:b/>
          <w:bCs/>
          <w:i w:val="0"/>
          <w:iCs w:val="0"/>
          <w:color w:val="auto"/>
          <w:sz w:val="24"/>
          <w:szCs w:val="24"/>
        </w:rPr>
      </w:pPr>
      <w:bookmarkStart w:id="261" w:name="_Ref105509932"/>
    </w:p>
    <w:p w14:paraId="5169E882" w14:textId="77777777" w:rsidR="0023285C" w:rsidRDefault="0023285C" w:rsidP="000F4A2A">
      <w:pPr>
        <w:pStyle w:val="Caption"/>
        <w:rPr>
          <w:b/>
          <w:bCs/>
          <w:i w:val="0"/>
          <w:iCs w:val="0"/>
          <w:color w:val="auto"/>
          <w:sz w:val="24"/>
          <w:szCs w:val="24"/>
        </w:rPr>
      </w:pPr>
    </w:p>
    <w:p w14:paraId="76430DB3" w14:textId="77777777" w:rsidR="0023285C" w:rsidRDefault="0023285C" w:rsidP="000F4A2A">
      <w:pPr>
        <w:pStyle w:val="Caption"/>
        <w:rPr>
          <w:b/>
          <w:bCs/>
          <w:i w:val="0"/>
          <w:iCs w:val="0"/>
          <w:color w:val="auto"/>
          <w:sz w:val="24"/>
          <w:szCs w:val="24"/>
        </w:rPr>
      </w:pPr>
    </w:p>
    <w:p w14:paraId="6E48FA2F" w14:textId="77777777" w:rsidR="0023285C" w:rsidRDefault="0023285C" w:rsidP="000F4A2A">
      <w:pPr>
        <w:pStyle w:val="Caption"/>
        <w:rPr>
          <w:b/>
          <w:bCs/>
          <w:i w:val="0"/>
          <w:iCs w:val="0"/>
          <w:color w:val="auto"/>
          <w:sz w:val="24"/>
          <w:szCs w:val="24"/>
        </w:rPr>
      </w:pPr>
    </w:p>
    <w:p w14:paraId="65FCFFD9" w14:textId="77777777" w:rsidR="0023285C" w:rsidRDefault="0023285C" w:rsidP="000F4A2A">
      <w:pPr>
        <w:pStyle w:val="Caption"/>
        <w:rPr>
          <w:b/>
          <w:bCs/>
          <w:i w:val="0"/>
          <w:iCs w:val="0"/>
          <w:color w:val="auto"/>
          <w:sz w:val="24"/>
          <w:szCs w:val="24"/>
        </w:rPr>
      </w:pPr>
    </w:p>
    <w:p w14:paraId="5900611F" w14:textId="77777777" w:rsidR="0023285C" w:rsidRDefault="0023285C" w:rsidP="000F4A2A">
      <w:pPr>
        <w:pStyle w:val="Caption"/>
        <w:rPr>
          <w:b/>
          <w:bCs/>
          <w:i w:val="0"/>
          <w:iCs w:val="0"/>
          <w:color w:val="auto"/>
          <w:sz w:val="24"/>
          <w:szCs w:val="24"/>
        </w:rPr>
      </w:pPr>
    </w:p>
    <w:p w14:paraId="1162C0CB" w14:textId="77777777" w:rsidR="0023285C" w:rsidRDefault="0023285C" w:rsidP="000F4A2A">
      <w:pPr>
        <w:pStyle w:val="Caption"/>
        <w:rPr>
          <w:b/>
          <w:bCs/>
          <w:i w:val="0"/>
          <w:iCs w:val="0"/>
          <w:color w:val="auto"/>
          <w:sz w:val="24"/>
          <w:szCs w:val="24"/>
        </w:rPr>
      </w:pPr>
    </w:p>
    <w:p w14:paraId="2EF2DBC2" w14:textId="77777777" w:rsidR="0023285C" w:rsidRDefault="0023285C" w:rsidP="000F4A2A">
      <w:pPr>
        <w:pStyle w:val="Caption"/>
        <w:rPr>
          <w:b/>
          <w:bCs/>
          <w:i w:val="0"/>
          <w:iCs w:val="0"/>
          <w:color w:val="auto"/>
          <w:sz w:val="24"/>
          <w:szCs w:val="24"/>
        </w:rPr>
      </w:pPr>
    </w:p>
    <w:p w14:paraId="3F9BE564" w14:textId="77777777" w:rsidR="0023285C" w:rsidRDefault="0023285C" w:rsidP="000F4A2A">
      <w:pPr>
        <w:pStyle w:val="Caption"/>
        <w:rPr>
          <w:b/>
          <w:bCs/>
          <w:i w:val="0"/>
          <w:iCs w:val="0"/>
          <w:color w:val="auto"/>
          <w:sz w:val="24"/>
          <w:szCs w:val="24"/>
        </w:rPr>
      </w:pPr>
    </w:p>
    <w:p w14:paraId="7AC7CA27" w14:textId="77777777" w:rsidR="0023285C" w:rsidRDefault="0023285C" w:rsidP="000F4A2A">
      <w:pPr>
        <w:pStyle w:val="Caption"/>
        <w:rPr>
          <w:b/>
          <w:bCs/>
          <w:i w:val="0"/>
          <w:iCs w:val="0"/>
          <w:color w:val="auto"/>
          <w:sz w:val="24"/>
          <w:szCs w:val="24"/>
        </w:rPr>
      </w:pPr>
    </w:p>
    <w:p w14:paraId="576DFE01" w14:textId="77777777" w:rsidR="0023285C" w:rsidRDefault="0023285C" w:rsidP="000F4A2A">
      <w:pPr>
        <w:pStyle w:val="Caption"/>
        <w:rPr>
          <w:b/>
          <w:bCs/>
          <w:i w:val="0"/>
          <w:iCs w:val="0"/>
          <w:color w:val="auto"/>
          <w:sz w:val="24"/>
          <w:szCs w:val="24"/>
        </w:rPr>
      </w:pPr>
    </w:p>
    <w:p w14:paraId="37FAF2B6" w14:textId="77777777" w:rsidR="0023285C" w:rsidRDefault="0023285C" w:rsidP="000F4A2A">
      <w:pPr>
        <w:pStyle w:val="Caption"/>
        <w:rPr>
          <w:b/>
          <w:bCs/>
          <w:i w:val="0"/>
          <w:iCs w:val="0"/>
          <w:color w:val="auto"/>
          <w:sz w:val="24"/>
          <w:szCs w:val="24"/>
        </w:rPr>
      </w:pPr>
    </w:p>
    <w:p w14:paraId="32A97DD8" w14:textId="77777777" w:rsidR="0023285C" w:rsidRDefault="0023285C" w:rsidP="000F4A2A">
      <w:pPr>
        <w:pStyle w:val="Caption"/>
        <w:rPr>
          <w:b/>
          <w:bCs/>
          <w:i w:val="0"/>
          <w:iCs w:val="0"/>
          <w:color w:val="auto"/>
          <w:sz w:val="24"/>
          <w:szCs w:val="24"/>
        </w:rPr>
      </w:pPr>
    </w:p>
    <w:p w14:paraId="58D6AC0A" w14:textId="77777777" w:rsidR="0023285C" w:rsidRDefault="0023285C" w:rsidP="000F4A2A">
      <w:pPr>
        <w:pStyle w:val="Caption"/>
        <w:rPr>
          <w:b/>
          <w:bCs/>
          <w:i w:val="0"/>
          <w:iCs w:val="0"/>
          <w:color w:val="auto"/>
          <w:sz w:val="24"/>
          <w:szCs w:val="24"/>
        </w:rPr>
      </w:pPr>
    </w:p>
    <w:p w14:paraId="22B26D85" w14:textId="77777777" w:rsidR="0023285C" w:rsidRDefault="0023285C" w:rsidP="000F4A2A">
      <w:pPr>
        <w:pStyle w:val="Caption"/>
        <w:rPr>
          <w:b/>
          <w:bCs/>
          <w:i w:val="0"/>
          <w:iCs w:val="0"/>
          <w:color w:val="auto"/>
          <w:sz w:val="24"/>
          <w:szCs w:val="24"/>
        </w:rPr>
      </w:pPr>
    </w:p>
    <w:p w14:paraId="19F22A1E" w14:textId="77777777" w:rsidR="0023285C" w:rsidRDefault="0023285C" w:rsidP="000F4A2A">
      <w:pPr>
        <w:pStyle w:val="Caption"/>
        <w:rPr>
          <w:b/>
          <w:bCs/>
          <w:i w:val="0"/>
          <w:iCs w:val="0"/>
          <w:color w:val="auto"/>
          <w:sz w:val="24"/>
          <w:szCs w:val="24"/>
        </w:rPr>
      </w:pPr>
    </w:p>
    <w:p w14:paraId="7F46D1E0" w14:textId="77777777" w:rsidR="0023285C" w:rsidRDefault="0023285C" w:rsidP="000F4A2A">
      <w:pPr>
        <w:pStyle w:val="Caption"/>
        <w:rPr>
          <w:b/>
          <w:bCs/>
          <w:i w:val="0"/>
          <w:iCs w:val="0"/>
          <w:color w:val="auto"/>
          <w:sz w:val="24"/>
          <w:szCs w:val="24"/>
        </w:rPr>
      </w:pPr>
    </w:p>
    <w:p w14:paraId="09BD0E0D" w14:textId="77777777" w:rsidR="0023285C" w:rsidRDefault="0023285C" w:rsidP="000F4A2A">
      <w:pPr>
        <w:pStyle w:val="Caption"/>
        <w:rPr>
          <w:b/>
          <w:bCs/>
          <w:i w:val="0"/>
          <w:iCs w:val="0"/>
          <w:color w:val="auto"/>
          <w:sz w:val="24"/>
          <w:szCs w:val="24"/>
        </w:rPr>
      </w:pPr>
    </w:p>
    <w:p w14:paraId="484F1100" w14:textId="77777777" w:rsidR="0023285C" w:rsidRDefault="0023285C" w:rsidP="000F4A2A">
      <w:pPr>
        <w:pStyle w:val="Caption"/>
        <w:rPr>
          <w:b/>
          <w:bCs/>
          <w:i w:val="0"/>
          <w:iCs w:val="0"/>
          <w:color w:val="auto"/>
          <w:sz w:val="24"/>
          <w:szCs w:val="24"/>
        </w:rPr>
      </w:pPr>
    </w:p>
    <w:p w14:paraId="29F76B91" w14:textId="77777777" w:rsidR="0023285C" w:rsidRDefault="0023285C" w:rsidP="000F4A2A">
      <w:pPr>
        <w:pStyle w:val="Caption"/>
        <w:rPr>
          <w:b/>
          <w:bCs/>
          <w:i w:val="0"/>
          <w:iCs w:val="0"/>
          <w:color w:val="auto"/>
          <w:sz w:val="24"/>
          <w:szCs w:val="24"/>
        </w:rPr>
      </w:pPr>
    </w:p>
    <w:p w14:paraId="079A66C8" w14:textId="77777777" w:rsidR="0023285C" w:rsidRDefault="0023285C" w:rsidP="000F4A2A">
      <w:pPr>
        <w:pStyle w:val="Caption"/>
        <w:rPr>
          <w:b/>
          <w:bCs/>
          <w:i w:val="0"/>
          <w:iCs w:val="0"/>
          <w:color w:val="auto"/>
          <w:sz w:val="24"/>
          <w:szCs w:val="24"/>
        </w:rPr>
      </w:pPr>
    </w:p>
    <w:p w14:paraId="0CA40FAB" w14:textId="041390AE" w:rsidR="00C12B11" w:rsidRPr="000F4A2A" w:rsidRDefault="000F4A2A" w:rsidP="000F4A2A">
      <w:pPr>
        <w:pStyle w:val="Caption"/>
        <w:rPr>
          <w:i w:val="0"/>
          <w:iCs w:val="0"/>
          <w:color w:val="auto"/>
          <w:sz w:val="24"/>
          <w:szCs w:val="24"/>
        </w:rPr>
      </w:pPr>
      <w:bookmarkStart w:id="262" w:name="_Toc117780230"/>
      <w:r w:rsidRPr="000F4A2A">
        <w:rPr>
          <w:b/>
          <w:bCs/>
          <w:i w:val="0"/>
          <w:iCs w:val="0"/>
          <w:color w:val="auto"/>
          <w:sz w:val="24"/>
          <w:szCs w:val="24"/>
        </w:rPr>
        <w:t xml:space="preserve">Figure </w:t>
      </w:r>
      <w:r w:rsidR="00F42C6F">
        <w:rPr>
          <w:b/>
          <w:bCs/>
          <w:i w:val="0"/>
          <w:iCs w:val="0"/>
          <w:color w:val="auto"/>
          <w:sz w:val="24"/>
          <w:szCs w:val="24"/>
        </w:rPr>
        <w:fldChar w:fldCharType="begin"/>
      </w:r>
      <w:r w:rsidR="00F42C6F">
        <w:rPr>
          <w:b/>
          <w:bCs/>
          <w:i w:val="0"/>
          <w:iCs w:val="0"/>
          <w:color w:val="auto"/>
          <w:sz w:val="24"/>
          <w:szCs w:val="24"/>
        </w:rPr>
        <w:instrText xml:space="preserve"> STYLEREF 1 \s </w:instrText>
      </w:r>
      <w:r w:rsidR="00F42C6F">
        <w:rPr>
          <w:b/>
          <w:bCs/>
          <w:i w:val="0"/>
          <w:iCs w:val="0"/>
          <w:color w:val="auto"/>
          <w:sz w:val="24"/>
          <w:szCs w:val="24"/>
        </w:rPr>
        <w:fldChar w:fldCharType="separate"/>
      </w:r>
      <w:r w:rsidR="00F42C6F">
        <w:rPr>
          <w:b/>
          <w:bCs/>
          <w:i w:val="0"/>
          <w:iCs w:val="0"/>
          <w:noProof/>
          <w:color w:val="auto"/>
          <w:sz w:val="24"/>
          <w:szCs w:val="24"/>
        </w:rPr>
        <w:t>4</w:t>
      </w:r>
      <w:r w:rsidR="00F42C6F">
        <w:rPr>
          <w:b/>
          <w:bCs/>
          <w:i w:val="0"/>
          <w:iCs w:val="0"/>
          <w:color w:val="auto"/>
          <w:sz w:val="24"/>
          <w:szCs w:val="24"/>
        </w:rPr>
        <w:fldChar w:fldCharType="end"/>
      </w:r>
      <w:r w:rsidR="00F42C6F">
        <w:rPr>
          <w:b/>
          <w:bCs/>
          <w:i w:val="0"/>
          <w:iCs w:val="0"/>
          <w:color w:val="auto"/>
          <w:sz w:val="24"/>
          <w:szCs w:val="24"/>
        </w:rPr>
        <w:noBreakHyphen/>
      </w:r>
      <w:r w:rsidR="00F42C6F">
        <w:rPr>
          <w:b/>
          <w:bCs/>
          <w:i w:val="0"/>
          <w:iCs w:val="0"/>
          <w:color w:val="auto"/>
          <w:sz w:val="24"/>
          <w:szCs w:val="24"/>
        </w:rPr>
        <w:fldChar w:fldCharType="begin"/>
      </w:r>
      <w:r w:rsidR="00F42C6F">
        <w:rPr>
          <w:b/>
          <w:bCs/>
          <w:i w:val="0"/>
          <w:iCs w:val="0"/>
          <w:color w:val="auto"/>
          <w:sz w:val="24"/>
          <w:szCs w:val="24"/>
        </w:rPr>
        <w:instrText xml:space="preserve"> SEQ Figure \* ARABIC \s 1 </w:instrText>
      </w:r>
      <w:r w:rsidR="00F42C6F">
        <w:rPr>
          <w:b/>
          <w:bCs/>
          <w:i w:val="0"/>
          <w:iCs w:val="0"/>
          <w:color w:val="auto"/>
          <w:sz w:val="24"/>
          <w:szCs w:val="24"/>
        </w:rPr>
        <w:fldChar w:fldCharType="separate"/>
      </w:r>
      <w:r w:rsidR="00F42C6F">
        <w:rPr>
          <w:b/>
          <w:bCs/>
          <w:i w:val="0"/>
          <w:iCs w:val="0"/>
          <w:noProof/>
          <w:color w:val="auto"/>
          <w:sz w:val="24"/>
          <w:szCs w:val="24"/>
        </w:rPr>
        <w:t>13</w:t>
      </w:r>
      <w:r w:rsidR="00F42C6F">
        <w:rPr>
          <w:b/>
          <w:bCs/>
          <w:i w:val="0"/>
          <w:iCs w:val="0"/>
          <w:color w:val="auto"/>
          <w:sz w:val="24"/>
          <w:szCs w:val="24"/>
        </w:rPr>
        <w:fldChar w:fldCharType="end"/>
      </w:r>
      <w:bookmarkEnd w:id="261"/>
      <w:r w:rsidRPr="000F4A2A">
        <w:rPr>
          <w:b/>
          <w:bCs/>
          <w:i w:val="0"/>
          <w:iCs w:val="0"/>
          <w:color w:val="auto"/>
          <w:sz w:val="24"/>
          <w:szCs w:val="24"/>
        </w:rPr>
        <w:t>:</w:t>
      </w:r>
      <w:r w:rsidRPr="000F4A2A">
        <w:rPr>
          <w:i w:val="0"/>
          <w:iCs w:val="0"/>
          <w:color w:val="auto"/>
          <w:sz w:val="24"/>
          <w:szCs w:val="24"/>
        </w:rPr>
        <w:t xml:space="preserve"> Quality of DNA extracted from </w:t>
      </w:r>
      <w:r w:rsidRPr="000F4A2A">
        <w:rPr>
          <w:color w:val="auto"/>
          <w:sz w:val="24"/>
          <w:szCs w:val="24"/>
        </w:rPr>
        <w:t>S. pneumoniae</w:t>
      </w:r>
      <w:r w:rsidRPr="000F4A2A">
        <w:rPr>
          <w:i w:val="0"/>
          <w:iCs w:val="0"/>
          <w:color w:val="auto"/>
          <w:sz w:val="24"/>
          <w:szCs w:val="24"/>
        </w:rPr>
        <w:t xml:space="preserve"> isolates</w:t>
      </w:r>
      <w:bookmarkEnd w:id="262"/>
      <w:r w:rsidRPr="000F4A2A">
        <w:rPr>
          <w:i w:val="0"/>
          <w:iCs w:val="0"/>
          <w:color w:val="auto"/>
          <w:sz w:val="24"/>
          <w:szCs w:val="24"/>
        </w:rPr>
        <w:t xml:space="preserve"> </w:t>
      </w:r>
    </w:p>
    <w:p w14:paraId="69479C76" w14:textId="1C1A8BB1" w:rsidR="00F074AC" w:rsidRPr="000F4A2A" w:rsidRDefault="00997A65" w:rsidP="0064056D">
      <w:pPr>
        <w:shd w:val="clear" w:color="auto" w:fill="FFFFFF" w:themeFill="background1"/>
        <w:spacing w:line="276" w:lineRule="auto"/>
        <w:rPr>
          <w:i/>
          <w:iCs/>
        </w:rPr>
      </w:pPr>
      <w:r w:rsidRPr="000F4A2A">
        <w:rPr>
          <w:i/>
          <w:iCs/>
        </w:rPr>
        <w:t xml:space="preserve">Box and whisker charts showing the concentration of DNA of the 40 samples sent to </w:t>
      </w:r>
      <w:proofErr w:type="spellStart"/>
      <w:r w:rsidR="00F20949">
        <w:rPr>
          <w:i/>
          <w:iCs/>
        </w:rPr>
        <w:t>M</w:t>
      </w:r>
      <w:r w:rsidRPr="000F4A2A">
        <w:rPr>
          <w:i/>
          <w:iCs/>
        </w:rPr>
        <w:t>icrobesNG</w:t>
      </w:r>
      <w:proofErr w:type="spellEnd"/>
      <w:r w:rsidRPr="000F4A2A">
        <w:rPr>
          <w:i/>
          <w:iCs/>
        </w:rPr>
        <w:t xml:space="preserve"> for further analysis.</w:t>
      </w:r>
    </w:p>
    <w:p w14:paraId="3DE05790" w14:textId="283E004E" w:rsidR="00BA7CF4" w:rsidRPr="00BD2CE2" w:rsidRDefault="00DB069C">
      <w:pPr>
        <w:spacing w:line="360" w:lineRule="auto"/>
        <w:rPr>
          <w:rFonts w:cstheme="minorHAnsi"/>
          <w:color w:val="000000" w:themeColor="text1"/>
        </w:rPr>
      </w:pPr>
      <w:r>
        <w:lastRenderedPageBreak/>
        <w:t xml:space="preserve">Other samples passed the </w:t>
      </w:r>
      <w:r w:rsidR="00BA7CF4">
        <w:t xml:space="preserve">quality assessment of the genome assemblies </w:t>
      </w:r>
      <w:r>
        <w:t xml:space="preserve">as </w:t>
      </w:r>
      <w:r w:rsidR="00BA7CF4">
        <w:t xml:space="preserve">provided by </w:t>
      </w:r>
      <w:proofErr w:type="spellStart"/>
      <w:r w:rsidR="00753D52">
        <w:t>MicrobesNG</w:t>
      </w:r>
      <w:proofErr w:type="spellEnd"/>
      <w:r w:rsidR="00753D52">
        <w:t xml:space="preserve"> </w:t>
      </w:r>
      <w:r>
        <w:t>(</w:t>
      </w:r>
      <w:r w:rsidR="00B214DF" w:rsidRPr="00B214DF">
        <w:fldChar w:fldCharType="begin"/>
      </w:r>
      <w:r w:rsidR="00B214DF" w:rsidRPr="00B214DF">
        <w:instrText xml:space="preserve"> REF _Ref105619354 \h  \* MERGEFORMAT </w:instrText>
      </w:r>
      <w:r w:rsidR="00B214DF" w:rsidRPr="00B214DF">
        <w:fldChar w:fldCharType="separate"/>
      </w:r>
      <w:r w:rsidR="00B214DF" w:rsidRPr="00B214DF">
        <w:rPr>
          <w:color w:val="000000" w:themeColor="text1"/>
        </w:rPr>
        <w:t xml:space="preserve">Table </w:t>
      </w:r>
      <w:r w:rsidR="00B214DF" w:rsidRPr="00B214DF">
        <w:rPr>
          <w:noProof/>
          <w:color w:val="000000" w:themeColor="text1"/>
        </w:rPr>
        <w:t>32</w:t>
      </w:r>
      <w:r w:rsidR="00B214DF" w:rsidRPr="00B214DF">
        <w:fldChar w:fldCharType="end"/>
      </w:r>
      <w:r>
        <w:t>)</w:t>
      </w:r>
      <w:r w:rsidR="003D6872" w:rsidRPr="00B214DF">
        <w:t>.</w:t>
      </w:r>
      <w:r w:rsidR="00BA7CF4">
        <w:t xml:space="preserve"> Th</w:t>
      </w:r>
      <w:r w:rsidR="00902B1F">
        <w:t xml:space="preserve">e </w:t>
      </w:r>
      <w:r w:rsidR="007F561B">
        <w:t>genome of pneumococcus consists of ~2 – 2.2 million base</w:t>
      </w:r>
      <w:r w:rsidR="00753D52">
        <w:t xml:space="preserve"> </w:t>
      </w:r>
      <w:r w:rsidR="007F561B">
        <w:t>pairs depending on the strain</w:t>
      </w:r>
      <w:r>
        <w:t>,</w:t>
      </w:r>
      <w:r w:rsidR="0043249E">
        <w:t xml:space="preserve"> with a GC coverage </w:t>
      </w:r>
      <w:r w:rsidR="00753D52">
        <w:t>of around</w:t>
      </w:r>
      <w:r w:rsidR="0043249E">
        <w:t xml:space="preserve"> 39%</w:t>
      </w:r>
      <w:r w:rsidR="003D6872">
        <w:t xml:space="preserve"> </w:t>
      </w:r>
      <w:r w:rsidR="003D6872">
        <w:fldChar w:fldCharType="begin">
          <w:fldData xml:space="preserve">PEVuZE5vdGU+PENpdGU+PEF1dGhvcj5UZXR0ZWxpbjwvQXV0aG9yPjxZZWFyPjIwMDE8L1llYXI+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</w:fldData>
        </w:fldChar>
      </w:r>
      <w:r w:rsidR="00CD2C33">
        <w:instrText xml:space="preserve"> ADDIN EN.CITE </w:instrText>
      </w:r>
      <w:r w:rsidR="00CD2C33">
        <w:fldChar w:fldCharType="begin">
          <w:fldData xml:space="preserve">PEVuZE5vdGU+PENpdGU+PEF1dGhvcj5UZXR0ZWxpbjwvQXV0aG9yPjxZZWFyPjIwMDE8L1llYXI+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</w:fldData>
        </w:fldChar>
      </w:r>
      <w:r w:rsidR="00CD2C33">
        <w:instrText xml:space="preserve"> ADDIN EN.CITE.DATA </w:instrText>
      </w:r>
      <w:r w:rsidR="00CD2C33">
        <w:fldChar w:fldCharType="end"/>
      </w:r>
      <w:r w:rsidR="003D6872">
        <w:fldChar w:fldCharType="separate"/>
      </w:r>
      <w:r w:rsidR="00CD2C33">
        <w:rPr>
          <w:noProof/>
        </w:rPr>
        <w:t>(Nzoyikorera et al., 2021; Tettelin et al., 2001)</w:t>
      </w:r>
      <w:r w:rsidR="003D6872">
        <w:fldChar w:fldCharType="end"/>
      </w:r>
      <w:r w:rsidR="003D6872">
        <w:t>.</w:t>
      </w:r>
      <w:r w:rsidR="00BD2CE2">
        <w:t xml:space="preserve"> </w:t>
      </w:r>
    </w:p>
    <w:p w14:paraId="78CFFB2A" w14:textId="77777777" w:rsidR="00437100" w:rsidRDefault="00437100">
      <w:pPr>
        <w:spacing w:line="360" w:lineRule="auto"/>
      </w:pPr>
    </w:p>
    <w:p w14:paraId="205DF606" w14:textId="17725E95" w:rsidR="00DB5822" w:rsidRPr="00DB5822" w:rsidRDefault="00DB5822" w:rsidP="00DB5822">
      <w:pPr>
        <w:pStyle w:val="Caption"/>
        <w:keepNext/>
        <w:rPr>
          <w:i w:val="0"/>
          <w:iCs w:val="0"/>
          <w:color w:val="000000" w:themeColor="text1"/>
          <w:sz w:val="24"/>
          <w:szCs w:val="24"/>
        </w:rPr>
      </w:pPr>
      <w:bookmarkStart w:id="263" w:name="_Ref105619354"/>
      <w:bookmarkStart w:id="264" w:name="_Toc117780273"/>
      <w:r w:rsidRPr="00DB5822">
        <w:rPr>
          <w:b/>
          <w:bCs/>
          <w:i w:val="0"/>
          <w:iCs w:val="0"/>
          <w:color w:val="000000" w:themeColor="text1"/>
          <w:sz w:val="24"/>
          <w:szCs w:val="24"/>
        </w:rPr>
        <w:t xml:space="preserve">Table </w:t>
      </w:r>
      <w:r w:rsidRPr="00DB5822">
        <w:rPr>
          <w:b/>
          <w:bCs/>
          <w:i w:val="0"/>
          <w:iCs w:val="0"/>
          <w:color w:val="000000" w:themeColor="text1"/>
          <w:sz w:val="24"/>
          <w:szCs w:val="24"/>
        </w:rPr>
        <w:fldChar w:fldCharType="begin"/>
      </w:r>
      <w:r w:rsidRPr="00DB5822">
        <w:rPr>
          <w:b/>
          <w:bCs/>
          <w:i w:val="0"/>
          <w:iCs w:val="0"/>
          <w:color w:val="000000" w:themeColor="text1"/>
          <w:sz w:val="24"/>
          <w:szCs w:val="24"/>
        </w:rPr>
        <w:instrText xml:space="preserve"> SEQ Table \* ARABIC </w:instrText>
      </w:r>
      <w:r w:rsidRPr="00DB5822">
        <w:rPr>
          <w:b/>
          <w:bCs/>
          <w:i w:val="0"/>
          <w:iCs w:val="0"/>
          <w:color w:val="000000" w:themeColor="text1"/>
          <w:sz w:val="24"/>
          <w:szCs w:val="24"/>
        </w:rPr>
        <w:fldChar w:fldCharType="separate"/>
      </w:r>
      <w:r w:rsidR="00592CBF">
        <w:rPr>
          <w:b/>
          <w:bCs/>
          <w:i w:val="0"/>
          <w:iCs w:val="0"/>
          <w:noProof/>
          <w:color w:val="000000" w:themeColor="text1"/>
          <w:sz w:val="24"/>
          <w:szCs w:val="24"/>
        </w:rPr>
        <w:t>32</w:t>
      </w:r>
      <w:r w:rsidRPr="00DB5822">
        <w:rPr>
          <w:b/>
          <w:bCs/>
          <w:i w:val="0"/>
          <w:iCs w:val="0"/>
          <w:color w:val="000000" w:themeColor="text1"/>
          <w:sz w:val="24"/>
          <w:szCs w:val="24"/>
        </w:rPr>
        <w:fldChar w:fldCharType="end"/>
      </w:r>
      <w:bookmarkEnd w:id="263"/>
      <w:r w:rsidRPr="00DB5822">
        <w:rPr>
          <w:i w:val="0"/>
          <w:iCs w:val="0"/>
          <w:color w:val="000000" w:themeColor="text1"/>
          <w:sz w:val="24"/>
          <w:szCs w:val="24"/>
        </w:rPr>
        <w:t xml:space="preserve">: Quality assessment of genome assemblies provided by </w:t>
      </w:r>
      <w:proofErr w:type="spellStart"/>
      <w:r w:rsidRPr="00DB5822">
        <w:rPr>
          <w:i w:val="0"/>
          <w:iCs w:val="0"/>
          <w:color w:val="000000" w:themeColor="text1"/>
          <w:sz w:val="24"/>
          <w:szCs w:val="24"/>
        </w:rPr>
        <w:t>MicrobesNG</w:t>
      </w:r>
      <w:bookmarkEnd w:id="264"/>
      <w:proofErr w:type="spellEnd"/>
    </w:p>
    <w:tbl>
      <w:tblPr>
        <w:tblStyle w:val="TableGrid"/>
        <w:tblW w:w="0" w:type="auto"/>
        <w:tblLook w:val="04A0" w:firstRow="1" w:lastRow="0" w:firstColumn="1" w:lastColumn="0" w:noHBand="0" w:noVBand="1"/>
      </w:tblPr>
      <w:tblGrid>
        <w:gridCol w:w="4673"/>
        <w:gridCol w:w="4394"/>
      </w:tblGrid>
      <w:tr w:rsidR="00AA2963" w14:paraId="2D2C2027" w14:textId="77777777" w:rsidTr="003D6872">
        <w:tc>
          <w:tcPr>
            <w:tcW w:w="4673" w:type="dxa"/>
            <w:shd w:val="clear" w:color="auto" w:fill="9CC2E5" w:themeFill="accent1" w:themeFillTint="99"/>
          </w:tcPr>
          <w:p w14:paraId="5FC885D7" w14:textId="77777777" w:rsidR="00AA2963" w:rsidRDefault="00AA2963">
            <w:pPr>
              <w:spacing w:line="360" w:lineRule="auto"/>
            </w:pPr>
          </w:p>
        </w:tc>
        <w:tc>
          <w:tcPr>
            <w:tcW w:w="4394" w:type="dxa"/>
            <w:shd w:val="clear" w:color="auto" w:fill="9CC2E5" w:themeFill="accent1" w:themeFillTint="99"/>
          </w:tcPr>
          <w:p w14:paraId="2AC3814B" w14:textId="4839B324" w:rsidR="00AA2963" w:rsidRDefault="00AA2963">
            <w:pPr>
              <w:spacing w:line="360" w:lineRule="auto"/>
            </w:pPr>
            <w:r>
              <w:t>M</w:t>
            </w:r>
            <w:r w:rsidR="00584C2D">
              <w:t>edian</w:t>
            </w:r>
            <w:r>
              <w:t xml:space="preserve"> (</w:t>
            </w:r>
            <w:r w:rsidR="00584C2D">
              <w:t>25</w:t>
            </w:r>
            <w:r w:rsidR="00584C2D" w:rsidRPr="00584C2D">
              <w:rPr>
                <w:vertAlign w:val="superscript"/>
              </w:rPr>
              <w:t>th</w:t>
            </w:r>
            <w:r w:rsidR="00584C2D">
              <w:t>-75</w:t>
            </w:r>
            <w:r w:rsidR="00584C2D" w:rsidRPr="00584C2D">
              <w:rPr>
                <w:vertAlign w:val="superscript"/>
              </w:rPr>
              <w:t>th</w:t>
            </w:r>
            <w:r w:rsidR="00584C2D">
              <w:t xml:space="preserve"> quartiles</w:t>
            </w:r>
            <w:r>
              <w:t>)</w:t>
            </w:r>
          </w:p>
        </w:tc>
      </w:tr>
      <w:tr w:rsidR="00AA2963" w14:paraId="3C635117" w14:textId="77777777" w:rsidTr="00AC08EE">
        <w:tc>
          <w:tcPr>
            <w:tcW w:w="4673" w:type="dxa"/>
          </w:tcPr>
          <w:p w14:paraId="10DA5070" w14:textId="1103FDFA" w:rsidR="00AA2963" w:rsidRDefault="00AA2963">
            <w:pPr>
              <w:spacing w:line="360" w:lineRule="auto"/>
            </w:pPr>
            <w:r>
              <w:t>Number of contigs</w:t>
            </w:r>
          </w:p>
        </w:tc>
        <w:tc>
          <w:tcPr>
            <w:tcW w:w="4394" w:type="dxa"/>
          </w:tcPr>
          <w:p w14:paraId="224C8B1E" w14:textId="71B7B86E" w:rsidR="00AA2963" w:rsidRDefault="00584C2D">
            <w:pPr>
              <w:spacing w:line="360" w:lineRule="auto"/>
            </w:pPr>
            <w:r>
              <w:t xml:space="preserve">29 (24 </w:t>
            </w:r>
            <w:r w:rsidR="00F83B67">
              <w:t>–</w:t>
            </w:r>
            <w:r>
              <w:t xml:space="preserve"> 44)</w:t>
            </w:r>
          </w:p>
        </w:tc>
      </w:tr>
      <w:tr w:rsidR="00AA2963" w14:paraId="64160352" w14:textId="77777777" w:rsidTr="003D6872">
        <w:tc>
          <w:tcPr>
            <w:tcW w:w="4673" w:type="dxa"/>
            <w:shd w:val="clear" w:color="auto" w:fill="DEEAF6" w:themeFill="accent1" w:themeFillTint="33"/>
          </w:tcPr>
          <w:p w14:paraId="188AE2A2" w14:textId="348361A5" w:rsidR="00AA2963" w:rsidRDefault="00AA2963">
            <w:pPr>
              <w:spacing w:line="360" w:lineRule="auto"/>
            </w:pPr>
            <w:r>
              <w:t>Largest contig</w:t>
            </w:r>
          </w:p>
        </w:tc>
        <w:tc>
          <w:tcPr>
            <w:tcW w:w="4394" w:type="dxa"/>
            <w:shd w:val="clear" w:color="auto" w:fill="DEEAF6" w:themeFill="accent1" w:themeFillTint="33"/>
          </w:tcPr>
          <w:p w14:paraId="23252C02" w14:textId="302B3572" w:rsidR="00AA2963" w:rsidRDefault="00584C2D">
            <w:pPr>
              <w:spacing w:line="360" w:lineRule="auto"/>
            </w:pPr>
            <w:r>
              <w:t xml:space="preserve">374452 (322588 </w:t>
            </w:r>
            <w:r w:rsidR="00F83B67">
              <w:t>–</w:t>
            </w:r>
            <w:r>
              <w:t xml:space="preserve"> 434645)</w:t>
            </w:r>
          </w:p>
        </w:tc>
      </w:tr>
      <w:tr w:rsidR="00AA2963" w14:paraId="6919576F" w14:textId="77777777" w:rsidTr="00AC08EE">
        <w:tc>
          <w:tcPr>
            <w:tcW w:w="4673" w:type="dxa"/>
          </w:tcPr>
          <w:p w14:paraId="492AA663" w14:textId="23B8914E" w:rsidR="00AA2963" w:rsidRDefault="00AA2963">
            <w:pPr>
              <w:spacing w:line="360" w:lineRule="auto"/>
            </w:pPr>
            <w:r>
              <w:t>Total length</w:t>
            </w:r>
          </w:p>
        </w:tc>
        <w:tc>
          <w:tcPr>
            <w:tcW w:w="4394" w:type="dxa"/>
          </w:tcPr>
          <w:p w14:paraId="043E054D" w14:textId="2FC6520F" w:rsidR="00AA2963" w:rsidRDefault="00584C2D">
            <w:pPr>
              <w:spacing w:line="360" w:lineRule="auto"/>
            </w:pPr>
            <w:r>
              <w:t>2087469 (2051440 – 2119495)</w:t>
            </w:r>
          </w:p>
        </w:tc>
      </w:tr>
      <w:tr w:rsidR="00AA2963" w14:paraId="438B9405" w14:textId="77777777" w:rsidTr="004D29CA">
        <w:tc>
          <w:tcPr>
            <w:tcW w:w="4673" w:type="dxa"/>
            <w:shd w:val="clear" w:color="auto" w:fill="DEEAF6" w:themeFill="accent1" w:themeFillTint="33"/>
          </w:tcPr>
          <w:p w14:paraId="71CDB2F4" w14:textId="405E4B66" w:rsidR="00AA2963" w:rsidRDefault="00AA2963">
            <w:pPr>
              <w:spacing w:line="360" w:lineRule="auto"/>
            </w:pPr>
            <w:r>
              <w:t>GC(%)</w:t>
            </w:r>
          </w:p>
        </w:tc>
        <w:tc>
          <w:tcPr>
            <w:tcW w:w="4394" w:type="dxa"/>
            <w:shd w:val="clear" w:color="auto" w:fill="DEEAF6" w:themeFill="accent1" w:themeFillTint="33"/>
          </w:tcPr>
          <w:p w14:paraId="7B57300D" w14:textId="3C788CA9" w:rsidR="00AA2963" w:rsidRDefault="00584C2D">
            <w:pPr>
              <w:spacing w:line="360" w:lineRule="auto"/>
            </w:pPr>
            <w:r>
              <w:t>39.57 (39.54 – 39.62)</w:t>
            </w:r>
          </w:p>
        </w:tc>
      </w:tr>
      <w:tr w:rsidR="00F83B67" w14:paraId="50F1ECB4" w14:textId="77777777" w:rsidTr="00752DA8">
        <w:tc>
          <w:tcPr>
            <w:tcW w:w="4673" w:type="dxa"/>
            <w:shd w:val="clear" w:color="auto" w:fill="auto"/>
          </w:tcPr>
          <w:p w14:paraId="62691F6E" w14:textId="6E1E227C" w:rsidR="00F83B67" w:rsidRDefault="00F83B67">
            <w:pPr>
              <w:spacing w:line="360" w:lineRule="auto"/>
            </w:pPr>
            <w:r>
              <w:t>M</w:t>
            </w:r>
            <w:r>
              <w:rPr>
                <w:rFonts w:asciiTheme="minorHAnsi" w:hAnsiTheme="minorHAnsi" w:cstheme="minorHAnsi"/>
                <w:color w:val="000000" w:themeColor="text1"/>
              </w:rPr>
              <w:t>ean Coverage (Standard deviation)</w:t>
            </w:r>
          </w:p>
        </w:tc>
        <w:tc>
          <w:tcPr>
            <w:tcW w:w="4394" w:type="dxa"/>
            <w:shd w:val="clear" w:color="auto" w:fill="auto"/>
          </w:tcPr>
          <w:p w14:paraId="75E79953" w14:textId="7DE4CB13" w:rsidR="00F83B67" w:rsidRDefault="00F83B67">
            <w:pPr>
              <w:spacing w:line="360" w:lineRule="auto"/>
            </w:pPr>
            <w:r>
              <w:t>80.34 (20.4)</w:t>
            </w:r>
          </w:p>
        </w:tc>
      </w:tr>
    </w:tbl>
    <w:p w14:paraId="774310A6" w14:textId="61331F48" w:rsidR="00B01F31" w:rsidRDefault="00B01F31">
      <w:pPr>
        <w:spacing w:line="360" w:lineRule="auto"/>
      </w:pPr>
    </w:p>
    <w:p w14:paraId="1659338B" w14:textId="61CA9146" w:rsidR="00BD2CE2" w:rsidRPr="00BD2CE2" w:rsidRDefault="0054227C" w:rsidP="0064056D">
      <w:pPr>
        <w:spacing w:line="276" w:lineRule="auto"/>
        <w:rPr>
          <w:rFonts w:cstheme="minorHAnsi"/>
          <w:i/>
          <w:iCs/>
          <w:color w:val="000000" w:themeColor="text1"/>
        </w:rPr>
      </w:pPr>
      <w:r w:rsidRPr="00BD2CE2">
        <w:rPr>
          <w:i/>
          <w:iCs/>
        </w:rPr>
        <w:t xml:space="preserve">A summary of the quality </w:t>
      </w:r>
      <w:r w:rsidR="00DB069C">
        <w:rPr>
          <w:i/>
          <w:iCs/>
        </w:rPr>
        <w:t xml:space="preserve">assurance </w:t>
      </w:r>
      <w:r w:rsidRPr="00BD2CE2">
        <w:rPr>
          <w:i/>
          <w:iCs/>
        </w:rPr>
        <w:t xml:space="preserve">of </w:t>
      </w:r>
      <w:r w:rsidR="00DB069C">
        <w:rPr>
          <w:i/>
          <w:iCs/>
        </w:rPr>
        <w:t xml:space="preserve">the </w:t>
      </w:r>
      <w:r w:rsidRPr="00BD2CE2">
        <w:rPr>
          <w:i/>
          <w:iCs/>
        </w:rPr>
        <w:t xml:space="preserve">37 </w:t>
      </w:r>
      <w:r w:rsidR="00DB069C">
        <w:rPr>
          <w:i/>
          <w:iCs/>
        </w:rPr>
        <w:t xml:space="preserve">sequenced </w:t>
      </w:r>
      <w:r w:rsidRPr="00BD2CE2">
        <w:rPr>
          <w:i/>
          <w:iCs/>
        </w:rPr>
        <w:t xml:space="preserve">S. pneumoniae genomes. </w:t>
      </w:r>
      <w:r w:rsidR="003D6872" w:rsidRPr="00BD2CE2">
        <w:rPr>
          <w:i/>
          <w:iCs/>
        </w:rPr>
        <w:t xml:space="preserve">Descriptive analysis of sequencing </w:t>
      </w:r>
      <w:r w:rsidR="00DB069C" w:rsidRPr="00BD2CE2">
        <w:rPr>
          <w:i/>
          <w:iCs/>
        </w:rPr>
        <w:t>show</w:t>
      </w:r>
      <w:r w:rsidR="00DB069C">
        <w:rPr>
          <w:i/>
          <w:iCs/>
        </w:rPr>
        <w:t>ed</w:t>
      </w:r>
      <w:r w:rsidR="00DB069C" w:rsidRPr="00BD2CE2">
        <w:rPr>
          <w:i/>
          <w:iCs/>
        </w:rPr>
        <w:t xml:space="preserve"> </w:t>
      </w:r>
      <w:r w:rsidR="003D6872" w:rsidRPr="00BD2CE2">
        <w:rPr>
          <w:i/>
          <w:iCs/>
        </w:rPr>
        <w:t xml:space="preserve">the mean total length and GC(%) coverage to be consistent with that found in S. pneumoniae genomes. </w:t>
      </w:r>
      <w:r w:rsidR="00BD2CE2" w:rsidRPr="00BD2CE2">
        <w:rPr>
          <w:i/>
          <w:iCs/>
          <w:color w:val="000000" w:themeColor="text1"/>
        </w:rPr>
        <w:t>T</w:t>
      </w:r>
      <w:r w:rsidR="00BD2CE2" w:rsidRPr="00BD2CE2">
        <w:rPr>
          <w:rFonts w:cstheme="minorHAnsi"/>
          <w:i/>
          <w:iCs/>
          <w:color w:val="000000" w:themeColor="text1"/>
          <w:shd w:val="clear" w:color="auto" w:fill="FFFFFF"/>
        </w:rPr>
        <w:t>he number of contigs is the number of small fragments of DNA sequences that when overlapped, provide a continuous representation of the genomic region</w:t>
      </w:r>
      <w:r w:rsidR="00BD2CE2">
        <w:rPr>
          <w:rFonts w:cstheme="minorHAnsi"/>
          <w:i/>
          <w:iCs/>
          <w:color w:val="000000" w:themeColor="text1"/>
          <w:shd w:val="clear" w:color="auto" w:fill="FFFFFF"/>
        </w:rPr>
        <w:t xml:space="preserve">. </w:t>
      </w:r>
    </w:p>
    <w:p w14:paraId="197B320A" w14:textId="10D9C9BD" w:rsidR="00BA7CF4" w:rsidRPr="00AC08EE" w:rsidRDefault="00BA7CF4" w:rsidP="00AC08EE">
      <w:pPr>
        <w:spacing w:line="360" w:lineRule="auto"/>
      </w:pPr>
    </w:p>
    <w:p w14:paraId="3AF2500C" w14:textId="34C8F241" w:rsidR="000F4748" w:rsidRDefault="000F4748" w:rsidP="00AF7AF9">
      <w:pPr>
        <w:pStyle w:val="Heading3"/>
        <w:numPr>
          <w:ilvl w:val="0"/>
          <w:numId w:val="0"/>
        </w:numPr>
        <w:spacing w:before="0" w:line="360" w:lineRule="auto"/>
        <w:ind w:left="720" w:hanging="720"/>
      </w:pPr>
      <w:bookmarkStart w:id="265" w:name="_Toc117765996"/>
      <w:r>
        <w:t>4.</w:t>
      </w:r>
      <w:r w:rsidR="00E92008">
        <w:t>5</w:t>
      </w:r>
      <w:r>
        <w:t>.</w:t>
      </w:r>
      <w:r w:rsidR="00E92008">
        <w:t>3</w:t>
      </w:r>
      <w:r>
        <w:t xml:space="preserve"> </w:t>
      </w:r>
      <w:r w:rsidR="00FC43D8">
        <w:tab/>
      </w:r>
      <w:r>
        <w:t>Resistance gene screening</w:t>
      </w:r>
      <w:bookmarkEnd w:id="265"/>
    </w:p>
    <w:p w14:paraId="7CF5B18D" w14:textId="04AE1608" w:rsidR="000F4748" w:rsidRDefault="000F4748" w:rsidP="00AF7AF9">
      <w:pPr>
        <w:spacing w:line="360" w:lineRule="auto"/>
      </w:pPr>
      <w:r>
        <w:t xml:space="preserve">Mass screening of contigs for antimicrobial resistance genes </w:t>
      </w:r>
      <w:r w:rsidR="00F058E8">
        <w:t xml:space="preserve">using the databases NCBI and </w:t>
      </w:r>
      <w:proofErr w:type="spellStart"/>
      <w:r w:rsidR="00F058E8">
        <w:t>ResFinder</w:t>
      </w:r>
      <w:proofErr w:type="spellEnd"/>
      <w:r w:rsidR="00F058E8">
        <w:t xml:space="preserve"> </w:t>
      </w:r>
      <w:r>
        <w:t xml:space="preserve">found </w:t>
      </w:r>
      <w:r w:rsidR="00F8125E">
        <w:t>four</w:t>
      </w:r>
      <w:r>
        <w:t xml:space="preserve"> </w:t>
      </w:r>
      <w:r w:rsidR="00F8125E">
        <w:t>isolates</w:t>
      </w:r>
      <w:r>
        <w:t xml:space="preserve"> where</w:t>
      </w:r>
      <w:r w:rsidR="00DB069C">
        <w:t xml:space="preserve"> known</w:t>
      </w:r>
      <w:r>
        <w:t xml:space="preserve"> </w:t>
      </w:r>
      <w:r w:rsidR="00DB069C">
        <w:t xml:space="preserve">macrolide </w:t>
      </w:r>
      <w:r>
        <w:t>resistance genes were present (</w:t>
      </w:r>
      <w:r w:rsidR="00AF7AF9" w:rsidRPr="00AF7AF9">
        <w:fldChar w:fldCharType="begin"/>
      </w:r>
      <w:r w:rsidR="00AF7AF9" w:rsidRPr="00AF7AF9">
        <w:instrText xml:space="preserve"> REF _Ref106564203 \h  \* MERGEFORMAT </w:instrText>
      </w:r>
      <w:r w:rsidR="00AF7AF9" w:rsidRPr="00AF7AF9">
        <w:fldChar w:fldCharType="separate"/>
      </w:r>
      <w:r w:rsidR="00AF7AF9" w:rsidRPr="00AF7AF9">
        <w:rPr>
          <w:color w:val="000000" w:themeColor="text1"/>
        </w:rPr>
        <w:t xml:space="preserve">Table </w:t>
      </w:r>
      <w:r w:rsidR="00AF7AF9" w:rsidRPr="00AF7AF9">
        <w:rPr>
          <w:noProof/>
          <w:color w:val="000000" w:themeColor="text1"/>
        </w:rPr>
        <w:t>33</w:t>
      </w:r>
      <w:r w:rsidR="00AF7AF9" w:rsidRPr="00AF7AF9">
        <w:fldChar w:fldCharType="end"/>
      </w:r>
      <w:r>
        <w:t xml:space="preserve">). </w:t>
      </w:r>
      <w:r w:rsidR="00F8125E">
        <w:t xml:space="preserve">All four </w:t>
      </w:r>
      <w:r w:rsidR="002871EB">
        <w:t xml:space="preserve">of these </w:t>
      </w:r>
      <w:r w:rsidR="00F8125E">
        <w:t xml:space="preserve">isolates were </w:t>
      </w:r>
      <w:r w:rsidR="00DB069C">
        <w:t xml:space="preserve">highly </w:t>
      </w:r>
      <w:r w:rsidR="00F8125E">
        <w:t xml:space="preserve">resistant to both </w:t>
      </w:r>
      <w:r w:rsidR="00AF7AF9">
        <w:t>a</w:t>
      </w:r>
      <w:r w:rsidR="00F8125E">
        <w:t xml:space="preserve">zithromycin (MIC &gt;256) and erythromycin (inhibition zone &lt;19mm). </w:t>
      </w:r>
      <w:r>
        <w:t xml:space="preserve">In three isolates the gene Erm(B) and </w:t>
      </w:r>
      <w:proofErr w:type="spellStart"/>
      <w:r>
        <w:t>tet</w:t>
      </w:r>
      <w:proofErr w:type="spellEnd"/>
      <w:r>
        <w:t>(M) were present and</w:t>
      </w:r>
      <w:r w:rsidR="00B36B1A">
        <w:t xml:space="preserve"> the plasmid rep43US identified.</w:t>
      </w:r>
      <w:r>
        <w:t xml:space="preserve"> </w:t>
      </w:r>
      <w:r w:rsidR="00B36B1A">
        <w:t>I</w:t>
      </w:r>
      <w:r>
        <w:t xml:space="preserve">n </w:t>
      </w:r>
      <w:r w:rsidR="00E25A85">
        <w:t>one</w:t>
      </w:r>
      <w:r>
        <w:t xml:space="preserve"> isolate, the genes </w:t>
      </w:r>
      <w:proofErr w:type="spellStart"/>
      <w:r>
        <w:t>mef</w:t>
      </w:r>
      <w:proofErr w:type="spellEnd"/>
      <w:r>
        <w:t xml:space="preserve">(A) and </w:t>
      </w:r>
      <w:proofErr w:type="spellStart"/>
      <w:r>
        <w:t>msr</w:t>
      </w:r>
      <w:proofErr w:type="spellEnd"/>
      <w:r>
        <w:t>(D) were present</w:t>
      </w:r>
      <w:r w:rsidR="00B36B1A">
        <w:t xml:space="preserve"> with no identifiable plasmid. In 2 isolates with lower level azithromycin, the plasmid rep36 was identified</w:t>
      </w:r>
      <w:r>
        <w:t>.</w:t>
      </w:r>
      <w:r w:rsidR="00B36B1A">
        <w:t xml:space="preserve"> </w:t>
      </w:r>
      <w:r w:rsidR="00F8125E">
        <w:t xml:space="preserve"> </w:t>
      </w:r>
    </w:p>
    <w:p w14:paraId="1B89356E" w14:textId="77777777" w:rsidR="00B01D0D" w:rsidRDefault="00B01D0D" w:rsidP="00597680">
      <w:pPr>
        <w:spacing w:line="360" w:lineRule="auto"/>
      </w:pPr>
    </w:p>
    <w:p w14:paraId="7FD3D88F" w14:textId="77777777" w:rsidR="00B214DF" w:rsidRDefault="00B214DF" w:rsidP="00B214DF">
      <w:pPr>
        <w:pStyle w:val="Heading3"/>
        <w:numPr>
          <w:ilvl w:val="0"/>
          <w:numId w:val="0"/>
        </w:numPr>
        <w:ind w:left="720" w:hanging="720"/>
      </w:pPr>
      <w:bookmarkStart w:id="266" w:name="_Toc117765997"/>
      <w:r>
        <w:t xml:space="preserve">4.5.4 </w:t>
      </w:r>
      <w:r>
        <w:tab/>
      </w:r>
      <w:proofErr w:type="spellStart"/>
      <w:r>
        <w:t>Pangenomic</w:t>
      </w:r>
      <w:proofErr w:type="spellEnd"/>
      <w:r>
        <w:t xml:space="preserve"> studies</w:t>
      </w:r>
      <w:bookmarkEnd w:id="266"/>
    </w:p>
    <w:p w14:paraId="7D27E985" w14:textId="77777777" w:rsidR="00B214DF" w:rsidRDefault="00B214DF" w:rsidP="00B214DF">
      <w:pPr>
        <w:spacing w:line="360" w:lineRule="auto"/>
      </w:pPr>
      <w:proofErr w:type="spellStart"/>
      <w:r>
        <w:t>Pangenomic</w:t>
      </w:r>
      <w:proofErr w:type="spellEnd"/>
      <w:r>
        <w:t xml:space="preserve"> studies allowed the core genome of isolates to be identified using the application software ‘</w:t>
      </w:r>
      <w:proofErr w:type="spellStart"/>
      <w:r>
        <w:t>roary</w:t>
      </w:r>
      <w:proofErr w:type="spellEnd"/>
      <w:r>
        <w:t>’. Following this, differences and similarities in the non-core genome between isolates could be analysed with ‘</w:t>
      </w:r>
      <w:proofErr w:type="spellStart"/>
      <w:r>
        <w:t>scoary</w:t>
      </w:r>
      <w:proofErr w:type="spellEnd"/>
      <w:r>
        <w:t>’. Clinical data was then correlated to these data.</w:t>
      </w:r>
    </w:p>
    <w:p w14:paraId="7F369204" w14:textId="77777777" w:rsidR="00B214DF" w:rsidRDefault="00B214DF" w:rsidP="00B214DF">
      <w:pPr>
        <w:spacing w:line="360" w:lineRule="auto"/>
      </w:pPr>
      <w:r>
        <w:lastRenderedPageBreak/>
        <w:t xml:space="preserve">When selecting samples with high level azithromycin resistance (MIC </w:t>
      </w:r>
      <w:r>
        <w:rPr>
          <w:rFonts w:cstheme="minorHAnsi"/>
        </w:rPr>
        <w:t>≥</w:t>
      </w:r>
      <w:r>
        <w:t xml:space="preserve"> 256 mg/L) compared to all other samples, one hypothetical protein sequence was positively identified in the 4 highly resistant samples and not identified in any of the other 33 samples; sensitivity 100%, specificity 100%. The </w:t>
      </w:r>
      <w:proofErr w:type="spellStart"/>
      <w:r>
        <w:t>Bonferoni</w:t>
      </w:r>
      <w:proofErr w:type="spellEnd"/>
      <w:r>
        <w:t xml:space="preserve"> p value was used as a conservative approach to control for multiple comparison corrections; p &lt;0.00001. The sequence of this hypothetical protein was identified as (letters represent amino acids):</w:t>
      </w:r>
    </w:p>
    <w:p w14:paraId="6B8CA9A6" w14:textId="77777777" w:rsidR="00B214DF" w:rsidRDefault="00B214DF" w:rsidP="00B214DF">
      <w:pPr>
        <w:spacing w:line="360" w:lineRule="auto"/>
      </w:pPr>
    </w:p>
    <w:p w14:paraId="0E552B6F" w14:textId="77777777" w:rsidR="00B214DF" w:rsidRDefault="00B214DF" w:rsidP="00B214DF">
      <w:pPr>
        <w:spacing w:line="360" w:lineRule="auto"/>
        <w:rPr>
          <w:rFonts w:cstheme="minorHAnsi"/>
          <w:color w:val="000000" w:themeColor="text1"/>
          <w:shd w:val="clear" w:color="auto" w:fill="FFFFFF"/>
        </w:rPr>
      </w:pPr>
      <w:r>
        <w:rPr>
          <w:rFonts w:cstheme="minorHAnsi"/>
          <w:color w:val="000000" w:themeColor="text1"/>
          <w:shd w:val="clear" w:color="auto" w:fill="FFFFFF"/>
        </w:rPr>
        <w:t>‘</w:t>
      </w:r>
      <w:r w:rsidRPr="00985353">
        <w:rPr>
          <w:rFonts w:cstheme="minorHAnsi"/>
          <w:color w:val="000000" w:themeColor="text1"/>
          <w:shd w:val="clear" w:color="auto" w:fill="FFFFFF"/>
        </w:rPr>
        <w:t>MTKELQSSRYIVISFLVREMGIDIVEAISLMAELEKSGLVRLESSGDLILKELGGAL</w:t>
      </w:r>
      <w:r>
        <w:rPr>
          <w:rFonts w:cstheme="minorHAnsi"/>
          <w:color w:val="000000" w:themeColor="text1"/>
          <w:shd w:val="clear" w:color="auto" w:fill="FFFFFF"/>
        </w:rPr>
        <w:t>’</w:t>
      </w:r>
    </w:p>
    <w:p w14:paraId="74700AFA" w14:textId="77777777" w:rsidR="00B214DF" w:rsidRDefault="00B214DF" w:rsidP="00B214DF">
      <w:pPr>
        <w:spacing w:line="360" w:lineRule="auto"/>
        <w:rPr>
          <w:rFonts w:cstheme="minorHAnsi"/>
          <w:color w:val="000000" w:themeColor="text1"/>
          <w:shd w:val="clear" w:color="auto" w:fill="FFFFFF"/>
        </w:rPr>
      </w:pPr>
      <w:r>
        <w:rPr>
          <w:rFonts w:cstheme="minorHAnsi"/>
          <w:color w:val="000000" w:themeColor="text1"/>
          <w:shd w:val="clear" w:color="auto" w:fill="FFFFFF"/>
        </w:rPr>
        <w:t xml:space="preserve">This represents the nucleotide sequence of: </w:t>
      </w:r>
    </w:p>
    <w:p w14:paraId="096207DE" w14:textId="77777777" w:rsidR="00B214DF" w:rsidRPr="00283A96" w:rsidRDefault="00B214DF" w:rsidP="00B21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sz w:val="20"/>
          <w:szCs w:val="20"/>
        </w:rPr>
      </w:pPr>
      <w:r w:rsidRPr="00283A96">
        <w:rPr>
          <w:rFonts w:ascii="Courier" w:hAnsi="Courier" w:cs="Courier New"/>
          <w:color w:val="000000"/>
          <w:sz w:val="20"/>
          <w:szCs w:val="20"/>
        </w:rPr>
        <w:t>ATGACAAAAGAATTACAATCATCACGCTATATTGTCATTTCATTTTTAGTACGTGAAATGGGAATTGACA</w:t>
      </w:r>
    </w:p>
    <w:p w14:paraId="10D48A9F" w14:textId="77777777" w:rsidR="00B214DF" w:rsidRPr="00283A96" w:rsidRDefault="00B214DF" w:rsidP="00B21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New"/>
          <w:color w:val="000000"/>
          <w:sz w:val="20"/>
          <w:szCs w:val="20"/>
        </w:rPr>
      </w:pPr>
      <w:r w:rsidRPr="00283A96">
        <w:rPr>
          <w:rFonts w:ascii="Courier" w:hAnsi="Courier" w:cs="Courier New"/>
          <w:color w:val="000000"/>
          <w:sz w:val="20"/>
          <w:szCs w:val="20"/>
        </w:rPr>
        <w:t>TTGTTGAAGCCATCTCTCTTATGGCTGAATTAGAAAAAAGTGGCTTGGTTCGATTGGAATCAAGTGGAGA</w:t>
      </w:r>
    </w:p>
    <w:p w14:paraId="44D6A75D" w14:textId="77777777" w:rsidR="00B214DF" w:rsidRPr="00283A96" w:rsidRDefault="00B214DF" w:rsidP="00B21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r w:rsidRPr="00283A96">
        <w:rPr>
          <w:rFonts w:ascii="Courier" w:hAnsi="Courier" w:cs="Courier New"/>
          <w:color w:val="000000"/>
          <w:sz w:val="20"/>
          <w:szCs w:val="20"/>
        </w:rPr>
        <w:t>TTTAATACTCAAAGAACTTGGAGGAGCGCTATGA</w:t>
      </w:r>
    </w:p>
    <w:p w14:paraId="79DF7E10" w14:textId="77777777" w:rsidR="00B214DF" w:rsidRDefault="00B214DF" w:rsidP="00B214DF">
      <w:pPr>
        <w:spacing w:line="360" w:lineRule="auto"/>
        <w:rPr>
          <w:rFonts w:cstheme="minorHAnsi"/>
          <w:color w:val="000000" w:themeColor="text1"/>
          <w:shd w:val="clear" w:color="auto" w:fill="FFFFFF"/>
        </w:rPr>
      </w:pPr>
    </w:p>
    <w:p w14:paraId="2ED8E5D1" w14:textId="3F959825" w:rsidR="00B214DF" w:rsidRDefault="00B214DF" w:rsidP="0064056D">
      <w:pPr>
        <w:spacing w:after="160" w:line="360" w:lineRule="auto"/>
        <w:rPr>
          <w:rFonts w:cstheme="minorHAnsi"/>
          <w:color w:val="000000" w:themeColor="text1"/>
        </w:rPr>
      </w:pPr>
      <w:r>
        <w:rPr>
          <w:rFonts w:cstheme="minorHAnsi"/>
          <w:color w:val="000000" w:themeColor="text1"/>
          <w:shd w:val="clear" w:color="auto" w:fill="FFFFFF"/>
        </w:rPr>
        <w:t>No other sequences were found that were specific to a group of samples when looking at the clinical indices of sex, azithromycin exposure or not, nor when groups of different azithromycin MICs was examined.</w:t>
      </w:r>
      <w:r w:rsidR="00B01D0D">
        <w:rPr>
          <w:rFonts w:cstheme="minorHAnsi"/>
          <w:color w:val="000000" w:themeColor="text1"/>
          <w:shd w:val="clear" w:color="auto" w:fill="FFFFFF"/>
        </w:rPr>
        <w:t xml:space="preserve"> </w:t>
      </w:r>
      <w:r w:rsidRPr="00AC08EE">
        <w:rPr>
          <w:rFonts w:cstheme="minorHAnsi"/>
          <w:color w:val="000000" w:themeColor="text1"/>
          <w:shd w:val="clear" w:color="auto" w:fill="FFFFFF"/>
        </w:rPr>
        <w:t xml:space="preserve">The </w:t>
      </w:r>
      <w:r w:rsidRPr="00AF7AF9">
        <w:rPr>
          <w:rFonts w:cstheme="minorHAnsi"/>
          <w:i/>
          <w:iCs/>
          <w:color w:val="000000" w:themeColor="text1"/>
          <w:shd w:val="clear" w:color="auto" w:fill="FFFFFF"/>
        </w:rPr>
        <w:t>Streptococcus Pneumoniae</w:t>
      </w:r>
      <w:r w:rsidRPr="00AC08EE">
        <w:rPr>
          <w:rFonts w:cstheme="minorHAnsi"/>
          <w:color w:val="000000" w:themeColor="text1"/>
          <w:shd w:val="clear" w:color="auto" w:fill="FFFFFF"/>
        </w:rPr>
        <w:t xml:space="preserve"> Comparative System and </w:t>
      </w:r>
      <w:proofErr w:type="spellStart"/>
      <w:r w:rsidRPr="00AC08EE">
        <w:rPr>
          <w:rFonts w:cstheme="minorHAnsi"/>
          <w:color w:val="000000" w:themeColor="text1"/>
          <w:shd w:val="clear" w:color="auto" w:fill="FFFFFF"/>
        </w:rPr>
        <w:t>PaperBLAST</w:t>
      </w:r>
      <w:proofErr w:type="spellEnd"/>
      <w:r w:rsidRPr="00AC08EE">
        <w:rPr>
          <w:rFonts w:cstheme="minorHAnsi"/>
          <w:color w:val="000000" w:themeColor="text1"/>
          <w:shd w:val="clear" w:color="auto" w:fill="FFFFFF"/>
        </w:rPr>
        <w:t xml:space="preserve"> databases were searched and the protein identified as SPN23F13170 polypeptide, a putative uncharacterised protein</w:t>
      </w:r>
      <w:r>
        <w:rPr>
          <w:rFonts w:cstheme="minorHAnsi"/>
          <w:color w:val="000000" w:themeColor="text1"/>
          <w:shd w:val="clear" w:color="auto" w:fill="FFFFFF"/>
        </w:rPr>
        <w:t xml:space="preserve"> consisting of 57 amino acids</w:t>
      </w:r>
      <w:r w:rsidR="00967708">
        <w:rPr>
          <w:rFonts w:cstheme="minorHAnsi"/>
          <w:color w:val="000000" w:themeColor="text1"/>
          <w:shd w:val="clear" w:color="auto" w:fill="FFFFFF"/>
        </w:rPr>
        <w:t xml:space="preserve">, present in the core </w:t>
      </w:r>
      <w:r w:rsidR="00967708" w:rsidRPr="00752DA8">
        <w:rPr>
          <w:rFonts w:cstheme="minorHAnsi"/>
          <w:i/>
          <w:iCs/>
          <w:color w:val="000000" w:themeColor="text1"/>
          <w:shd w:val="clear" w:color="auto" w:fill="FFFFFF"/>
        </w:rPr>
        <w:t>S. pneumoniae</w:t>
      </w:r>
      <w:r w:rsidR="00967708">
        <w:rPr>
          <w:rFonts w:cstheme="minorHAnsi"/>
          <w:color w:val="000000" w:themeColor="text1"/>
          <w:shd w:val="clear" w:color="auto" w:fill="FFFFFF"/>
        </w:rPr>
        <w:t xml:space="preserve"> genome</w:t>
      </w:r>
      <w:r>
        <w:rPr>
          <w:rFonts w:cstheme="minorHAnsi"/>
          <w:color w:val="000000" w:themeColor="text1"/>
          <w:shd w:val="clear" w:color="auto" w:fill="FFFFFF"/>
        </w:rPr>
        <w:t xml:space="preserve">. </w:t>
      </w:r>
      <w:r>
        <w:rPr>
          <w:rFonts w:cstheme="minorHAnsi"/>
          <w:color w:val="000000" w:themeColor="text1"/>
          <w:sz w:val="21"/>
          <w:szCs w:val="21"/>
          <w:shd w:val="clear" w:color="auto" w:fill="FFFFFF"/>
        </w:rPr>
        <w:t xml:space="preserve"> </w:t>
      </w:r>
    </w:p>
    <w:p w14:paraId="1253ADE8" w14:textId="79BA0AA0" w:rsidR="00765997" w:rsidRDefault="00B214DF" w:rsidP="00765997">
      <w:pPr>
        <w:spacing w:line="360" w:lineRule="auto"/>
        <w:rPr>
          <w:rFonts w:cstheme="minorHAnsi"/>
          <w:color w:val="000000" w:themeColor="text1"/>
        </w:rPr>
      </w:pPr>
      <w:r>
        <w:rPr>
          <w:rFonts w:cstheme="minorHAnsi"/>
          <w:color w:val="000000" w:themeColor="text1"/>
        </w:rPr>
        <w:t xml:space="preserve">The pneumococcal serotypes were identified for all 37 isolates. All but one of the isolates were non-vaccine serotypes. The single isolate identified as a vaccine serotype was 19A. Using the aligned sequence data, a phylogenetic tree was constructed to examine the relationship of </w:t>
      </w:r>
      <w:bookmarkStart w:id="267" w:name="_Ref106564203"/>
      <w:r w:rsidR="00765997">
        <w:rPr>
          <w:rFonts w:cstheme="minorHAnsi"/>
          <w:color w:val="000000" w:themeColor="text1"/>
        </w:rPr>
        <w:t xml:space="preserve">samples with regards to serotype, year the sample was obtained and highlighting the 4 highly resistant isolates, </w:t>
      </w:r>
      <w:r w:rsidR="00765997" w:rsidRPr="000F4A2A">
        <w:rPr>
          <w:rFonts w:cstheme="minorHAnsi"/>
          <w:color w:val="000000" w:themeColor="text1"/>
        </w:rPr>
        <w:fldChar w:fldCharType="begin"/>
      </w:r>
      <w:r w:rsidR="00765997" w:rsidRPr="000F4A2A">
        <w:rPr>
          <w:rFonts w:cstheme="minorHAnsi"/>
          <w:color w:val="000000" w:themeColor="text1"/>
        </w:rPr>
        <w:instrText xml:space="preserve"> REF _Ref105510041 \h  \* MERGEFORMAT </w:instrText>
      </w:r>
      <w:r w:rsidR="00765997" w:rsidRPr="000F4A2A">
        <w:rPr>
          <w:rFonts w:cstheme="minorHAnsi"/>
          <w:color w:val="000000" w:themeColor="text1"/>
        </w:rPr>
      </w:r>
      <w:r w:rsidR="00765997" w:rsidRPr="000F4A2A">
        <w:rPr>
          <w:rFonts w:cstheme="minorHAnsi"/>
          <w:color w:val="000000" w:themeColor="text1"/>
        </w:rPr>
        <w:fldChar w:fldCharType="separate"/>
      </w:r>
      <w:r w:rsidR="00765997" w:rsidRPr="000F4A2A">
        <w:t xml:space="preserve">Figure </w:t>
      </w:r>
      <w:r w:rsidR="00765997" w:rsidRPr="000F4A2A">
        <w:rPr>
          <w:noProof/>
        </w:rPr>
        <w:t>4</w:t>
      </w:r>
      <w:r w:rsidR="00765997" w:rsidRPr="000F4A2A">
        <w:noBreakHyphen/>
      </w:r>
      <w:r w:rsidR="00765997" w:rsidRPr="000F4A2A">
        <w:rPr>
          <w:noProof/>
        </w:rPr>
        <w:t>14</w:t>
      </w:r>
      <w:r w:rsidR="00765997" w:rsidRPr="000F4A2A">
        <w:rPr>
          <w:rFonts w:cstheme="minorHAnsi"/>
          <w:color w:val="000000" w:themeColor="text1"/>
        </w:rPr>
        <w:fldChar w:fldCharType="end"/>
      </w:r>
      <w:r w:rsidR="00765997">
        <w:rPr>
          <w:rFonts w:cstheme="minorHAnsi"/>
          <w:color w:val="000000" w:themeColor="text1"/>
        </w:rPr>
        <w:t xml:space="preserve">. There is not a relationship between year of sample collected </w:t>
      </w:r>
      <w:r w:rsidR="006E6081">
        <w:rPr>
          <w:rFonts w:cstheme="minorHAnsi"/>
          <w:color w:val="000000" w:themeColor="text1"/>
        </w:rPr>
        <w:t>nor</w:t>
      </w:r>
      <w:r w:rsidR="00765997">
        <w:rPr>
          <w:rFonts w:cstheme="minorHAnsi"/>
          <w:color w:val="000000" w:themeColor="text1"/>
        </w:rPr>
        <w:t xml:space="preserve"> a</w:t>
      </w:r>
      <w:r w:rsidR="006E6081">
        <w:rPr>
          <w:rFonts w:cstheme="minorHAnsi"/>
          <w:color w:val="000000" w:themeColor="text1"/>
        </w:rPr>
        <w:t xml:space="preserve"> closely related</w:t>
      </w:r>
      <w:r w:rsidR="00765997">
        <w:rPr>
          <w:rFonts w:cstheme="minorHAnsi"/>
          <w:color w:val="000000" w:themeColor="text1"/>
        </w:rPr>
        <w:t xml:space="preserve"> clade. The highly resistant samples group together, with 2 of these being from the same participant.</w:t>
      </w:r>
    </w:p>
    <w:p w14:paraId="46C859C4" w14:textId="77777777" w:rsidR="00765997" w:rsidRDefault="00765997" w:rsidP="00765997">
      <w:pPr>
        <w:spacing w:line="360" w:lineRule="auto"/>
        <w:rPr>
          <w:rFonts w:cstheme="minorHAnsi"/>
          <w:color w:val="000000" w:themeColor="text1"/>
        </w:rPr>
      </w:pPr>
    </w:p>
    <w:p w14:paraId="224B48C1" w14:textId="77777777" w:rsidR="00765997" w:rsidRDefault="00765997" w:rsidP="00765997">
      <w:pPr>
        <w:spacing w:line="360" w:lineRule="auto"/>
        <w:rPr>
          <w:rFonts w:cstheme="minorHAnsi"/>
          <w:color w:val="000000" w:themeColor="text1"/>
        </w:rPr>
      </w:pPr>
    </w:p>
    <w:p w14:paraId="65558185" w14:textId="77777777" w:rsidR="00765997" w:rsidRDefault="00765997" w:rsidP="00765997">
      <w:pPr>
        <w:spacing w:line="360" w:lineRule="auto"/>
        <w:rPr>
          <w:rFonts w:cstheme="minorHAnsi"/>
          <w:color w:val="000000" w:themeColor="text1"/>
        </w:rPr>
      </w:pPr>
    </w:p>
    <w:p w14:paraId="4F515B83" w14:textId="77777777" w:rsidR="00765997" w:rsidRDefault="00765997" w:rsidP="00765997">
      <w:pPr>
        <w:spacing w:line="360" w:lineRule="auto"/>
        <w:rPr>
          <w:rFonts w:cstheme="minorHAnsi"/>
          <w:color w:val="000000" w:themeColor="text1"/>
        </w:rPr>
      </w:pPr>
    </w:p>
    <w:tbl>
      <w:tblPr>
        <w:tblStyle w:val="TableGrid"/>
        <w:tblpPr w:leftFromText="180" w:rightFromText="180" w:vertAnchor="page" w:horzAnchor="margin" w:tblpY="1767"/>
        <w:tblW w:w="9209" w:type="dxa"/>
        <w:tblLayout w:type="fixed"/>
        <w:tblLook w:val="04A0" w:firstRow="1" w:lastRow="0" w:firstColumn="1" w:lastColumn="0" w:noHBand="0" w:noVBand="1"/>
      </w:tblPr>
      <w:tblGrid>
        <w:gridCol w:w="1413"/>
        <w:gridCol w:w="1559"/>
        <w:gridCol w:w="1418"/>
        <w:gridCol w:w="1417"/>
        <w:gridCol w:w="992"/>
        <w:gridCol w:w="1276"/>
        <w:gridCol w:w="1134"/>
      </w:tblGrid>
      <w:tr w:rsidR="00765997" w14:paraId="03E60CEB" w14:textId="77777777" w:rsidTr="00765997">
        <w:tc>
          <w:tcPr>
            <w:tcW w:w="1413" w:type="dxa"/>
          </w:tcPr>
          <w:p w14:paraId="7F49403F" w14:textId="77777777" w:rsidR="00765997" w:rsidRPr="00765997" w:rsidRDefault="00765997" w:rsidP="00765997">
            <w:pPr>
              <w:rPr>
                <w:b/>
                <w:bCs/>
                <w:sz w:val="22"/>
                <w:szCs w:val="22"/>
              </w:rPr>
            </w:pPr>
            <w:r w:rsidRPr="00765997">
              <w:rPr>
                <w:b/>
                <w:bCs/>
                <w:sz w:val="22"/>
                <w:szCs w:val="22"/>
              </w:rPr>
              <w:lastRenderedPageBreak/>
              <w:t>Study Number</w:t>
            </w:r>
          </w:p>
        </w:tc>
        <w:tc>
          <w:tcPr>
            <w:tcW w:w="1559" w:type="dxa"/>
          </w:tcPr>
          <w:p w14:paraId="3832A2B4" w14:textId="77777777" w:rsidR="00765997" w:rsidRPr="00765997" w:rsidRDefault="00765997" w:rsidP="00765997">
            <w:pPr>
              <w:rPr>
                <w:b/>
                <w:bCs/>
                <w:sz w:val="22"/>
                <w:szCs w:val="22"/>
              </w:rPr>
            </w:pPr>
            <w:r w:rsidRPr="00765997">
              <w:rPr>
                <w:b/>
                <w:bCs/>
                <w:sz w:val="22"/>
                <w:szCs w:val="22"/>
              </w:rPr>
              <w:t xml:space="preserve">Erythromycin </w:t>
            </w:r>
          </w:p>
          <w:p w14:paraId="0998A9F0" w14:textId="77777777" w:rsidR="00765997" w:rsidRPr="00765997" w:rsidRDefault="00765997" w:rsidP="00765997">
            <w:pPr>
              <w:rPr>
                <w:b/>
                <w:bCs/>
                <w:sz w:val="22"/>
                <w:szCs w:val="22"/>
              </w:rPr>
            </w:pPr>
            <w:r w:rsidRPr="00765997">
              <w:rPr>
                <w:b/>
                <w:bCs/>
                <w:sz w:val="22"/>
                <w:szCs w:val="22"/>
              </w:rPr>
              <w:t>Resistant &lt;19mm</w:t>
            </w:r>
          </w:p>
        </w:tc>
        <w:tc>
          <w:tcPr>
            <w:tcW w:w="1418" w:type="dxa"/>
          </w:tcPr>
          <w:p w14:paraId="40BC07CC" w14:textId="77777777" w:rsidR="00765997" w:rsidRPr="00765997" w:rsidRDefault="00765997" w:rsidP="00765997">
            <w:pPr>
              <w:rPr>
                <w:b/>
                <w:bCs/>
                <w:sz w:val="22"/>
                <w:szCs w:val="22"/>
              </w:rPr>
            </w:pPr>
            <w:r w:rsidRPr="00765997">
              <w:rPr>
                <w:b/>
                <w:bCs/>
                <w:sz w:val="22"/>
                <w:szCs w:val="22"/>
              </w:rPr>
              <w:t>Tetracycline resistant</w:t>
            </w:r>
          </w:p>
          <w:p w14:paraId="0883EC03" w14:textId="77777777" w:rsidR="00765997" w:rsidRPr="00765997" w:rsidRDefault="00765997" w:rsidP="00765997">
            <w:pPr>
              <w:rPr>
                <w:b/>
                <w:bCs/>
                <w:sz w:val="22"/>
                <w:szCs w:val="22"/>
              </w:rPr>
            </w:pPr>
            <w:r w:rsidRPr="00765997">
              <w:rPr>
                <w:b/>
                <w:bCs/>
                <w:sz w:val="22"/>
                <w:szCs w:val="22"/>
              </w:rPr>
              <w:t>&lt;22mm</w:t>
            </w:r>
          </w:p>
        </w:tc>
        <w:tc>
          <w:tcPr>
            <w:tcW w:w="1417" w:type="dxa"/>
            <w:shd w:val="clear" w:color="auto" w:fill="auto"/>
          </w:tcPr>
          <w:p w14:paraId="4801ECD5" w14:textId="77777777" w:rsidR="00765997" w:rsidRPr="00765997" w:rsidRDefault="00765997" w:rsidP="00765997">
            <w:pPr>
              <w:rPr>
                <w:b/>
                <w:bCs/>
                <w:sz w:val="22"/>
                <w:szCs w:val="22"/>
              </w:rPr>
            </w:pPr>
            <w:r w:rsidRPr="00765997">
              <w:rPr>
                <w:b/>
                <w:bCs/>
                <w:sz w:val="22"/>
                <w:szCs w:val="22"/>
              </w:rPr>
              <w:t xml:space="preserve">AZM MIC </w:t>
            </w:r>
          </w:p>
          <w:p w14:paraId="0CE774A2" w14:textId="77777777" w:rsidR="00765997" w:rsidRPr="00765997" w:rsidRDefault="00765997" w:rsidP="00765997">
            <w:pPr>
              <w:rPr>
                <w:b/>
                <w:bCs/>
                <w:sz w:val="22"/>
                <w:szCs w:val="22"/>
              </w:rPr>
            </w:pPr>
            <w:r w:rsidRPr="00765997">
              <w:rPr>
                <w:b/>
                <w:bCs/>
                <w:sz w:val="22"/>
                <w:szCs w:val="22"/>
              </w:rPr>
              <w:t>Resistant &gt;0.5mg/L</w:t>
            </w:r>
          </w:p>
        </w:tc>
        <w:tc>
          <w:tcPr>
            <w:tcW w:w="992" w:type="dxa"/>
          </w:tcPr>
          <w:p w14:paraId="09747F6E" w14:textId="1D72A72E" w:rsidR="00A61E7C" w:rsidRDefault="00A61E7C" w:rsidP="00765997">
            <w:pPr>
              <w:rPr>
                <w:b/>
                <w:bCs/>
                <w:sz w:val="22"/>
                <w:szCs w:val="22"/>
              </w:rPr>
            </w:pPr>
            <w:r>
              <w:rPr>
                <w:b/>
                <w:bCs/>
                <w:sz w:val="22"/>
                <w:szCs w:val="22"/>
              </w:rPr>
              <w:t>Res</w:t>
            </w:r>
          </w:p>
          <w:p w14:paraId="267228BF" w14:textId="15C03316" w:rsidR="00765997" w:rsidRPr="00765997" w:rsidRDefault="00540ABC" w:rsidP="00765997">
            <w:pPr>
              <w:rPr>
                <w:b/>
                <w:bCs/>
                <w:sz w:val="22"/>
                <w:szCs w:val="22"/>
              </w:rPr>
            </w:pPr>
            <w:r>
              <w:rPr>
                <w:b/>
                <w:bCs/>
                <w:sz w:val="22"/>
                <w:szCs w:val="22"/>
              </w:rPr>
              <w:t>G</w:t>
            </w:r>
            <w:r w:rsidR="00765997" w:rsidRPr="00765997">
              <w:rPr>
                <w:b/>
                <w:bCs/>
                <w:sz w:val="22"/>
                <w:szCs w:val="22"/>
              </w:rPr>
              <w:t>enes</w:t>
            </w:r>
            <w:r>
              <w:rPr>
                <w:b/>
                <w:bCs/>
                <w:sz w:val="22"/>
                <w:szCs w:val="22"/>
              </w:rPr>
              <w:t>*</w:t>
            </w:r>
          </w:p>
        </w:tc>
        <w:tc>
          <w:tcPr>
            <w:tcW w:w="1276" w:type="dxa"/>
          </w:tcPr>
          <w:p w14:paraId="6AB9DFA0" w14:textId="3F70D889" w:rsidR="00765997" w:rsidRPr="00765997" w:rsidRDefault="00A61E7C" w:rsidP="00765997">
            <w:pPr>
              <w:rPr>
                <w:b/>
                <w:bCs/>
                <w:sz w:val="22"/>
                <w:szCs w:val="22"/>
              </w:rPr>
            </w:pPr>
            <w:r>
              <w:rPr>
                <w:b/>
                <w:bCs/>
                <w:sz w:val="22"/>
                <w:szCs w:val="22"/>
              </w:rPr>
              <w:t>Serotype</w:t>
            </w:r>
            <w:r w:rsidR="00540ABC">
              <w:rPr>
                <w:b/>
                <w:bCs/>
                <w:sz w:val="22"/>
                <w:szCs w:val="22"/>
              </w:rPr>
              <w:t>*</w:t>
            </w:r>
            <w:r w:rsidR="006E6081">
              <w:rPr>
                <w:b/>
                <w:bCs/>
                <w:sz w:val="22"/>
                <w:szCs w:val="22"/>
              </w:rPr>
              <w:t>*</w:t>
            </w:r>
          </w:p>
        </w:tc>
        <w:tc>
          <w:tcPr>
            <w:tcW w:w="1134" w:type="dxa"/>
          </w:tcPr>
          <w:p w14:paraId="77C4FF6C" w14:textId="77777777" w:rsidR="00765997" w:rsidRPr="00765997" w:rsidRDefault="00765997" w:rsidP="00765997">
            <w:pPr>
              <w:rPr>
                <w:b/>
                <w:bCs/>
                <w:sz w:val="22"/>
                <w:szCs w:val="22"/>
              </w:rPr>
            </w:pPr>
            <w:r w:rsidRPr="00765997">
              <w:rPr>
                <w:b/>
                <w:bCs/>
                <w:sz w:val="22"/>
                <w:szCs w:val="22"/>
              </w:rPr>
              <w:t>Plasmid</w:t>
            </w:r>
          </w:p>
          <w:p w14:paraId="5B87CD91" w14:textId="3F45DFA2" w:rsidR="00765997" w:rsidRPr="00765997" w:rsidRDefault="00540ABC" w:rsidP="00765997">
            <w:pPr>
              <w:rPr>
                <w:b/>
                <w:bCs/>
                <w:sz w:val="22"/>
                <w:szCs w:val="22"/>
              </w:rPr>
            </w:pPr>
            <w:r w:rsidRPr="00765997">
              <w:rPr>
                <w:b/>
                <w:bCs/>
                <w:sz w:val="22"/>
                <w:szCs w:val="22"/>
              </w:rPr>
              <w:t>F</w:t>
            </w:r>
            <w:r w:rsidR="00765997" w:rsidRPr="00765997">
              <w:rPr>
                <w:b/>
                <w:bCs/>
                <w:sz w:val="22"/>
                <w:szCs w:val="22"/>
              </w:rPr>
              <w:t>inder</w:t>
            </w:r>
            <w:r w:rsidR="006E6081">
              <w:rPr>
                <w:b/>
                <w:bCs/>
                <w:sz w:val="22"/>
                <w:szCs w:val="22"/>
              </w:rPr>
              <w:t xml:space="preserve">  </w:t>
            </w:r>
            <w:r>
              <w:rPr>
                <w:b/>
                <w:bCs/>
                <w:sz w:val="22"/>
                <w:szCs w:val="22"/>
              </w:rPr>
              <w:t>*</w:t>
            </w:r>
            <w:r w:rsidR="00206116">
              <w:rPr>
                <w:b/>
                <w:bCs/>
                <w:sz w:val="22"/>
                <w:szCs w:val="22"/>
              </w:rPr>
              <w:t>*</w:t>
            </w:r>
            <w:r w:rsidR="006E6081">
              <w:rPr>
                <w:b/>
                <w:bCs/>
                <w:sz w:val="22"/>
                <w:szCs w:val="22"/>
              </w:rPr>
              <w:t>*</w:t>
            </w:r>
          </w:p>
        </w:tc>
      </w:tr>
      <w:tr w:rsidR="00765997" w14:paraId="45AA49D7" w14:textId="77777777" w:rsidTr="00765997">
        <w:tc>
          <w:tcPr>
            <w:tcW w:w="1413" w:type="dxa"/>
            <w:shd w:val="clear" w:color="auto" w:fill="92D050"/>
          </w:tcPr>
          <w:p w14:paraId="2B8A53A9" w14:textId="372168F4" w:rsidR="00765997" w:rsidRDefault="00765997" w:rsidP="00765997">
            <w:r>
              <w:t>A1 PBB1</w:t>
            </w:r>
            <w:r w:rsidR="00206116">
              <w:t>⁰</w:t>
            </w:r>
          </w:p>
        </w:tc>
        <w:tc>
          <w:tcPr>
            <w:tcW w:w="1559" w:type="dxa"/>
          </w:tcPr>
          <w:p w14:paraId="74B84E63" w14:textId="77777777" w:rsidR="00765997" w:rsidRDefault="00765997" w:rsidP="00765997">
            <w:r>
              <w:t>31</w:t>
            </w:r>
          </w:p>
        </w:tc>
        <w:tc>
          <w:tcPr>
            <w:tcW w:w="1418" w:type="dxa"/>
          </w:tcPr>
          <w:p w14:paraId="5DA41D8E" w14:textId="77777777" w:rsidR="00765997" w:rsidRDefault="00765997" w:rsidP="00765997">
            <w:r>
              <w:t>33</w:t>
            </w:r>
          </w:p>
        </w:tc>
        <w:tc>
          <w:tcPr>
            <w:tcW w:w="1417" w:type="dxa"/>
            <w:shd w:val="clear" w:color="auto" w:fill="auto"/>
          </w:tcPr>
          <w:p w14:paraId="7C0EB882" w14:textId="77777777" w:rsidR="00765997" w:rsidRDefault="00765997" w:rsidP="00765997">
            <w:r>
              <w:t xml:space="preserve"> 1</w:t>
            </w:r>
          </w:p>
        </w:tc>
        <w:tc>
          <w:tcPr>
            <w:tcW w:w="992" w:type="dxa"/>
            <w:shd w:val="clear" w:color="auto" w:fill="auto"/>
          </w:tcPr>
          <w:p w14:paraId="5BC950F4" w14:textId="77777777" w:rsidR="00765997" w:rsidRDefault="00765997" w:rsidP="00765997">
            <w:r>
              <w:t xml:space="preserve">0 </w:t>
            </w:r>
          </w:p>
        </w:tc>
        <w:tc>
          <w:tcPr>
            <w:tcW w:w="1276" w:type="dxa"/>
          </w:tcPr>
          <w:p w14:paraId="5533990D" w14:textId="672FC6B9" w:rsidR="00765997" w:rsidRDefault="005C259D" w:rsidP="00765997">
            <w:r>
              <w:t>31</w:t>
            </w:r>
          </w:p>
        </w:tc>
        <w:tc>
          <w:tcPr>
            <w:tcW w:w="1134" w:type="dxa"/>
          </w:tcPr>
          <w:p w14:paraId="37835D97" w14:textId="77777777" w:rsidR="00765997" w:rsidRDefault="00765997" w:rsidP="00765997">
            <w:r>
              <w:t>0</w:t>
            </w:r>
          </w:p>
        </w:tc>
      </w:tr>
      <w:tr w:rsidR="00765997" w14:paraId="17009194" w14:textId="77777777" w:rsidTr="00765997">
        <w:tc>
          <w:tcPr>
            <w:tcW w:w="1413" w:type="dxa"/>
            <w:shd w:val="clear" w:color="auto" w:fill="92D050"/>
          </w:tcPr>
          <w:p w14:paraId="30DF8ABC" w14:textId="77777777" w:rsidR="00765997" w:rsidRDefault="00765997" w:rsidP="00765997">
            <w:r>
              <w:t>A4 PBB1</w:t>
            </w:r>
          </w:p>
        </w:tc>
        <w:tc>
          <w:tcPr>
            <w:tcW w:w="1559" w:type="dxa"/>
            <w:shd w:val="clear" w:color="auto" w:fill="FF0000"/>
          </w:tcPr>
          <w:p w14:paraId="0ADA08AB" w14:textId="77777777" w:rsidR="00765997" w:rsidRPr="00BB07E9" w:rsidRDefault="00765997" w:rsidP="00765997">
            <w:pPr>
              <w:rPr>
                <w:color w:val="FF0000"/>
              </w:rPr>
            </w:pPr>
            <w:r>
              <w:t>6</w:t>
            </w:r>
          </w:p>
        </w:tc>
        <w:tc>
          <w:tcPr>
            <w:tcW w:w="1418" w:type="dxa"/>
            <w:shd w:val="clear" w:color="auto" w:fill="FFFFFF" w:themeFill="background1"/>
          </w:tcPr>
          <w:p w14:paraId="698B4EB4" w14:textId="77777777" w:rsidR="00765997" w:rsidRDefault="00765997" w:rsidP="00765997">
            <w:r>
              <w:t>24</w:t>
            </w:r>
          </w:p>
        </w:tc>
        <w:tc>
          <w:tcPr>
            <w:tcW w:w="1417" w:type="dxa"/>
            <w:shd w:val="clear" w:color="auto" w:fill="FF0000"/>
          </w:tcPr>
          <w:p w14:paraId="20572D47" w14:textId="77777777" w:rsidR="00765997" w:rsidRDefault="00765997" w:rsidP="00765997">
            <w:r>
              <w:t>&gt;256</w:t>
            </w:r>
          </w:p>
        </w:tc>
        <w:tc>
          <w:tcPr>
            <w:tcW w:w="992" w:type="dxa"/>
            <w:shd w:val="clear" w:color="auto" w:fill="auto"/>
          </w:tcPr>
          <w:p w14:paraId="4B70C71F" w14:textId="77777777" w:rsidR="00765997" w:rsidRDefault="00765997" w:rsidP="00765997">
            <w:r>
              <w:t xml:space="preserve">Erm(B) </w:t>
            </w:r>
            <w:proofErr w:type="spellStart"/>
            <w:r>
              <w:t>tet</w:t>
            </w:r>
            <w:proofErr w:type="spellEnd"/>
            <w:r>
              <w:t>(M)</w:t>
            </w:r>
          </w:p>
        </w:tc>
        <w:tc>
          <w:tcPr>
            <w:tcW w:w="1276" w:type="dxa"/>
          </w:tcPr>
          <w:p w14:paraId="01D10CB5" w14:textId="082257EA" w:rsidR="00765997" w:rsidRDefault="005C259D" w:rsidP="00765997">
            <w:r>
              <w:t>33F</w:t>
            </w:r>
          </w:p>
        </w:tc>
        <w:tc>
          <w:tcPr>
            <w:tcW w:w="1134" w:type="dxa"/>
          </w:tcPr>
          <w:p w14:paraId="4BE122CB" w14:textId="77777777" w:rsidR="00765997" w:rsidRDefault="00765997" w:rsidP="00765997">
            <w:r>
              <w:t>repUS43</w:t>
            </w:r>
          </w:p>
        </w:tc>
      </w:tr>
      <w:tr w:rsidR="00765997" w14:paraId="492C34F5" w14:textId="77777777" w:rsidTr="00765997">
        <w:tc>
          <w:tcPr>
            <w:tcW w:w="1413" w:type="dxa"/>
            <w:shd w:val="clear" w:color="auto" w:fill="92D050"/>
          </w:tcPr>
          <w:p w14:paraId="0BDD9E5B" w14:textId="77777777" w:rsidR="00765997" w:rsidRDefault="00765997" w:rsidP="00765997">
            <w:r>
              <w:t>A5 PBB1</w:t>
            </w:r>
          </w:p>
        </w:tc>
        <w:tc>
          <w:tcPr>
            <w:tcW w:w="1559" w:type="dxa"/>
          </w:tcPr>
          <w:p w14:paraId="5010B664" w14:textId="77777777" w:rsidR="00765997" w:rsidRDefault="00765997" w:rsidP="00765997">
            <w:r>
              <w:t>30</w:t>
            </w:r>
          </w:p>
        </w:tc>
        <w:tc>
          <w:tcPr>
            <w:tcW w:w="1418" w:type="dxa"/>
          </w:tcPr>
          <w:p w14:paraId="2C31F00C" w14:textId="77777777" w:rsidR="00765997" w:rsidRDefault="00765997" w:rsidP="00765997">
            <w:r>
              <w:t>33</w:t>
            </w:r>
          </w:p>
        </w:tc>
        <w:tc>
          <w:tcPr>
            <w:tcW w:w="1417" w:type="dxa"/>
            <w:shd w:val="clear" w:color="auto" w:fill="auto"/>
          </w:tcPr>
          <w:p w14:paraId="12D2CE69" w14:textId="77777777" w:rsidR="00765997" w:rsidRDefault="00765997" w:rsidP="00765997">
            <w:r>
              <w:t>1.5</w:t>
            </w:r>
          </w:p>
        </w:tc>
        <w:tc>
          <w:tcPr>
            <w:tcW w:w="992" w:type="dxa"/>
            <w:shd w:val="clear" w:color="auto" w:fill="auto"/>
          </w:tcPr>
          <w:p w14:paraId="3C4541A6" w14:textId="77777777" w:rsidR="00765997" w:rsidRDefault="00765997" w:rsidP="00765997">
            <w:r>
              <w:t>0</w:t>
            </w:r>
          </w:p>
        </w:tc>
        <w:tc>
          <w:tcPr>
            <w:tcW w:w="1276" w:type="dxa"/>
          </w:tcPr>
          <w:p w14:paraId="47F45D4A" w14:textId="2893688D" w:rsidR="00765997" w:rsidRDefault="00FA30E0" w:rsidP="00765997">
            <w:r>
              <w:t>10A</w:t>
            </w:r>
          </w:p>
        </w:tc>
        <w:tc>
          <w:tcPr>
            <w:tcW w:w="1134" w:type="dxa"/>
          </w:tcPr>
          <w:p w14:paraId="04ABAD83" w14:textId="77777777" w:rsidR="00765997" w:rsidRDefault="00765997" w:rsidP="00765997">
            <w:r>
              <w:t>0</w:t>
            </w:r>
          </w:p>
        </w:tc>
      </w:tr>
      <w:tr w:rsidR="00765997" w14:paraId="0DFDAA85" w14:textId="77777777" w:rsidTr="00765997">
        <w:tc>
          <w:tcPr>
            <w:tcW w:w="1413" w:type="dxa"/>
            <w:shd w:val="clear" w:color="auto" w:fill="92D050"/>
          </w:tcPr>
          <w:p w14:paraId="3FF887F3" w14:textId="77777777" w:rsidR="00765997" w:rsidRDefault="00765997" w:rsidP="00765997">
            <w:r>
              <w:t>A5  PBB1</w:t>
            </w:r>
          </w:p>
        </w:tc>
        <w:tc>
          <w:tcPr>
            <w:tcW w:w="1559" w:type="dxa"/>
          </w:tcPr>
          <w:p w14:paraId="3C84532A" w14:textId="77777777" w:rsidR="00765997" w:rsidRDefault="00765997" w:rsidP="00765997">
            <w:r>
              <w:t>31</w:t>
            </w:r>
          </w:p>
        </w:tc>
        <w:tc>
          <w:tcPr>
            <w:tcW w:w="1418" w:type="dxa"/>
          </w:tcPr>
          <w:p w14:paraId="3B773C96" w14:textId="77777777" w:rsidR="00765997" w:rsidRDefault="00765997" w:rsidP="00765997">
            <w:r>
              <w:t>33</w:t>
            </w:r>
          </w:p>
        </w:tc>
        <w:tc>
          <w:tcPr>
            <w:tcW w:w="1417" w:type="dxa"/>
            <w:shd w:val="clear" w:color="auto" w:fill="auto"/>
          </w:tcPr>
          <w:p w14:paraId="685C2786" w14:textId="77777777" w:rsidR="00765997" w:rsidRDefault="00765997" w:rsidP="00765997">
            <w:r>
              <w:t>1</w:t>
            </w:r>
          </w:p>
        </w:tc>
        <w:tc>
          <w:tcPr>
            <w:tcW w:w="992" w:type="dxa"/>
            <w:shd w:val="clear" w:color="auto" w:fill="auto"/>
          </w:tcPr>
          <w:p w14:paraId="32652223" w14:textId="77777777" w:rsidR="00765997" w:rsidRDefault="00765997" w:rsidP="00765997">
            <w:r>
              <w:t>0</w:t>
            </w:r>
          </w:p>
        </w:tc>
        <w:tc>
          <w:tcPr>
            <w:tcW w:w="1276" w:type="dxa"/>
          </w:tcPr>
          <w:p w14:paraId="6CDB661D" w14:textId="3A1EBA12" w:rsidR="00765997" w:rsidRDefault="00FA30E0" w:rsidP="00765997">
            <w:r>
              <w:t>8</w:t>
            </w:r>
          </w:p>
        </w:tc>
        <w:tc>
          <w:tcPr>
            <w:tcW w:w="1134" w:type="dxa"/>
          </w:tcPr>
          <w:p w14:paraId="37E958BA" w14:textId="77777777" w:rsidR="00765997" w:rsidRDefault="00765997" w:rsidP="00765997">
            <w:r>
              <w:t>0</w:t>
            </w:r>
          </w:p>
        </w:tc>
      </w:tr>
      <w:tr w:rsidR="00765997" w14:paraId="47F32DD7" w14:textId="77777777" w:rsidTr="00765997">
        <w:tc>
          <w:tcPr>
            <w:tcW w:w="1413" w:type="dxa"/>
            <w:shd w:val="clear" w:color="auto" w:fill="92D050"/>
          </w:tcPr>
          <w:p w14:paraId="578366B7" w14:textId="77777777" w:rsidR="00765997" w:rsidRDefault="00765997" w:rsidP="00765997">
            <w:r>
              <w:t>A6  PBB1</w:t>
            </w:r>
          </w:p>
        </w:tc>
        <w:tc>
          <w:tcPr>
            <w:tcW w:w="1559" w:type="dxa"/>
          </w:tcPr>
          <w:p w14:paraId="67084F5F" w14:textId="77777777" w:rsidR="00765997" w:rsidRDefault="00765997" w:rsidP="00765997">
            <w:r>
              <w:t>29</w:t>
            </w:r>
          </w:p>
        </w:tc>
        <w:tc>
          <w:tcPr>
            <w:tcW w:w="1418" w:type="dxa"/>
          </w:tcPr>
          <w:p w14:paraId="44D9E7FF" w14:textId="77777777" w:rsidR="00765997" w:rsidRDefault="00765997" w:rsidP="00765997">
            <w:r>
              <w:t>22</w:t>
            </w:r>
          </w:p>
        </w:tc>
        <w:tc>
          <w:tcPr>
            <w:tcW w:w="1417" w:type="dxa"/>
            <w:shd w:val="clear" w:color="auto" w:fill="auto"/>
          </w:tcPr>
          <w:p w14:paraId="76A5FE78" w14:textId="77777777" w:rsidR="00765997" w:rsidRDefault="00765997" w:rsidP="00765997">
            <w:r>
              <w:t>1</w:t>
            </w:r>
          </w:p>
        </w:tc>
        <w:tc>
          <w:tcPr>
            <w:tcW w:w="992" w:type="dxa"/>
            <w:shd w:val="clear" w:color="auto" w:fill="auto"/>
          </w:tcPr>
          <w:p w14:paraId="592043D1" w14:textId="77777777" w:rsidR="00765997" w:rsidRDefault="00765997" w:rsidP="00765997">
            <w:r>
              <w:t>0</w:t>
            </w:r>
          </w:p>
        </w:tc>
        <w:tc>
          <w:tcPr>
            <w:tcW w:w="1276" w:type="dxa"/>
          </w:tcPr>
          <w:p w14:paraId="45D69D70" w14:textId="47D51E01" w:rsidR="00765997" w:rsidRDefault="00FA30E0" w:rsidP="00765997">
            <w:r>
              <w:t>7C</w:t>
            </w:r>
          </w:p>
        </w:tc>
        <w:tc>
          <w:tcPr>
            <w:tcW w:w="1134" w:type="dxa"/>
          </w:tcPr>
          <w:p w14:paraId="5562BCD5" w14:textId="77777777" w:rsidR="00765997" w:rsidRDefault="00765997" w:rsidP="00765997">
            <w:r>
              <w:t>0</w:t>
            </w:r>
          </w:p>
        </w:tc>
      </w:tr>
      <w:tr w:rsidR="00765997" w14:paraId="63899F5B" w14:textId="77777777" w:rsidTr="00765997">
        <w:tc>
          <w:tcPr>
            <w:tcW w:w="1413" w:type="dxa"/>
            <w:shd w:val="clear" w:color="auto" w:fill="92D050"/>
          </w:tcPr>
          <w:p w14:paraId="5732719D" w14:textId="77777777" w:rsidR="00765997" w:rsidRDefault="00765997" w:rsidP="00765997">
            <w:r>
              <w:t>A6  PBB1</w:t>
            </w:r>
          </w:p>
        </w:tc>
        <w:tc>
          <w:tcPr>
            <w:tcW w:w="1559" w:type="dxa"/>
          </w:tcPr>
          <w:p w14:paraId="453D6C13" w14:textId="77777777" w:rsidR="00765997" w:rsidRDefault="00765997" w:rsidP="00765997">
            <w:r>
              <w:t>30</w:t>
            </w:r>
          </w:p>
        </w:tc>
        <w:tc>
          <w:tcPr>
            <w:tcW w:w="1418" w:type="dxa"/>
          </w:tcPr>
          <w:p w14:paraId="6067FF26" w14:textId="77777777" w:rsidR="00765997" w:rsidRDefault="00765997" w:rsidP="00765997">
            <w:r>
              <w:t>34</w:t>
            </w:r>
          </w:p>
        </w:tc>
        <w:tc>
          <w:tcPr>
            <w:tcW w:w="1417" w:type="dxa"/>
            <w:shd w:val="clear" w:color="auto" w:fill="auto"/>
          </w:tcPr>
          <w:p w14:paraId="10B44460" w14:textId="77777777" w:rsidR="00765997" w:rsidRDefault="00765997" w:rsidP="00765997">
            <w:r>
              <w:t>1</w:t>
            </w:r>
          </w:p>
        </w:tc>
        <w:tc>
          <w:tcPr>
            <w:tcW w:w="992" w:type="dxa"/>
            <w:shd w:val="clear" w:color="auto" w:fill="auto"/>
          </w:tcPr>
          <w:p w14:paraId="6EAFDC1B" w14:textId="77777777" w:rsidR="00765997" w:rsidRDefault="00765997" w:rsidP="00765997">
            <w:r>
              <w:t>0</w:t>
            </w:r>
          </w:p>
        </w:tc>
        <w:tc>
          <w:tcPr>
            <w:tcW w:w="1276" w:type="dxa"/>
          </w:tcPr>
          <w:p w14:paraId="6B9BF1B7" w14:textId="55ECE18E" w:rsidR="00765997" w:rsidRDefault="00FA30E0" w:rsidP="00765997">
            <w:r>
              <w:t>19A</w:t>
            </w:r>
          </w:p>
        </w:tc>
        <w:tc>
          <w:tcPr>
            <w:tcW w:w="1134" w:type="dxa"/>
          </w:tcPr>
          <w:p w14:paraId="5894E7B3" w14:textId="77777777" w:rsidR="00765997" w:rsidRDefault="00765997" w:rsidP="00765997">
            <w:r>
              <w:t>0</w:t>
            </w:r>
          </w:p>
        </w:tc>
      </w:tr>
      <w:tr w:rsidR="00765997" w14:paraId="52313AB2" w14:textId="77777777" w:rsidTr="00765997">
        <w:tc>
          <w:tcPr>
            <w:tcW w:w="1413" w:type="dxa"/>
            <w:shd w:val="clear" w:color="auto" w:fill="00B0F0"/>
          </w:tcPr>
          <w:p w14:paraId="31B36464" w14:textId="3D152F0E" w:rsidR="00765997" w:rsidRDefault="00765997" w:rsidP="00765997">
            <w:r>
              <w:t>C1  PBB1</w:t>
            </w:r>
          </w:p>
        </w:tc>
        <w:tc>
          <w:tcPr>
            <w:tcW w:w="1559" w:type="dxa"/>
          </w:tcPr>
          <w:p w14:paraId="4A1F0D3F" w14:textId="77777777" w:rsidR="00765997" w:rsidRDefault="00765997" w:rsidP="00765997">
            <w:r>
              <w:t>31</w:t>
            </w:r>
          </w:p>
        </w:tc>
        <w:tc>
          <w:tcPr>
            <w:tcW w:w="1418" w:type="dxa"/>
          </w:tcPr>
          <w:p w14:paraId="244BF737" w14:textId="77777777" w:rsidR="00765997" w:rsidRDefault="00765997" w:rsidP="00765997">
            <w:r>
              <w:t>35</w:t>
            </w:r>
          </w:p>
        </w:tc>
        <w:tc>
          <w:tcPr>
            <w:tcW w:w="1417" w:type="dxa"/>
            <w:shd w:val="clear" w:color="auto" w:fill="auto"/>
          </w:tcPr>
          <w:p w14:paraId="1157BDD8" w14:textId="77777777" w:rsidR="00765997" w:rsidRDefault="00765997" w:rsidP="00765997">
            <w:r>
              <w:t>4</w:t>
            </w:r>
          </w:p>
        </w:tc>
        <w:tc>
          <w:tcPr>
            <w:tcW w:w="992" w:type="dxa"/>
            <w:shd w:val="clear" w:color="auto" w:fill="auto"/>
          </w:tcPr>
          <w:p w14:paraId="6E1AB82B" w14:textId="77777777" w:rsidR="00765997" w:rsidRDefault="00765997" w:rsidP="00765997">
            <w:r>
              <w:t>0</w:t>
            </w:r>
          </w:p>
        </w:tc>
        <w:tc>
          <w:tcPr>
            <w:tcW w:w="1276" w:type="dxa"/>
          </w:tcPr>
          <w:p w14:paraId="12184C60" w14:textId="7B95F294" w:rsidR="00765997" w:rsidRDefault="00FA30E0" w:rsidP="00765997">
            <w:r>
              <w:t>35B</w:t>
            </w:r>
          </w:p>
        </w:tc>
        <w:tc>
          <w:tcPr>
            <w:tcW w:w="1134" w:type="dxa"/>
          </w:tcPr>
          <w:p w14:paraId="4936B100" w14:textId="77777777" w:rsidR="00765997" w:rsidRDefault="00765997" w:rsidP="00765997">
            <w:r>
              <w:t>0</w:t>
            </w:r>
          </w:p>
        </w:tc>
      </w:tr>
      <w:tr w:rsidR="00765997" w14:paraId="60463160" w14:textId="77777777" w:rsidTr="00765997">
        <w:tc>
          <w:tcPr>
            <w:tcW w:w="1413" w:type="dxa"/>
            <w:shd w:val="clear" w:color="auto" w:fill="00B0F0"/>
          </w:tcPr>
          <w:p w14:paraId="45A59582" w14:textId="77777777" w:rsidR="00765997" w:rsidRDefault="00765997" w:rsidP="00765997">
            <w:r>
              <w:t>C1  PBB1</w:t>
            </w:r>
          </w:p>
        </w:tc>
        <w:tc>
          <w:tcPr>
            <w:tcW w:w="1559" w:type="dxa"/>
          </w:tcPr>
          <w:p w14:paraId="7C6563B4" w14:textId="77777777" w:rsidR="00765997" w:rsidRDefault="00765997" w:rsidP="00765997">
            <w:r>
              <w:t>29</w:t>
            </w:r>
          </w:p>
        </w:tc>
        <w:tc>
          <w:tcPr>
            <w:tcW w:w="1418" w:type="dxa"/>
          </w:tcPr>
          <w:p w14:paraId="58AEFB88" w14:textId="77777777" w:rsidR="00765997" w:rsidRDefault="00765997" w:rsidP="00765997">
            <w:r>
              <w:t>33</w:t>
            </w:r>
          </w:p>
        </w:tc>
        <w:tc>
          <w:tcPr>
            <w:tcW w:w="1417" w:type="dxa"/>
            <w:shd w:val="clear" w:color="auto" w:fill="auto"/>
          </w:tcPr>
          <w:p w14:paraId="4BF47615" w14:textId="77777777" w:rsidR="00765997" w:rsidRDefault="00765997" w:rsidP="00765997">
            <w:r>
              <w:t>0.75</w:t>
            </w:r>
          </w:p>
        </w:tc>
        <w:tc>
          <w:tcPr>
            <w:tcW w:w="992" w:type="dxa"/>
            <w:shd w:val="clear" w:color="auto" w:fill="auto"/>
          </w:tcPr>
          <w:p w14:paraId="7C62F01F" w14:textId="77777777" w:rsidR="00765997" w:rsidRDefault="00765997" w:rsidP="00765997">
            <w:r>
              <w:t>0</w:t>
            </w:r>
          </w:p>
        </w:tc>
        <w:tc>
          <w:tcPr>
            <w:tcW w:w="1276" w:type="dxa"/>
          </w:tcPr>
          <w:p w14:paraId="7AA2D60F" w14:textId="42880A7B" w:rsidR="00765997" w:rsidRDefault="00FA30E0" w:rsidP="00765997">
            <w:r>
              <w:t>11A</w:t>
            </w:r>
          </w:p>
        </w:tc>
        <w:tc>
          <w:tcPr>
            <w:tcW w:w="1134" w:type="dxa"/>
          </w:tcPr>
          <w:p w14:paraId="53FB06F1" w14:textId="77777777" w:rsidR="00765997" w:rsidRDefault="00765997" w:rsidP="00765997">
            <w:r>
              <w:t>0</w:t>
            </w:r>
          </w:p>
        </w:tc>
      </w:tr>
      <w:tr w:rsidR="00765997" w14:paraId="4E92421D" w14:textId="77777777" w:rsidTr="00765997">
        <w:tc>
          <w:tcPr>
            <w:tcW w:w="1413" w:type="dxa"/>
            <w:shd w:val="clear" w:color="auto" w:fill="00B0F0"/>
          </w:tcPr>
          <w:p w14:paraId="7FE12A4E" w14:textId="77777777" w:rsidR="00765997" w:rsidRDefault="00765997" w:rsidP="00765997">
            <w:r>
              <w:t>C5  PBB1</w:t>
            </w:r>
          </w:p>
        </w:tc>
        <w:tc>
          <w:tcPr>
            <w:tcW w:w="1559" w:type="dxa"/>
          </w:tcPr>
          <w:p w14:paraId="7C20EAE4" w14:textId="77777777" w:rsidR="00765997" w:rsidRDefault="00765997" w:rsidP="00765997">
            <w:r>
              <w:t>29</w:t>
            </w:r>
          </w:p>
        </w:tc>
        <w:tc>
          <w:tcPr>
            <w:tcW w:w="1418" w:type="dxa"/>
          </w:tcPr>
          <w:p w14:paraId="15E03713" w14:textId="77777777" w:rsidR="00765997" w:rsidRDefault="00765997" w:rsidP="00765997">
            <w:r>
              <w:t>33</w:t>
            </w:r>
          </w:p>
        </w:tc>
        <w:tc>
          <w:tcPr>
            <w:tcW w:w="1417" w:type="dxa"/>
            <w:shd w:val="clear" w:color="auto" w:fill="auto"/>
          </w:tcPr>
          <w:p w14:paraId="55AD8C53" w14:textId="77777777" w:rsidR="00765997" w:rsidRDefault="00765997" w:rsidP="00765997">
            <w:r>
              <w:t>2</w:t>
            </w:r>
          </w:p>
        </w:tc>
        <w:tc>
          <w:tcPr>
            <w:tcW w:w="992" w:type="dxa"/>
            <w:shd w:val="clear" w:color="auto" w:fill="auto"/>
          </w:tcPr>
          <w:p w14:paraId="7DED1D5F" w14:textId="77777777" w:rsidR="00765997" w:rsidRDefault="00765997" w:rsidP="00765997">
            <w:r>
              <w:t>0</w:t>
            </w:r>
          </w:p>
        </w:tc>
        <w:tc>
          <w:tcPr>
            <w:tcW w:w="1276" w:type="dxa"/>
          </w:tcPr>
          <w:p w14:paraId="0C8CC1D2" w14:textId="7806EE1E" w:rsidR="00765997" w:rsidRDefault="00FA30E0" w:rsidP="00765997">
            <w:r>
              <w:t>7C</w:t>
            </w:r>
          </w:p>
        </w:tc>
        <w:tc>
          <w:tcPr>
            <w:tcW w:w="1134" w:type="dxa"/>
          </w:tcPr>
          <w:p w14:paraId="0EF455F5" w14:textId="77777777" w:rsidR="00765997" w:rsidRDefault="00765997" w:rsidP="00765997">
            <w:r>
              <w:t>0</w:t>
            </w:r>
          </w:p>
        </w:tc>
      </w:tr>
      <w:tr w:rsidR="00765997" w14:paraId="0522D00E" w14:textId="77777777" w:rsidTr="00765997">
        <w:tc>
          <w:tcPr>
            <w:tcW w:w="1413" w:type="dxa"/>
            <w:shd w:val="clear" w:color="auto" w:fill="00B0F0"/>
          </w:tcPr>
          <w:p w14:paraId="5BFF2F85" w14:textId="77777777" w:rsidR="00765997" w:rsidRDefault="00765997" w:rsidP="00765997">
            <w:r>
              <w:t>C5  PBB1</w:t>
            </w:r>
          </w:p>
        </w:tc>
        <w:tc>
          <w:tcPr>
            <w:tcW w:w="1559" w:type="dxa"/>
          </w:tcPr>
          <w:p w14:paraId="67CEEB1D" w14:textId="77777777" w:rsidR="00765997" w:rsidRDefault="00765997" w:rsidP="00765997">
            <w:r>
              <w:t>31</w:t>
            </w:r>
          </w:p>
        </w:tc>
        <w:tc>
          <w:tcPr>
            <w:tcW w:w="1418" w:type="dxa"/>
          </w:tcPr>
          <w:p w14:paraId="081EA3A9" w14:textId="77777777" w:rsidR="00765997" w:rsidRDefault="00765997" w:rsidP="00765997">
            <w:r>
              <w:t>37</w:t>
            </w:r>
          </w:p>
        </w:tc>
        <w:tc>
          <w:tcPr>
            <w:tcW w:w="1417" w:type="dxa"/>
            <w:shd w:val="clear" w:color="auto" w:fill="auto"/>
          </w:tcPr>
          <w:p w14:paraId="1A7941FE" w14:textId="77777777" w:rsidR="00765997" w:rsidRDefault="00765997" w:rsidP="00765997">
            <w:r>
              <w:t>1.5</w:t>
            </w:r>
          </w:p>
        </w:tc>
        <w:tc>
          <w:tcPr>
            <w:tcW w:w="992" w:type="dxa"/>
            <w:shd w:val="clear" w:color="auto" w:fill="auto"/>
          </w:tcPr>
          <w:p w14:paraId="38E57E92" w14:textId="77777777" w:rsidR="00765997" w:rsidRDefault="00765997" w:rsidP="00765997">
            <w:r>
              <w:t>0</w:t>
            </w:r>
          </w:p>
        </w:tc>
        <w:tc>
          <w:tcPr>
            <w:tcW w:w="1276" w:type="dxa"/>
          </w:tcPr>
          <w:p w14:paraId="573583F3" w14:textId="3CE9E225" w:rsidR="00765997" w:rsidRDefault="00FA30E0" w:rsidP="00765997">
            <w:r>
              <w:t>23A</w:t>
            </w:r>
          </w:p>
        </w:tc>
        <w:tc>
          <w:tcPr>
            <w:tcW w:w="1134" w:type="dxa"/>
          </w:tcPr>
          <w:p w14:paraId="3B13E41C" w14:textId="77777777" w:rsidR="00765997" w:rsidRDefault="00765997" w:rsidP="00765997">
            <w:r>
              <w:t>0</w:t>
            </w:r>
          </w:p>
        </w:tc>
      </w:tr>
      <w:tr w:rsidR="00765997" w14:paraId="0EBC1261" w14:textId="77777777" w:rsidTr="00765997">
        <w:tc>
          <w:tcPr>
            <w:tcW w:w="1413" w:type="dxa"/>
            <w:shd w:val="clear" w:color="auto" w:fill="00B0F0"/>
          </w:tcPr>
          <w:p w14:paraId="2394604F" w14:textId="77777777" w:rsidR="00765997" w:rsidRDefault="00765997" w:rsidP="00765997">
            <w:r>
              <w:t>C6  PBB1</w:t>
            </w:r>
          </w:p>
        </w:tc>
        <w:tc>
          <w:tcPr>
            <w:tcW w:w="1559" w:type="dxa"/>
            <w:shd w:val="clear" w:color="auto" w:fill="FFFFFF" w:themeFill="background1"/>
          </w:tcPr>
          <w:p w14:paraId="0E3F8B85" w14:textId="77777777" w:rsidR="00765997" w:rsidRDefault="00765997" w:rsidP="00765997">
            <w:r>
              <w:t>29</w:t>
            </w:r>
          </w:p>
        </w:tc>
        <w:tc>
          <w:tcPr>
            <w:tcW w:w="1418" w:type="dxa"/>
            <w:shd w:val="clear" w:color="auto" w:fill="FFFFFF" w:themeFill="background1"/>
          </w:tcPr>
          <w:p w14:paraId="36D83878" w14:textId="77777777" w:rsidR="00765997" w:rsidRDefault="00765997" w:rsidP="00765997">
            <w:r>
              <w:t>35</w:t>
            </w:r>
          </w:p>
        </w:tc>
        <w:tc>
          <w:tcPr>
            <w:tcW w:w="1417" w:type="dxa"/>
            <w:shd w:val="clear" w:color="auto" w:fill="FFFFFF" w:themeFill="background1"/>
          </w:tcPr>
          <w:p w14:paraId="1FFB348E" w14:textId="77777777" w:rsidR="00765997" w:rsidRDefault="00765997" w:rsidP="00765997">
            <w:r>
              <w:t>1.5</w:t>
            </w:r>
          </w:p>
        </w:tc>
        <w:tc>
          <w:tcPr>
            <w:tcW w:w="992" w:type="dxa"/>
            <w:shd w:val="clear" w:color="auto" w:fill="FFFFFF" w:themeFill="background1"/>
          </w:tcPr>
          <w:p w14:paraId="031BE0B7" w14:textId="77777777" w:rsidR="00765997" w:rsidRDefault="00765997" w:rsidP="00765997">
            <w:r>
              <w:t>0</w:t>
            </w:r>
          </w:p>
        </w:tc>
        <w:tc>
          <w:tcPr>
            <w:tcW w:w="1276" w:type="dxa"/>
          </w:tcPr>
          <w:p w14:paraId="5F8877A3" w14:textId="739578FC" w:rsidR="00765997" w:rsidRDefault="005C259D" w:rsidP="00765997">
            <w:r>
              <w:t>11A</w:t>
            </w:r>
          </w:p>
        </w:tc>
        <w:tc>
          <w:tcPr>
            <w:tcW w:w="1134" w:type="dxa"/>
          </w:tcPr>
          <w:p w14:paraId="11629A09" w14:textId="77777777" w:rsidR="00765997" w:rsidRDefault="00765997" w:rsidP="00765997">
            <w:r>
              <w:t>0</w:t>
            </w:r>
          </w:p>
        </w:tc>
      </w:tr>
      <w:tr w:rsidR="00765997" w14:paraId="71B15193" w14:textId="77777777" w:rsidTr="00765997">
        <w:tc>
          <w:tcPr>
            <w:tcW w:w="1413" w:type="dxa"/>
            <w:shd w:val="clear" w:color="auto" w:fill="00B0F0"/>
          </w:tcPr>
          <w:p w14:paraId="6019D52C" w14:textId="77777777" w:rsidR="00765997" w:rsidRDefault="00765997" w:rsidP="00765997">
            <w:r>
              <w:t>C7  PBB1</w:t>
            </w:r>
          </w:p>
        </w:tc>
        <w:tc>
          <w:tcPr>
            <w:tcW w:w="1559" w:type="dxa"/>
          </w:tcPr>
          <w:p w14:paraId="5A13F331" w14:textId="77777777" w:rsidR="00765997" w:rsidRDefault="00765997" w:rsidP="00765997">
            <w:r>
              <w:t>31</w:t>
            </w:r>
          </w:p>
        </w:tc>
        <w:tc>
          <w:tcPr>
            <w:tcW w:w="1418" w:type="dxa"/>
          </w:tcPr>
          <w:p w14:paraId="4A658275" w14:textId="77777777" w:rsidR="00765997" w:rsidRDefault="00765997" w:rsidP="00765997">
            <w:r>
              <w:t>34</w:t>
            </w:r>
          </w:p>
        </w:tc>
        <w:tc>
          <w:tcPr>
            <w:tcW w:w="1417" w:type="dxa"/>
            <w:shd w:val="clear" w:color="auto" w:fill="auto"/>
          </w:tcPr>
          <w:p w14:paraId="334A8C4F" w14:textId="77777777" w:rsidR="00765997" w:rsidRDefault="00765997" w:rsidP="00765997">
            <w:r>
              <w:t>1</w:t>
            </w:r>
          </w:p>
        </w:tc>
        <w:tc>
          <w:tcPr>
            <w:tcW w:w="992" w:type="dxa"/>
            <w:shd w:val="clear" w:color="auto" w:fill="auto"/>
          </w:tcPr>
          <w:p w14:paraId="4DF58951" w14:textId="77777777" w:rsidR="00765997" w:rsidRDefault="00765997" w:rsidP="00765997">
            <w:r>
              <w:t>0</w:t>
            </w:r>
          </w:p>
        </w:tc>
        <w:tc>
          <w:tcPr>
            <w:tcW w:w="1276" w:type="dxa"/>
          </w:tcPr>
          <w:p w14:paraId="5FA1C15D" w14:textId="484F49B1" w:rsidR="00765997" w:rsidRDefault="00FA30E0" w:rsidP="00765997">
            <w:r>
              <w:t>23A</w:t>
            </w:r>
          </w:p>
        </w:tc>
        <w:tc>
          <w:tcPr>
            <w:tcW w:w="1134" w:type="dxa"/>
          </w:tcPr>
          <w:p w14:paraId="5B83FDED" w14:textId="77777777" w:rsidR="00765997" w:rsidRDefault="00765997" w:rsidP="00765997">
            <w:r>
              <w:t>0</w:t>
            </w:r>
          </w:p>
        </w:tc>
      </w:tr>
      <w:tr w:rsidR="00765997" w14:paraId="3F5A58A7" w14:textId="77777777" w:rsidTr="00765997">
        <w:tc>
          <w:tcPr>
            <w:tcW w:w="1413" w:type="dxa"/>
            <w:shd w:val="clear" w:color="auto" w:fill="00B0F0"/>
          </w:tcPr>
          <w:p w14:paraId="3A93647F" w14:textId="77777777" w:rsidR="00765997" w:rsidRDefault="00765997" w:rsidP="00765997">
            <w:r>
              <w:t>C7  PBB1</w:t>
            </w:r>
          </w:p>
        </w:tc>
        <w:tc>
          <w:tcPr>
            <w:tcW w:w="1559" w:type="dxa"/>
          </w:tcPr>
          <w:p w14:paraId="43832BC9" w14:textId="77777777" w:rsidR="00765997" w:rsidRDefault="00765997" w:rsidP="00765997">
            <w:r>
              <w:t>29</w:t>
            </w:r>
          </w:p>
        </w:tc>
        <w:tc>
          <w:tcPr>
            <w:tcW w:w="1418" w:type="dxa"/>
          </w:tcPr>
          <w:p w14:paraId="1A339B15" w14:textId="77777777" w:rsidR="00765997" w:rsidRDefault="00765997" w:rsidP="00765997">
            <w:r>
              <w:t>36</w:t>
            </w:r>
          </w:p>
        </w:tc>
        <w:tc>
          <w:tcPr>
            <w:tcW w:w="1417" w:type="dxa"/>
            <w:shd w:val="clear" w:color="auto" w:fill="auto"/>
          </w:tcPr>
          <w:p w14:paraId="48D13F08" w14:textId="77777777" w:rsidR="00765997" w:rsidRDefault="00765997" w:rsidP="00765997">
            <w:r>
              <w:t>2</w:t>
            </w:r>
          </w:p>
        </w:tc>
        <w:tc>
          <w:tcPr>
            <w:tcW w:w="992" w:type="dxa"/>
            <w:shd w:val="clear" w:color="auto" w:fill="auto"/>
          </w:tcPr>
          <w:p w14:paraId="1E6BFDE9" w14:textId="77777777" w:rsidR="00765997" w:rsidRDefault="00765997" w:rsidP="00765997">
            <w:r>
              <w:t>0</w:t>
            </w:r>
          </w:p>
        </w:tc>
        <w:tc>
          <w:tcPr>
            <w:tcW w:w="1276" w:type="dxa"/>
          </w:tcPr>
          <w:p w14:paraId="2FF88B9E" w14:textId="24CAE5BE" w:rsidR="00765997" w:rsidRDefault="00FA30E0" w:rsidP="00765997">
            <w:r>
              <w:t>35F</w:t>
            </w:r>
          </w:p>
        </w:tc>
        <w:tc>
          <w:tcPr>
            <w:tcW w:w="1134" w:type="dxa"/>
          </w:tcPr>
          <w:p w14:paraId="6D10FA2C" w14:textId="77777777" w:rsidR="00765997" w:rsidRDefault="00765997" w:rsidP="00765997">
            <w:r>
              <w:t>0</w:t>
            </w:r>
          </w:p>
        </w:tc>
      </w:tr>
      <w:tr w:rsidR="00765997" w14:paraId="5055ACD8" w14:textId="77777777" w:rsidTr="00765997">
        <w:tc>
          <w:tcPr>
            <w:tcW w:w="1413" w:type="dxa"/>
            <w:shd w:val="clear" w:color="auto" w:fill="00B0F0"/>
          </w:tcPr>
          <w:p w14:paraId="0807E373" w14:textId="77777777" w:rsidR="00765997" w:rsidRDefault="00765997" w:rsidP="00765997">
            <w:r>
              <w:t>C9  PBB1</w:t>
            </w:r>
          </w:p>
        </w:tc>
        <w:tc>
          <w:tcPr>
            <w:tcW w:w="1559" w:type="dxa"/>
          </w:tcPr>
          <w:p w14:paraId="31AD7205" w14:textId="77777777" w:rsidR="00765997" w:rsidRDefault="00765997" w:rsidP="00765997">
            <w:r>
              <w:t>31</w:t>
            </w:r>
          </w:p>
        </w:tc>
        <w:tc>
          <w:tcPr>
            <w:tcW w:w="1418" w:type="dxa"/>
          </w:tcPr>
          <w:p w14:paraId="65FBE8FB" w14:textId="77777777" w:rsidR="00765997" w:rsidRDefault="00765997" w:rsidP="00765997">
            <w:r>
              <w:t>35</w:t>
            </w:r>
          </w:p>
        </w:tc>
        <w:tc>
          <w:tcPr>
            <w:tcW w:w="1417" w:type="dxa"/>
            <w:shd w:val="clear" w:color="auto" w:fill="auto"/>
          </w:tcPr>
          <w:p w14:paraId="0C25C3BF" w14:textId="77777777" w:rsidR="00765997" w:rsidRDefault="00765997" w:rsidP="00765997">
            <w:r>
              <w:t>4</w:t>
            </w:r>
          </w:p>
        </w:tc>
        <w:tc>
          <w:tcPr>
            <w:tcW w:w="992" w:type="dxa"/>
            <w:shd w:val="clear" w:color="auto" w:fill="auto"/>
          </w:tcPr>
          <w:p w14:paraId="1FD332B5" w14:textId="77777777" w:rsidR="00765997" w:rsidRDefault="00765997" w:rsidP="00765997">
            <w:r>
              <w:t>0</w:t>
            </w:r>
          </w:p>
        </w:tc>
        <w:tc>
          <w:tcPr>
            <w:tcW w:w="1276" w:type="dxa"/>
          </w:tcPr>
          <w:p w14:paraId="044D05B3" w14:textId="16DC66B8" w:rsidR="00765997" w:rsidRDefault="00FA30E0" w:rsidP="00765997">
            <w:r>
              <w:t>31</w:t>
            </w:r>
          </w:p>
        </w:tc>
        <w:tc>
          <w:tcPr>
            <w:tcW w:w="1134" w:type="dxa"/>
          </w:tcPr>
          <w:p w14:paraId="19E0637F" w14:textId="77777777" w:rsidR="00765997" w:rsidRDefault="00765997" w:rsidP="00765997">
            <w:r>
              <w:t>0</w:t>
            </w:r>
          </w:p>
        </w:tc>
      </w:tr>
      <w:tr w:rsidR="00765997" w14:paraId="00770938" w14:textId="77777777" w:rsidTr="00765997">
        <w:tc>
          <w:tcPr>
            <w:tcW w:w="1413" w:type="dxa"/>
            <w:shd w:val="clear" w:color="auto" w:fill="00B0F0"/>
          </w:tcPr>
          <w:p w14:paraId="01D4ACAB" w14:textId="77777777" w:rsidR="00765997" w:rsidRDefault="00765997" w:rsidP="00765997">
            <w:r>
              <w:t>C9  PBB1</w:t>
            </w:r>
          </w:p>
        </w:tc>
        <w:tc>
          <w:tcPr>
            <w:tcW w:w="1559" w:type="dxa"/>
          </w:tcPr>
          <w:p w14:paraId="56F0D990" w14:textId="77777777" w:rsidR="00765997" w:rsidRDefault="00765997" w:rsidP="00765997">
            <w:r>
              <w:t>29</w:t>
            </w:r>
          </w:p>
        </w:tc>
        <w:tc>
          <w:tcPr>
            <w:tcW w:w="1418" w:type="dxa"/>
          </w:tcPr>
          <w:p w14:paraId="70D7410E" w14:textId="77777777" w:rsidR="00765997" w:rsidRDefault="00765997" w:rsidP="00765997">
            <w:r>
              <w:t>34</w:t>
            </w:r>
          </w:p>
        </w:tc>
        <w:tc>
          <w:tcPr>
            <w:tcW w:w="1417" w:type="dxa"/>
            <w:shd w:val="clear" w:color="auto" w:fill="auto"/>
          </w:tcPr>
          <w:p w14:paraId="0CE79B78" w14:textId="77777777" w:rsidR="00765997" w:rsidRDefault="00765997" w:rsidP="00765997">
            <w:r>
              <w:t>1</w:t>
            </w:r>
          </w:p>
        </w:tc>
        <w:tc>
          <w:tcPr>
            <w:tcW w:w="992" w:type="dxa"/>
            <w:shd w:val="clear" w:color="auto" w:fill="auto"/>
          </w:tcPr>
          <w:p w14:paraId="2C43F4EE" w14:textId="77777777" w:rsidR="00765997" w:rsidRDefault="00765997" w:rsidP="00765997">
            <w:r>
              <w:t>0</w:t>
            </w:r>
          </w:p>
        </w:tc>
        <w:tc>
          <w:tcPr>
            <w:tcW w:w="1276" w:type="dxa"/>
          </w:tcPr>
          <w:p w14:paraId="461819FD" w14:textId="205D5944" w:rsidR="00765997" w:rsidRDefault="00FA30E0" w:rsidP="00765997">
            <w:r>
              <w:t>17F</w:t>
            </w:r>
          </w:p>
        </w:tc>
        <w:tc>
          <w:tcPr>
            <w:tcW w:w="1134" w:type="dxa"/>
          </w:tcPr>
          <w:p w14:paraId="25A9DC59" w14:textId="77777777" w:rsidR="00765997" w:rsidRDefault="00765997" w:rsidP="00765997">
            <w:r>
              <w:t>0</w:t>
            </w:r>
          </w:p>
        </w:tc>
      </w:tr>
      <w:tr w:rsidR="00765997" w14:paraId="51B9C0D6" w14:textId="77777777" w:rsidTr="00765997">
        <w:tc>
          <w:tcPr>
            <w:tcW w:w="1413" w:type="dxa"/>
            <w:shd w:val="clear" w:color="auto" w:fill="00B0F0"/>
          </w:tcPr>
          <w:p w14:paraId="71A9565F" w14:textId="77777777" w:rsidR="00765997" w:rsidRDefault="00765997" w:rsidP="00765997">
            <w:r>
              <w:t>C9  PBB1</w:t>
            </w:r>
          </w:p>
        </w:tc>
        <w:tc>
          <w:tcPr>
            <w:tcW w:w="1559" w:type="dxa"/>
            <w:shd w:val="clear" w:color="auto" w:fill="auto"/>
          </w:tcPr>
          <w:p w14:paraId="08638116" w14:textId="77777777" w:rsidR="00765997" w:rsidRDefault="00765997" w:rsidP="00765997">
            <w:r>
              <w:t>30</w:t>
            </w:r>
          </w:p>
        </w:tc>
        <w:tc>
          <w:tcPr>
            <w:tcW w:w="1418" w:type="dxa"/>
          </w:tcPr>
          <w:p w14:paraId="6C5BF0B2" w14:textId="77777777" w:rsidR="00765997" w:rsidRDefault="00765997" w:rsidP="00765997">
            <w:r>
              <w:t>35</w:t>
            </w:r>
          </w:p>
        </w:tc>
        <w:tc>
          <w:tcPr>
            <w:tcW w:w="1417" w:type="dxa"/>
            <w:shd w:val="clear" w:color="auto" w:fill="auto"/>
          </w:tcPr>
          <w:p w14:paraId="1E2DD65A" w14:textId="77777777" w:rsidR="00765997" w:rsidRDefault="00765997" w:rsidP="00765997">
            <w:r>
              <w:t>1.5</w:t>
            </w:r>
          </w:p>
        </w:tc>
        <w:tc>
          <w:tcPr>
            <w:tcW w:w="992" w:type="dxa"/>
            <w:shd w:val="clear" w:color="auto" w:fill="auto"/>
          </w:tcPr>
          <w:p w14:paraId="5F84ED92" w14:textId="77777777" w:rsidR="00765997" w:rsidRDefault="00765997" w:rsidP="00765997">
            <w:r>
              <w:t>0</w:t>
            </w:r>
          </w:p>
        </w:tc>
        <w:tc>
          <w:tcPr>
            <w:tcW w:w="1276" w:type="dxa"/>
          </w:tcPr>
          <w:p w14:paraId="099AE0B2" w14:textId="383656ED" w:rsidR="00765997" w:rsidRDefault="00FA30E0" w:rsidP="00765997">
            <w:r>
              <w:t>6C</w:t>
            </w:r>
          </w:p>
        </w:tc>
        <w:tc>
          <w:tcPr>
            <w:tcW w:w="1134" w:type="dxa"/>
          </w:tcPr>
          <w:p w14:paraId="15AABA4C" w14:textId="77777777" w:rsidR="00765997" w:rsidRDefault="00765997" w:rsidP="00765997">
            <w:r>
              <w:t>0</w:t>
            </w:r>
          </w:p>
        </w:tc>
      </w:tr>
      <w:tr w:rsidR="00765997" w14:paraId="066DA311" w14:textId="77777777" w:rsidTr="00765997">
        <w:tc>
          <w:tcPr>
            <w:tcW w:w="1413" w:type="dxa"/>
            <w:shd w:val="clear" w:color="auto" w:fill="00B0F0"/>
          </w:tcPr>
          <w:p w14:paraId="5E27B9AB" w14:textId="77777777" w:rsidR="00765997" w:rsidRDefault="00765997" w:rsidP="00765997">
            <w:r>
              <w:t>C10  PBB1</w:t>
            </w:r>
          </w:p>
        </w:tc>
        <w:tc>
          <w:tcPr>
            <w:tcW w:w="1559" w:type="dxa"/>
          </w:tcPr>
          <w:p w14:paraId="350AAC7D" w14:textId="77777777" w:rsidR="00765997" w:rsidRDefault="00765997" w:rsidP="00765997">
            <w:r>
              <w:t>33</w:t>
            </w:r>
          </w:p>
        </w:tc>
        <w:tc>
          <w:tcPr>
            <w:tcW w:w="1418" w:type="dxa"/>
          </w:tcPr>
          <w:p w14:paraId="7588094E" w14:textId="77777777" w:rsidR="00765997" w:rsidRDefault="00765997" w:rsidP="00765997">
            <w:r>
              <w:t>34</w:t>
            </w:r>
          </w:p>
        </w:tc>
        <w:tc>
          <w:tcPr>
            <w:tcW w:w="1417" w:type="dxa"/>
            <w:shd w:val="clear" w:color="auto" w:fill="auto"/>
          </w:tcPr>
          <w:p w14:paraId="7ED9E3A0" w14:textId="77777777" w:rsidR="00765997" w:rsidRDefault="00765997" w:rsidP="00765997">
            <w:r>
              <w:t>2</w:t>
            </w:r>
          </w:p>
        </w:tc>
        <w:tc>
          <w:tcPr>
            <w:tcW w:w="992" w:type="dxa"/>
            <w:shd w:val="clear" w:color="auto" w:fill="auto"/>
          </w:tcPr>
          <w:p w14:paraId="07FE7FB8" w14:textId="77777777" w:rsidR="00765997" w:rsidRDefault="00765997" w:rsidP="00765997">
            <w:r>
              <w:t>0</w:t>
            </w:r>
          </w:p>
        </w:tc>
        <w:tc>
          <w:tcPr>
            <w:tcW w:w="1276" w:type="dxa"/>
          </w:tcPr>
          <w:p w14:paraId="49765C6E" w14:textId="17B1980B" w:rsidR="00765997" w:rsidRDefault="00FA30E0" w:rsidP="00765997">
            <w:r>
              <w:t>17F</w:t>
            </w:r>
          </w:p>
        </w:tc>
        <w:tc>
          <w:tcPr>
            <w:tcW w:w="1134" w:type="dxa"/>
          </w:tcPr>
          <w:p w14:paraId="5CC4D6B4" w14:textId="77777777" w:rsidR="00765997" w:rsidRDefault="00765997" w:rsidP="00765997">
            <w:r>
              <w:t>0</w:t>
            </w:r>
          </w:p>
        </w:tc>
      </w:tr>
      <w:tr w:rsidR="00765997" w14:paraId="345D866A" w14:textId="77777777" w:rsidTr="00765997">
        <w:tc>
          <w:tcPr>
            <w:tcW w:w="1413" w:type="dxa"/>
            <w:shd w:val="clear" w:color="auto" w:fill="00B0F0"/>
          </w:tcPr>
          <w:p w14:paraId="37157754" w14:textId="77777777" w:rsidR="00765997" w:rsidRDefault="00765997" w:rsidP="00765997">
            <w:r>
              <w:t>C10  PBB1</w:t>
            </w:r>
          </w:p>
        </w:tc>
        <w:tc>
          <w:tcPr>
            <w:tcW w:w="1559" w:type="dxa"/>
          </w:tcPr>
          <w:p w14:paraId="4D8F952D" w14:textId="77777777" w:rsidR="00765997" w:rsidRDefault="00765997" w:rsidP="00765997">
            <w:r>
              <w:t>30</w:t>
            </w:r>
          </w:p>
        </w:tc>
        <w:tc>
          <w:tcPr>
            <w:tcW w:w="1418" w:type="dxa"/>
          </w:tcPr>
          <w:p w14:paraId="185ABA03" w14:textId="77777777" w:rsidR="00765997" w:rsidRDefault="00765997" w:rsidP="00765997">
            <w:r>
              <w:t>36</w:t>
            </w:r>
          </w:p>
        </w:tc>
        <w:tc>
          <w:tcPr>
            <w:tcW w:w="1417" w:type="dxa"/>
            <w:shd w:val="clear" w:color="auto" w:fill="auto"/>
          </w:tcPr>
          <w:p w14:paraId="6B9ED6AF" w14:textId="77777777" w:rsidR="00765997" w:rsidRDefault="00765997" w:rsidP="00765997">
            <w:r>
              <w:t>1.5</w:t>
            </w:r>
          </w:p>
        </w:tc>
        <w:tc>
          <w:tcPr>
            <w:tcW w:w="992" w:type="dxa"/>
            <w:shd w:val="clear" w:color="auto" w:fill="auto"/>
          </w:tcPr>
          <w:p w14:paraId="479EF05C" w14:textId="77777777" w:rsidR="00765997" w:rsidRDefault="00765997" w:rsidP="00765997">
            <w:r>
              <w:t>0</w:t>
            </w:r>
          </w:p>
        </w:tc>
        <w:tc>
          <w:tcPr>
            <w:tcW w:w="1276" w:type="dxa"/>
          </w:tcPr>
          <w:p w14:paraId="3777CBC5" w14:textId="13229E96" w:rsidR="00765997" w:rsidRDefault="00FA30E0" w:rsidP="00765997">
            <w:r>
              <w:t>35B</w:t>
            </w:r>
          </w:p>
        </w:tc>
        <w:tc>
          <w:tcPr>
            <w:tcW w:w="1134" w:type="dxa"/>
          </w:tcPr>
          <w:p w14:paraId="09D10FF3" w14:textId="77777777" w:rsidR="00765997" w:rsidRDefault="00765997" w:rsidP="00765997">
            <w:r>
              <w:t>0</w:t>
            </w:r>
          </w:p>
        </w:tc>
      </w:tr>
      <w:tr w:rsidR="00765997" w14:paraId="51F2CBBA" w14:textId="77777777" w:rsidTr="00765997">
        <w:tc>
          <w:tcPr>
            <w:tcW w:w="1413" w:type="dxa"/>
            <w:shd w:val="clear" w:color="auto" w:fill="92D050"/>
          </w:tcPr>
          <w:p w14:paraId="02FA5FA3" w14:textId="77777777" w:rsidR="00765997" w:rsidRDefault="00765997" w:rsidP="00765997">
            <w:r>
              <w:t>A1 PBB2</w:t>
            </w:r>
          </w:p>
        </w:tc>
        <w:tc>
          <w:tcPr>
            <w:tcW w:w="1559" w:type="dxa"/>
          </w:tcPr>
          <w:p w14:paraId="5A339C7F" w14:textId="77777777" w:rsidR="00765997" w:rsidRDefault="00765997" w:rsidP="00765997">
            <w:r>
              <w:t>30</w:t>
            </w:r>
          </w:p>
        </w:tc>
        <w:tc>
          <w:tcPr>
            <w:tcW w:w="1418" w:type="dxa"/>
          </w:tcPr>
          <w:p w14:paraId="09079B65" w14:textId="77777777" w:rsidR="00765997" w:rsidRDefault="00765997" w:rsidP="00765997">
            <w:r>
              <w:t>34</w:t>
            </w:r>
          </w:p>
        </w:tc>
        <w:tc>
          <w:tcPr>
            <w:tcW w:w="1417" w:type="dxa"/>
            <w:shd w:val="clear" w:color="auto" w:fill="auto"/>
          </w:tcPr>
          <w:p w14:paraId="03E1215A" w14:textId="77777777" w:rsidR="00765997" w:rsidRDefault="00765997" w:rsidP="00765997">
            <w:r>
              <w:t>1.5</w:t>
            </w:r>
          </w:p>
        </w:tc>
        <w:tc>
          <w:tcPr>
            <w:tcW w:w="992" w:type="dxa"/>
            <w:shd w:val="clear" w:color="auto" w:fill="auto"/>
          </w:tcPr>
          <w:p w14:paraId="6EC91AE3" w14:textId="77777777" w:rsidR="00765997" w:rsidRDefault="00765997" w:rsidP="00765997">
            <w:r>
              <w:t>0</w:t>
            </w:r>
          </w:p>
        </w:tc>
        <w:tc>
          <w:tcPr>
            <w:tcW w:w="1276" w:type="dxa"/>
          </w:tcPr>
          <w:p w14:paraId="34196236" w14:textId="322AA9FF" w:rsidR="00765997" w:rsidRDefault="005C259D" w:rsidP="00765997">
            <w:r>
              <w:t>35F</w:t>
            </w:r>
          </w:p>
        </w:tc>
        <w:tc>
          <w:tcPr>
            <w:tcW w:w="1134" w:type="dxa"/>
          </w:tcPr>
          <w:p w14:paraId="4CD99340" w14:textId="77777777" w:rsidR="00765997" w:rsidRDefault="00765997" w:rsidP="00765997">
            <w:r>
              <w:t>0</w:t>
            </w:r>
          </w:p>
        </w:tc>
      </w:tr>
      <w:tr w:rsidR="00765997" w14:paraId="1336F640" w14:textId="77777777" w:rsidTr="00765997">
        <w:tc>
          <w:tcPr>
            <w:tcW w:w="1413" w:type="dxa"/>
            <w:shd w:val="clear" w:color="auto" w:fill="92D050"/>
          </w:tcPr>
          <w:p w14:paraId="6A7E715D" w14:textId="77777777" w:rsidR="00765997" w:rsidRDefault="00765997" w:rsidP="00765997">
            <w:r>
              <w:t>A4  PBB2</w:t>
            </w:r>
          </w:p>
        </w:tc>
        <w:tc>
          <w:tcPr>
            <w:tcW w:w="1559" w:type="dxa"/>
          </w:tcPr>
          <w:p w14:paraId="0FCFF1FA" w14:textId="77777777" w:rsidR="00765997" w:rsidRDefault="00765997" w:rsidP="00765997">
            <w:r>
              <w:t>28</w:t>
            </w:r>
          </w:p>
        </w:tc>
        <w:tc>
          <w:tcPr>
            <w:tcW w:w="1418" w:type="dxa"/>
          </w:tcPr>
          <w:p w14:paraId="3782BA98" w14:textId="77777777" w:rsidR="00765997" w:rsidRDefault="00765997" w:rsidP="00765997">
            <w:r>
              <w:t>31</w:t>
            </w:r>
          </w:p>
        </w:tc>
        <w:tc>
          <w:tcPr>
            <w:tcW w:w="1417" w:type="dxa"/>
            <w:shd w:val="clear" w:color="auto" w:fill="auto"/>
          </w:tcPr>
          <w:p w14:paraId="2D3D2A98" w14:textId="77777777" w:rsidR="00765997" w:rsidRDefault="00765997" w:rsidP="00765997">
            <w:r>
              <w:t>1.5</w:t>
            </w:r>
          </w:p>
        </w:tc>
        <w:tc>
          <w:tcPr>
            <w:tcW w:w="992" w:type="dxa"/>
            <w:shd w:val="clear" w:color="auto" w:fill="auto"/>
          </w:tcPr>
          <w:p w14:paraId="1E97C6BD" w14:textId="77777777" w:rsidR="00765997" w:rsidRDefault="00765997" w:rsidP="00765997">
            <w:r>
              <w:t>0</w:t>
            </w:r>
          </w:p>
        </w:tc>
        <w:tc>
          <w:tcPr>
            <w:tcW w:w="1276" w:type="dxa"/>
          </w:tcPr>
          <w:p w14:paraId="3FAFF902" w14:textId="29C87CBF" w:rsidR="00765997" w:rsidRDefault="005C259D" w:rsidP="00765997">
            <w:r>
              <w:t>21</w:t>
            </w:r>
          </w:p>
        </w:tc>
        <w:tc>
          <w:tcPr>
            <w:tcW w:w="1134" w:type="dxa"/>
          </w:tcPr>
          <w:p w14:paraId="5CF08BFB" w14:textId="77777777" w:rsidR="00765997" w:rsidRDefault="00765997" w:rsidP="00765997">
            <w:r>
              <w:t>Rep36</w:t>
            </w:r>
          </w:p>
        </w:tc>
      </w:tr>
      <w:tr w:rsidR="00765997" w14:paraId="74FE16F5" w14:textId="77777777" w:rsidTr="00765997">
        <w:tc>
          <w:tcPr>
            <w:tcW w:w="1413" w:type="dxa"/>
            <w:shd w:val="clear" w:color="auto" w:fill="92D050"/>
          </w:tcPr>
          <w:p w14:paraId="3E91B577" w14:textId="77777777" w:rsidR="00765997" w:rsidRDefault="00765997" w:rsidP="00765997">
            <w:r>
              <w:t>A5  PBB2</w:t>
            </w:r>
          </w:p>
        </w:tc>
        <w:tc>
          <w:tcPr>
            <w:tcW w:w="1559" w:type="dxa"/>
          </w:tcPr>
          <w:p w14:paraId="76EB6341" w14:textId="77777777" w:rsidR="00765997" w:rsidRDefault="00765997" w:rsidP="00765997">
            <w:r>
              <w:t>35</w:t>
            </w:r>
          </w:p>
        </w:tc>
        <w:tc>
          <w:tcPr>
            <w:tcW w:w="1418" w:type="dxa"/>
          </w:tcPr>
          <w:p w14:paraId="3F4BAA53" w14:textId="77777777" w:rsidR="00765997" w:rsidRDefault="00765997" w:rsidP="00765997">
            <w:r>
              <w:t>40</w:t>
            </w:r>
          </w:p>
        </w:tc>
        <w:tc>
          <w:tcPr>
            <w:tcW w:w="1417" w:type="dxa"/>
            <w:shd w:val="clear" w:color="auto" w:fill="auto"/>
          </w:tcPr>
          <w:p w14:paraId="54D219C7" w14:textId="77777777" w:rsidR="00765997" w:rsidRDefault="00765997" w:rsidP="00765997">
            <w:r>
              <w:t>1.5</w:t>
            </w:r>
          </w:p>
        </w:tc>
        <w:tc>
          <w:tcPr>
            <w:tcW w:w="992" w:type="dxa"/>
            <w:shd w:val="clear" w:color="auto" w:fill="auto"/>
          </w:tcPr>
          <w:p w14:paraId="1B33C927" w14:textId="77777777" w:rsidR="00765997" w:rsidRDefault="00765997" w:rsidP="00765997">
            <w:r>
              <w:t>0</w:t>
            </w:r>
          </w:p>
        </w:tc>
        <w:tc>
          <w:tcPr>
            <w:tcW w:w="1276" w:type="dxa"/>
          </w:tcPr>
          <w:p w14:paraId="2CB89930" w14:textId="0B666E73" w:rsidR="00765997" w:rsidRDefault="005C259D" w:rsidP="00765997">
            <w:r>
              <w:t>8</w:t>
            </w:r>
          </w:p>
        </w:tc>
        <w:tc>
          <w:tcPr>
            <w:tcW w:w="1134" w:type="dxa"/>
          </w:tcPr>
          <w:p w14:paraId="40D98CDF" w14:textId="77777777" w:rsidR="00765997" w:rsidRDefault="00765997" w:rsidP="00765997">
            <w:r>
              <w:t>0</w:t>
            </w:r>
          </w:p>
        </w:tc>
      </w:tr>
      <w:tr w:rsidR="00765997" w14:paraId="404A6CD1" w14:textId="77777777" w:rsidTr="00765997">
        <w:tc>
          <w:tcPr>
            <w:tcW w:w="1413" w:type="dxa"/>
            <w:shd w:val="clear" w:color="auto" w:fill="92D050"/>
          </w:tcPr>
          <w:p w14:paraId="52C3ADF0" w14:textId="77777777" w:rsidR="00765997" w:rsidRDefault="00765997" w:rsidP="00765997">
            <w:r>
              <w:t>A9  PBB2</w:t>
            </w:r>
          </w:p>
        </w:tc>
        <w:tc>
          <w:tcPr>
            <w:tcW w:w="1559" w:type="dxa"/>
            <w:shd w:val="clear" w:color="auto" w:fill="FF0000"/>
          </w:tcPr>
          <w:p w14:paraId="37F4B09F" w14:textId="77777777" w:rsidR="00765997" w:rsidRDefault="00765997" w:rsidP="00765997">
            <w:r>
              <w:t>6</w:t>
            </w:r>
          </w:p>
        </w:tc>
        <w:tc>
          <w:tcPr>
            <w:tcW w:w="1418" w:type="dxa"/>
            <w:shd w:val="clear" w:color="auto" w:fill="FF0000"/>
          </w:tcPr>
          <w:p w14:paraId="412894D6" w14:textId="77777777" w:rsidR="00765997" w:rsidRDefault="00765997" w:rsidP="00765997">
            <w:r>
              <w:t>11</w:t>
            </w:r>
          </w:p>
        </w:tc>
        <w:tc>
          <w:tcPr>
            <w:tcW w:w="1417" w:type="dxa"/>
            <w:shd w:val="clear" w:color="auto" w:fill="FF0000"/>
          </w:tcPr>
          <w:p w14:paraId="4CE29DBF" w14:textId="77777777" w:rsidR="00765997" w:rsidRDefault="00765997" w:rsidP="00765997">
            <w:r>
              <w:t>&gt;256</w:t>
            </w:r>
          </w:p>
        </w:tc>
        <w:tc>
          <w:tcPr>
            <w:tcW w:w="992" w:type="dxa"/>
            <w:shd w:val="clear" w:color="auto" w:fill="auto"/>
          </w:tcPr>
          <w:p w14:paraId="2CCA9795" w14:textId="176D0FF2" w:rsidR="00765997" w:rsidRDefault="00765997" w:rsidP="00765997">
            <w:r>
              <w:t>Tet(</w:t>
            </w:r>
            <w:r w:rsidR="00F058E8">
              <w:t>M</w:t>
            </w:r>
            <w:r>
              <w:t>)</w:t>
            </w:r>
          </w:p>
          <w:p w14:paraId="7325F7E2" w14:textId="77777777" w:rsidR="00765997" w:rsidRDefault="00765997" w:rsidP="00765997">
            <w:r>
              <w:t>erm(B)</w:t>
            </w:r>
          </w:p>
        </w:tc>
        <w:tc>
          <w:tcPr>
            <w:tcW w:w="1276" w:type="dxa"/>
          </w:tcPr>
          <w:p w14:paraId="25A260AC" w14:textId="03E488C0" w:rsidR="00765997" w:rsidRDefault="00077593" w:rsidP="00765997">
            <w:r>
              <w:t>15A</w:t>
            </w:r>
          </w:p>
        </w:tc>
        <w:tc>
          <w:tcPr>
            <w:tcW w:w="1134" w:type="dxa"/>
          </w:tcPr>
          <w:p w14:paraId="616379F4" w14:textId="77777777" w:rsidR="00765997" w:rsidRDefault="00765997" w:rsidP="00765997">
            <w:r>
              <w:t>repUS43</w:t>
            </w:r>
          </w:p>
        </w:tc>
      </w:tr>
      <w:tr w:rsidR="00765997" w14:paraId="57D7FA3F" w14:textId="77777777" w:rsidTr="00765997">
        <w:tc>
          <w:tcPr>
            <w:tcW w:w="1413" w:type="dxa"/>
            <w:shd w:val="clear" w:color="auto" w:fill="92D050"/>
          </w:tcPr>
          <w:p w14:paraId="023D6C57" w14:textId="77777777" w:rsidR="00765997" w:rsidRDefault="00765997" w:rsidP="00765997">
            <w:r>
              <w:t>A9  PBB2</w:t>
            </w:r>
          </w:p>
        </w:tc>
        <w:tc>
          <w:tcPr>
            <w:tcW w:w="1559" w:type="dxa"/>
            <w:shd w:val="clear" w:color="auto" w:fill="FF0000"/>
          </w:tcPr>
          <w:p w14:paraId="0971F3FD" w14:textId="77777777" w:rsidR="00765997" w:rsidRDefault="00765997" w:rsidP="00765997">
            <w:r>
              <w:t>6</w:t>
            </w:r>
          </w:p>
        </w:tc>
        <w:tc>
          <w:tcPr>
            <w:tcW w:w="1418" w:type="dxa"/>
            <w:shd w:val="clear" w:color="auto" w:fill="FF0000"/>
          </w:tcPr>
          <w:p w14:paraId="73A9F518" w14:textId="77777777" w:rsidR="00765997" w:rsidRDefault="00765997" w:rsidP="00765997">
            <w:r>
              <w:t>12</w:t>
            </w:r>
          </w:p>
        </w:tc>
        <w:tc>
          <w:tcPr>
            <w:tcW w:w="1417" w:type="dxa"/>
            <w:shd w:val="clear" w:color="auto" w:fill="FF0000"/>
          </w:tcPr>
          <w:p w14:paraId="5A2C95CA" w14:textId="77777777" w:rsidR="00765997" w:rsidRDefault="00765997" w:rsidP="00765997">
            <w:r>
              <w:t>256</w:t>
            </w:r>
          </w:p>
        </w:tc>
        <w:tc>
          <w:tcPr>
            <w:tcW w:w="992" w:type="dxa"/>
            <w:shd w:val="clear" w:color="auto" w:fill="auto"/>
          </w:tcPr>
          <w:p w14:paraId="7B7B4FA7" w14:textId="77777777" w:rsidR="00765997" w:rsidRDefault="00765997" w:rsidP="00765997">
            <w:r>
              <w:t xml:space="preserve">Erm(B) </w:t>
            </w:r>
            <w:proofErr w:type="spellStart"/>
            <w:r>
              <w:t>tet</w:t>
            </w:r>
            <w:proofErr w:type="spellEnd"/>
            <w:r>
              <w:t>(M)</w:t>
            </w:r>
          </w:p>
        </w:tc>
        <w:tc>
          <w:tcPr>
            <w:tcW w:w="1276" w:type="dxa"/>
          </w:tcPr>
          <w:p w14:paraId="0C34441C" w14:textId="5EDF4C28" w:rsidR="00765997" w:rsidRDefault="00077593" w:rsidP="00765997">
            <w:r>
              <w:t>15A</w:t>
            </w:r>
          </w:p>
        </w:tc>
        <w:tc>
          <w:tcPr>
            <w:tcW w:w="1134" w:type="dxa"/>
          </w:tcPr>
          <w:p w14:paraId="4C258E7C" w14:textId="77777777" w:rsidR="00765997" w:rsidRDefault="00765997" w:rsidP="00765997">
            <w:r>
              <w:t>repUS43</w:t>
            </w:r>
          </w:p>
        </w:tc>
      </w:tr>
      <w:tr w:rsidR="00765997" w14:paraId="1D68E80C" w14:textId="77777777" w:rsidTr="00765997">
        <w:tc>
          <w:tcPr>
            <w:tcW w:w="1413" w:type="dxa"/>
            <w:shd w:val="clear" w:color="auto" w:fill="92D050"/>
          </w:tcPr>
          <w:p w14:paraId="13A81C81" w14:textId="77777777" w:rsidR="00765997" w:rsidRDefault="00765997" w:rsidP="00765997">
            <w:r>
              <w:t>A13  PBB2</w:t>
            </w:r>
          </w:p>
        </w:tc>
        <w:tc>
          <w:tcPr>
            <w:tcW w:w="1559" w:type="dxa"/>
          </w:tcPr>
          <w:p w14:paraId="335A3DA2" w14:textId="77777777" w:rsidR="00765997" w:rsidRDefault="00765997" w:rsidP="00765997">
            <w:r>
              <w:t>30</w:t>
            </w:r>
          </w:p>
        </w:tc>
        <w:tc>
          <w:tcPr>
            <w:tcW w:w="1418" w:type="dxa"/>
          </w:tcPr>
          <w:p w14:paraId="27FB2F3E" w14:textId="77777777" w:rsidR="00765997" w:rsidRDefault="00765997" w:rsidP="00765997">
            <w:r>
              <w:t>34</w:t>
            </w:r>
          </w:p>
        </w:tc>
        <w:tc>
          <w:tcPr>
            <w:tcW w:w="1417" w:type="dxa"/>
            <w:shd w:val="clear" w:color="auto" w:fill="auto"/>
          </w:tcPr>
          <w:p w14:paraId="6A502A9F" w14:textId="77777777" w:rsidR="00765997" w:rsidRDefault="00765997" w:rsidP="00765997">
            <w:r>
              <w:t>1</w:t>
            </w:r>
          </w:p>
        </w:tc>
        <w:tc>
          <w:tcPr>
            <w:tcW w:w="992" w:type="dxa"/>
            <w:shd w:val="clear" w:color="auto" w:fill="auto"/>
          </w:tcPr>
          <w:p w14:paraId="20801272" w14:textId="77777777" w:rsidR="00765997" w:rsidRDefault="00765997" w:rsidP="00765997">
            <w:r>
              <w:t>0</w:t>
            </w:r>
          </w:p>
        </w:tc>
        <w:tc>
          <w:tcPr>
            <w:tcW w:w="1276" w:type="dxa"/>
          </w:tcPr>
          <w:p w14:paraId="6C505C7A" w14:textId="3779800F" w:rsidR="00765997" w:rsidRDefault="005C259D" w:rsidP="00765997">
            <w:r>
              <w:t>17F</w:t>
            </w:r>
          </w:p>
        </w:tc>
        <w:tc>
          <w:tcPr>
            <w:tcW w:w="1134" w:type="dxa"/>
          </w:tcPr>
          <w:p w14:paraId="61F8B5F2" w14:textId="77777777" w:rsidR="00765997" w:rsidRDefault="00765997" w:rsidP="00765997">
            <w:r>
              <w:t>0</w:t>
            </w:r>
          </w:p>
        </w:tc>
      </w:tr>
      <w:tr w:rsidR="00765997" w14:paraId="060A02BD" w14:textId="77777777" w:rsidTr="00765997">
        <w:tc>
          <w:tcPr>
            <w:tcW w:w="1413" w:type="dxa"/>
            <w:shd w:val="clear" w:color="auto" w:fill="92D050"/>
          </w:tcPr>
          <w:p w14:paraId="5C9AD3BF" w14:textId="77777777" w:rsidR="00765997" w:rsidRDefault="00765997" w:rsidP="00765997">
            <w:r>
              <w:t>A15  PBB2</w:t>
            </w:r>
          </w:p>
        </w:tc>
        <w:tc>
          <w:tcPr>
            <w:tcW w:w="1559" w:type="dxa"/>
          </w:tcPr>
          <w:p w14:paraId="3ABA39DA" w14:textId="77777777" w:rsidR="00765997" w:rsidRDefault="00765997" w:rsidP="00765997">
            <w:r>
              <w:t>27</w:t>
            </w:r>
          </w:p>
        </w:tc>
        <w:tc>
          <w:tcPr>
            <w:tcW w:w="1418" w:type="dxa"/>
          </w:tcPr>
          <w:p w14:paraId="154A3684" w14:textId="77777777" w:rsidR="00765997" w:rsidRDefault="00765997" w:rsidP="00765997">
            <w:r>
              <w:t>31</w:t>
            </w:r>
          </w:p>
        </w:tc>
        <w:tc>
          <w:tcPr>
            <w:tcW w:w="1417" w:type="dxa"/>
            <w:shd w:val="clear" w:color="auto" w:fill="auto"/>
          </w:tcPr>
          <w:p w14:paraId="5B1A2305" w14:textId="77777777" w:rsidR="00765997" w:rsidRDefault="00765997" w:rsidP="00765997">
            <w:r>
              <w:t>1.5</w:t>
            </w:r>
          </w:p>
        </w:tc>
        <w:tc>
          <w:tcPr>
            <w:tcW w:w="992" w:type="dxa"/>
            <w:shd w:val="clear" w:color="auto" w:fill="auto"/>
          </w:tcPr>
          <w:p w14:paraId="14BE5215" w14:textId="77777777" w:rsidR="00765997" w:rsidRDefault="00765997" w:rsidP="00765997">
            <w:r>
              <w:t>0</w:t>
            </w:r>
          </w:p>
        </w:tc>
        <w:tc>
          <w:tcPr>
            <w:tcW w:w="1276" w:type="dxa"/>
          </w:tcPr>
          <w:p w14:paraId="645FAC3E" w14:textId="4B329E02" w:rsidR="00765997" w:rsidRDefault="00FA30E0" w:rsidP="00765997">
            <w:r>
              <w:t>23B</w:t>
            </w:r>
          </w:p>
        </w:tc>
        <w:tc>
          <w:tcPr>
            <w:tcW w:w="1134" w:type="dxa"/>
          </w:tcPr>
          <w:p w14:paraId="455FC4B4" w14:textId="77777777" w:rsidR="00765997" w:rsidRDefault="00765997" w:rsidP="00765997">
            <w:r>
              <w:t>0</w:t>
            </w:r>
          </w:p>
        </w:tc>
      </w:tr>
      <w:tr w:rsidR="00765997" w14:paraId="23303CAA" w14:textId="77777777" w:rsidTr="00765997">
        <w:tc>
          <w:tcPr>
            <w:tcW w:w="1413" w:type="dxa"/>
            <w:shd w:val="clear" w:color="auto" w:fill="92D050"/>
          </w:tcPr>
          <w:p w14:paraId="4917BBDD" w14:textId="77777777" w:rsidR="00765997" w:rsidRDefault="00765997" w:rsidP="00765997">
            <w:r>
              <w:t>A15  PBB2</w:t>
            </w:r>
          </w:p>
        </w:tc>
        <w:tc>
          <w:tcPr>
            <w:tcW w:w="1559" w:type="dxa"/>
          </w:tcPr>
          <w:p w14:paraId="2E8EF7C2" w14:textId="77777777" w:rsidR="00765997" w:rsidRDefault="00765997" w:rsidP="00765997">
            <w:r>
              <w:t>30</w:t>
            </w:r>
          </w:p>
        </w:tc>
        <w:tc>
          <w:tcPr>
            <w:tcW w:w="1418" w:type="dxa"/>
          </w:tcPr>
          <w:p w14:paraId="3DC3AB96" w14:textId="77777777" w:rsidR="00765997" w:rsidRDefault="00765997" w:rsidP="00765997">
            <w:r>
              <w:t>35</w:t>
            </w:r>
          </w:p>
        </w:tc>
        <w:tc>
          <w:tcPr>
            <w:tcW w:w="1417" w:type="dxa"/>
            <w:shd w:val="clear" w:color="auto" w:fill="auto"/>
          </w:tcPr>
          <w:p w14:paraId="169A78BB" w14:textId="77777777" w:rsidR="00765997" w:rsidRDefault="00765997" w:rsidP="00765997">
            <w:r>
              <w:t>3</w:t>
            </w:r>
          </w:p>
        </w:tc>
        <w:tc>
          <w:tcPr>
            <w:tcW w:w="992" w:type="dxa"/>
            <w:shd w:val="clear" w:color="auto" w:fill="auto"/>
          </w:tcPr>
          <w:p w14:paraId="3F164C3D" w14:textId="77777777" w:rsidR="00765997" w:rsidRDefault="00765997" w:rsidP="00765997">
            <w:r>
              <w:t>0</w:t>
            </w:r>
          </w:p>
        </w:tc>
        <w:tc>
          <w:tcPr>
            <w:tcW w:w="1276" w:type="dxa"/>
          </w:tcPr>
          <w:p w14:paraId="5577A3BD" w14:textId="6FE49568" w:rsidR="00765997" w:rsidRDefault="00FA30E0" w:rsidP="00765997">
            <w:r>
              <w:t>23A</w:t>
            </w:r>
          </w:p>
        </w:tc>
        <w:tc>
          <w:tcPr>
            <w:tcW w:w="1134" w:type="dxa"/>
          </w:tcPr>
          <w:p w14:paraId="69D172DB" w14:textId="77777777" w:rsidR="00765997" w:rsidRDefault="00765997" w:rsidP="00765997">
            <w:r>
              <w:t>0</w:t>
            </w:r>
          </w:p>
        </w:tc>
      </w:tr>
      <w:tr w:rsidR="00765997" w14:paraId="49F2A7A3" w14:textId="77777777" w:rsidTr="00765997">
        <w:tc>
          <w:tcPr>
            <w:tcW w:w="1413" w:type="dxa"/>
            <w:shd w:val="clear" w:color="auto" w:fill="00B0F0"/>
          </w:tcPr>
          <w:p w14:paraId="0C93F7F7" w14:textId="74AD7CD0" w:rsidR="00765997" w:rsidRDefault="00765997" w:rsidP="00765997">
            <w:r>
              <w:t>C1  PBB2</w:t>
            </w:r>
            <w:r w:rsidR="00206116">
              <w:t>⁰⁰</w:t>
            </w:r>
          </w:p>
        </w:tc>
        <w:tc>
          <w:tcPr>
            <w:tcW w:w="1559" w:type="dxa"/>
          </w:tcPr>
          <w:p w14:paraId="239C66AB" w14:textId="77777777" w:rsidR="00765997" w:rsidRDefault="00765997" w:rsidP="00765997">
            <w:r>
              <w:t>29</w:t>
            </w:r>
          </w:p>
        </w:tc>
        <w:tc>
          <w:tcPr>
            <w:tcW w:w="1418" w:type="dxa"/>
          </w:tcPr>
          <w:p w14:paraId="421B80D8" w14:textId="77777777" w:rsidR="00765997" w:rsidRDefault="00765997" w:rsidP="00765997">
            <w:r>
              <w:t>32</w:t>
            </w:r>
          </w:p>
        </w:tc>
        <w:tc>
          <w:tcPr>
            <w:tcW w:w="1417" w:type="dxa"/>
            <w:shd w:val="clear" w:color="auto" w:fill="auto"/>
          </w:tcPr>
          <w:p w14:paraId="342AA653" w14:textId="77777777" w:rsidR="00765997" w:rsidRDefault="00765997" w:rsidP="00765997">
            <w:r>
              <w:t>1.5</w:t>
            </w:r>
          </w:p>
        </w:tc>
        <w:tc>
          <w:tcPr>
            <w:tcW w:w="992" w:type="dxa"/>
            <w:shd w:val="clear" w:color="auto" w:fill="auto"/>
          </w:tcPr>
          <w:p w14:paraId="633B9F68" w14:textId="77777777" w:rsidR="00765997" w:rsidRDefault="00765997" w:rsidP="00765997">
            <w:r>
              <w:t>0</w:t>
            </w:r>
          </w:p>
        </w:tc>
        <w:tc>
          <w:tcPr>
            <w:tcW w:w="1276" w:type="dxa"/>
          </w:tcPr>
          <w:p w14:paraId="015F5025" w14:textId="2F449917" w:rsidR="00765997" w:rsidRDefault="005E5795" w:rsidP="00765997">
            <w:r>
              <w:t>15A</w:t>
            </w:r>
          </w:p>
        </w:tc>
        <w:tc>
          <w:tcPr>
            <w:tcW w:w="1134" w:type="dxa"/>
          </w:tcPr>
          <w:p w14:paraId="40925C7B" w14:textId="77777777" w:rsidR="00765997" w:rsidRDefault="00765997" w:rsidP="00765997">
            <w:r>
              <w:t>0</w:t>
            </w:r>
          </w:p>
        </w:tc>
      </w:tr>
      <w:tr w:rsidR="00765997" w14:paraId="4355D685" w14:textId="77777777" w:rsidTr="00765997">
        <w:tc>
          <w:tcPr>
            <w:tcW w:w="1413" w:type="dxa"/>
            <w:shd w:val="clear" w:color="auto" w:fill="00B0F0"/>
          </w:tcPr>
          <w:p w14:paraId="7D15EC0E" w14:textId="77777777" w:rsidR="00765997" w:rsidRDefault="00765997" w:rsidP="00765997">
            <w:r>
              <w:t>C1  PBB2</w:t>
            </w:r>
          </w:p>
        </w:tc>
        <w:tc>
          <w:tcPr>
            <w:tcW w:w="1559" w:type="dxa"/>
          </w:tcPr>
          <w:p w14:paraId="4D0DDF1A" w14:textId="77777777" w:rsidR="00765997" w:rsidRDefault="00765997" w:rsidP="00765997">
            <w:r>
              <w:t>29</w:t>
            </w:r>
          </w:p>
        </w:tc>
        <w:tc>
          <w:tcPr>
            <w:tcW w:w="1418" w:type="dxa"/>
          </w:tcPr>
          <w:p w14:paraId="2834D8C4" w14:textId="77777777" w:rsidR="00765997" w:rsidRDefault="00765997" w:rsidP="00765997">
            <w:r>
              <w:t>32</w:t>
            </w:r>
          </w:p>
        </w:tc>
        <w:tc>
          <w:tcPr>
            <w:tcW w:w="1417" w:type="dxa"/>
            <w:shd w:val="clear" w:color="auto" w:fill="auto"/>
          </w:tcPr>
          <w:p w14:paraId="0E6C9566" w14:textId="77777777" w:rsidR="00765997" w:rsidRDefault="00765997" w:rsidP="00765997">
            <w:r>
              <w:t>1.5</w:t>
            </w:r>
          </w:p>
        </w:tc>
        <w:tc>
          <w:tcPr>
            <w:tcW w:w="992" w:type="dxa"/>
            <w:shd w:val="clear" w:color="auto" w:fill="auto"/>
          </w:tcPr>
          <w:p w14:paraId="76AC1463" w14:textId="77777777" w:rsidR="00765997" w:rsidRDefault="00765997" w:rsidP="00765997">
            <w:r>
              <w:t>0</w:t>
            </w:r>
          </w:p>
        </w:tc>
        <w:tc>
          <w:tcPr>
            <w:tcW w:w="1276" w:type="dxa"/>
          </w:tcPr>
          <w:p w14:paraId="42970BDB" w14:textId="75B1C6D1" w:rsidR="00765997" w:rsidRDefault="005E5795" w:rsidP="00765997">
            <w:r>
              <w:t>24</w:t>
            </w:r>
          </w:p>
        </w:tc>
        <w:tc>
          <w:tcPr>
            <w:tcW w:w="1134" w:type="dxa"/>
          </w:tcPr>
          <w:p w14:paraId="37AEADFF" w14:textId="77777777" w:rsidR="00765997" w:rsidRDefault="00765997" w:rsidP="00765997">
            <w:r>
              <w:t>0</w:t>
            </w:r>
          </w:p>
        </w:tc>
      </w:tr>
      <w:tr w:rsidR="00765997" w14:paraId="0FF2D932" w14:textId="77777777" w:rsidTr="00765997">
        <w:tc>
          <w:tcPr>
            <w:tcW w:w="1413" w:type="dxa"/>
            <w:shd w:val="clear" w:color="auto" w:fill="00B0F0"/>
          </w:tcPr>
          <w:p w14:paraId="4F137FB6" w14:textId="77777777" w:rsidR="00765997" w:rsidRDefault="00765997" w:rsidP="00765997">
            <w:r>
              <w:t>C4  PBB2</w:t>
            </w:r>
          </w:p>
        </w:tc>
        <w:tc>
          <w:tcPr>
            <w:tcW w:w="1559" w:type="dxa"/>
          </w:tcPr>
          <w:p w14:paraId="3A174953" w14:textId="77777777" w:rsidR="00765997" w:rsidRDefault="00765997" w:rsidP="00765997">
            <w:r>
              <w:t>29</w:t>
            </w:r>
          </w:p>
        </w:tc>
        <w:tc>
          <w:tcPr>
            <w:tcW w:w="1418" w:type="dxa"/>
          </w:tcPr>
          <w:p w14:paraId="2A64D7AF" w14:textId="77777777" w:rsidR="00765997" w:rsidRDefault="00765997" w:rsidP="00765997">
            <w:r>
              <w:t>33</w:t>
            </w:r>
          </w:p>
        </w:tc>
        <w:tc>
          <w:tcPr>
            <w:tcW w:w="1417" w:type="dxa"/>
            <w:shd w:val="clear" w:color="auto" w:fill="auto"/>
          </w:tcPr>
          <w:p w14:paraId="79B328F1" w14:textId="77777777" w:rsidR="00765997" w:rsidRDefault="00765997" w:rsidP="00765997">
            <w:r>
              <w:t>1.5</w:t>
            </w:r>
          </w:p>
        </w:tc>
        <w:tc>
          <w:tcPr>
            <w:tcW w:w="992" w:type="dxa"/>
            <w:shd w:val="clear" w:color="auto" w:fill="auto"/>
          </w:tcPr>
          <w:p w14:paraId="6936939E" w14:textId="77777777" w:rsidR="00765997" w:rsidRDefault="00765997" w:rsidP="00765997">
            <w:r>
              <w:t>0</w:t>
            </w:r>
          </w:p>
        </w:tc>
        <w:tc>
          <w:tcPr>
            <w:tcW w:w="1276" w:type="dxa"/>
          </w:tcPr>
          <w:p w14:paraId="6DCA0E28" w14:textId="40253A5C" w:rsidR="00765997" w:rsidRDefault="005E5795" w:rsidP="00765997">
            <w:r>
              <w:t>6C</w:t>
            </w:r>
          </w:p>
        </w:tc>
        <w:tc>
          <w:tcPr>
            <w:tcW w:w="1134" w:type="dxa"/>
          </w:tcPr>
          <w:p w14:paraId="7B8DF4BC" w14:textId="77777777" w:rsidR="00765997" w:rsidRDefault="00765997" w:rsidP="00765997">
            <w:r>
              <w:t>0</w:t>
            </w:r>
          </w:p>
        </w:tc>
      </w:tr>
      <w:tr w:rsidR="00765997" w14:paraId="38203849" w14:textId="77777777" w:rsidTr="00765997">
        <w:tc>
          <w:tcPr>
            <w:tcW w:w="1413" w:type="dxa"/>
            <w:shd w:val="clear" w:color="auto" w:fill="00B0F0"/>
          </w:tcPr>
          <w:p w14:paraId="7283013E" w14:textId="77777777" w:rsidR="00765997" w:rsidRDefault="00765997" w:rsidP="00765997">
            <w:r>
              <w:t>C4  PBB2</w:t>
            </w:r>
          </w:p>
        </w:tc>
        <w:tc>
          <w:tcPr>
            <w:tcW w:w="1559" w:type="dxa"/>
          </w:tcPr>
          <w:p w14:paraId="26D39C90" w14:textId="77777777" w:rsidR="00765997" w:rsidRDefault="00765997" w:rsidP="00765997">
            <w:r>
              <w:t>31</w:t>
            </w:r>
          </w:p>
        </w:tc>
        <w:tc>
          <w:tcPr>
            <w:tcW w:w="1418" w:type="dxa"/>
          </w:tcPr>
          <w:p w14:paraId="1F2A0FAA" w14:textId="77777777" w:rsidR="00765997" w:rsidRDefault="00765997" w:rsidP="00765997">
            <w:r>
              <w:t>36</w:t>
            </w:r>
          </w:p>
        </w:tc>
        <w:tc>
          <w:tcPr>
            <w:tcW w:w="1417" w:type="dxa"/>
            <w:shd w:val="clear" w:color="auto" w:fill="auto"/>
          </w:tcPr>
          <w:p w14:paraId="2BA7ADF2" w14:textId="77777777" w:rsidR="00765997" w:rsidRDefault="00765997" w:rsidP="00765997">
            <w:r>
              <w:t>1.5</w:t>
            </w:r>
          </w:p>
        </w:tc>
        <w:tc>
          <w:tcPr>
            <w:tcW w:w="992" w:type="dxa"/>
            <w:shd w:val="clear" w:color="auto" w:fill="auto"/>
          </w:tcPr>
          <w:p w14:paraId="5AC8F7CD" w14:textId="77777777" w:rsidR="00765997" w:rsidRDefault="00765997" w:rsidP="00765997">
            <w:r>
              <w:t>0</w:t>
            </w:r>
          </w:p>
        </w:tc>
        <w:tc>
          <w:tcPr>
            <w:tcW w:w="1276" w:type="dxa"/>
          </w:tcPr>
          <w:p w14:paraId="6AD759F9" w14:textId="6F3CADC4" w:rsidR="00765997" w:rsidRDefault="005E5795" w:rsidP="00765997">
            <w:r>
              <w:t>6C</w:t>
            </w:r>
          </w:p>
        </w:tc>
        <w:tc>
          <w:tcPr>
            <w:tcW w:w="1134" w:type="dxa"/>
          </w:tcPr>
          <w:p w14:paraId="62A391E0" w14:textId="77777777" w:rsidR="00765997" w:rsidRDefault="00765997" w:rsidP="00765997">
            <w:r>
              <w:t>0</w:t>
            </w:r>
          </w:p>
        </w:tc>
      </w:tr>
      <w:tr w:rsidR="00765997" w14:paraId="1E17987D" w14:textId="77777777" w:rsidTr="00765997">
        <w:tc>
          <w:tcPr>
            <w:tcW w:w="1413" w:type="dxa"/>
            <w:shd w:val="clear" w:color="auto" w:fill="00B0F0"/>
          </w:tcPr>
          <w:p w14:paraId="471C104D" w14:textId="77777777" w:rsidR="00765997" w:rsidRDefault="00765997" w:rsidP="00765997">
            <w:r>
              <w:t>C4  PBB2</w:t>
            </w:r>
          </w:p>
        </w:tc>
        <w:tc>
          <w:tcPr>
            <w:tcW w:w="1559" w:type="dxa"/>
          </w:tcPr>
          <w:p w14:paraId="1AAA3444" w14:textId="77777777" w:rsidR="00765997" w:rsidRDefault="00765997" w:rsidP="00765997">
            <w:r>
              <w:t>29</w:t>
            </w:r>
          </w:p>
        </w:tc>
        <w:tc>
          <w:tcPr>
            <w:tcW w:w="1418" w:type="dxa"/>
          </w:tcPr>
          <w:p w14:paraId="0EA3C376" w14:textId="77777777" w:rsidR="00765997" w:rsidRDefault="00765997" w:rsidP="00765997">
            <w:r>
              <w:t>33</w:t>
            </w:r>
          </w:p>
        </w:tc>
        <w:tc>
          <w:tcPr>
            <w:tcW w:w="1417" w:type="dxa"/>
            <w:shd w:val="clear" w:color="auto" w:fill="auto"/>
          </w:tcPr>
          <w:p w14:paraId="3B8E4688" w14:textId="77777777" w:rsidR="00765997" w:rsidRDefault="00765997" w:rsidP="00765997">
            <w:r>
              <w:t>1.5</w:t>
            </w:r>
          </w:p>
        </w:tc>
        <w:tc>
          <w:tcPr>
            <w:tcW w:w="992" w:type="dxa"/>
            <w:shd w:val="clear" w:color="auto" w:fill="auto"/>
          </w:tcPr>
          <w:p w14:paraId="5C349FE1" w14:textId="77777777" w:rsidR="00765997" w:rsidRDefault="00765997" w:rsidP="00765997">
            <w:r>
              <w:t>0</w:t>
            </w:r>
          </w:p>
        </w:tc>
        <w:tc>
          <w:tcPr>
            <w:tcW w:w="1276" w:type="dxa"/>
          </w:tcPr>
          <w:p w14:paraId="69E657B9" w14:textId="05E329F3" w:rsidR="00765997" w:rsidRDefault="005E5795" w:rsidP="00765997">
            <w:r>
              <w:t>6C</w:t>
            </w:r>
          </w:p>
        </w:tc>
        <w:tc>
          <w:tcPr>
            <w:tcW w:w="1134" w:type="dxa"/>
          </w:tcPr>
          <w:p w14:paraId="44C03E01" w14:textId="77777777" w:rsidR="00765997" w:rsidRDefault="00765997" w:rsidP="00765997">
            <w:r>
              <w:t>0</w:t>
            </w:r>
          </w:p>
        </w:tc>
      </w:tr>
      <w:tr w:rsidR="00765997" w14:paraId="67324B5D" w14:textId="77777777" w:rsidTr="00765997">
        <w:tc>
          <w:tcPr>
            <w:tcW w:w="1413" w:type="dxa"/>
            <w:shd w:val="clear" w:color="auto" w:fill="00B0F0"/>
          </w:tcPr>
          <w:p w14:paraId="0A41AB03" w14:textId="77777777" w:rsidR="00765997" w:rsidRDefault="00765997" w:rsidP="00765997">
            <w:r>
              <w:t>C9  PBB2</w:t>
            </w:r>
          </w:p>
        </w:tc>
        <w:tc>
          <w:tcPr>
            <w:tcW w:w="1559" w:type="dxa"/>
            <w:shd w:val="clear" w:color="auto" w:fill="FF0000"/>
          </w:tcPr>
          <w:p w14:paraId="144A3D07" w14:textId="77777777" w:rsidR="00765997" w:rsidRDefault="00765997" w:rsidP="00765997">
            <w:r>
              <w:t>11</w:t>
            </w:r>
          </w:p>
        </w:tc>
        <w:tc>
          <w:tcPr>
            <w:tcW w:w="1418" w:type="dxa"/>
            <w:shd w:val="clear" w:color="auto" w:fill="auto"/>
          </w:tcPr>
          <w:p w14:paraId="7F13EC16" w14:textId="77777777" w:rsidR="00765997" w:rsidRDefault="00765997" w:rsidP="00765997">
            <w:r>
              <w:t>35</w:t>
            </w:r>
          </w:p>
        </w:tc>
        <w:tc>
          <w:tcPr>
            <w:tcW w:w="1417" w:type="dxa"/>
            <w:shd w:val="clear" w:color="auto" w:fill="FF0000"/>
          </w:tcPr>
          <w:p w14:paraId="3A551130" w14:textId="77777777" w:rsidR="00765997" w:rsidRDefault="00765997" w:rsidP="00765997">
            <w:r>
              <w:t>&gt;256</w:t>
            </w:r>
          </w:p>
        </w:tc>
        <w:tc>
          <w:tcPr>
            <w:tcW w:w="992" w:type="dxa"/>
            <w:shd w:val="clear" w:color="auto" w:fill="auto"/>
          </w:tcPr>
          <w:p w14:paraId="6C812864" w14:textId="77777777" w:rsidR="00765997" w:rsidRDefault="00765997" w:rsidP="00765997">
            <w:proofErr w:type="spellStart"/>
            <w:r>
              <w:t>Msr</w:t>
            </w:r>
            <w:proofErr w:type="spellEnd"/>
            <w:r>
              <w:t xml:space="preserve">(D) </w:t>
            </w:r>
            <w:proofErr w:type="spellStart"/>
            <w:r>
              <w:t>mef</w:t>
            </w:r>
            <w:proofErr w:type="spellEnd"/>
            <w:r>
              <w:t>(A)</w:t>
            </w:r>
          </w:p>
        </w:tc>
        <w:tc>
          <w:tcPr>
            <w:tcW w:w="1276" w:type="dxa"/>
          </w:tcPr>
          <w:p w14:paraId="7B7F76F2" w14:textId="30688960" w:rsidR="00765997" w:rsidRDefault="005C259D" w:rsidP="00765997">
            <w:r>
              <w:t>33F</w:t>
            </w:r>
          </w:p>
        </w:tc>
        <w:tc>
          <w:tcPr>
            <w:tcW w:w="1134" w:type="dxa"/>
          </w:tcPr>
          <w:p w14:paraId="640321BD" w14:textId="77777777" w:rsidR="00765997" w:rsidRDefault="00765997" w:rsidP="00765997">
            <w:r>
              <w:t>0</w:t>
            </w:r>
          </w:p>
        </w:tc>
      </w:tr>
      <w:tr w:rsidR="00765997" w14:paraId="19209A8C" w14:textId="77777777" w:rsidTr="00765997">
        <w:tc>
          <w:tcPr>
            <w:tcW w:w="1413" w:type="dxa"/>
            <w:shd w:val="clear" w:color="auto" w:fill="00B0F0"/>
          </w:tcPr>
          <w:p w14:paraId="0F822AB8" w14:textId="77777777" w:rsidR="00765997" w:rsidRDefault="00765997" w:rsidP="00765997">
            <w:r>
              <w:t>C11  PBB2</w:t>
            </w:r>
          </w:p>
        </w:tc>
        <w:tc>
          <w:tcPr>
            <w:tcW w:w="1559" w:type="dxa"/>
          </w:tcPr>
          <w:p w14:paraId="0FAD98F5" w14:textId="77777777" w:rsidR="00765997" w:rsidRDefault="00765997" w:rsidP="00765997">
            <w:r>
              <w:t>28</w:t>
            </w:r>
          </w:p>
        </w:tc>
        <w:tc>
          <w:tcPr>
            <w:tcW w:w="1418" w:type="dxa"/>
          </w:tcPr>
          <w:p w14:paraId="11D1A6C1" w14:textId="77777777" w:rsidR="00765997" w:rsidRDefault="00765997" w:rsidP="00765997">
            <w:r>
              <w:t>32</w:t>
            </w:r>
          </w:p>
        </w:tc>
        <w:tc>
          <w:tcPr>
            <w:tcW w:w="1417" w:type="dxa"/>
            <w:shd w:val="clear" w:color="auto" w:fill="auto"/>
          </w:tcPr>
          <w:p w14:paraId="32F6F2FC" w14:textId="77777777" w:rsidR="00765997" w:rsidRDefault="00765997" w:rsidP="00765997">
            <w:r>
              <w:t>2</w:t>
            </w:r>
          </w:p>
        </w:tc>
        <w:tc>
          <w:tcPr>
            <w:tcW w:w="992" w:type="dxa"/>
            <w:shd w:val="clear" w:color="auto" w:fill="auto"/>
          </w:tcPr>
          <w:p w14:paraId="46D48237" w14:textId="77777777" w:rsidR="00765997" w:rsidRDefault="00765997" w:rsidP="00765997">
            <w:r>
              <w:t>0</w:t>
            </w:r>
          </w:p>
        </w:tc>
        <w:tc>
          <w:tcPr>
            <w:tcW w:w="1276" w:type="dxa"/>
          </w:tcPr>
          <w:p w14:paraId="61945B8F" w14:textId="356AF26E" w:rsidR="00765997" w:rsidRDefault="005C259D" w:rsidP="00765997">
            <w:r>
              <w:t>35B</w:t>
            </w:r>
          </w:p>
        </w:tc>
        <w:tc>
          <w:tcPr>
            <w:tcW w:w="1134" w:type="dxa"/>
          </w:tcPr>
          <w:p w14:paraId="13896627" w14:textId="77777777" w:rsidR="00765997" w:rsidRDefault="00765997" w:rsidP="00765997">
            <w:r>
              <w:t>0</w:t>
            </w:r>
          </w:p>
        </w:tc>
      </w:tr>
      <w:tr w:rsidR="00765997" w14:paraId="46E662C5" w14:textId="77777777" w:rsidTr="00765997">
        <w:tc>
          <w:tcPr>
            <w:tcW w:w="1413" w:type="dxa"/>
            <w:shd w:val="clear" w:color="auto" w:fill="00B0F0"/>
          </w:tcPr>
          <w:p w14:paraId="12D59F10" w14:textId="77777777" w:rsidR="00765997" w:rsidRDefault="00765997" w:rsidP="00765997">
            <w:r>
              <w:t>C6  PBB2</w:t>
            </w:r>
          </w:p>
        </w:tc>
        <w:tc>
          <w:tcPr>
            <w:tcW w:w="1559" w:type="dxa"/>
          </w:tcPr>
          <w:p w14:paraId="2843F71D" w14:textId="77777777" w:rsidR="00765997" w:rsidRDefault="00765997" w:rsidP="00765997">
            <w:r>
              <w:t>30</w:t>
            </w:r>
          </w:p>
        </w:tc>
        <w:tc>
          <w:tcPr>
            <w:tcW w:w="1418" w:type="dxa"/>
          </w:tcPr>
          <w:p w14:paraId="526BE641" w14:textId="77777777" w:rsidR="00765997" w:rsidRDefault="00765997" w:rsidP="00765997">
            <w:r>
              <w:t>35</w:t>
            </w:r>
          </w:p>
        </w:tc>
        <w:tc>
          <w:tcPr>
            <w:tcW w:w="1417" w:type="dxa"/>
            <w:shd w:val="clear" w:color="auto" w:fill="auto"/>
          </w:tcPr>
          <w:p w14:paraId="106D39D6" w14:textId="77777777" w:rsidR="00765997" w:rsidRDefault="00765997" w:rsidP="00765997">
            <w:r>
              <w:t>1.5</w:t>
            </w:r>
          </w:p>
        </w:tc>
        <w:tc>
          <w:tcPr>
            <w:tcW w:w="992" w:type="dxa"/>
            <w:shd w:val="clear" w:color="auto" w:fill="auto"/>
          </w:tcPr>
          <w:p w14:paraId="495081A3" w14:textId="77777777" w:rsidR="00765997" w:rsidRDefault="00765997" w:rsidP="00765997">
            <w:r>
              <w:t>0</w:t>
            </w:r>
          </w:p>
        </w:tc>
        <w:tc>
          <w:tcPr>
            <w:tcW w:w="1276" w:type="dxa"/>
          </w:tcPr>
          <w:p w14:paraId="308A1B37" w14:textId="62E33588" w:rsidR="00765997" w:rsidRDefault="005C259D" w:rsidP="00765997">
            <w:r>
              <w:t>10A</w:t>
            </w:r>
          </w:p>
        </w:tc>
        <w:tc>
          <w:tcPr>
            <w:tcW w:w="1134" w:type="dxa"/>
          </w:tcPr>
          <w:p w14:paraId="3D42CE05" w14:textId="77777777" w:rsidR="00765997" w:rsidRDefault="00765997" w:rsidP="00765997">
            <w:r>
              <w:t>0</w:t>
            </w:r>
          </w:p>
        </w:tc>
      </w:tr>
      <w:tr w:rsidR="00765997" w14:paraId="4176A80F" w14:textId="77777777" w:rsidTr="00765997">
        <w:tc>
          <w:tcPr>
            <w:tcW w:w="1413" w:type="dxa"/>
            <w:shd w:val="clear" w:color="auto" w:fill="00B0F0"/>
          </w:tcPr>
          <w:p w14:paraId="0F67E7F3" w14:textId="77777777" w:rsidR="00765997" w:rsidRDefault="00765997" w:rsidP="00765997">
            <w:r>
              <w:t>C13  PBB2</w:t>
            </w:r>
          </w:p>
        </w:tc>
        <w:tc>
          <w:tcPr>
            <w:tcW w:w="1559" w:type="dxa"/>
          </w:tcPr>
          <w:p w14:paraId="203A1A97" w14:textId="77777777" w:rsidR="00765997" w:rsidRDefault="00765997" w:rsidP="00765997">
            <w:r>
              <w:t>30</w:t>
            </w:r>
          </w:p>
        </w:tc>
        <w:tc>
          <w:tcPr>
            <w:tcW w:w="1418" w:type="dxa"/>
          </w:tcPr>
          <w:p w14:paraId="701AC701" w14:textId="77777777" w:rsidR="00765997" w:rsidRDefault="00765997" w:rsidP="00765997">
            <w:r>
              <w:t>35</w:t>
            </w:r>
          </w:p>
        </w:tc>
        <w:tc>
          <w:tcPr>
            <w:tcW w:w="1417" w:type="dxa"/>
            <w:shd w:val="clear" w:color="auto" w:fill="auto"/>
          </w:tcPr>
          <w:p w14:paraId="4E515B63" w14:textId="77777777" w:rsidR="00765997" w:rsidRDefault="00765997" w:rsidP="00765997">
            <w:r>
              <w:t>1.5</w:t>
            </w:r>
          </w:p>
        </w:tc>
        <w:tc>
          <w:tcPr>
            <w:tcW w:w="992" w:type="dxa"/>
            <w:shd w:val="clear" w:color="auto" w:fill="auto"/>
          </w:tcPr>
          <w:p w14:paraId="222BBFB5" w14:textId="77777777" w:rsidR="00765997" w:rsidRDefault="00765997" w:rsidP="00765997">
            <w:r>
              <w:t>0</w:t>
            </w:r>
          </w:p>
        </w:tc>
        <w:tc>
          <w:tcPr>
            <w:tcW w:w="1276" w:type="dxa"/>
          </w:tcPr>
          <w:p w14:paraId="036634F6" w14:textId="41899EDD" w:rsidR="00765997" w:rsidRDefault="005C259D" w:rsidP="00765997">
            <w:r>
              <w:t>7C</w:t>
            </w:r>
          </w:p>
        </w:tc>
        <w:tc>
          <w:tcPr>
            <w:tcW w:w="1134" w:type="dxa"/>
          </w:tcPr>
          <w:p w14:paraId="030A694F" w14:textId="77777777" w:rsidR="00765997" w:rsidRDefault="00765997" w:rsidP="00765997">
            <w:r>
              <w:t>0</w:t>
            </w:r>
          </w:p>
        </w:tc>
      </w:tr>
      <w:tr w:rsidR="00765997" w14:paraId="631AA31B" w14:textId="77777777" w:rsidTr="00765997">
        <w:tc>
          <w:tcPr>
            <w:tcW w:w="1413" w:type="dxa"/>
            <w:shd w:val="clear" w:color="auto" w:fill="00B0F0"/>
          </w:tcPr>
          <w:p w14:paraId="001A0F50" w14:textId="77777777" w:rsidR="00765997" w:rsidRDefault="00765997" w:rsidP="00765997">
            <w:r>
              <w:t>C5  PBB2</w:t>
            </w:r>
          </w:p>
        </w:tc>
        <w:tc>
          <w:tcPr>
            <w:tcW w:w="1559" w:type="dxa"/>
          </w:tcPr>
          <w:p w14:paraId="02CA1B9A" w14:textId="77777777" w:rsidR="00765997" w:rsidRDefault="00765997" w:rsidP="00765997">
            <w:r>
              <w:t>30</w:t>
            </w:r>
          </w:p>
        </w:tc>
        <w:tc>
          <w:tcPr>
            <w:tcW w:w="1418" w:type="dxa"/>
          </w:tcPr>
          <w:p w14:paraId="1E918484" w14:textId="77777777" w:rsidR="00765997" w:rsidRDefault="00765997" w:rsidP="00765997">
            <w:r>
              <w:t>35</w:t>
            </w:r>
          </w:p>
        </w:tc>
        <w:tc>
          <w:tcPr>
            <w:tcW w:w="1417" w:type="dxa"/>
            <w:shd w:val="clear" w:color="auto" w:fill="auto"/>
          </w:tcPr>
          <w:p w14:paraId="4F958C30" w14:textId="77777777" w:rsidR="00765997" w:rsidRDefault="00765997" w:rsidP="00765997">
            <w:r>
              <w:t>1.5</w:t>
            </w:r>
          </w:p>
        </w:tc>
        <w:tc>
          <w:tcPr>
            <w:tcW w:w="992" w:type="dxa"/>
            <w:shd w:val="clear" w:color="auto" w:fill="auto"/>
          </w:tcPr>
          <w:p w14:paraId="372FFBFF" w14:textId="77777777" w:rsidR="00765997" w:rsidRDefault="00765997" w:rsidP="00765997">
            <w:r>
              <w:t>0</w:t>
            </w:r>
          </w:p>
        </w:tc>
        <w:tc>
          <w:tcPr>
            <w:tcW w:w="1276" w:type="dxa"/>
          </w:tcPr>
          <w:p w14:paraId="46E32CAB" w14:textId="57A052CF" w:rsidR="00765997" w:rsidRDefault="00FA30E0" w:rsidP="00765997">
            <w:r>
              <w:t>23A</w:t>
            </w:r>
          </w:p>
        </w:tc>
        <w:tc>
          <w:tcPr>
            <w:tcW w:w="1134" w:type="dxa"/>
          </w:tcPr>
          <w:p w14:paraId="14357D75" w14:textId="77777777" w:rsidR="00765997" w:rsidRDefault="00765997" w:rsidP="00765997">
            <w:r>
              <w:t>0</w:t>
            </w:r>
          </w:p>
        </w:tc>
      </w:tr>
      <w:tr w:rsidR="00765997" w14:paraId="5AA4B9A3" w14:textId="77777777" w:rsidTr="00765997">
        <w:tc>
          <w:tcPr>
            <w:tcW w:w="1413" w:type="dxa"/>
            <w:shd w:val="clear" w:color="auto" w:fill="00B0F0"/>
          </w:tcPr>
          <w:p w14:paraId="0FF02618" w14:textId="77777777" w:rsidR="00765997" w:rsidRDefault="00765997" w:rsidP="00765997">
            <w:r>
              <w:t>C5  PBB2</w:t>
            </w:r>
          </w:p>
        </w:tc>
        <w:tc>
          <w:tcPr>
            <w:tcW w:w="1559" w:type="dxa"/>
          </w:tcPr>
          <w:p w14:paraId="0AF20DAF" w14:textId="77777777" w:rsidR="00765997" w:rsidRDefault="00765997" w:rsidP="00765997">
            <w:r>
              <w:t>29</w:t>
            </w:r>
          </w:p>
        </w:tc>
        <w:tc>
          <w:tcPr>
            <w:tcW w:w="1418" w:type="dxa"/>
          </w:tcPr>
          <w:p w14:paraId="0303B770" w14:textId="77777777" w:rsidR="00765997" w:rsidRDefault="00765997" w:rsidP="00765997">
            <w:r>
              <w:t>32</w:t>
            </w:r>
          </w:p>
        </w:tc>
        <w:tc>
          <w:tcPr>
            <w:tcW w:w="1417" w:type="dxa"/>
            <w:shd w:val="clear" w:color="auto" w:fill="auto"/>
          </w:tcPr>
          <w:p w14:paraId="40A0F464" w14:textId="77777777" w:rsidR="00765997" w:rsidRDefault="00765997" w:rsidP="00765997">
            <w:r>
              <w:t>1</w:t>
            </w:r>
          </w:p>
        </w:tc>
        <w:tc>
          <w:tcPr>
            <w:tcW w:w="992" w:type="dxa"/>
            <w:shd w:val="clear" w:color="auto" w:fill="auto"/>
          </w:tcPr>
          <w:p w14:paraId="79CC7CB7" w14:textId="77777777" w:rsidR="00765997" w:rsidRDefault="00765997" w:rsidP="00765997">
            <w:r>
              <w:t>0</w:t>
            </w:r>
          </w:p>
        </w:tc>
        <w:tc>
          <w:tcPr>
            <w:tcW w:w="1276" w:type="dxa"/>
          </w:tcPr>
          <w:p w14:paraId="34D967E6" w14:textId="3C95B6D3" w:rsidR="00765997" w:rsidRDefault="00FA30E0" w:rsidP="00765997">
            <w:r>
              <w:t>21</w:t>
            </w:r>
          </w:p>
        </w:tc>
        <w:tc>
          <w:tcPr>
            <w:tcW w:w="1134" w:type="dxa"/>
          </w:tcPr>
          <w:p w14:paraId="1373C04B" w14:textId="77777777" w:rsidR="00765997" w:rsidRDefault="00765997" w:rsidP="00765997">
            <w:r>
              <w:t>Rep36</w:t>
            </w:r>
          </w:p>
        </w:tc>
      </w:tr>
    </w:tbl>
    <w:p w14:paraId="1723598A" w14:textId="412EE0A3" w:rsidR="008F7930" w:rsidRDefault="00DB5822" w:rsidP="00765997">
      <w:pPr>
        <w:rPr>
          <w:rFonts w:cstheme="minorHAnsi"/>
          <w:color w:val="000000" w:themeColor="text1"/>
        </w:rPr>
      </w:pPr>
      <w:bookmarkStart w:id="268" w:name="_Toc117780274"/>
      <w:r w:rsidRPr="00DB5822">
        <w:rPr>
          <w:b/>
          <w:bCs/>
          <w:color w:val="000000" w:themeColor="text1"/>
        </w:rPr>
        <w:t xml:space="preserve">Table </w:t>
      </w:r>
      <w:r w:rsidRPr="00DB5822">
        <w:rPr>
          <w:b/>
          <w:bCs/>
          <w:i/>
          <w:iCs/>
          <w:color w:val="000000" w:themeColor="text1"/>
        </w:rPr>
        <w:fldChar w:fldCharType="begin"/>
      </w:r>
      <w:r w:rsidRPr="00DB5822">
        <w:rPr>
          <w:b/>
          <w:bCs/>
          <w:color w:val="000000" w:themeColor="text1"/>
        </w:rPr>
        <w:instrText xml:space="preserve"> SEQ Table \* ARABIC </w:instrText>
      </w:r>
      <w:r w:rsidRPr="00DB5822">
        <w:rPr>
          <w:b/>
          <w:bCs/>
          <w:i/>
          <w:iCs/>
          <w:color w:val="000000" w:themeColor="text1"/>
        </w:rPr>
        <w:fldChar w:fldCharType="separate"/>
      </w:r>
      <w:r w:rsidR="00592CBF">
        <w:rPr>
          <w:b/>
          <w:bCs/>
          <w:noProof/>
          <w:color w:val="000000" w:themeColor="text1"/>
        </w:rPr>
        <w:t>33</w:t>
      </w:r>
      <w:r w:rsidRPr="00DB5822">
        <w:rPr>
          <w:b/>
          <w:bCs/>
          <w:i/>
          <w:iCs/>
          <w:color w:val="000000" w:themeColor="text1"/>
        </w:rPr>
        <w:fldChar w:fldCharType="end"/>
      </w:r>
      <w:bookmarkEnd w:id="267"/>
      <w:r w:rsidRPr="00DB5822">
        <w:rPr>
          <w:color w:val="000000" w:themeColor="text1"/>
        </w:rPr>
        <w:t>:Re</w:t>
      </w:r>
      <w:r w:rsidR="00765997">
        <w:rPr>
          <w:color w:val="000000" w:themeColor="text1"/>
        </w:rPr>
        <w:t>sults</w:t>
      </w:r>
      <w:r w:rsidRPr="00DB5822">
        <w:rPr>
          <w:color w:val="000000" w:themeColor="text1"/>
        </w:rPr>
        <w:t xml:space="preserve"> of mass screening of contigs for antimicrobial resistance genes</w:t>
      </w:r>
      <w:bookmarkEnd w:id="268"/>
    </w:p>
    <w:p w14:paraId="204D3EAE" w14:textId="0546C0D3" w:rsidR="006E6081" w:rsidRDefault="00540ABC" w:rsidP="00540ABC">
      <w:pPr>
        <w:spacing w:line="360" w:lineRule="auto"/>
        <w:rPr>
          <w:rFonts w:cstheme="minorHAnsi"/>
          <w:i/>
          <w:iCs/>
          <w:color w:val="000000" w:themeColor="text1"/>
        </w:rPr>
      </w:pPr>
      <w:r w:rsidRPr="00206116">
        <w:rPr>
          <w:rFonts w:cstheme="minorHAnsi"/>
          <w:i/>
          <w:iCs/>
          <w:color w:val="000000" w:themeColor="text1"/>
        </w:rPr>
        <w:lastRenderedPageBreak/>
        <w:t xml:space="preserve">*Antimicrobial resistance genes </w:t>
      </w:r>
      <w:r w:rsidR="00206116" w:rsidRPr="00206116">
        <w:rPr>
          <w:rFonts w:cstheme="minorHAnsi"/>
          <w:i/>
          <w:iCs/>
          <w:color w:val="000000" w:themeColor="text1"/>
        </w:rPr>
        <w:t>identified</w:t>
      </w:r>
      <w:r w:rsidRPr="00206116">
        <w:rPr>
          <w:rFonts w:cstheme="minorHAnsi"/>
          <w:i/>
          <w:iCs/>
          <w:color w:val="000000" w:themeColor="text1"/>
        </w:rPr>
        <w:t xml:space="preserve"> using the databases NCBI</w:t>
      </w:r>
      <w:r w:rsidR="00206116" w:rsidRPr="00206116">
        <w:rPr>
          <w:rFonts w:cstheme="minorHAnsi"/>
          <w:i/>
          <w:iCs/>
          <w:color w:val="000000" w:themeColor="text1"/>
        </w:rPr>
        <w:t xml:space="preserve"> </w:t>
      </w:r>
      <w:r w:rsidR="00A61E7C">
        <w:rPr>
          <w:rFonts w:cstheme="minorHAnsi"/>
          <w:i/>
          <w:iCs/>
          <w:color w:val="000000" w:themeColor="text1"/>
        </w:rPr>
        <w:t xml:space="preserve">and </w:t>
      </w:r>
      <w:proofErr w:type="spellStart"/>
      <w:r w:rsidR="00A61E7C">
        <w:rPr>
          <w:rFonts w:cstheme="minorHAnsi"/>
          <w:i/>
          <w:iCs/>
          <w:color w:val="000000" w:themeColor="text1"/>
        </w:rPr>
        <w:t>ResFinder</w:t>
      </w:r>
      <w:proofErr w:type="spellEnd"/>
    </w:p>
    <w:p w14:paraId="48B9471E" w14:textId="1B40FE1B" w:rsidR="00206116" w:rsidRPr="00206116" w:rsidRDefault="006E6081" w:rsidP="00540ABC">
      <w:pPr>
        <w:spacing w:line="360" w:lineRule="auto"/>
        <w:rPr>
          <w:rFonts w:cstheme="minorHAnsi"/>
          <w:i/>
          <w:iCs/>
          <w:color w:val="000000" w:themeColor="text1"/>
        </w:rPr>
      </w:pPr>
      <w:r>
        <w:rPr>
          <w:rFonts w:cstheme="minorHAnsi"/>
          <w:i/>
          <w:iCs/>
          <w:color w:val="000000" w:themeColor="text1"/>
        </w:rPr>
        <w:t>**</w:t>
      </w:r>
      <w:r w:rsidR="00A61E7C">
        <w:rPr>
          <w:rFonts w:cstheme="minorHAnsi"/>
          <w:i/>
          <w:iCs/>
          <w:color w:val="000000" w:themeColor="text1"/>
        </w:rPr>
        <w:t xml:space="preserve"> S. pneumoniae serotype identified using </w:t>
      </w:r>
      <w:proofErr w:type="spellStart"/>
      <w:r w:rsidR="00A61E7C">
        <w:rPr>
          <w:rFonts w:cstheme="minorHAnsi"/>
          <w:i/>
          <w:iCs/>
          <w:color w:val="000000" w:themeColor="text1"/>
        </w:rPr>
        <w:t>PneumoCAT</w:t>
      </w:r>
      <w:proofErr w:type="spellEnd"/>
      <w:r w:rsidR="00A61E7C">
        <w:rPr>
          <w:rFonts w:cstheme="minorHAnsi"/>
          <w:i/>
          <w:iCs/>
          <w:color w:val="000000" w:themeColor="text1"/>
        </w:rPr>
        <w:t xml:space="preserve"> software</w:t>
      </w:r>
    </w:p>
    <w:p w14:paraId="4D2CF2ED" w14:textId="17C439FA" w:rsidR="00BA0AF3" w:rsidRPr="00206116" w:rsidRDefault="00206116" w:rsidP="00540ABC">
      <w:pPr>
        <w:spacing w:line="360" w:lineRule="auto"/>
        <w:rPr>
          <w:rFonts w:cstheme="minorHAnsi"/>
          <w:i/>
          <w:iCs/>
          <w:color w:val="000000" w:themeColor="text1"/>
        </w:rPr>
      </w:pPr>
      <w:r w:rsidRPr="00206116">
        <w:rPr>
          <w:rFonts w:cstheme="minorHAnsi"/>
          <w:i/>
          <w:iCs/>
          <w:color w:val="000000" w:themeColor="text1"/>
        </w:rPr>
        <w:t xml:space="preserve">**Plasmids identified using the database </w:t>
      </w:r>
      <w:proofErr w:type="spellStart"/>
      <w:r w:rsidRPr="00206116">
        <w:rPr>
          <w:rFonts w:cstheme="minorHAnsi"/>
          <w:i/>
          <w:iCs/>
          <w:color w:val="000000" w:themeColor="text1"/>
        </w:rPr>
        <w:t>PlasmidFinder</w:t>
      </w:r>
      <w:proofErr w:type="spellEnd"/>
      <w:r w:rsidR="00540ABC" w:rsidRPr="00206116">
        <w:rPr>
          <w:rFonts w:cstheme="minorHAnsi"/>
          <w:i/>
          <w:iCs/>
          <w:color w:val="000000" w:themeColor="text1"/>
        </w:rPr>
        <w:t xml:space="preserve"> </w:t>
      </w:r>
    </w:p>
    <w:p w14:paraId="5DF0DD6C" w14:textId="3A59DE28" w:rsidR="00206116" w:rsidRPr="00206116" w:rsidRDefault="00206116" w:rsidP="00540ABC">
      <w:pPr>
        <w:spacing w:line="360" w:lineRule="auto"/>
        <w:rPr>
          <w:rFonts w:cstheme="minorHAnsi"/>
          <w:i/>
          <w:iCs/>
          <w:color w:val="000000" w:themeColor="text1"/>
        </w:rPr>
      </w:pPr>
      <w:r w:rsidRPr="00206116">
        <w:rPr>
          <w:i/>
          <w:iCs/>
          <w:color w:val="000000" w:themeColor="text1"/>
        </w:rPr>
        <w:t>⁰</w:t>
      </w:r>
      <w:r w:rsidRPr="00206116">
        <w:rPr>
          <w:rFonts w:cstheme="minorHAnsi"/>
          <w:i/>
          <w:iCs/>
          <w:color w:val="000000" w:themeColor="text1"/>
        </w:rPr>
        <w:t>A1 PBB1; Signifies that the participant was in the azithromycin group of PBB study 1</w:t>
      </w:r>
    </w:p>
    <w:p w14:paraId="7872FA3C" w14:textId="2E1E88F7" w:rsidR="00206116" w:rsidRPr="00206116" w:rsidRDefault="00206116" w:rsidP="00540ABC">
      <w:pPr>
        <w:spacing w:line="360" w:lineRule="auto"/>
        <w:rPr>
          <w:rFonts w:cstheme="minorHAnsi"/>
          <w:i/>
          <w:iCs/>
          <w:color w:val="000000" w:themeColor="text1"/>
        </w:rPr>
      </w:pPr>
      <w:r w:rsidRPr="00206116">
        <w:rPr>
          <w:i/>
          <w:iCs/>
          <w:color w:val="000000" w:themeColor="text1"/>
        </w:rPr>
        <w:t>⁰⁰</w:t>
      </w:r>
      <w:r w:rsidRPr="00206116">
        <w:rPr>
          <w:rFonts w:cstheme="minorHAnsi"/>
          <w:i/>
          <w:iCs/>
          <w:color w:val="000000" w:themeColor="text1"/>
        </w:rPr>
        <w:t>C1 PBB2; Signifies that the participant was in the comparison group of PBB study 2</w:t>
      </w:r>
    </w:p>
    <w:p w14:paraId="5E9E967F" w14:textId="3F208BC1" w:rsidR="00206116" w:rsidRDefault="00206116" w:rsidP="00540ABC">
      <w:pPr>
        <w:spacing w:line="360" w:lineRule="auto"/>
        <w:rPr>
          <w:rFonts w:cstheme="minorHAnsi"/>
          <w:color w:val="000000" w:themeColor="text1"/>
        </w:rPr>
      </w:pPr>
    </w:p>
    <w:p w14:paraId="5E9E336B" w14:textId="76277492" w:rsidR="00D80180" w:rsidRDefault="00D80180" w:rsidP="00540ABC">
      <w:pPr>
        <w:spacing w:line="360" w:lineRule="auto"/>
        <w:rPr>
          <w:rFonts w:cstheme="minorHAnsi"/>
          <w:color w:val="000000" w:themeColor="text1"/>
        </w:rPr>
      </w:pPr>
    </w:p>
    <w:p w14:paraId="62B00A09" w14:textId="167DE4FF" w:rsidR="00D80180" w:rsidRDefault="00D80180" w:rsidP="00540ABC">
      <w:pPr>
        <w:spacing w:line="360" w:lineRule="auto"/>
        <w:rPr>
          <w:rFonts w:cstheme="minorHAnsi"/>
          <w:color w:val="000000" w:themeColor="text1"/>
        </w:rPr>
      </w:pPr>
    </w:p>
    <w:p w14:paraId="76C6C96C" w14:textId="432A3CAE" w:rsidR="00D80180" w:rsidRDefault="00D80180" w:rsidP="00540ABC">
      <w:pPr>
        <w:spacing w:line="360" w:lineRule="auto"/>
        <w:rPr>
          <w:rFonts w:cstheme="minorHAnsi"/>
          <w:color w:val="000000" w:themeColor="text1"/>
        </w:rPr>
      </w:pPr>
    </w:p>
    <w:p w14:paraId="4666B035" w14:textId="6C82C8A7" w:rsidR="00D80180" w:rsidRDefault="00D80180" w:rsidP="00540ABC">
      <w:pPr>
        <w:spacing w:line="360" w:lineRule="auto"/>
        <w:rPr>
          <w:rFonts w:cstheme="minorHAnsi"/>
          <w:color w:val="000000" w:themeColor="text1"/>
        </w:rPr>
      </w:pPr>
    </w:p>
    <w:p w14:paraId="7058A1FB" w14:textId="134B0901" w:rsidR="00D80180" w:rsidRDefault="00D80180" w:rsidP="00540ABC">
      <w:pPr>
        <w:spacing w:line="360" w:lineRule="auto"/>
        <w:rPr>
          <w:rFonts w:cstheme="minorHAnsi"/>
          <w:color w:val="000000" w:themeColor="text1"/>
        </w:rPr>
      </w:pPr>
    </w:p>
    <w:p w14:paraId="40A537B7" w14:textId="1D5744D8" w:rsidR="00D80180" w:rsidRDefault="00D80180" w:rsidP="00540ABC">
      <w:pPr>
        <w:spacing w:line="360" w:lineRule="auto"/>
        <w:rPr>
          <w:rFonts w:cstheme="minorHAnsi"/>
          <w:color w:val="000000" w:themeColor="text1"/>
        </w:rPr>
      </w:pPr>
    </w:p>
    <w:p w14:paraId="37F8D262" w14:textId="77777777" w:rsidR="00D80180" w:rsidRPr="00540ABC" w:rsidRDefault="00D80180" w:rsidP="00540ABC">
      <w:pPr>
        <w:spacing w:line="360" w:lineRule="auto"/>
        <w:rPr>
          <w:rFonts w:cstheme="minorHAnsi"/>
          <w:color w:val="000000" w:themeColor="text1"/>
        </w:rPr>
      </w:pPr>
    </w:p>
    <w:p w14:paraId="052B1736" w14:textId="35914423" w:rsidR="000B080B" w:rsidRDefault="002154C2" w:rsidP="000B080B">
      <w:r>
        <w:rPr>
          <w:noProof/>
        </w:rPr>
        <w:lastRenderedPageBreak/>
        <w:drawing>
          <wp:inline distT="0" distB="0" distL="0" distR="0" wp14:anchorId="20EFD16D" wp14:editId="435DD769">
            <wp:extent cx="6567097" cy="5524500"/>
            <wp:effectExtent l="0" t="0" r="571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60"/>
                    <a:stretch>
                      <a:fillRect/>
                    </a:stretch>
                  </pic:blipFill>
                  <pic:spPr>
                    <a:xfrm>
                      <a:off x="0" y="0"/>
                      <a:ext cx="6569903" cy="5526861"/>
                    </a:xfrm>
                    <a:prstGeom prst="rect">
                      <a:avLst/>
                    </a:prstGeom>
                  </pic:spPr>
                </pic:pic>
              </a:graphicData>
            </a:graphic>
          </wp:inline>
        </w:drawing>
      </w:r>
    </w:p>
    <w:p w14:paraId="09A1CBA8" w14:textId="65FE641F" w:rsidR="000F4748" w:rsidRDefault="000F4748" w:rsidP="00E82735">
      <w:pPr>
        <w:spacing w:line="360" w:lineRule="auto"/>
      </w:pPr>
    </w:p>
    <w:p w14:paraId="0F9805D3" w14:textId="4663EC8B" w:rsidR="000F4A2A" w:rsidRPr="000F4A2A" w:rsidRDefault="000F4A2A" w:rsidP="000F4A2A">
      <w:pPr>
        <w:pStyle w:val="Caption"/>
        <w:rPr>
          <w:i w:val="0"/>
          <w:iCs w:val="0"/>
          <w:color w:val="auto"/>
          <w:sz w:val="24"/>
          <w:szCs w:val="24"/>
        </w:rPr>
      </w:pPr>
      <w:bookmarkStart w:id="269" w:name="_Ref105510041"/>
      <w:bookmarkStart w:id="270" w:name="_Toc117780231"/>
      <w:r w:rsidRPr="000F4A2A">
        <w:rPr>
          <w:b/>
          <w:bCs/>
          <w:i w:val="0"/>
          <w:iCs w:val="0"/>
          <w:color w:val="auto"/>
          <w:sz w:val="24"/>
          <w:szCs w:val="24"/>
        </w:rPr>
        <w:t xml:space="preserve">Figure </w:t>
      </w:r>
      <w:r w:rsidR="00F42C6F">
        <w:rPr>
          <w:b/>
          <w:bCs/>
          <w:i w:val="0"/>
          <w:iCs w:val="0"/>
          <w:color w:val="auto"/>
          <w:sz w:val="24"/>
          <w:szCs w:val="24"/>
        </w:rPr>
        <w:fldChar w:fldCharType="begin"/>
      </w:r>
      <w:r w:rsidR="00F42C6F">
        <w:rPr>
          <w:b/>
          <w:bCs/>
          <w:i w:val="0"/>
          <w:iCs w:val="0"/>
          <w:color w:val="auto"/>
          <w:sz w:val="24"/>
          <w:szCs w:val="24"/>
        </w:rPr>
        <w:instrText xml:space="preserve"> STYLEREF 1 \s </w:instrText>
      </w:r>
      <w:r w:rsidR="00F42C6F">
        <w:rPr>
          <w:b/>
          <w:bCs/>
          <w:i w:val="0"/>
          <w:iCs w:val="0"/>
          <w:color w:val="auto"/>
          <w:sz w:val="24"/>
          <w:szCs w:val="24"/>
        </w:rPr>
        <w:fldChar w:fldCharType="separate"/>
      </w:r>
      <w:r w:rsidR="00F42C6F">
        <w:rPr>
          <w:b/>
          <w:bCs/>
          <w:i w:val="0"/>
          <w:iCs w:val="0"/>
          <w:noProof/>
          <w:color w:val="auto"/>
          <w:sz w:val="24"/>
          <w:szCs w:val="24"/>
        </w:rPr>
        <w:t>4</w:t>
      </w:r>
      <w:r w:rsidR="00F42C6F">
        <w:rPr>
          <w:b/>
          <w:bCs/>
          <w:i w:val="0"/>
          <w:iCs w:val="0"/>
          <w:color w:val="auto"/>
          <w:sz w:val="24"/>
          <w:szCs w:val="24"/>
        </w:rPr>
        <w:fldChar w:fldCharType="end"/>
      </w:r>
      <w:r w:rsidR="00F42C6F">
        <w:rPr>
          <w:b/>
          <w:bCs/>
          <w:i w:val="0"/>
          <w:iCs w:val="0"/>
          <w:color w:val="auto"/>
          <w:sz w:val="24"/>
          <w:szCs w:val="24"/>
        </w:rPr>
        <w:noBreakHyphen/>
      </w:r>
      <w:r w:rsidR="00F42C6F">
        <w:rPr>
          <w:b/>
          <w:bCs/>
          <w:i w:val="0"/>
          <w:iCs w:val="0"/>
          <w:color w:val="auto"/>
          <w:sz w:val="24"/>
          <w:szCs w:val="24"/>
        </w:rPr>
        <w:fldChar w:fldCharType="begin"/>
      </w:r>
      <w:r w:rsidR="00F42C6F">
        <w:rPr>
          <w:b/>
          <w:bCs/>
          <w:i w:val="0"/>
          <w:iCs w:val="0"/>
          <w:color w:val="auto"/>
          <w:sz w:val="24"/>
          <w:szCs w:val="24"/>
        </w:rPr>
        <w:instrText xml:space="preserve"> SEQ Figure \* ARABIC \s 1 </w:instrText>
      </w:r>
      <w:r w:rsidR="00F42C6F">
        <w:rPr>
          <w:b/>
          <w:bCs/>
          <w:i w:val="0"/>
          <w:iCs w:val="0"/>
          <w:color w:val="auto"/>
          <w:sz w:val="24"/>
          <w:szCs w:val="24"/>
        </w:rPr>
        <w:fldChar w:fldCharType="separate"/>
      </w:r>
      <w:r w:rsidR="00F42C6F">
        <w:rPr>
          <w:b/>
          <w:bCs/>
          <w:i w:val="0"/>
          <w:iCs w:val="0"/>
          <w:noProof/>
          <w:color w:val="auto"/>
          <w:sz w:val="24"/>
          <w:szCs w:val="24"/>
        </w:rPr>
        <w:t>14</w:t>
      </w:r>
      <w:r w:rsidR="00F42C6F">
        <w:rPr>
          <w:b/>
          <w:bCs/>
          <w:i w:val="0"/>
          <w:iCs w:val="0"/>
          <w:color w:val="auto"/>
          <w:sz w:val="24"/>
          <w:szCs w:val="24"/>
        </w:rPr>
        <w:fldChar w:fldCharType="end"/>
      </w:r>
      <w:bookmarkEnd w:id="269"/>
      <w:r w:rsidRPr="000F4A2A">
        <w:rPr>
          <w:b/>
          <w:bCs/>
          <w:i w:val="0"/>
          <w:iCs w:val="0"/>
          <w:color w:val="auto"/>
          <w:sz w:val="24"/>
          <w:szCs w:val="24"/>
        </w:rPr>
        <w:t>:</w:t>
      </w:r>
      <w:r w:rsidRPr="000F4A2A">
        <w:rPr>
          <w:i w:val="0"/>
          <w:iCs w:val="0"/>
          <w:color w:val="auto"/>
          <w:sz w:val="24"/>
          <w:szCs w:val="24"/>
        </w:rPr>
        <w:t xml:space="preserve"> </w:t>
      </w:r>
      <w:r w:rsidR="00DA1A4E" w:rsidRPr="000F4A2A">
        <w:rPr>
          <w:i w:val="0"/>
          <w:iCs w:val="0"/>
          <w:color w:val="auto"/>
          <w:sz w:val="24"/>
          <w:szCs w:val="24"/>
        </w:rPr>
        <w:t>Phylogenetic tree of the 37 S. pneumoniae isolates.</w:t>
      </w:r>
      <w:bookmarkEnd w:id="270"/>
      <w:r w:rsidR="00DA1A4E" w:rsidRPr="000F4A2A">
        <w:rPr>
          <w:i w:val="0"/>
          <w:iCs w:val="0"/>
          <w:color w:val="auto"/>
          <w:sz w:val="24"/>
          <w:szCs w:val="24"/>
        </w:rPr>
        <w:t xml:space="preserve"> </w:t>
      </w:r>
    </w:p>
    <w:p w14:paraId="754725EE" w14:textId="4B3ABF2B" w:rsidR="007A2BD7" w:rsidRPr="007A2BD7" w:rsidRDefault="007A2BD7" w:rsidP="00E82735">
      <w:pPr>
        <w:spacing w:line="360" w:lineRule="auto"/>
      </w:pPr>
      <w:r>
        <w:t xml:space="preserve">Key: Participant </w:t>
      </w:r>
      <w:proofErr w:type="spellStart"/>
      <w:r>
        <w:t>number_PBBstudy_year</w:t>
      </w:r>
      <w:proofErr w:type="spellEnd"/>
      <w:r>
        <w:t xml:space="preserve"> sample </w:t>
      </w:r>
      <w:proofErr w:type="spellStart"/>
      <w:r>
        <w:t>taken_pneumococcal</w:t>
      </w:r>
      <w:proofErr w:type="spellEnd"/>
      <w:r>
        <w:t xml:space="preserve"> </w:t>
      </w:r>
      <w:proofErr w:type="spellStart"/>
      <w:r>
        <w:t>serotype_resistance</w:t>
      </w:r>
      <w:proofErr w:type="spellEnd"/>
      <w:r>
        <w:t xml:space="preserve"> gene</w:t>
      </w:r>
    </w:p>
    <w:p w14:paraId="422346D6" w14:textId="1BBB089D" w:rsidR="000F4748" w:rsidRDefault="00DA1A4E" w:rsidP="00B01D0D">
      <w:pPr>
        <w:spacing w:line="360" w:lineRule="auto"/>
        <w:rPr>
          <w:i/>
          <w:iCs/>
        </w:rPr>
      </w:pPr>
      <w:r w:rsidRPr="007A2BD7">
        <w:rPr>
          <w:i/>
          <w:iCs/>
        </w:rPr>
        <w:t>The 4 highly resistant isolates cluster together (highlighted in red). A single non-vaccine serotype was present (highlighted in blue).</w:t>
      </w:r>
      <w:r w:rsidR="00AC0DC3" w:rsidRPr="007A2BD7">
        <w:rPr>
          <w:i/>
          <w:iCs/>
        </w:rPr>
        <w:t xml:space="preserve"> All other isolates were non vaccine serotypes.</w:t>
      </w:r>
    </w:p>
    <w:p w14:paraId="71463F48" w14:textId="2EF69B9A" w:rsidR="00DB069C" w:rsidRDefault="00DB069C" w:rsidP="00B01D0D">
      <w:pPr>
        <w:spacing w:line="360" w:lineRule="auto"/>
        <w:rPr>
          <w:i/>
          <w:iCs/>
        </w:rPr>
      </w:pPr>
    </w:p>
    <w:p w14:paraId="45BC32E5" w14:textId="77777777" w:rsidR="00DB069C" w:rsidRDefault="00DB069C" w:rsidP="00B01D0D">
      <w:pPr>
        <w:spacing w:line="360" w:lineRule="auto"/>
        <w:rPr>
          <w:i/>
          <w:iCs/>
        </w:rPr>
      </w:pPr>
    </w:p>
    <w:p w14:paraId="405D050B" w14:textId="77777777" w:rsidR="00DB069C" w:rsidRPr="00B01D0D" w:rsidRDefault="00DB069C" w:rsidP="00B01D0D">
      <w:pPr>
        <w:spacing w:line="360" w:lineRule="auto"/>
        <w:rPr>
          <w:i/>
          <w:iCs/>
        </w:rPr>
      </w:pPr>
    </w:p>
    <w:p w14:paraId="659503FC" w14:textId="1E251BB2" w:rsidR="00D84E4D" w:rsidRPr="00FC43D8" w:rsidRDefault="00CD53D6" w:rsidP="004F3338">
      <w:pPr>
        <w:pStyle w:val="Heading2"/>
      </w:pPr>
      <w:bookmarkStart w:id="271" w:name="_Toc117765998"/>
      <w:r w:rsidRPr="00FC43D8">
        <w:lastRenderedPageBreak/>
        <w:t xml:space="preserve">Discussion </w:t>
      </w:r>
      <w:r w:rsidR="003C4760" w:rsidRPr="00FC43D8">
        <w:t>of PBB studies</w:t>
      </w:r>
      <w:bookmarkEnd w:id="271"/>
    </w:p>
    <w:p w14:paraId="4C556C31" w14:textId="70E4C6A4" w:rsidR="009411DF" w:rsidRDefault="003A0093" w:rsidP="00B01D0D">
      <w:pPr>
        <w:spacing w:line="360" w:lineRule="auto"/>
      </w:pPr>
      <w:r w:rsidRPr="001D04B2">
        <w:t xml:space="preserve">The 2 </w:t>
      </w:r>
      <w:r w:rsidR="00C70223">
        <w:t xml:space="preserve">prospective observational </w:t>
      </w:r>
      <w:r w:rsidRPr="001D04B2">
        <w:t>studies we carried out have given further insight into the impact of long</w:t>
      </w:r>
      <w:r w:rsidR="00C70223">
        <w:t>-</w:t>
      </w:r>
      <w:r w:rsidRPr="001D04B2">
        <w:t xml:space="preserve">term azithromycin use in children with PBB. We have been able to show trends into the nasopharyngeal carriage of antibiotic resistant bacteria, the prescribing of antibiotics </w:t>
      </w:r>
      <w:r w:rsidR="00380500">
        <w:t>and a</w:t>
      </w:r>
      <w:r w:rsidR="00065CE6">
        <w:t xml:space="preserve"> high prevalence of</w:t>
      </w:r>
      <w:r w:rsidR="00380500">
        <w:t xml:space="preserve"> azithromycin-resistant but erythromycin-sensitive isolates</w:t>
      </w:r>
      <w:r w:rsidRPr="001D04B2">
        <w:t xml:space="preserve">. Although the numbers recruited have been small </w:t>
      </w:r>
      <w:r w:rsidR="00380500">
        <w:t>and timing o</w:t>
      </w:r>
      <w:r w:rsidR="002871EB">
        <w:t>f</w:t>
      </w:r>
      <w:r w:rsidR="00380500">
        <w:t xml:space="preserve"> some samples disrupted by COVID-19 </w:t>
      </w:r>
      <w:r w:rsidR="00DB069C">
        <w:t>restrictions</w:t>
      </w:r>
      <w:r w:rsidR="00380500">
        <w:t xml:space="preserve">, </w:t>
      </w:r>
      <w:r w:rsidR="00DB069C">
        <w:t xml:space="preserve">hurdles </w:t>
      </w:r>
      <w:r w:rsidR="00380500">
        <w:t xml:space="preserve">together </w:t>
      </w:r>
      <w:r w:rsidRPr="001D04B2">
        <w:t>limit</w:t>
      </w:r>
      <w:r w:rsidR="00380500">
        <w:t>ing</w:t>
      </w:r>
      <w:r w:rsidRPr="001D04B2">
        <w:t xml:space="preserve"> statistical analysis, the information gathered has been incorporated into further research protocols so that we can continue to investigate this common yet understudied condition</w:t>
      </w:r>
      <w:r w:rsidR="00380500">
        <w:t xml:space="preserve"> and the impact of its treatment on bacterial flora</w:t>
      </w:r>
      <w:r w:rsidRPr="001D04B2">
        <w:t xml:space="preserve">. </w:t>
      </w:r>
    </w:p>
    <w:p w14:paraId="1EB7A2B1" w14:textId="77777777" w:rsidR="00B501F4" w:rsidRDefault="00B501F4" w:rsidP="00B01D0D">
      <w:pPr>
        <w:spacing w:line="360" w:lineRule="auto"/>
      </w:pPr>
    </w:p>
    <w:p w14:paraId="40E0BCB6" w14:textId="6C172996" w:rsidR="005252D9" w:rsidRPr="009411DF" w:rsidRDefault="00C4587B" w:rsidP="00B01D0D">
      <w:pPr>
        <w:pStyle w:val="Heading3"/>
        <w:spacing w:before="0" w:line="360" w:lineRule="auto"/>
      </w:pPr>
      <w:bookmarkStart w:id="272" w:name="_Toc117765999"/>
      <w:r>
        <w:t>F</w:t>
      </w:r>
      <w:r w:rsidR="005252D9">
        <w:t>easibility and acceptability</w:t>
      </w:r>
      <w:bookmarkEnd w:id="272"/>
    </w:p>
    <w:p w14:paraId="2A3063C3" w14:textId="03B08B40" w:rsidR="00C4587B" w:rsidRDefault="00447838" w:rsidP="00B01D0D">
      <w:pPr>
        <w:spacing w:line="360" w:lineRule="auto"/>
      </w:pPr>
      <w:r>
        <w:t>These 2 studies have demonstrated that collecting serial nasopharyngeal swabs to monitor children with PBB is feasible and acceptable to the majority of parents</w:t>
      </w:r>
      <w:r w:rsidR="00DB069C">
        <w:t xml:space="preserve"> and children</w:t>
      </w:r>
      <w:r>
        <w:t>. Out of the 50 children recruited</w:t>
      </w:r>
      <w:r w:rsidR="00023D5A">
        <w:t>, only</w:t>
      </w:r>
      <w:r>
        <w:t xml:space="preserve"> 2 withdrew due to the</w:t>
      </w:r>
      <w:r w:rsidR="00023D5A">
        <w:t xml:space="preserve"> distress of having swabs taken and the high swab burden. The </w:t>
      </w:r>
      <w:r w:rsidR="00212AA2">
        <w:t xml:space="preserve">recruitment aspect of the study protocol was </w:t>
      </w:r>
      <w:r w:rsidR="00023D5A">
        <w:t>refine</w:t>
      </w:r>
      <w:r w:rsidR="00212AA2">
        <w:t>d</w:t>
      </w:r>
      <w:r w:rsidR="00023D5A">
        <w:t>, following the pilot study</w:t>
      </w:r>
      <w:r w:rsidR="00C4587B">
        <w:t>. Pre-screening potential recruits enabled a more targeted and efficient approach by the specialist nursing staff. This enabled successful age matching in the second study and</w:t>
      </w:r>
      <w:r w:rsidR="00023D5A">
        <w:t xml:space="preserve"> will </w:t>
      </w:r>
      <w:r w:rsidR="00C4587B">
        <w:t xml:space="preserve">facilitate </w:t>
      </w:r>
      <w:r w:rsidR="00023D5A">
        <w:t xml:space="preserve">recruitment in future </w:t>
      </w:r>
      <w:r w:rsidR="00212AA2">
        <w:t>studies investigating</w:t>
      </w:r>
      <w:r w:rsidR="00023D5A">
        <w:t xml:space="preserve"> </w:t>
      </w:r>
      <w:r w:rsidR="00212AA2">
        <w:t>children</w:t>
      </w:r>
      <w:r w:rsidR="00023D5A">
        <w:t xml:space="preserve"> with PBB</w:t>
      </w:r>
      <w:r w:rsidR="00C4587B">
        <w:t xml:space="preserve"> at SCH</w:t>
      </w:r>
      <w:r w:rsidR="00380500">
        <w:t xml:space="preserve"> and potentially elsewhere.</w:t>
      </w:r>
      <w:r w:rsidR="00023D5A">
        <w:t xml:space="preserve"> </w:t>
      </w:r>
    </w:p>
    <w:p w14:paraId="3EB7FCC0" w14:textId="53241998" w:rsidR="005252D9" w:rsidRPr="00E61E02" w:rsidRDefault="005252D9" w:rsidP="00B01D0D">
      <w:pPr>
        <w:spacing w:line="360" w:lineRule="auto"/>
      </w:pPr>
      <w:r w:rsidRPr="00E61E02">
        <w:rPr>
          <w:iCs/>
        </w:rPr>
        <w:t>The diaries documenting antibiotic treatment and compliance with prophylaxis were poorly completed by most families.</w:t>
      </w:r>
      <w:r w:rsidR="000939E6">
        <w:rPr>
          <w:iCs/>
        </w:rPr>
        <w:t xml:space="preserve"> Given that most families were unable to recall the number of acute antibiotics prescribed during the study period, it is unlikely that those who did not complete the diary could reliably remember only missing 2-3 doses of azithromycin.</w:t>
      </w:r>
      <w:r w:rsidRPr="00E61E02">
        <w:rPr>
          <w:iCs/>
        </w:rPr>
        <w:t xml:space="preserve"> In those who did fill </w:t>
      </w:r>
      <w:r w:rsidR="000939E6">
        <w:rPr>
          <w:iCs/>
        </w:rPr>
        <w:t>the diaries</w:t>
      </w:r>
      <w:r w:rsidR="000939E6" w:rsidRPr="00E61E02">
        <w:rPr>
          <w:iCs/>
        </w:rPr>
        <w:t xml:space="preserve"> </w:t>
      </w:r>
      <w:r w:rsidRPr="00E61E02">
        <w:rPr>
          <w:iCs/>
        </w:rPr>
        <w:t>in, high adherence rates were noted. However, it is not known how accurately the families were when completing them. The main reason given for not filling the diary in was losing it, something that would be difficult to mitigate except by perhaps using an online or electronic reporting mechanism, which was beyond the scope</w:t>
      </w:r>
      <w:r w:rsidR="00532FF8">
        <w:rPr>
          <w:iCs/>
        </w:rPr>
        <w:t>/resourcing</w:t>
      </w:r>
      <w:r w:rsidRPr="00E61E02">
        <w:rPr>
          <w:iCs/>
        </w:rPr>
        <w:t xml:space="preserve"> of our study.  A review of assessing methods of measuring medication adherence in chronically ill children concluded that the perfect method to measure adherence does not exist </w:t>
      </w:r>
      <w:r w:rsidRPr="00E61E02">
        <w:rPr>
          <w:iCs/>
        </w:rPr>
        <w:fldChar w:fldCharType="begin"/>
      </w:r>
      <w:r w:rsidR="00EE22EB">
        <w:rPr>
          <w:iCs/>
        </w:rPr>
        <w:instrText xml:space="preserve"> ADDIN EN.CITE &lt;EndNote&gt;&lt;Cite&gt;&lt;Author&gt;Al-Hassany&lt;/Author&gt;&lt;Year&gt;2019&lt;/Year&gt;&lt;RecNum&gt;214&lt;/RecNum&gt;&lt;DisplayText&gt;(Al-Hassany et al., 2019)&lt;/DisplayText&gt;&lt;record&gt;&lt;rec-number&gt;214&lt;/rec-number&gt;&lt;foreign-keys&gt;&lt;key app="EN" db-id="pr9rwt2w8padxcerwx6prd0a9wtda2w5fw2t" timestamp="1629731697"&gt;214&lt;/key&gt;&lt;/foreign-keys&gt;&lt;ref-type name="Journal Article"&gt;17&lt;/ref-type&gt;&lt;contributors&gt;&lt;authors&gt;&lt;author&gt;Al-Hassany, Linda&lt;/author&gt;&lt;author&gt;Kloosterboer, Sanne M.&lt;/author&gt;&lt;author&gt;Dierckx, Bram&lt;/author&gt;&lt;author&gt;Koch, Birgit Cp&lt;/author&gt;&lt;/authors&gt;&lt;/contributors&gt;&lt;titles&gt;&lt;title&gt;Assessing methods of measuring medication adherence in chronically ill children-a narrative review&lt;/title&gt;&lt;secondary-title&gt;Patient preference and adherence&lt;/secondary-title&gt;&lt;alt-title&gt;Patient Prefer Adherence&lt;/alt-title&gt;&lt;/titles&gt;&lt;periodical&gt;&lt;full-title&gt;Patient preference and adherence&lt;/full-title&gt;&lt;abbr-1&gt;Patient Prefer Adherence&lt;/abbr-1&gt;&lt;/periodical&gt;&lt;alt-periodical&gt;&lt;full-title&gt;Patient Prefer Adherence&lt;/full-title&gt;&lt;/alt-periodical&gt;&lt;pages&gt;1175-1189&lt;/pages&gt;&lt;volume&gt;13&lt;/volume&gt;&lt;keywords&gt;&lt;keyword&gt;(general) pediatrics&lt;/keyword&gt;&lt;keyword&gt;adherence&lt;/keyword&gt;&lt;keyword&gt;children&lt;/keyword&gt;&lt;keyword&gt;chronic illness&lt;/keyword&gt;&lt;keyword&gt;measurement&lt;/keyword&gt;&lt;keyword&gt;medication&lt;/keyword&gt;&lt;/keywords&gt;&lt;dates&gt;&lt;year&gt;2019&lt;/year&gt;&lt;/dates&gt;&lt;publisher&gt;Dove&lt;/publisher&gt;&lt;isbn&gt;1177-889X&lt;/isbn&gt;&lt;accession-num&gt;31413546&lt;/accession-num&gt;&lt;urls&gt;&lt;related-urls&gt;&lt;url&gt;https://www.ncbi.nlm.nih.gov/pubmed/31413546&lt;/url&gt;&lt;url&gt;https://www.ncbi.nlm.nih.gov/pmc/articles/PMC6660631/&lt;/url&gt;&lt;/related-urls&gt;&lt;/urls&gt;&lt;electronic-resource-num&gt;10.2147/PPA.S200058&lt;/electronic-resource-num&gt;&lt;remote-database-name&gt;PubMed&lt;/remote-database-name&gt;&lt;language&gt;eng&lt;/language&gt;&lt;/record&gt;&lt;/Cite&gt;&lt;/EndNote&gt;</w:instrText>
      </w:r>
      <w:r w:rsidRPr="00E61E02">
        <w:rPr>
          <w:iCs/>
        </w:rPr>
        <w:fldChar w:fldCharType="separate"/>
      </w:r>
      <w:r w:rsidR="00EE22EB">
        <w:rPr>
          <w:iCs/>
          <w:noProof/>
        </w:rPr>
        <w:t>(Al-Hassany et al., 2019)</w:t>
      </w:r>
      <w:r w:rsidRPr="00E61E02">
        <w:rPr>
          <w:iCs/>
        </w:rPr>
        <w:fldChar w:fldCharType="end"/>
      </w:r>
      <w:r w:rsidRPr="00E61E02">
        <w:rPr>
          <w:iCs/>
        </w:rPr>
        <w:t xml:space="preserve">. Questionnaires documenting medication compliance have been validated for specific chronic conditions such as asthma, epilepsy, diabetes mellitus and HIV. A general questionnaire can be applied to different chronic diseases, however all questionnaires have limitations related to recall and response bias. </w:t>
      </w:r>
      <w:r w:rsidRPr="00E61E02">
        <w:rPr>
          <w:iCs/>
        </w:rPr>
        <w:lastRenderedPageBreak/>
        <w:t xml:space="preserve">Electronic adherence measurement devices have been regarded as the “gold standard” of adherence measurement </w:t>
      </w:r>
      <w:r w:rsidRPr="00E61E02">
        <w:rPr>
          <w:iCs/>
        </w:rPr>
        <w:fldChar w:fldCharType="begin"/>
      </w:r>
      <w:r w:rsidR="00EE22EB">
        <w:rPr>
          <w:iCs/>
        </w:rPr>
        <w:instrText xml:space="preserve"> ADDIN EN.CITE &lt;EndNote&gt;&lt;Cite&gt;&lt;Author&gt;Al-Hassany&lt;/Author&gt;&lt;Year&gt;2019&lt;/Year&gt;&lt;RecNum&gt;214&lt;/RecNum&gt;&lt;DisplayText&gt;(Al-Hassany et al., 2019)&lt;/DisplayText&gt;&lt;record&gt;&lt;rec-number&gt;214&lt;/rec-number&gt;&lt;foreign-keys&gt;&lt;key app="EN" db-id="pr9rwt2w8padxcerwx6prd0a9wtda2w5fw2t" timestamp="1629731697"&gt;214&lt;/key&gt;&lt;/foreign-keys&gt;&lt;ref-type name="Journal Article"&gt;17&lt;/ref-type&gt;&lt;contributors&gt;&lt;authors&gt;&lt;author&gt;Al-Hassany, Linda&lt;/author&gt;&lt;author&gt;Kloosterboer, Sanne M.&lt;/author&gt;&lt;author&gt;Dierckx, Bram&lt;/author&gt;&lt;author&gt;Koch, Birgit Cp&lt;/author&gt;&lt;/authors&gt;&lt;/contributors&gt;&lt;titles&gt;&lt;title&gt;Assessing methods of measuring medication adherence in chronically ill children-a narrative review&lt;/title&gt;&lt;secondary-title&gt;Patient preference and adherence&lt;/secondary-title&gt;&lt;alt-title&gt;Patient Prefer Adherence&lt;/alt-title&gt;&lt;/titles&gt;&lt;periodical&gt;&lt;full-title&gt;Patient preference and adherence&lt;/full-title&gt;&lt;abbr-1&gt;Patient Prefer Adherence&lt;/abbr-1&gt;&lt;/periodical&gt;&lt;alt-periodical&gt;&lt;full-title&gt;Patient Prefer Adherence&lt;/full-title&gt;&lt;/alt-periodical&gt;&lt;pages&gt;1175-1189&lt;/pages&gt;&lt;volume&gt;13&lt;/volume&gt;&lt;keywords&gt;&lt;keyword&gt;(general) pediatrics&lt;/keyword&gt;&lt;keyword&gt;adherence&lt;/keyword&gt;&lt;keyword&gt;children&lt;/keyword&gt;&lt;keyword&gt;chronic illness&lt;/keyword&gt;&lt;keyword&gt;measurement&lt;/keyword&gt;&lt;keyword&gt;medication&lt;/keyword&gt;&lt;/keywords&gt;&lt;dates&gt;&lt;year&gt;2019&lt;/year&gt;&lt;/dates&gt;&lt;publisher&gt;Dove&lt;/publisher&gt;&lt;isbn&gt;1177-889X&lt;/isbn&gt;&lt;accession-num&gt;31413546&lt;/accession-num&gt;&lt;urls&gt;&lt;related-urls&gt;&lt;url&gt;https://www.ncbi.nlm.nih.gov/pubmed/31413546&lt;/url&gt;&lt;url&gt;https://www.ncbi.nlm.nih.gov/pmc/articles/PMC6660631/&lt;/url&gt;&lt;/related-urls&gt;&lt;/urls&gt;&lt;electronic-resource-num&gt;10.2147/PPA.S200058&lt;/electronic-resource-num&gt;&lt;remote-database-name&gt;PubMed&lt;/remote-database-name&gt;&lt;language&gt;eng&lt;/language&gt;&lt;/record&gt;&lt;/Cite&gt;&lt;/EndNote&gt;</w:instrText>
      </w:r>
      <w:r w:rsidRPr="00E61E02">
        <w:rPr>
          <w:iCs/>
        </w:rPr>
        <w:fldChar w:fldCharType="separate"/>
      </w:r>
      <w:r w:rsidR="00EE22EB">
        <w:rPr>
          <w:iCs/>
          <w:noProof/>
        </w:rPr>
        <w:t>(Al-Hassany et al., 2019)</w:t>
      </w:r>
      <w:r w:rsidRPr="00E61E02">
        <w:rPr>
          <w:iCs/>
        </w:rPr>
        <w:fldChar w:fldCharType="end"/>
      </w:r>
      <w:r w:rsidRPr="00E61E02">
        <w:rPr>
          <w:iCs/>
        </w:rPr>
        <w:t xml:space="preserve">. In the case of oral medication </w:t>
      </w:r>
      <w:proofErr w:type="spellStart"/>
      <w:r w:rsidRPr="00E61E02">
        <w:rPr>
          <w:iCs/>
        </w:rPr>
        <w:t>Ingerski</w:t>
      </w:r>
      <w:proofErr w:type="spellEnd"/>
      <w:r w:rsidRPr="00E61E02">
        <w:rPr>
          <w:iCs/>
        </w:rPr>
        <w:t xml:space="preserve"> et al</w:t>
      </w:r>
      <w:r w:rsidR="00DB069C">
        <w:rPr>
          <w:iCs/>
        </w:rPr>
        <w:t>.</w:t>
      </w:r>
      <w:r w:rsidRPr="00E61E02">
        <w:rPr>
          <w:iCs/>
        </w:rPr>
        <w:t xml:space="preserve"> suggest the use of an electronic vial opening device, however this still does not confirm that the medication was ingested </w:t>
      </w:r>
      <w:r w:rsidRPr="00E61E02">
        <w:rPr>
          <w:iCs/>
        </w:rPr>
        <w:fldChar w:fldCharType="begin"/>
      </w:r>
      <w:r w:rsidR="00EE22EB">
        <w:rPr>
          <w:iCs/>
        </w:rPr>
        <w:instrText xml:space="preserve"> ADDIN EN.CITE &lt;EndNote&gt;&lt;Cite&gt;&lt;Author&gt;Ingerski&lt;/Author&gt;&lt;Year&gt;2011&lt;/Year&gt;&lt;RecNum&gt;84&lt;/RecNum&gt;&lt;DisplayText&gt;(Ingerski et al., 2011)&lt;/DisplayText&gt;&lt;record&gt;&lt;rec-number&gt;84&lt;/rec-number&gt;&lt;foreign-keys&gt;&lt;key app="EN" db-id="z50rresss5e5vfe0s2qpewtuxsprsrse5fff" timestamp="1578400804"&gt;84&lt;/key&gt;&lt;/foreign-keys&gt;&lt;ref-type name="Journal Article"&gt;17&lt;/ref-type&gt;&lt;contributors&gt;&lt;authors&gt;&lt;author&gt;Ingerski, L. M.&lt;/author&gt;&lt;author&gt;Hente, E. A.&lt;/author&gt;&lt;author&gt;Modi, A. C.&lt;/author&gt;&lt;author&gt;Hommel, K. A.&lt;/author&gt;&lt;/authors&gt;&lt;/contributors&gt;&lt;auth-address&gt;Cincinnati Children&amp;apos;s Hospital Medical Center, Division of Behavioral Medicine and Clinical Psychology, Cincinnati, Ohio 45229, USA.&lt;/auth-address&gt;&lt;titles&gt;&lt;title&gt;Electronic measurement of medication adherence in pediatric chronic illness: a review of measures&lt;/title&gt;&lt;secondary-title&gt;J Pediatr&lt;/secondary-title&gt;&lt;/titles&gt;&lt;periodical&gt;&lt;full-title&gt;J Pediatr&lt;/full-title&gt;&lt;/periodical&gt;&lt;pages&gt;528-34&lt;/pages&gt;&lt;volume&gt;159&lt;/volume&gt;&lt;number&gt;4&lt;/number&gt;&lt;edition&gt;2011/07/05&lt;/edition&gt;&lt;keywords&gt;&lt;keyword&gt;Child&lt;/keyword&gt;&lt;keyword&gt;Chronic Disease&lt;/keyword&gt;&lt;keyword&gt;*Drug Packaging&lt;/keyword&gt;&lt;keyword&gt;Equipment Design&lt;/keyword&gt;&lt;keyword&gt;Humans&lt;/keyword&gt;&lt;keyword&gt;*Medication Adherence&lt;/keyword&gt;&lt;keyword&gt;Metered Dose Inhalers&lt;/keyword&gt;&lt;keyword&gt;*Microcomputers&lt;/keyword&gt;&lt;keyword&gt;Self Administration/instrumentation&lt;/keyword&gt;&lt;keyword&gt;Telemetry&lt;/keyword&gt;&lt;keyword&gt;User-Computer Interface&lt;/keyword&gt;&lt;/keywords&gt;&lt;dates&gt;&lt;year&gt;2011&lt;/year&gt;&lt;pub-dates&gt;&lt;date&gt;Oct&lt;/date&gt;&lt;/pub-dates&gt;&lt;/dates&gt;&lt;isbn&gt;0022-3476&lt;/isbn&gt;&lt;accession-num&gt;21722917&lt;/accession-num&gt;&lt;urls&gt;&lt;/urls&gt;&lt;custom2&gt;PMC3176987&lt;/custom2&gt;&lt;custom6&gt;NIHMS310575&lt;/custom6&gt;&lt;electronic-resource-num&gt;10.1016/j.jpeds.2011.05.018&lt;/electronic-resource-num&gt;&lt;remote-database-provider&gt;NLM&lt;/remote-database-provider&gt;&lt;language&gt;eng&lt;/language&gt;&lt;/record&gt;&lt;/Cite&gt;&lt;/EndNote&gt;</w:instrText>
      </w:r>
      <w:r w:rsidRPr="00E61E02">
        <w:rPr>
          <w:iCs/>
        </w:rPr>
        <w:fldChar w:fldCharType="separate"/>
      </w:r>
      <w:r w:rsidR="00EE22EB">
        <w:rPr>
          <w:iCs/>
          <w:noProof/>
        </w:rPr>
        <w:t>(Ingerski et al., 2011)</w:t>
      </w:r>
      <w:r w:rsidRPr="00E61E02">
        <w:rPr>
          <w:iCs/>
        </w:rPr>
        <w:fldChar w:fldCharType="end"/>
      </w:r>
      <w:r w:rsidRPr="00E61E02">
        <w:rPr>
          <w:iCs/>
        </w:rPr>
        <w:t xml:space="preserve">. Azithromycin is mainly eliminated unchanged in the faeces via biliary excretion </w:t>
      </w:r>
      <w:r w:rsidRPr="00E61E02">
        <w:rPr>
          <w:iCs/>
        </w:rPr>
        <w:fldChar w:fldCharType="begin"/>
      </w:r>
      <w:r w:rsidRPr="00E61E02">
        <w:rPr>
          <w:iCs/>
        </w:rPr>
        <w:instrText xml:space="preserve"> ADDIN EN.CITE &lt;EndNote&gt;&lt;Cite&gt;&lt;Author&gt;Singlas&lt;/Author&gt;&lt;Year&gt;1995&lt;/Year&gt;&lt;RecNum&gt;82&lt;/RecNum&gt;&lt;DisplayText&gt;(Singlas, 1995)&lt;/DisplayText&gt;&lt;record&gt;&lt;rec-number&gt;82&lt;/rec-number&gt;&lt;foreign-keys&gt;&lt;key app="EN" db-id="z50rresss5e5vfe0s2qpewtuxsprsrse5fff" timestamp="1578400643"&gt;82&lt;/key&gt;&lt;/foreign-keys&gt;&lt;ref-type name="Journal Article"&gt;17&lt;/ref-type&gt;&lt;contributors&gt;&lt;authors&gt;&lt;author&gt;Singlas, E.&lt;/author&gt;&lt;/authors&gt;&lt;/contributors&gt;&lt;auth-address&gt;Pharmacie Clinique, Groupe Hospitalier Necker Enfants-Malades, Paris, France.&lt;/auth-address&gt;&lt;titles&gt;&lt;title&gt;[Clinical pharmacokinetics of azithromycin]&lt;/title&gt;&lt;secondary-title&gt;Pathol Biol (Paris)&lt;/secondary-title&gt;&lt;/titles&gt;&lt;periodical&gt;&lt;full-title&gt;Pathol Biol (Paris)&lt;/full-title&gt;&lt;/periodical&gt;&lt;pages&gt;505-11&lt;/pages&gt;&lt;volume&gt;43&lt;/volume&gt;&lt;number&gt;6&lt;/number&gt;&lt;edition&gt;1995/06/01&lt;/edition&gt;&lt;keywords&gt;&lt;keyword&gt;Administration, Oral&lt;/keyword&gt;&lt;keyword&gt;Adult&lt;/keyword&gt;&lt;keyword&gt;Age Factors&lt;/keyword&gt;&lt;keyword&gt;Aged&lt;/keyword&gt;&lt;keyword&gt;Aged, 80 and over&lt;/keyword&gt;&lt;keyword&gt;Anti-Bacterial Agents/pharmacokinetics&lt;/keyword&gt;&lt;keyword&gt;Azithromycin/administration &amp;amp; dosage/chemistry/*pharmacokinetics&lt;/keyword&gt;&lt;keyword&gt;Humans&lt;/keyword&gt;&lt;keyword&gt;Infusions, Intravenous&lt;/keyword&gt;&lt;keyword&gt;Liver Failure/*blood/urine&lt;/keyword&gt;&lt;keyword&gt;Reference Values&lt;/keyword&gt;&lt;keyword&gt;Renal Insufficiency/*blood/urine&lt;/keyword&gt;&lt;/keywords&gt;&lt;dates&gt;&lt;year&gt;1995&lt;/year&gt;&lt;pub-dates&gt;&lt;date&gt;Jun&lt;/date&gt;&lt;/pub-dates&gt;&lt;/dates&gt;&lt;orig-pub&gt;Pharmacocinetique clinique de l&amp;apos;azithromycine.&lt;/orig-pub&gt;&lt;isbn&gt;0369-8114 (Print)&amp;#xD;0369-8114&lt;/isbn&gt;&lt;accession-num&gt;8539072&lt;/accession-num&gt;&lt;urls&gt;&lt;/urls&gt;&lt;remote-database-provider&gt;NLM&lt;/remote-database-provider&gt;&lt;language&gt;fre&lt;/language&gt;&lt;/record&gt;&lt;/Cite&gt;&lt;/EndNote&gt;</w:instrText>
      </w:r>
      <w:r w:rsidRPr="00E61E02">
        <w:rPr>
          <w:iCs/>
        </w:rPr>
        <w:fldChar w:fldCharType="separate"/>
      </w:r>
      <w:r w:rsidRPr="00E61E02">
        <w:rPr>
          <w:iCs/>
          <w:noProof/>
        </w:rPr>
        <w:t>(Singlas, 1995)</w:t>
      </w:r>
      <w:r w:rsidRPr="00E61E02">
        <w:rPr>
          <w:iCs/>
        </w:rPr>
        <w:fldChar w:fldCharType="end"/>
      </w:r>
      <w:r w:rsidRPr="00E61E02">
        <w:rPr>
          <w:iCs/>
        </w:rPr>
        <w:t>. This makes therapeutic drug monitoring of stool samples a further possibility</w:t>
      </w:r>
      <w:r w:rsidR="00DB069C">
        <w:rPr>
          <w:iCs/>
        </w:rPr>
        <w:t>,</w:t>
      </w:r>
      <w:r w:rsidRPr="00E61E02">
        <w:rPr>
          <w:iCs/>
        </w:rPr>
        <w:t xml:space="preserve"> </w:t>
      </w:r>
      <w:r w:rsidR="00DB069C">
        <w:rPr>
          <w:iCs/>
        </w:rPr>
        <w:t>a</w:t>
      </w:r>
      <w:r w:rsidRPr="00E61E02">
        <w:rPr>
          <w:iCs/>
        </w:rPr>
        <w:t>lthough obtaining such samples presents its own challenges.</w:t>
      </w:r>
    </w:p>
    <w:p w14:paraId="143CC469" w14:textId="77777777" w:rsidR="005252D9" w:rsidRDefault="005252D9" w:rsidP="00B01D0D">
      <w:pPr>
        <w:spacing w:line="360" w:lineRule="auto"/>
      </w:pPr>
    </w:p>
    <w:p w14:paraId="73556769" w14:textId="4C9D2233" w:rsidR="00B21CFD" w:rsidRDefault="00B21CFD" w:rsidP="00B01D0D">
      <w:pPr>
        <w:pStyle w:val="Heading3"/>
        <w:spacing w:before="0" w:line="360" w:lineRule="auto"/>
      </w:pPr>
      <w:bookmarkStart w:id="273" w:name="_Toc117766000"/>
      <w:r>
        <w:t>DNPS culture</w:t>
      </w:r>
      <w:bookmarkEnd w:id="273"/>
    </w:p>
    <w:p w14:paraId="4A2D2A23" w14:textId="0A60B34E" w:rsidR="000D7320" w:rsidRDefault="000D7320" w:rsidP="00B01D0D">
      <w:pPr>
        <w:spacing w:line="360" w:lineRule="auto"/>
      </w:pPr>
      <w:r>
        <w:t xml:space="preserve">During the study period, </w:t>
      </w:r>
      <w:r w:rsidR="002C2371">
        <w:t xml:space="preserve">significantly </w:t>
      </w:r>
      <w:r>
        <w:t>fewer swabs collected in the azithromycin group had a positive bacterial growth compared to swabs in the comparison group.</w:t>
      </w:r>
      <w:r w:rsidR="00FC2D83">
        <w:t xml:space="preserve"> </w:t>
      </w:r>
      <w:r w:rsidRPr="008F33C8">
        <w:t xml:space="preserve">This likely </w:t>
      </w:r>
      <w:r w:rsidR="00532FF8">
        <w:t>reflects</w:t>
      </w:r>
      <w:r w:rsidRPr="008F33C8">
        <w:t xml:space="preserve"> </w:t>
      </w:r>
      <w:r>
        <w:t>long-term azithromycin</w:t>
      </w:r>
      <w:r w:rsidRPr="008F33C8">
        <w:t xml:space="preserve"> supressing bacterial colonisation of the nasopharynx, but might also reflect inhibition of growth in culture conditions</w:t>
      </w:r>
      <w:r w:rsidR="00DB069C">
        <w:t xml:space="preserve"> by antibiotic ‘carried over’ in the sample</w:t>
      </w:r>
      <w:r w:rsidRPr="008F33C8">
        <w:t xml:space="preserve">. </w:t>
      </w:r>
      <w:r w:rsidR="00532FF8">
        <w:t>The use of</w:t>
      </w:r>
      <w:r w:rsidR="00532FF8" w:rsidRPr="008F33C8">
        <w:t xml:space="preserve"> culture independent techniques to investigate bacterial communities </w:t>
      </w:r>
      <w:r w:rsidR="00532FF8">
        <w:t>may overcome</w:t>
      </w:r>
      <w:r w:rsidR="00DB069C">
        <w:t xml:space="preserve"> some</w:t>
      </w:r>
      <w:r w:rsidR="00532FF8">
        <w:t xml:space="preserve"> difficulties relating to bacterial culture and will be discussed in section 5.3. </w:t>
      </w:r>
      <w:r w:rsidR="002C2371">
        <w:t>Th</w:t>
      </w:r>
      <w:r w:rsidR="0037472E">
        <w:t xml:space="preserve">e </w:t>
      </w:r>
      <w:r w:rsidR="00DB069C">
        <w:t xml:space="preserve">clearance </w:t>
      </w:r>
      <w:r w:rsidR="0037472E">
        <w:t xml:space="preserve">of bacterial species, including </w:t>
      </w:r>
      <w:r w:rsidR="0037472E" w:rsidRPr="001D04B2">
        <w:rPr>
          <w:i/>
          <w:iCs/>
        </w:rPr>
        <w:t>S. pneumoniae</w:t>
      </w:r>
      <w:r w:rsidR="0037472E">
        <w:t xml:space="preserve">, </w:t>
      </w:r>
      <w:r w:rsidR="0037472E" w:rsidRPr="001D04B2">
        <w:rPr>
          <w:i/>
          <w:iCs/>
        </w:rPr>
        <w:t>H. influenzae</w:t>
      </w:r>
      <w:r w:rsidR="00D354A1">
        <w:t xml:space="preserve"> and </w:t>
      </w:r>
      <w:r w:rsidR="0037472E" w:rsidRPr="001D04B2">
        <w:rPr>
          <w:i/>
          <w:iCs/>
        </w:rPr>
        <w:t>M. catarrhalis</w:t>
      </w:r>
      <w:r w:rsidR="0037472E">
        <w:t xml:space="preserve">, from sputum and </w:t>
      </w:r>
      <w:r w:rsidR="00D354A1">
        <w:t xml:space="preserve">carriage within the </w:t>
      </w:r>
      <w:r w:rsidR="0037472E" w:rsidRPr="00B01D0D">
        <w:t>nasopharyn</w:t>
      </w:r>
      <w:r w:rsidR="00D354A1" w:rsidRPr="00B01D0D">
        <w:t>x,</w:t>
      </w:r>
      <w:r w:rsidR="0037472E" w:rsidRPr="00B01D0D">
        <w:t xml:space="preserve"> following exposure to long</w:t>
      </w:r>
      <w:r w:rsidR="00BC16CB">
        <w:t>-</w:t>
      </w:r>
      <w:r w:rsidR="0037472E" w:rsidRPr="00B01D0D">
        <w:t xml:space="preserve">term </w:t>
      </w:r>
      <w:r w:rsidR="0038089B" w:rsidRPr="00B01D0D">
        <w:t>azithromycin</w:t>
      </w:r>
      <w:r w:rsidR="0037472E" w:rsidRPr="00B01D0D">
        <w:t xml:space="preserve"> is consistently reported in the literature </w:t>
      </w:r>
      <w:r w:rsidR="0038089B" w:rsidRPr="00B01D0D">
        <w:fldChar w:fldCharType="begin">
          <w:fldData xml:space="preserve">PEVuZE5vdGU+PENpdGU+PEF1dGhvcj5IYXJlPC9BdXRob3I+PFllYXI+MjAxNTwvWWVhcj48UmVj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</w:fldData>
        </w:fldChar>
      </w:r>
      <w:r w:rsidR="00346D5E">
        <w:instrText xml:space="preserve"> ADDIN EN.CITE </w:instrText>
      </w:r>
      <w:r w:rsidR="00346D5E">
        <w:fldChar w:fldCharType="begin">
          <w:fldData xml:space="preserve">PEVuZE5vdGU+PENpdGU+PEF1dGhvcj5IYXJlPC9BdXRob3I+PFllYXI+MjAxNTwvWWVhcj48UmVj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</w:fldData>
        </w:fldChar>
      </w:r>
      <w:r w:rsidR="00346D5E">
        <w:instrText xml:space="preserve"> ADDIN EN.CITE.DATA </w:instrText>
      </w:r>
      <w:r w:rsidR="00346D5E">
        <w:fldChar w:fldCharType="end"/>
      </w:r>
      <w:r w:rsidR="0038089B" w:rsidRPr="00B01D0D">
        <w:fldChar w:fldCharType="separate"/>
      </w:r>
      <w:r w:rsidR="00346D5E">
        <w:rPr>
          <w:noProof/>
        </w:rPr>
        <w:t>(Abotsi et al., 2022; Hare et al., 2015b; Li et al., 2014)</w:t>
      </w:r>
      <w:r w:rsidR="0038089B" w:rsidRPr="00B01D0D">
        <w:fldChar w:fldCharType="end"/>
      </w:r>
      <w:r w:rsidR="008C1DAF">
        <w:t xml:space="preserve">. </w:t>
      </w:r>
      <w:r w:rsidR="00AF0E5A">
        <w:t xml:space="preserve">Our results of a reduction in bacterial isolates in azithromycin-treated patients are consistent </w:t>
      </w:r>
      <w:r w:rsidR="009F48D8">
        <w:t xml:space="preserve">with </w:t>
      </w:r>
      <w:r w:rsidR="00AF0E5A">
        <w:t xml:space="preserve">those reported </w:t>
      </w:r>
      <w:r w:rsidR="009F48D8">
        <w:t xml:space="preserve">in </w:t>
      </w:r>
      <w:r w:rsidR="00AF0E5A">
        <w:t>previous studies, albeit in other conditions. Investigators conducting t</w:t>
      </w:r>
      <w:r w:rsidR="00D354A1">
        <w:t xml:space="preserve">he BREATHE trial </w:t>
      </w:r>
      <w:r w:rsidR="00AF0E5A">
        <w:t xml:space="preserve">(in children with HIV-associated lung disease) </w:t>
      </w:r>
      <w:r w:rsidR="00D354A1">
        <w:t xml:space="preserve">report that there was a significant reduction in bacterial carriage </w:t>
      </w:r>
      <w:r w:rsidR="0038089B">
        <w:t xml:space="preserve">(sputum and nasopharyngeal swabs) </w:t>
      </w:r>
      <w:r w:rsidR="00D354A1">
        <w:t xml:space="preserve">at </w:t>
      </w:r>
      <w:r w:rsidR="0038089B">
        <w:t xml:space="preserve">48 weeks of treatment with azithromycin. This however was no longer seen 24 weeks following </w:t>
      </w:r>
      <w:r w:rsidR="00896193">
        <w:t>azithromycin</w:t>
      </w:r>
      <w:r w:rsidR="0038089B">
        <w:t xml:space="preserve"> cessation </w:t>
      </w:r>
      <w:r w:rsidR="0038089B">
        <w:fldChar w:fldCharType="begin"/>
      </w:r>
      <w:r w:rsidR="00EE22EB">
        <w:instrText xml:space="preserve"> ADDIN EN.CITE &lt;EndNote&gt;&lt;Cite&gt;&lt;Author&gt;Abotsi&lt;/Author&gt;&lt;Year&gt;2022&lt;/Year&gt;&lt;RecNum&gt;464&lt;/RecNum&gt;&lt;DisplayText&gt;(Abotsi et al., 2022)&lt;/DisplayText&gt;&lt;record&gt;&lt;rec-number&gt;464&lt;/rec-number&gt;&lt;foreign-keys&gt;&lt;key app="EN" db-id="pr9rwt2w8padxcerwx6prd0a9wtda2w5fw2t" timestamp="1649765911"&gt;464&lt;/key&gt;&lt;/foreign-keys&gt;&lt;ref-type name="Journal Article"&gt;17&lt;/ref-type&gt;&lt;contributors&gt;&lt;authors&gt;&lt;author&gt;Abotsi, Regina E.&lt;/author&gt;&lt;author&gt;Nicol, Mark P.&lt;/author&gt;&lt;author&gt;McHugh, Grace&lt;/author&gt;&lt;author&gt;Simms, Victoria&lt;/author&gt;&lt;author&gt;et al.&lt;/author&gt;&lt;/authors&gt;&lt;/contributors&gt;&lt;titles&gt;&lt;title&gt;The impact of long-term azithromycin on antibiotic resistance in HIV-associated chronic lung disease&lt;/title&gt;&lt;secondary-title&gt;ERJ Open Research&lt;/secondary-title&gt;&lt;/titles&gt;&lt;periodical&gt;&lt;full-title&gt;ERJ Open Research&lt;/full-title&gt;&lt;/periodical&gt;&lt;pages&gt;00491-2021&lt;/pages&gt;&lt;volume&gt;8&lt;/volume&gt;&lt;number&gt;1&lt;/number&gt;&lt;dates&gt;&lt;year&gt;2022&lt;/year&gt;&lt;/dates&gt;&lt;urls&gt;&lt;related-urls&gt;&lt;url&gt;https://openres.ersjournals.com/content/erjor/8/1/00491-2021.full.pdf&lt;/url&gt;&lt;/related-urls&gt;&lt;/urls&gt;&lt;electronic-resource-num&gt;10.1183/23120541.00491-2021&lt;/electronic-resource-num&gt;&lt;/record&gt;&lt;/Cite&gt;&lt;/EndNote&gt;</w:instrText>
      </w:r>
      <w:r w:rsidR="0038089B">
        <w:fldChar w:fldCharType="separate"/>
      </w:r>
      <w:r w:rsidR="00EE22EB">
        <w:rPr>
          <w:noProof/>
        </w:rPr>
        <w:t>(Abotsi et al., 2022)</w:t>
      </w:r>
      <w:r w:rsidR="0038089B">
        <w:fldChar w:fldCharType="end"/>
      </w:r>
      <w:r w:rsidR="0038089B">
        <w:t xml:space="preserve">. </w:t>
      </w:r>
      <w:r w:rsidR="00896193">
        <w:t>Hare et al</w:t>
      </w:r>
      <w:r w:rsidR="00DB069C">
        <w:t>.</w:t>
      </w:r>
      <w:r w:rsidR="00896193">
        <w:t xml:space="preserve"> also report</w:t>
      </w:r>
      <w:r w:rsidR="00DB069C">
        <w:t>ed</w:t>
      </w:r>
      <w:r w:rsidR="00896193">
        <w:t xml:space="preserve"> a partial recovery on stopping long</w:t>
      </w:r>
      <w:r w:rsidR="00BC16CB">
        <w:t>-</w:t>
      </w:r>
      <w:r w:rsidR="00896193">
        <w:t>term azithromycin</w:t>
      </w:r>
      <w:r w:rsidR="00FA196A">
        <w:t xml:space="preserve"> at a median of 170-190 days</w:t>
      </w:r>
      <w:r w:rsidR="00444D78">
        <w:t xml:space="preserve">. </w:t>
      </w:r>
      <w:r w:rsidR="00B142C3">
        <w:t xml:space="preserve">Although the children in the azithromycin treatment groups did not take azithromycin </w:t>
      </w:r>
      <w:r w:rsidR="00DB6CD7">
        <w:t>continuously</w:t>
      </w:r>
      <w:r w:rsidR="00B142C3">
        <w:t xml:space="preserve"> throughout the study, due to the low numbers of cultures and the fact that most exacerbations occur during the winter when prophylaxis is given, I did not analyse the numbers following azithromycin cessation separately; however there did not seem to be an obvious increase in positive isolates when azithromycin was discontinued (see Figures 4.3 and 4.8).</w:t>
      </w:r>
    </w:p>
    <w:p w14:paraId="7894BE86" w14:textId="77777777" w:rsidR="00B01D0D" w:rsidRDefault="00B01D0D" w:rsidP="00B01D0D">
      <w:pPr>
        <w:spacing w:line="360" w:lineRule="auto"/>
      </w:pPr>
    </w:p>
    <w:p w14:paraId="56C179EA" w14:textId="5B73BB88" w:rsidR="00B21CFD" w:rsidRPr="006D15E6" w:rsidRDefault="00B21CFD" w:rsidP="00B01D0D">
      <w:pPr>
        <w:pStyle w:val="Heading3"/>
        <w:spacing w:before="0" w:line="360" w:lineRule="auto"/>
      </w:pPr>
      <w:bookmarkStart w:id="274" w:name="_Toc117766001"/>
      <w:r w:rsidRPr="006D15E6">
        <w:lastRenderedPageBreak/>
        <w:t>Antibiotic prescribing</w:t>
      </w:r>
      <w:bookmarkEnd w:id="274"/>
    </w:p>
    <w:p w14:paraId="3844ED3C" w14:textId="0B7C4FC7" w:rsidR="004213D9" w:rsidRDefault="000E4563" w:rsidP="0064056D">
      <w:pPr>
        <w:spacing w:after="160" w:line="360" w:lineRule="auto"/>
        <w:rPr>
          <w:iCs/>
        </w:rPr>
      </w:pPr>
      <w:r>
        <w:rPr>
          <w:iCs/>
        </w:rPr>
        <w:t>Fewer</w:t>
      </w:r>
      <w:r w:rsidR="006C0311" w:rsidRPr="008F33C8">
        <w:rPr>
          <w:iCs/>
        </w:rPr>
        <w:t xml:space="preserve"> courses of antibiotics </w:t>
      </w:r>
      <w:r>
        <w:rPr>
          <w:iCs/>
        </w:rPr>
        <w:t xml:space="preserve">were </w:t>
      </w:r>
      <w:r w:rsidR="006C0311" w:rsidRPr="008F33C8">
        <w:rPr>
          <w:iCs/>
        </w:rPr>
        <w:t xml:space="preserve">prescribed </w:t>
      </w:r>
      <w:r w:rsidR="006C0311">
        <w:rPr>
          <w:iCs/>
        </w:rPr>
        <w:t xml:space="preserve">over the study period </w:t>
      </w:r>
      <w:r w:rsidR="006C0311" w:rsidRPr="008F33C8">
        <w:rPr>
          <w:iCs/>
        </w:rPr>
        <w:t xml:space="preserve">in the </w:t>
      </w:r>
      <w:r w:rsidR="006C0311">
        <w:rPr>
          <w:iCs/>
        </w:rPr>
        <w:t xml:space="preserve">azithromycin </w:t>
      </w:r>
      <w:r w:rsidR="006C0311" w:rsidRPr="008F33C8">
        <w:rPr>
          <w:iCs/>
        </w:rPr>
        <w:t xml:space="preserve">group </w:t>
      </w:r>
      <w:r w:rsidR="006C0311">
        <w:rPr>
          <w:iCs/>
        </w:rPr>
        <w:t>compared to the comparison</w:t>
      </w:r>
      <w:r w:rsidR="006C0311" w:rsidRPr="008F33C8">
        <w:rPr>
          <w:iCs/>
        </w:rPr>
        <w:t xml:space="preserve"> group</w:t>
      </w:r>
      <w:r w:rsidR="006C0311">
        <w:rPr>
          <w:iCs/>
        </w:rPr>
        <w:t>,</w:t>
      </w:r>
      <w:r>
        <w:rPr>
          <w:iCs/>
        </w:rPr>
        <w:t xml:space="preserve"> although this was not statistically significant. The IRR </w:t>
      </w:r>
      <w:r w:rsidR="00DB069C">
        <w:rPr>
          <w:iCs/>
        </w:rPr>
        <w:t xml:space="preserve">(incidence rate ratio) </w:t>
      </w:r>
      <w:r>
        <w:rPr>
          <w:iCs/>
        </w:rPr>
        <w:t xml:space="preserve">did however change from a value greater than 1 at baseline, to a value of less than 1 during the study. This indicates a </w:t>
      </w:r>
      <w:r w:rsidR="00AE0E63">
        <w:rPr>
          <w:iCs/>
        </w:rPr>
        <w:t>change from</w:t>
      </w:r>
      <w:r>
        <w:rPr>
          <w:iCs/>
        </w:rPr>
        <w:t xml:space="preserve"> an increased risk of antibiotic prescribing in the azithromycin group to</w:t>
      </w:r>
      <w:r w:rsidR="00AE0E63">
        <w:rPr>
          <w:iCs/>
        </w:rPr>
        <w:t xml:space="preserve"> a reduced risk of antibiotic prescribing</w:t>
      </w:r>
      <w:r w:rsidR="001F396A">
        <w:rPr>
          <w:iCs/>
        </w:rPr>
        <w:t>,</w:t>
      </w:r>
      <w:r w:rsidR="00AE0E63">
        <w:rPr>
          <w:iCs/>
        </w:rPr>
        <w:t xml:space="preserve"> despite the p value not being significant. This change was seen both for the prescribing of any antibiotics as well as for antibiotics of 2 or more weeks duration</w:t>
      </w:r>
      <w:r w:rsidR="00DB069C">
        <w:rPr>
          <w:iCs/>
        </w:rPr>
        <w:t xml:space="preserve"> for presumed PBB</w:t>
      </w:r>
      <w:r w:rsidR="00AE0E63">
        <w:rPr>
          <w:iCs/>
        </w:rPr>
        <w:t xml:space="preserve">. </w:t>
      </w:r>
      <w:r w:rsidR="004213D9">
        <w:rPr>
          <w:iCs/>
        </w:rPr>
        <w:t>Of the 11 courses of antibiotics</w:t>
      </w:r>
      <w:r w:rsidR="000F2FC1">
        <w:rPr>
          <w:iCs/>
        </w:rPr>
        <w:t xml:space="preserve"> prescribed for more than a 2 week duration in the azithromycin group</w:t>
      </w:r>
      <w:r w:rsidR="004213D9">
        <w:rPr>
          <w:iCs/>
        </w:rPr>
        <w:t xml:space="preserve">, 7 were prescribed during periods </w:t>
      </w:r>
      <w:r w:rsidR="00DB069C">
        <w:rPr>
          <w:iCs/>
        </w:rPr>
        <w:t>‘</w:t>
      </w:r>
      <w:r w:rsidR="004213D9">
        <w:rPr>
          <w:iCs/>
        </w:rPr>
        <w:t>off</w:t>
      </w:r>
      <w:r w:rsidR="00DB069C">
        <w:rPr>
          <w:iCs/>
        </w:rPr>
        <w:t>’</w:t>
      </w:r>
      <w:r w:rsidR="004213D9">
        <w:rPr>
          <w:iCs/>
        </w:rPr>
        <w:t xml:space="preserve"> long</w:t>
      </w:r>
      <w:r w:rsidR="008171B2">
        <w:rPr>
          <w:iCs/>
        </w:rPr>
        <w:t>-</w:t>
      </w:r>
      <w:r w:rsidR="004213D9">
        <w:rPr>
          <w:iCs/>
        </w:rPr>
        <w:t>term azithromycin</w:t>
      </w:r>
      <w:r w:rsidR="00DB069C">
        <w:rPr>
          <w:iCs/>
        </w:rPr>
        <w:t>,</w:t>
      </w:r>
      <w:r w:rsidR="004213D9">
        <w:rPr>
          <w:iCs/>
        </w:rPr>
        <w:t xml:space="preserve"> and the other 4 </w:t>
      </w:r>
      <w:r w:rsidR="00DB069C">
        <w:rPr>
          <w:iCs/>
        </w:rPr>
        <w:t xml:space="preserve">were </w:t>
      </w:r>
      <w:r w:rsidR="004213D9">
        <w:rPr>
          <w:iCs/>
        </w:rPr>
        <w:t xml:space="preserve">all prescribed to </w:t>
      </w:r>
      <w:r w:rsidR="00DB069C">
        <w:rPr>
          <w:iCs/>
        </w:rPr>
        <w:t xml:space="preserve">a single </w:t>
      </w:r>
      <w:r w:rsidR="004213D9">
        <w:rPr>
          <w:iCs/>
        </w:rPr>
        <w:t>participant who changed long</w:t>
      </w:r>
      <w:r w:rsidR="008171B2">
        <w:rPr>
          <w:iCs/>
        </w:rPr>
        <w:t>-</w:t>
      </w:r>
      <w:r w:rsidR="004213D9">
        <w:rPr>
          <w:iCs/>
        </w:rPr>
        <w:t xml:space="preserve">term antibiotics from azithromycin to co-trimoxazole. As discussed in section 1.3.2, in conditions such as non-cystic fibrosis bronchiectasis, current BTS guidelines recommend the use of </w:t>
      </w:r>
      <w:r w:rsidR="00DB069C">
        <w:rPr>
          <w:iCs/>
        </w:rPr>
        <w:t>long-term</w:t>
      </w:r>
      <w:r w:rsidR="004213D9">
        <w:rPr>
          <w:iCs/>
        </w:rPr>
        <w:t xml:space="preserve"> azithromycin to reduce pulmonary exacerbation frequency. The efficacy of long-term azithromycin use in PBB is not known and this finding </w:t>
      </w:r>
      <w:r w:rsidR="00DB069C">
        <w:rPr>
          <w:iCs/>
        </w:rPr>
        <w:t xml:space="preserve">is encouraging for clinical benefit but </w:t>
      </w:r>
      <w:r w:rsidR="004213D9">
        <w:rPr>
          <w:iCs/>
        </w:rPr>
        <w:t xml:space="preserve">further research in this field is required. The trend towards fewer courses </w:t>
      </w:r>
      <w:r w:rsidR="0017573F">
        <w:rPr>
          <w:iCs/>
        </w:rPr>
        <w:t>being</w:t>
      </w:r>
      <w:r w:rsidR="004213D9">
        <w:rPr>
          <w:iCs/>
        </w:rPr>
        <w:t xml:space="preserve"> prescribed in the azithromycin group may not have </w:t>
      </w:r>
      <w:r w:rsidR="00685633">
        <w:rPr>
          <w:iCs/>
        </w:rPr>
        <w:t xml:space="preserve">reached </w:t>
      </w:r>
      <w:r w:rsidR="004213D9">
        <w:rPr>
          <w:iCs/>
        </w:rPr>
        <w:t>significan</w:t>
      </w:r>
      <w:r w:rsidR="00685633">
        <w:rPr>
          <w:iCs/>
        </w:rPr>
        <w:t xml:space="preserve">ce </w:t>
      </w:r>
      <w:r w:rsidR="00DB069C">
        <w:rPr>
          <w:iCs/>
        </w:rPr>
        <w:t xml:space="preserve">due to </w:t>
      </w:r>
      <w:r w:rsidR="004213D9">
        <w:rPr>
          <w:iCs/>
        </w:rPr>
        <w:t xml:space="preserve">the small sample size and low number of </w:t>
      </w:r>
      <w:r w:rsidR="00685633">
        <w:rPr>
          <w:iCs/>
        </w:rPr>
        <w:t>prescriptions for 2 or more weeks</w:t>
      </w:r>
      <w:r w:rsidR="004213D9">
        <w:rPr>
          <w:iCs/>
        </w:rPr>
        <w:t xml:space="preserve"> during the study period</w:t>
      </w:r>
      <w:r w:rsidR="00BC16CB">
        <w:rPr>
          <w:iCs/>
        </w:rPr>
        <w:t>.</w:t>
      </w:r>
      <w:r w:rsidR="00686D4E">
        <w:rPr>
          <w:iCs/>
        </w:rPr>
        <w:t xml:space="preserve"> </w:t>
      </w:r>
      <w:r w:rsidR="00372689">
        <w:rPr>
          <w:iCs/>
        </w:rPr>
        <w:t xml:space="preserve">Our </w:t>
      </w:r>
      <w:r w:rsidR="00686D4E">
        <w:rPr>
          <w:iCs/>
        </w:rPr>
        <w:t>findings will help power future studies to enable more definitive results to be obtained</w:t>
      </w:r>
      <w:r w:rsidR="00B142C3">
        <w:rPr>
          <w:iCs/>
        </w:rPr>
        <w:t xml:space="preserve">. </w:t>
      </w:r>
    </w:p>
    <w:p w14:paraId="6A78ADD0" w14:textId="5BFAEFB6" w:rsidR="00390D27" w:rsidRDefault="00DB069C" w:rsidP="0064056D">
      <w:pPr>
        <w:spacing w:after="160" w:line="360" w:lineRule="auto"/>
        <w:rPr>
          <w:iCs/>
        </w:rPr>
      </w:pPr>
      <w:r>
        <w:rPr>
          <w:iCs/>
        </w:rPr>
        <w:t>It may be difficult to distinguish between an uncomplicated LRTI and an exacerbation of PBB in a child with previous PBB</w:t>
      </w:r>
      <w:r w:rsidR="00D80180">
        <w:rPr>
          <w:iCs/>
        </w:rPr>
        <w:t>.</w:t>
      </w:r>
      <w:r>
        <w:rPr>
          <w:iCs/>
        </w:rPr>
        <w:t xml:space="preserve"> </w:t>
      </w:r>
      <w:r w:rsidR="00D80180">
        <w:rPr>
          <w:iCs/>
        </w:rPr>
        <w:t>D</w:t>
      </w:r>
      <w:r>
        <w:rPr>
          <w:iCs/>
        </w:rPr>
        <w:t xml:space="preserve">ifferentiating between viral and bacterial LRTIs may </w:t>
      </w:r>
      <w:r w:rsidR="00D80180">
        <w:rPr>
          <w:iCs/>
        </w:rPr>
        <w:t xml:space="preserve">also </w:t>
      </w:r>
      <w:r>
        <w:rPr>
          <w:iCs/>
        </w:rPr>
        <w:t xml:space="preserve">be difficult. It is thought that many exacerbations of PBB develop following an acute viral lower respiratory tract infection associated with damage to the ciliated epithelium </w:t>
      </w:r>
      <w:r>
        <w:rPr>
          <w:iCs/>
        </w:rPr>
        <w:fldChar w:fldCharType="begin"/>
      </w:r>
      <w:r>
        <w:rPr>
          <w:iCs/>
        </w:rPr>
        <w:instrText xml:space="preserve"> ADDIN EN.CITE &lt;EndNote&gt;&lt;Cite&gt;&lt;Author&gt;Ishak&lt;/Author&gt;&lt;Year&gt;2017&lt;/Year&gt;&lt;RecNum&gt;522&lt;/RecNum&gt;&lt;DisplayText&gt;(Ishak et al., 2017)&lt;/DisplayText&gt;&lt;record&gt;&lt;rec-number&gt;522&lt;/rec-number&gt;&lt;foreign-keys&gt;&lt;key app="EN" db-id="pr9rwt2w8padxcerwx6prd0a9wtda2w5fw2t" timestamp="1657009029"&gt;522&lt;/key&gt;&lt;/foreign-keys&gt;&lt;ref-type name="Journal Article"&gt;17&lt;/ref-type&gt;&lt;contributors&gt;&lt;authors&gt;&lt;author&gt;Ishak, A.&lt;/author&gt;&lt;author&gt;Everard, M. L.&lt;/author&gt;&lt;/authors&gt;&lt;/contributors&gt;&lt;auth-address&gt;Department of Respiratory Medicine, Princess Margaret Hospital , Subiaco, WA , Australia.&amp;#xD;Department of Respiratory Medicine, Princess Margaret Hospital, Subiaco, WA, Australia; University of Western Australia, Crawley, WA, Australia.&lt;/auth-address&gt;&lt;titles&gt;&lt;title&gt;Persistent and Recurrent Bacterial Bronchitis-A Paradigm Shift in Our Understanding of Chronic Respiratory Disease&lt;/title&gt;&lt;secondary-title&gt;Front Pediatr&lt;/secondary-title&gt;&lt;/titles&gt;&lt;periodical&gt;&lt;full-title&gt;Frontiers in pediatrics&lt;/full-title&gt;&lt;abbr-1&gt;Front Pediatr&lt;/abbr-1&gt;&lt;/periodical&gt;&lt;pages&gt;19&lt;/pages&gt;&lt;volume&gt;5&lt;/volume&gt;&lt;edition&gt;2017/03/07&lt;/edition&gt;&lt;keywords&gt;&lt;keyword&gt;bronchiectasis&lt;/keyword&gt;&lt;keyword&gt;chronic cough&lt;/keyword&gt;&lt;keyword&gt;endobronchial infection&lt;/keyword&gt;&lt;keyword&gt;protracted bacterial bronchitis&lt;/keyword&gt;&lt;keyword&gt;recurrent bronchitis&lt;/keyword&gt;&lt;/keywords&gt;&lt;dates&gt;&lt;year&gt;2017&lt;/year&gt;&lt;/dates&gt;&lt;isbn&gt;2296-2360 (Print)&amp;#xD;2296-2360&lt;/isbn&gt;&lt;accession-num&gt;28261574&lt;/accession-num&gt;&lt;urls&gt;&lt;/urls&gt;&lt;custom2&gt;PMC5309219&lt;/custom2&gt;&lt;electronic-resource-num&gt;10.3389/fped.2017.00019&lt;/electronic-resource-num&gt;&lt;remote-database-provider&gt;NLM&lt;/remote-database-provider&gt;&lt;language&gt;eng&lt;/language&gt;&lt;/record&gt;&lt;/Cite&gt;&lt;/EndNote&gt;</w:instrText>
      </w:r>
      <w:r>
        <w:rPr>
          <w:iCs/>
        </w:rPr>
        <w:fldChar w:fldCharType="separate"/>
      </w:r>
      <w:r>
        <w:rPr>
          <w:iCs/>
          <w:noProof/>
        </w:rPr>
        <w:t>(Ishak et al., 2017)</w:t>
      </w:r>
      <w:r>
        <w:rPr>
          <w:iCs/>
        </w:rPr>
        <w:fldChar w:fldCharType="end"/>
      </w:r>
      <w:r>
        <w:rPr>
          <w:iCs/>
        </w:rPr>
        <w:t xml:space="preserve">. In keeping with this, 3 of 7 viral swabs we obtained at the beginning of a suspected exacerbation identified a plausible viral cause. Trial definitions of an acute LRTI </w:t>
      </w:r>
      <w:r w:rsidR="00D80180">
        <w:rPr>
          <w:iCs/>
        </w:rPr>
        <w:t xml:space="preserve">(not associated with PBB) </w:t>
      </w:r>
      <w:r>
        <w:rPr>
          <w:iCs/>
        </w:rPr>
        <w:t xml:space="preserve">often include an acute onset of cough lasting less than 21 days with other symptoms or signs localising to the lower airways such as shortness of breath, sputum or pain with the majority of uncomplicated cases spontaneously resolving without the need for antibiotics </w:t>
      </w:r>
      <w:r>
        <w:rPr>
          <w:iCs/>
        </w:rPr>
        <w:fldChar w:fldCharType="begin">
          <w:fldData xml:space="preserve">PEVuZE5vdGU+PENpdGU+PEF1dGhvcj5MaXR0bGU8L0F1dGhvcj48WWVhcj4yMDIxPC9ZZWFyPjxS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</w:fldData>
        </w:fldChar>
      </w:r>
      <w:r>
        <w:rPr>
          <w:iCs/>
        </w:rPr>
        <w:instrText xml:space="preserve"> ADDIN EN.CITE </w:instrText>
      </w:r>
      <w:r>
        <w:rPr>
          <w:iCs/>
        </w:rPr>
        <w:fldChar w:fldCharType="begin">
          <w:fldData xml:space="preserve">PEVuZE5vdGU+PENpdGU+PEF1dGhvcj5MaXR0bGU8L0F1dGhvcj48WWVhcj4yMDIxPC9ZZWFyPjxS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</w:fldData>
        </w:fldChar>
      </w:r>
      <w:r>
        <w:rPr>
          <w:iCs/>
        </w:rPr>
        <w:instrText xml:space="preserve"> ADDIN EN.CITE.DATA </w:instrText>
      </w:r>
      <w:r>
        <w:rPr>
          <w:iCs/>
        </w:rPr>
      </w:r>
      <w:r>
        <w:rPr>
          <w:iCs/>
        </w:rPr>
        <w:fldChar w:fldCharType="end"/>
      </w:r>
      <w:r>
        <w:rPr>
          <w:iCs/>
        </w:rPr>
      </w:r>
      <w:r>
        <w:rPr>
          <w:iCs/>
        </w:rPr>
        <w:fldChar w:fldCharType="separate"/>
      </w:r>
      <w:r>
        <w:rPr>
          <w:iCs/>
          <w:noProof/>
        </w:rPr>
        <w:t>(Little et al., 2021)</w:t>
      </w:r>
      <w:r>
        <w:rPr>
          <w:iCs/>
        </w:rPr>
        <w:fldChar w:fldCharType="end"/>
      </w:r>
      <w:r>
        <w:rPr>
          <w:iCs/>
        </w:rPr>
        <w:t xml:space="preserve">. The diagnosis of PBB requires the presence of a wet cough for &gt;4 weeks and response to 2-4 weeks of an oral antibiotic </w:t>
      </w:r>
      <w:r>
        <w:rPr>
          <w:iCs/>
        </w:rPr>
        <w:fldChar w:fldCharType="begin"/>
      </w:r>
      <w:r>
        <w:rPr>
          <w:iCs/>
        </w:rPr>
        <w:instrText xml:space="preserve"> ADDIN EN.CITE &lt;EndNote&gt;&lt;Cite&gt;&lt;Author&gt;Kantar&lt;/Author&gt;&lt;Year&gt;2017&lt;/Year&gt;&lt;RecNum&gt;136&lt;/RecNum&gt;&lt;DisplayText&gt;(Kantar et al., 2017)&lt;/DisplayText&gt;&lt;record&gt;&lt;rec-number&gt;136&lt;/rec-number&gt;&lt;foreign-keys&gt;&lt;key app="EN" db-id="pr9rwt2w8padxcerwx6prd0a9wtda2w5fw2t" timestamp="1629731697"&gt;136&lt;/key&gt;&lt;/foreign-keys&gt;&lt;ref-type name="Journal Article"&gt;17&lt;/ref-type&gt;&lt;contributors&gt;&lt;authors&gt;&lt;author&gt;Kantar, Ahmad&lt;/author&gt;&lt;author&gt;Chang, Anne B.&lt;/author&gt;&lt;author&gt;Shields, Mike D.&lt;/author&gt;&lt;author&gt;Marchant, Julie M.&lt;/author&gt;&lt;author&gt;Grimwood, Keith&lt;/author&gt;&lt;author&gt;Grigg, Jonathan&lt;/author&gt;&lt;author&gt;Priftis, Kostas N.&lt;/author&gt;&lt;author&gt;Cutrera, Renato&lt;/author&gt;&lt;author&gt;Midulla, Fabio&lt;/author&gt;&lt;author&gt;Brand, Paul L.P.&lt;/author&gt;&lt;author&gt;Everard, Mark L.&lt;/author&gt;&lt;/authors&gt;&lt;/contributors&gt;&lt;titles&gt;&lt;title&gt;ERS statement on protracted bacterial bronchitis in children&lt;/title&gt;&lt;secondary-title&gt;European Respiratory Journal&lt;/secondary-title&gt;&lt;/titles&gt;&lt;periodical&gt;&lt;full-title&gt;European Respiratory Journal&lt;/full-title&gt;&lt;/periodical&gt;&lt;pages&gt;1602139&lt;/pages&gt;&lt;volume&gt;50&lt;/volume&gt;&lt;number&gt;2&lt;/number&gt;&lt;dates&gt;&lt;year&gt;2017&lt;/year&gt;&lt;/dates&gt;&lt;urls&gt;&lt;related-urls&gt;&lt;url&gt;https://erj.ersjournals.com/content/erj/50/2/1602139.full.pdf&lt;/url&gt;&lt;/related-urls&gt;&lt;/urls&gt;&lt;electronic-resource-num&gt;10.1183/13993003.02139-2016&lt;/electronic-resource-num&gt;&lt;/record&gt;&lt;/Cite&gt;&lt;/EndNote&gt;</w:instrText>
      </w:r>
      <w:r>
        <w:rPr>
          <w:iCs/>
        </w:rPr>
        <w:fldChar w:fldCharType="separate"/>
      </w:r>
      <w:r>
        <w:rPr>
          <w:iCs/>
          <w:noProof/>
        </w:rPr>
        <w:t>(Kantar et al., 2017)</w:t>
      </w:r>
      <w:r>
        <w:rPr>
          <w:iCs/>
        </w:rPr>
        <w:fldChar w:fldCharType="end"/>
      </w:r>
      <w:r>
        <w:rPr>
          <w:iCs/>
        </w:rPr>
        <w:t xml:space="preserve">. The antibiotic of choice for PBB is usually co-amoxiclav as is recommended in the local SCH guidelines (appendix 2). </w:t>
      </w:r>
      <w:bookmarkStart w:id="275" w:name="_Hlk117235574"/>
      <w:r>
        <w:rPr>
          <w:iCs/>
        </w:rPr>
        <w:t xml:space="preserve">The most frequently </w:t>
      </w:r>
      <w:r>
        <w:rPr>
          <w:iCs/>
        </w:rPr>
        <w:lastRenderedPageBreak/>
        <w:t>prescribed antibiotic in both azithromycin and comparison groups was co-amoxiclav, with 28 prescriptions in the comparison group versus 17 in the azithromycin group; however many of these were for just 1 week. Amoxicillin was the second most frequently prescribed antibiotic. Amoxicillin is recommended by NICE for the majority of common childhood infections including acute cough, otitis media and community acquired pneumonia. Our results may suggest that co-amoxiclav is frequently used as first line for standard respiratory tract infections in children with PBB, which maybe outside the recommended guidelines</w:t>
      </w:r>
      <w:bookmarkEnd w:id="275"/>
      <w:r>
        <w:rPr>
          <w:iCs/>
        </w:rPr>
        <w:t>. It seems likely that e</w:t>
      </w:r>
      <w:r w:rsidR="00B142C3">
        <w:rPr>
          <w:iCs/>
        </w:rPr>
        <w:t xml:space="preserve">ither an inappropriate choice of antibiotic was being used for an uncomplicated infection, or </w:t>
      </w:r>
      <w:r w:rsidR="00E71CC4">
        <w:rPr>
          <w:iCs/>
        </w:rPr>
        <w:t>the correct antibiotic was being used but for too short a time to treat an exacerbation of PBB.</w:t>
      </w:r>
      <w:r w:rsidR="00B142C3">
        <w:rPr>
          <w:iCs/>
        </w:rPr>
        <w:t xml:space="preserve"> </w:t>
      </w:r>
      <w:r>
        <w:rPr>
          <w:iCs/>
        </w:rPr>
        <w:t xml:space="preserve">It would be helpful to discuss with GPs to investigate their understanding of the PBB guidelines and how/if they would </w:t>
      </w:r>
      <w:r w:rsidR="0078327C">
        <w:rPr>
          <w:iCs/>
        </w:rPr>
        <w:t>distinguish</w:t>
      </w:r>
      <w:r>
        <w:rPr>
          <w:iCs/>
        </w:rPr>
        <w:t xml:space="preserve"> between a simple LRTI and an exacerbation of PBB.</w:t>
      </w:r>
    </w:p>
    <w:p w14:paraId="1C4ED6D7" w14:textId="6F362676" w:rsidR="005252D9" w:rsidRPr="00DB069C" w:rsidRDefault="00EC422E" w:rsidP="0064056D">
      <w:pPr>
        <w:spacing w:after="160" w:line="360" w:lineRule="auto"/>
      </w:pPr>
      <w:r>
        <w:t xml:space="preserve">During the COVID-19 pandemic there are indications that increased empirical prescribing of antibiotics has been significant in some </w:t>
      </w:r>
      <w:r>
        <w:fldChar w:fldCharType="begin">
          <w:fldData xml:space="preserve">PEVuZE5vdGU+PENpdGU+PEF1dGhvcj5VbCBNdXN0YWZhPC9BdXRob3I+PFllYXI+MjAyMTwvWWVh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</w:fldData>
        </w:fldChar>
      </w:r>
      <w:r>
        <w:instrText xml:space="preserve"> ADDIN EN.CITE </w:instrText>
      </w:r>
      <w:r>
        <w:fldChar w:fldCharType="begin">
          <w:fldData xml:space="preserve">PEVuZE5vdGU+PENpdGU+PEF1dGhvcj5VbCBNdXN0YWZhPC9BdXRob3I+PFllYXI+MjAyMTwvWWVh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</w:fldData>
        </w:fldChar>
      </w:r>
      <w:r>
        <w:instrText xml:space="preserve"> ADDIN EN.CITE.DATA </w:instrText>
      </w:r>
      <w:r>
        <w:fldChar w:fldCharType="end"/>
      </w:r>
      <w:r>
        <w:fldChar w:fldCharType="separate"/>
      </w:r>
      <w:r>
        <w:rPr>
          <w:noProof/>
        </w:rPr>
        <w:t>(Castro-Lopes et al., 2021; Ul Mustafa et al., 2021)</w:t>
      </w:r>
      <w:r>
        <w:fldChar w:fldCharType="end"/>
      </w:r>
      <w:r>
        <w:t xml:space="preserve"> but not all settings </w:t>
      </w:r>
      <w:r>
        <w:fldChar w:fldCharType="begin"/>
      </w:r>
      <w:r>
        <w:instrText xml:space="preserve"> ADDIN EN.CITE &lt;EndNote&gt;&lt;Cite&gt;&lt;Author&gt;Duffy&lt;/Author&gt;&lt;Year&gt;2021&lt;/Year&gt;&lt;RecNum&gt;338&lt;/RecNum&gt;&lt;DisplayText&gt;(Duffy et al., 2021)&lt;/DisplayText&gt;&lt;record&gt;&lt;rec-number&gt;338&lt;/rec-number&gt;&lt;foreign-keys&gt;&lt;key app="EN" db-id="pr9rwt2w8padxcerwx6prd0a9wtda2w5fw2t" timestamp="1629802008"&gt;338&lt;/key&gt;&lt;/foreign-keys&gt;&lt;ref-type name="Journal Article"&gt;17&lt;/ref-type&gt;&lt;contributors&gt;&lt;authors&gt;&lt;author&gt;Duffy, E.&lt;/author&gt;&lt;author&gt;Thomas, M.&lt;/author&gt;&lt;author&gt;Hills, T.&lt;/author&gt;&lt;author&gt;Ritchie, S.&lt;/author&gt;&lt;/authors&gt;&lt;/contributors&gt;&lt;auth-address&gt;Infectious Disease Unit, Auckland City Hospital, Auckland, New Zealand.&amp;#xD;Department of Molecular Medicine and Pathology, University of Auckland, Auckland, New Zealand.&amp;#xD;Medical Research Institute of New Zealand.&lt;/auth-address&gt;&lt;titles&gt;&lt;title&gt;The impacts of New Zealand&amp;apos;s COVID-19 epidemic response on community antibiotic use and hospitalisation for pneumonia, peritonsillar abscess and rheumatic fever&lt;/title&gt;&lt;secondary-title&gt;Lancet Reg Health West Pac&lt;/secondary-title&gt;&lt;/titles&gt;&lt;periodical&gt;&lt;full-title&gt;Lancet Reg Health West Pac&lt;/full-title&gt;&lt;/periodical&gt;&lt;pages&gt;100162&lt;/pages&gt;&lt;volume&gt;12&lt;/volume&gt;&lt;edition&gt;2021/06/15&lt;/edition&gt;&lt;keywords&gt;&lt;keyword&gt;Antibiotic&lt;/keyword&gt;&lt;keyword&gt;Antimicrobial resistance&lt;/keyword&gt;&lt;keyword&gt;Antimicrobial stewardship&lt;/keyword&gt;&lt;keyword&gt;Covid-19&lt;/keyword&gt;&lt;keyword&gt;Primary care&lt;/keyword&gt;&lt;/keywords&gt;&lt;dates&gt;&lt;year&gt;2021&lt;/year&gt;&lt;pub-dates&gt;&lt;date&gt;Jul&lt;/date&gt;&lt;/pub-dates&gt;&lt;/dates&gt;&lt;isbn&gt;2666-6065&lt;/isbn&gt;&lt;accession-num&gt;34124704&lt;/accession-num&gt;&lt;urls&gt;&lt;/urls&gt;&lt;custom2&gt;PMC8188305&lt;/custom2&gt;&lt;electronic-resource-num&gt;10.1016/j.lanwpc.2021.100162&lt;/electronic-resource-num&gt;&lt;remote-database-provider&gt;NLM&lt;/remote-database-provider&gt;&lt;language&gt;eng&lt;/language&gt;&lt;/record&gt;&lt;/Cite&gt;&lt;/EndNote&gt;</w:instrText>
      </w:r>
      <w:r>
        <w:fldChar w:fldCharType="separate"/>
      </w:r>
      <w:r>
        <w:rPr>
          <w:noProof/>
        </w:rPr>
        <w:t>(Duffy et al., 2021)</w:t>
      </w:r>
      <w:r>
        <w:fldChar w:fldCharType="end"/>
      </w:r>
      <w:r>
        <w:t xml:space="preserve">. </w:t>
      </w:r>
      <w:r>
        <w:t>I</w:t>
      </w:r>
      <w:r w:rsidR="005252D9" w:rsidRPr="00183F86">
        <w:t>t is reported that</w:t>
      </w:r>
      <w:r w:rsidR="0017573F">
        <w:t xml:space="preserve"> the</w:t>
      </w:r>
      <w:r w:rsidR="005252D9" w:rsidRPr="00183F86">
        <w:t xml:space="preserve"> total consumption (community and hospital sector) of anti</w:t>
      </w:r>
      <w:r w:rsidR="001B02DF">
        <w:t>-</w:t>
      </w:r>
      <w:proofErr w:type="spellStart"/>
      <w:r w:rsidR="005252D9" w:rsidRPr="00183F86">
        <w:t>bacterials</w:t>
      </w:r>
      <w:proofErr w:type="spellEnd"/>
      <w:r w:rsidR="005252D9" w:rsidRPr="00183F86">
        <w:t xml:space="preserve"> for systemic use across the European Union and European Economic Areas </w:t>
      </w:r>
      <w:r w:rsidR="005252D9">
        <w:t xml:space="preserve">decreased </w:t>
      </w:r>
      <w:r w:rsidR="005252D9" w:rsidRPr="00183F86">
        <w:t xml:space="preserve">compared to 2019, a reduction from 19.9 to 16.4 defined daily doses per 1,000 inhabitants per day </w:t>
      </w:r>
      <w:r w:rsidR="005252D9" w:rsidRPr="00183F86">
        <w:fldChar w:fldCharType="begin"/>
      </w:r>
      <w:r w:rsidR="000914CA">
        <w:instrText xml:space="preserve"> ADDIN EN.CITE &lt;EndNote&gt;&lt;Cite&gt;&lt;Author&gt;ECDC&lt;/Author&gt;&lt;Year&gt;2021&lt;/Year&gt;&lt;RecNum&gt;445&lt;/RecNum&gt;&lt;DisplayText&gt;(ECDC, 2021)&lt;/DisplayText&gt;&lt;record&gt;&lt;rec-number&gt;445&lt;/rec-number&gt;&lt;foreign-keys&gt;&lt;key app="EN" db-id="pr9rwt2w8padxcerwx6prd0a9wtda2w5fw2t" timestamp="1648388441"&gt;445&lt;/key&gt;&lt;/foreign-keys&gt;&lt;ref-type name="Web Page"&gt;12&lt;/ref-type&gt;&lt;contributors&gt;&lt;authors&gt;&lt;author&gt;ECDC, &lt;/author&gt;&lt;/authors&gt;&lt;secondary-authors&gt;&lt;author&gt; European Centre for Disease Prevention and Control&lt;/author&gt;&lt;/secondary-authors&gt;&lt;/contributors&gt;&lt;titles&gt;&lt;title&gt;Antimicrobial consumption in the EU/EEA (ESAC-Net) - Annual Epidemiological Report for 2020&lt;/title&gt;&lt;/titles&gt;&lt;dates&gt;&lt;year&gt;2021&lt;/year&gt;&lt;pub-dates&gt;&lt;date&gt;18/11/2021&lt;/date&gt;&lt;/pub-dates&gt;&lt;/dates&gt;&lt;urls&gt;&lt;related-urls&gt;&lt;url&gt;https://www.ecdc.europa.eu/en/publications-data/surveillance-antimicrobial-consumption-europe-2020&lt;/url&gt;&lt;/related-urls&gt;&lt;/urls&gt;&lt;/record&gt;&lt;/Cite&gt;&lt;/EndNote&gt;</w:instrText>
      </w:r>
      <w:r w:rsidR="005252D9" w:rsidRPr="00183F86">
        <w:fldChar w:fldCharType="separate"/>
      </w:r>
      <w:r w:rsidR="005252D9" w:rsidRPr="00183F86">
        <w:rPr>
          <w:noProof/>
        </w:rPr>
        <w:t>(ECDC, 2021)</w:t>
      </w:r>
      <w:r w:rsidR="005252D9" w:rsidRPr="00183F86">
        <w:fldChar w:fldCharType="end"/>
      </w:r>
      <w:r w:rsidR="005252D9" w:rsidRPr="00183F86">
        <w:t xml:space="preserve">.  </w:t>
      </w:r>
      <w:r w:rsidR="00DB069C">
        <w:t>This was mainly due to reduced prescribing i</w:t>
      </w:r>
      <w:r w:rsidR="00DB069C" w:rsidRPr="00183F86">
        <w:t xml:space="preserve">n </w:t>
      </w:r>
      <w:r w:rsidR="005252D9" w:rsidRPr="00183F86">
        <w:t xml:space="preserve">the community sector </w:t>
      </w:r>
      <w:r w:rsidR="00DB069C">
        <w:t>(</w:t>
      </w:r>
      <w:r w:rsidR="005252D9" w:rsidRPr="00183F86">
        <w:t>18.3% decrease</w:t>
      </w:r>
      <w:r w:rsidR="00DB069C">
        <w:t>)</w:t>
      </w:r>
      <w:r w:rsidR="005252D9" w:rsidRPr="00183F86">
        <w:t xml:space="preserve"> whereas in the hospital sector </w:t>
      </w:r>
      <w:r w:rsidR="00DB069C">
        <w:t xml:space="preserve">there was just </w:t>
      </w:r>
      <w:r w:rsidR="005252D9" w:rsidRPr="00183F86">
        <w:t xml:space="preserve">a 4.5% decrease </w:t>
      </w:r>
      <w:r w:rsidR="005252D9" w:rsidRPr="00183F86">
        <w:fldChar w:fldCharType="begin"/>
      </w:r>
      <w:r w:rsidR="000914CA">
        <w:instrText xml:space="preserve"> ADDIN EN.CITE &lt;EndNote&gt;&lt;Cite&gt;&lt;Author&gt;ECDC&lt;/Author&gt;&lt;Year&gt;2021&lt;/Year&gt;&lt;RecNum&gt;445&lt;/RecNum&gt;&lt;DisplayText&gt;(ECDC, 2021)&lt;/DisplayText&gt;&lt;record&gt;&lt;rec-number&gt;445&lt;/rec-number&gt;&lt;foreign-keys&gt;&lt;key app="EN" db-id="pr9rwt2w8padxcerwx6prd0a9wtda2w5fw2t" timestamp="1648388441"&gt;445&lt;/key&gt;&lt;/foreign-keys&gt;&lt;ref-type name="Web Page"&gt;12&lt;/ref-type&gt;&lt;contributors&gt;&lt;authors&gt;&lt;author&gt;ECDC, &lt;/author&gt;&lt;/authors&gt;&lt;secondary-authors&gt;&lt;author&gt; European Centre for Disease Prevention and Control&lt;/author&gt;&lt;/secondary-authors&gt;&lt;/contributors&gt;&lt;titles&gt;&lt;title&gt;Antimicrobial consumption in the EU/EEA (ESAC-Net) - Annual Epidemiological Report for 2020&lt;/title&gt;&lt;/titles&gt;&lt;dates&gt;&lt;year&gt;2021&lt;/year&gt;&lt;pub-dates&gt;&lt;date&gt;18/11/2021&lt;/date&gt;&lt;/pub-dates&gt;&lt;/dates&gt;&lt;urls&gt;&lt;related-urls&gt;&lt;url&gt;https://www.ecdc.europa.eu/en/publications-data/surveillance-antimicrobial-consumption-europe-2020&lt;/url&gt;&lt;/related-urls&gt;&lt;/urls&gt;&lt;/record&gt;&lt;/Cite&gt;&lt;/EndNote&gt;</w:instrText>
      </w:r>
      <w:r w:rsidR="005252D9" w:rsidRPr="00183F86">
        <w:fldChar w:fldCharType="separate"/>
      </w:r>
      <w:r w:rsidR="005252D9" w:rsidRPr="00183F86">
        <w:rPr>
          <w:noProof/>
        </w:rPr>
        <w:t>(ECDC, 2021)</w:t>
      </w:r>
      <w:r w:rsidR="005252D9" w:rsidRPr="00183F86">
        <w:fldChar w:fldCharType="end"/>
      </w:r>
      <w:r w:rsidR="005252D9" w:rsidRPr="00183F86">
        <w:t xml:space="preserve">. </w:t>
      </w:r>
      <w:r w:rsidR="00DB069C">
        <w:t>Similarly i</w:t>
      </w:r>
      <w:r w:rsidR="005252D9" w:rsidRPr="00183F86">
        <w:t xml:space="preserve">n the UK, the absolute number of community antibiotic prescriptions fell by 15.48% over the period April-August 2020 compared to the previous year. </w:t>
      </w:r>
      <w:r w:rsidR="005252D9">
        <w:t>G</w:t>
      </w:r>
      <w:r w:rsidR="005252D9" w:rsidRPr="00183F86">
        <w:t xml:space="preserve">iven the absolute number of appointments over this time period was reduced the number of prescriptions was </w:t>
      </w:r>
      <w:r w:rsidR="0017573F">
        <w:t xml:space="preserve">actually </w:t>
      </w:r>
      <w:r w:rsidR="005252D9" w:rsidRPr="00183F86">
        <w:t xml:space="preserve">6.71% higher than expected </w:t>
      </w:r>
      <w:r w:rsidR="005252D9" w:rsidRPr="00183F86">
        <w:fldChar w:fldCharType="begin"/>
      </w:r>
      <w:r w:rsidR="00CD2C33">
        <w:instrText xml:space="preserve"> ADDIN EN.CITE &lt;EndNote&gt;&lt;Cite&gt;&lt;Author&gt;Armitage&lt;/Author&gt;&lt;Year&gt;2021&lt;/Year&gt;&lt;RecNum&gt;447&lt;/RecNum&gt;&lt;DisplayText&gt;(Armitage et al., 2021)&lt;/DisplayText&gt;&lt;record&gt;&lt;rec-number&gt;447&lt;/rec-number&gt;&lt;foreign-keys&gt;&lt;key app="EN" db-id="pr9rwt2w8padxcerwx6prd0a9wtda2w5fw2t" timestamp="1648389648"&gt;447&lt;/key&gt;&lt;/foreign-keys&gt;&lt;ref-type name="Journal Article"&gt;17&lt;/ref-type&gt;&lt;contributors&gt;&lt;authors&gt;&lt;author&gt;Armitage, R.&lt;/author&gt;&lt;author&gt;Nellums, L. B.&lt;/author&gt;&lt;/authors&gt;&lt;/contributors&gt;&lt;auth-address&gt;Division of Epidemiology and Public Health, University of Nottingham, Nottingham NG5 1PB, UK. Electronic address: msxra37@nottingham.ac.uk.&amp;#xD;Division of Epidemiology and Public Health, University of Nottingham, Nottingham NG5 1PB, UK.&lt;/auth-address&gt;&lt;titles&gt;&lt;title&gt;Antibiotic prescribing in general practice during COVID-19&lt;/title&gt;&lt;secondary-title&gt;Lancet Infect Dis&lt;/secondary-title&gt;&lt;/titles&gt;&lt;periodical&gt;&lt;full-title&gt;Lancet Infect Dis&lt;/full-title&gt;&lt;/periodical&gt;&lt;pages&gt;e144&lt;/pages&gt;&lt;volume&gt;21&lt;/volume&gt;&lt;number&gt;6&lt;/number&gt;&lt;edition&gt;2020/12/05&lt;/edition&gt;&lt;keywords&gt;&lt;keyword&gt;Anti-Bacterial Agents/*therapeutic use&lt;/keyword&gt;&lt;keyword&gt;Antimicrobial Stewardship/methods&lt;/keyword&gt;&lt;keyword&gt;COVID-19/*drug therapy/*immunology&lt;/keyword&gt;&lt;keyword&gt;England&lt;/keyword&gt;&lt;keyword&gt;General Practice/*methods&lt;/keyword&gt;&lt;keyword&gt;Humans&lt;/keyword&gt;&lt;keyword&gt;Inappropriate Prescribing&lt;/keyword&gt;&lt;keyword&gt;Practice Patterns, Physicians&amp;apos;&lt;/keyword&gt;&lt;keyword&gt;SARS-CoV-2&lt;/keyword&gt;&lt;/keywords&gt;&lt;dates&gt;&lt;year&gt;2021&lt;/year&gt;&lt;pub-dates&gt;&lt;date&gt;Jun&lt;/date&gt;&lt;/pub-dates&gt;&lt;/dates&gt;&lt;isbn&gt;1473-3099&lt;/isbn&gt;&lt;accession-num&gt;33275941&lt;/accession-num&gt;&lt;urls&gt;&lt;/urls&gt;&lt;electronic-resource-num&gt;10.1016/s1473-3099(20)30917-8&lt;/electronic-resource-num&gt;&lt;remote-database-provider&gt;NLM&lt;/remote-database-provider&gt;&lt;language&gt;eng&lt;/language&gt;&lt;/record&gt;&lt;/Cite&gt;&lt;/EndNote&gt;</w:instrText>
      </w:r>
      <w:r w:rsidR="005252D9" w:rsidRPr="00183F86">
        <w:fldChar w:fldCharType="separate"/>
      </w:r>
      <w:r w:rsidR="00CD2C33">
        <w:rPr>
          <w:noProof/>
        </w:rPr>
        <w:t>(Armitage et al., 2021)</w:t>
      </w:r>
      <w:r w:rsidR="005252D9" w:rsidRPr="00183F86">
        <w:fldChar w:fldCharType="end"/>
      </w:r>
      <w:r w:rsidR="005252D9" w:rsidRPr="00183F86">
        <w:t>. Qualitative interviews in UK GPs report that the threshold for prescribing antibiotics early in the pandemic reduced</w:t>
      </w:r>
      <w:r w:rsidR="00C863B0">
        <w:t>.</w:t>
      </w:r>
      <w:r w:rsidR="005252D9" w:rsidRPr="00183F86">
        <w:t xml:space="preserve"> </w:t>
      </w:r>
      <w:r w:rsidR="00C863B0">
        <w:t>T</w:t>
      </w:r>
      <w:r w:rsidR="005252D9" w:rsidRPr="00183F86">
        <w:t xml:space="preserve">his </w:t>
      </w:r>
      <w:r w:rsidR="00C863B0">
        <w:t xml:space="preserve">finding </w:t>
      </w:r>
      <w:r w:rsidR="005252D9" w:rsidRPr="00183F86">
        <w:t>was influence</w:t>
      </w:r>
      <w:r w:rsidR="00C863B0">
        <w:t>d</w:t>
      </w:r>
      <w:r w:rsidR="005252D9" w:rsidRPr="00183F86">
        <w:t xml:space="preserve"> by</w:t>
      </w:r>
      <w:r w:rsidR="00C863B0">
        <w:t xml:space="preserve"> an increase in</w:t>
      </w:r>
      <w:r w:rsidR="005252D9" w:rsidRPr="00183F86">
        <w:t xml:space="preserve"> remote consultations. Post</w:t>
      </w:r>
      <w:r w:rsidR="00DB069C">
        <w:t>-</w:t>
      </w:r>
      <w:r w:rsidR="005252D9" w:rsidRPr="00183F86">
        <w:t>lockdown participants perceived their antibiotics prescribing returning to “normal” (pre</w:t>
      </w:r>
      <w:r w:rsidR="00DB069C">
        <w:t>-</w:t>
      </w:r>
      <w:r w:rsidR="005252D9" w:rsidRPr="00183F86">
        <w:t xml:space="preserve">pandemic). </w:t>
      </w:r>
      <w:r w:rsidR="005252D9">
        <w:t xml:space="preserve">A further contributing </w:t>
      </w:r>
      <w:r w:rsidR="0017573F">
        <w:t xml:space="preserve">factor </w:t>
      </w:r>
      <w:r w:rsidR="005252D9">
        <w:t>to</w:t>
      </w:r>
      <w:r w:rsidR="00DB069C">
        <w:t xml:space="preserve"> reduced</w:t>
      </w:r>
      <w:r w:rsidR="005252D9">
        <w:t xml:space="preserve"> </w:t>
      </w:r>
      <w:r w:rsidR="0017573F">
        <w:t xml:space="preserve">paediatric </w:t>
      </w:r>
      <w:r w:rsidR="005252D9">
        <w:t>antibiotic prescribing</w:t>
      </w:r>
      <w:r w:rsidR="00C863B0">
        <w:t xml:space="preserve"> over the pandemic</w:t>
      </w:r>
      <w:r w:rsidR="005252D9">
        <w:t xml:space="preserve"> </w:t>
      </w:r>
      <w:r w:rsidR="00DB069C">
        <w:t xml:space="preserve">was </w:t>
      </w:r>
      <w:r w:rsidR="00C863B0">
        <w:t>the</w:t>
      </w:r>
      <w:r w:rsidR="0017573F">
        <w:t xml:space="preserve"> </w:t>
      </w:r>
      <w:r w:rsidR="005252D9">
        <w:t>significant reduction in paediatric respiratory tract illnesses over the national lockdowns</w:t>
      </w:r>
      <w:r w:rsidR="00E71CC4">
        <w:t xml:space="preserve"> due to markedly decreased exposure </w:t>
      </w:r>
      <w:r w:rsidR="00DB069C">
        <w:t>to infections</w:t>
      </w:r>
      <w:r w:rsidR="005252D9">
        <w:t xml:space="preserve">. </w:t>
      </w:r>
      <w:r w:rsidR="00C863B0">
        <w:t>Paediatric h</w:t>
      </w:r>
      <w:r w:rsidR="005252D9" w:rsidRPr="0007692F">
        <w:t>ospital admission</w:t>
      </w:r>
      <w:r w:rsidR="005252D9">
        <w:t>s reduced</w:t>
      </w:r>
      <w:r w:rsidR="005252D9" w:rsidRPr="0007692F">
        <w:t xml:space="preserve"> for all respiratory tract infections and all sever</w:t>
      </w:r>
      <w:r w:rsidR="005252D9">
        <w:t>e</w:t>
      </w:r>
      <w:r w:rsidR="005252D9" w:rsidRPr="0007692F">
        <w:t xml:space="preserve"> infections apart from pyelonephritis over the 12</w:t>
      </w:r>
      <w:r w:rsidR="00C863B0">
        <w:t>-</w:t>
      </w:r>
      <w:r w:rsidR="005252D9" w:rsidRPr="0007692F">
        <w:t xml:space="preserve">months from March 2020 </w:t>
      </w:r>
      <w:r w:rsidR="005252D9" w:rsidRPr="0007692F">
        <w:fldChar w:fldCharType="begin"/>
      </w:r>
      <w:r w:rsidR="00EE22EB">
        <w:instrText xml:space="preserve"> ADDIN EN.CITE &lt;EndNote&gt;&lt;Cite&gt;&lt;Author&gt;Kadambari&lt;/Author&gt;&lt;Year&gt;2022&lt;/Year&gt;&lt;RecNum&gt;449&lt;/RecNum&gt;&lt;DisplayText&gt;(Kadambari et al., 2022)&lt;/DisplayText&gt;&lt;record&gt;&lt;rec-number&gt;449&lt;/rec-number&gt;&lt;foreign-keys&gt;&lt;key app="EN" db-id="pr9rwt2w8padxcerwx6prd0a9wtda2w5fw2t" timestamp="1648390928"&gt;449&lt;/key&gt;&lt;/foreign-keys&gt;&lt;ref-type name="Journal Article"&gt;17&lt;/ref-type&gt;&lt;contributors&gt;&lt;authors&gt;&lt;author&gt;Kadambari, Seilesh&lt;/author&gt;&lt;author&gt;Goldacre, Raphael&lt;/author&gt;&lt;author&gt;Morris, Eva&lt;/author&gt;&lt;author&gt;Goldacre, Michael J&lt;/author&gt;&lt;author&gt;Pollard, Andrew J&lt;/author&gt;&lt;/authors&gt;&lt;/contributors&gt;&lt;titles&gt;&lt;title&gt;Indirect effects of the covid-19 pandemic on childhood infection in England: population based observational study&lt;/title&gt;&lt;secondary-title&gt;BMJ&lt;/secondary-title&gt;&lt;/titles&gt;&lt;periodical&gt;&lt;full-title&gt;BMJ&lt;/full-title&gt;&lt;/periodical&gt;&lt;pages&gt;e067519&lt;/pages&gt;&lt;volume&gt;376&lt;/volume&gt;&lt;dates&gt;&lt;year&gt;2022&lt;/year&gt;&lt;/dates&gt;&lt;urls&gt;&lt;related-urls&gt;&lt;url&gt;https://www.bmj.com/content/bmj/376/bmj-2021-067519.full.pdf&lt;/url&gt;&lt;/related-urls&gt;&lt;/urls&gt;&lt;electronic-resource-num&gt;10.1136/bmj-2021-067519&lt;/electronic-resource-num&gt;&lt;/record&gt;&lt;/Cite&gt;&lt;/EndNote&gt;</w:instrText>
      </w:r>
      <w:r w:rsidR="005252D9" w:rsidRPr="0007692F">
        <w:fldChar w:fldCharType="separate"/>
      </w:r>
      <w:r w:rsidR="00EE22EB">
        <w:rPr>
          <w:noProof/>
        </w:rPr>
        <w:t>(Kadambari et al., 2022)</w:t>
      </w:r>
      <w:r w:rsidR="005252D9" w:rsidRPr="0007692F">
        <w:fldChar w:fldCharType="end"/>
      </w:r>
      <w:r w:rsidR="005252D9" w:rsidRPr="0007692F">
        <w:t xml:space="preserve">. In the Yorkshire Humber region there was a ~50% reduction in the number of cases admitted to hospital with pneumonia seen in all demographic </w:t>
      </w:r>
      <w:r w:rsidR="005252D9" w:rsidRPr="0007692F">
        <w:lastRenderedPageBreak/>
        <w:t xml:space="preserve">subgroups including those with pre-existing conditions more likely to be admitted to hospital </w:t>
      </w:r>
      <w:r w:rsidR="005252D9" w:rsidRPr="0007692F">
        <w:fldChar w:fldCharType="begin"/>
      </w:r>
      <w:r w:rsidR="00EE22EB">
        <w:instrText xml:space="preserve"> ADDIN EN.CITE &lt;EndNote&gt;&lt;Cite&gt;&lt;Author&gt;Kadambari&lt;/Author&gt;&lt;Year&gt;2022&lt;/Year&gt;&lt;RecNum&gt;449&lt;/RecNum&gt;&lt;DisplayText&gt;(Kadambari et al., 2022)&lt;/DisplayText&gt;&lt;record&gt;&lt;rec-number&gt;449&lt;/rec-number&gt;&lt;foreign-keys&gt;&lt;key app="EN" db-id="pr9rwt2w8padxcerwx6prd0a9wtda2w5fw2t" timestamp="1648390928"&gt;449&lt;/key&gt;&lt;/foreign-keys&gt;&lt;ref-type name="Journal Article"&gt;17&lt;/ref-type&gt;&lt;contributors&gt;&lt;authors&gt;&lt;author&gt;Kadambari, Seilesh&lt;/author&gt;&lt;author&gt;Goldacre, Raphael&lt;/author&gt;&lt;author&gt;Morris, Eva&lt;/author&gt;&lt;author&gt;Goldacre, Michael J&lt;/author&gt;&lt;author&gt;Pollard, Andrew J&lt;/author&gt;&lt;/authors&gt;&lt;/contributors&gt;&lt;titles&gt;&lt;title&gt;Indirect effects of the covid-19 pandemic on childhood infection in England: population based observational study&lt;/title&gt;&lt;secondary-title&gt;BMJ&lt;/secondary-title&gt;&lt;/titles&gt;&lt;periodical&gt;&lt;full-title&gt;BMJ&lt;/full-title&gt;&lt;/periodical&gt;&lt;pages&gt;e067519&lt;/pages&gt;&lt;volume&gt;376&lt;/volume&gt;&lt;dates&gt;&lt;year&gt;2022&lt;/year&gt;&lt;/dates&gt;&lt;urls&gt;&lt;related-urls&gt;&lt;url&gt;https://www.bmj.com/content/bmj/376/bmj-2021-067519.full.pdf&lt;/url&gt;&lt;/related-urls&gt;&lt;/urls&gt;&lt;electronic-resource-num&gt;10.1136/bmj-2021-067519&lt;/electronic-resource-num&gt;&lt;/record&gt;&lt;/Cite&gt;&lt;/EndNote&gt;</w:instrText>
      </w:r>
      <w:r w:rsidR="005252D9" w:rsidRPr="0007692F">
        <w:fldChar w:fldCharType="separate"/>
      </w:r>
      <w:r w:rsidR="00EE22EB">
        <w:rPr>
          <w:noProof/>
        </w:rPr>
        <w:t>(Kadambari et al., 2022)</w:t>
      </w:r>
      <w:r w:rsidR="005252D9" w:rsidRPr="0007692F">
        <w:fldChar w:fldCharType="end"/>
      </w:r>
      <w:r w:rsidR="005252D9" w:rsidRPr="0007692F">
        <w:t xml:space="preserve">. </w:t>
      </w:r>
      <w:r w:rsidR="005252D9">
        <w:t>Families whose children were deemed severe enough to require long</w:t>
      </w:r>
      <w:r w:rsidR="00C863B0">
        <w:t>-</w:t>
      </w:r>
      <w:r w:rsidR="005252D9">
        <w:t>term azithromycin may have taken more precautions during the study to avoid getting respiratory tract infections compared to those not prescribed azithromycin</w:t>
      </w:r>
      <w:r w:rsidR="00E71CC4">
        <w:t xml:space="preserve">, although this is not proven.  </w:t>
      </w:r>
      <w:r w:rsidR="005252D9">
        <w:t xml:space="preserve">At the beginning of the pandemic the use of azithromycin as treatment for COVID-19 was questioned. </w:t>
      </w:r>
      <w:r w:rsidR="00DB069C">
        <w:t xml:space="preserve">For a number of these reasons, the </w:t>
      </w:r>
      <w:r w:rsidR="005252D9">
        <w:t>respiratory team continued the prescriptions of long</w:t>
      </w:r>
      <w:r w:rsidR="00C863B0">
        <w:t>-</w:t>
      </w:r>
      <w:r w:rsidR="005252D9">
        <w:t xml:space="preserve">term azithromycin </w:t>
      </w:r>
      <w:r w:rsidR="00DB069C">
        <w:t xml:space="preserve">for PBB </w:t>
      </w:r>
      <w:r w:rsidR="005252D9">
        <w:t xml:space="preserve">longer than they normally would. </w:t>
      </w:r>
      <w:r w:rsidR="00A7053B">
        <w:t>The mean</w:t>
      </w:r>
      <w:r w:rsidR="005252D9">
        <w:t xml:space="preserve"> duration of azithromycin in PBB study 1</w:t>
      </w:r>
      <w:r w:rsidR="00DB069C">
        <w:t xml:space="preserve"> (pre-pandemic)</w:t>
      </w:r>
      <w:r w:rsidR="005252D9">
        <w:t xml:space="preserve"> was </w:t>
      </w:r>
      <w:r w:rsidR="00A7053B">
        <w:t>4.</w:t>
      </w:r>
      <w:r w:rsidR="005252D9">
        <w:t xml:space="preserve">5 months compared to </w:t>
      </w:r>
      <w:r w:rsidR="00A7053B">
        <w:t>10.</w:t>
      </w:r>
      <w:r w:rsidR="00F86584">
        <w:t>3</w:t>
      </w:r>
      <w:r w:rsidR="005252D9">
        <w:t xml:space="preserve"> months in PBB study 2. These factors may also have impacted on the number of PBB exacerbations seen during the study period particularly if the groups perceived the risk of COVID differently.</w:t>
      </w:r>
    </w:p>
    <w:p w14:paraId="40DB0107" w14:textId="2CC34E8C" w:rsidR="005252D9" w:rsidRDefault="005252D9" w:rsidP="00B01D0D">
      <w:pPr>
        <w:spacing w:line="360" w:lineRule="auto"/>
        <w:rPr>
          <w:iCs/>
        </w:rPr>
      </w:pPr>
    </w:p>
    <w:p w14:paraId="5BA92501" w14:textId="2FAD37CB" w:rsidR="005252D9" w:rsidRPr="008C61AC" w:rsidRDefault="00B21CFD" w:rsidP="00B01D0D">
      <w:pPr>
        <w:pStyle w:val="Heading3"/>
        <w:spacing w:before="0" w:line="360" w:lineRule="auto"/>
      </w:pPr>
      <w:bookmarkStart w:id="276" w:name="_Toc117766002"/>
      <w:r>
        <w:t>Bacterial isolates and azithromycin resistance</w:t>
      </w:r>
      <w:bookmarkEnd w:id="276"/>
    </w:p>
    <w:p w14:paraId="68098C0A" w14:textId="58E67010" w:rsidR="00DB069C" w:rsidRDefault="009411DF" w:rsidP="0064056D">
      <w:pPr>
        <w:spacing w:after="160" w:line="360" w:lineRule="auto"/>
      </w:pPr>
      <w:r>
        <w:t xml:space="preserve">The results from </w:t>
      </w:r>
      <w:r w:rsidR="004C7136">
        <w:t xml:space="preserve">our studies </w:t>
      </w:r>
      <w:r w:rsidR="00EB10D6">
        <w:t xml:space="preserve">do not </w:t>
      </w:r>
      <w:r>
        <w:t xml:space="preserve">support our hypothesis that </w:t>
      </w:r>
      <w:r w:rsidR="00DB069C">
        <w:t xml:space="preserve">those </w:t>
      </w:r>
      <w:r>
        <w:t>children exposed to long</w:t>
      </w:r>
      <w:r w:rsidR="00C863B0">
        <w:t>-</w:t>
      </w:r>
      <w:r>
        <w:t>term azithromycin would develop azithromycin resistant bacteria within their nasopharynxes.</w:t>
      </w:r>
      <w:r w:rsidR="00A811A7">
        <w:t xml:space="preserve"> </w:t>
      </w:r>
      <w:r w:rsidR="00DB069C">
        <w:t xml:space="preserve">They are also </w:t>
      </w:r>
      <w:r w:rsidR="00F6271D">
        <w:t>not in keeping with current literature</w:t>
      </w:r>
      <w:r w:rsidR="00DB069C">
        <w:t>,</w:t>
      </w:r>
      <w:r w:rsidR="00F6271D">
        <w:t xml:space="preserve"> where long</w:t>
      </w:r>
      <w:r w:rsidR="00C863B0">
        <w:t>-</w:t>
      </w:r>
      <w:r w:rsidR="00F6271D">
        <w:t xml:space="preserve">term azithromycin has been associated with </w:t>
      </w:r>
      <w:r w:rsidR="00DB069C">
        <w:t>increased likelihood of</w:t>
      </w:r>
      <w:r w:rsidR="00446C88">
        <w:t xml:space="preserve"> azithromycin resistance </w:t>
      </w:r>
      <w:r w:rsidR="00446C88">
        <w:fldChar w:fldCharType="begin">
          <w:fldData xml:space="preserve">PEVuZE5vdGU+PENpdGU+PEF1dGhvcj5TYWltYW48L0F1dGhvcj48WWVhcj4yMDEwPC9ZZWFyPjxS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</w:fldData>
        </w:fldChar>
      </w:r>
      <w:r w:rsidR="00CD2C33">
        <w:instrText xml:space="preserve"> ADDIN EN.CITE </w:instrText>
      </w:r>
      <w:r w:rsidR="00CD2C33">
        <w:fldChar w:fldCharType="begin">
          <w:fldData xml:space="preserve">PEVuZE5vdGU+PENpdGU+PEF1dGhvcj5TYWltYW48L0F1dGhvcj48WWVhcj4yMDEwPC9ZZWFyPjxS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</w:fldData>
        </w:fldChar>
      </w:r>
      <w:r w:rsidR="00CD2C33">
        <w:instrText xml:space="preserve"> ADDIN EN.CITE.DATA </w:instrText>
      </w:r>
      <w:r w:rsidR="00CD2C33">
        <w:fldChar w:fldCharType="end"/>
      </w:r>
      <w:r w:rsidR="00446C88">
        <w:fldChar w:fldCharType="separate"/>
      </w:r>
      <w:r w:rsidR="00CD2C33">
        <w:rPr>
          <w:noProof/>
        </w:rPr>
        <w:t>(Abotsi et al., 2022; Saiman et al., 2010; Samson et al., 2016; Valery et al., 2013)</w:t>
      </w:r>
      <w:r w:rsidR="00446C88">
        <w:fldChar w:fldCharType="end"/>
      </w:r>
      <w:r w:rsidR="00561AEC">
        <w:t xml:space="preserve">. One of the factors underpinning our results is that baseline azithromycin resistance in both groups </w:t>
      </w:r>
      <w:r w:rsidR="00DB069C">
        <w:t xml:space="preserve">was </w:t>
      </w:r>
      <w:r w:rsidR="00561AEC">
        <w:t xml:space="preserve">much higher than expected.  </w:t>
      </w:r>
      <w:r w:rsidR="00DB069C">
        <w:t>Bacteria classed as azithromycin-</w:t>
      </w:r>
      <w:r w:rsidR="00186BC8">
        <w:t xml:space="preserve">resistant were found in 16 of the 18 participants who had </w:t>
      </w:r>
      <w:r w:rsidR="00DB069C">
        <w:t xml:space="preserve">apparently </w:t>
      </w:r>
      <w:r w:rsidR="00186BC8">
        <w:t xml:space="preserve">never previously been exposed to macrolides </w:t>
      </w:r>
      <w:r w:rsidR="00DB069C">
        <w:t>(</w:t>
      </w:r>
      <w:r w:rsidR="00186BC8">
        <w:t>having reviewed their GP and hospital outpatient prescription records</w:t>
      </w:r>
      <w:r w:rsidR="00DB069C">
        <w:t>)</w:t>
      </w:r>
      <w:r w:rsidR="00186BC8">
        <w:t xml:space="preserve">. </w:t>
      </w:r>
      <w:r w:rsidR="00561AEC">
        <w:t xml:space="preserve">This higher than expected azithromycin resistance may be particular to children with PBB </w:t>
      </w:r>
      <w:r w:rsidR="00DB069C">
        <w:t>(</w:t>
      </w:r>
      <w:r w:rsidR="00561AEC">
        <w:t>who are exposed to multiple courses of non-macrolide antibiotics</w:t>
      </w:r>
      <w:r w:rsidR="00DB069C">
        <w:t>),</w:t>
      </w:r>
      <w:r w:rsidR="00561AEC">
        <w:t xml:space="preserve"> may represent high community carriage of </w:t>
      </w:r>
      <w:r w:rsidR="00493FE7">
        <w:t>azithromycin</w:t>
      </w:r>
      <w:r w:rsidR="00561AEC">
        <w:t xml:space="preserve"> resistant bacteria</w:t>
      </w:r>
      <w:r w:rsidR="00DB069C">
        <w:t>, or could reflect a technical issue with the assay measuring azithromycin MIC.</w:t>
      </w:r>
    </w:p>
    <w:p w14:paraId="0D957F91" w14:textId="0C553A61" w:rsidR="00E82735" w:rsidRDefault="00186BC8" w:rsidP="0064056D">
      <w:pPr>
        <w:spacing w:after="160" w:line="360" w:lineRule="auto"/>
      </w:pPr>
      <w:r>
        <w:t xml:space="preserve">Background rates of macrolide prescriptions in </w:t>
      </w:r>
      <w:r w:rsidR="00172DF8">
        <w:t xml:space="preserve">the 12-months prior to starting either of the studies was 8-15% </w:t>
      </w:r>
      <w:r w:rsidR="004A06E0">
        <w:t xml:space="preserve">of acute antibiotic prescriptions </w:t>
      </w:r>
      <w:r w:rsidR="00172DF8">
        <w:t>in the comparison group and 15-17% in the azithromycin group</w:t>
      </w:r>
      <w:r w:rsidR="004A06E0">
        <w:t xml:space="preserve">. </w:t>
      </w:r>
      <w:r w:rsidR="00172DF8">
        <w:t xml:space="preserve">This </w:t>
      </w:r>
      <w:r w:rsidR="00782D54">
        <w:t xml:space="preserve">prescribing rate </w:t>
      </w:r>
      <w:r w:rsidR="00172DF8">
        <w:t xml:space="preserve">is </w:t>
      </w:r>
      <w:r>
        <w:t xml:space="preserve">just </w:t>
      </w:r>
      <w:r w:rsidR="00172DF8">
        <w:t>above</w:t>
      </w:r>
      <w:r>
        <w:t xml:space="preserve"> the local primary care prescribing rate of 12.8% as a total of all antibiotic prescriptions (</w:t>
      </w:r>
      <w:r w:rsidR="00DB069C">
        <w:t>p</w:t>
      </w:r>
      <w:r>
        <w:t xml:space="preserve">ersonal communication from Ian Hutchinson, prescribing data from Sheffield CCG 2015-2019). Only </w:t>
      </w:r>
      <w:r w:rsidR="00172DF8">
        <w:t xml:space="preserve">4 </w:t>
      </w:r>
      <w:r>
        <w:t>child</w:t>
      </w:r>
      <w:r w:rsidR="00172DF8">
        <w:t>ren</w:t>
      </w:r>
      <w:r>
        <w:t xml:space="preserve"> in the comparison group w</w:t>
      </w:r>
      <w:r w:rsidR="00172DF8">
        <w:t>ere</w:t>
      </w:r>
      <w:r>
        <w:t xml:space="preserve"> prescribed a macrolide during the study period. </w:t>
      </w:r>
      <w:r w:rsidR="00DB069C">
        <w:t xml:space="preserve">Together this data </w:t>
      </w:r>
      <w:r>
        <w:t xml:space="preserve">suggests that macrolide </w:t>
      </w:r>
      <w:r>
        <w:lastRenderedPageBreak/>
        <w:t xml:space="preserve">exposure was not the driving force behind the </w:t>
      </w:r>
      <w:r w:rsidR="008C0AF5">
        <w:t xml:space="preserve">azithromycin </w:t>
      </w:r>
      <w:r>
        <w:t xml:space="preserve">resistance we have reported. Other factors are potentially involved such as community transmission of resistant bacteria or development of resistance due to high exposure </w:t>
      </w:r>
      <w:r w:rsidR="00A651F6">
        <w:t>to</w:t>
      </w:r>
      <w:r>
        <w:t xml:space="preserve"> other classes of antibiotics.</w:t>
      </w:r>
      <w:r w:rsidR="00172DF8" w:rsidRPr="00172DF8">
        <w:t xml:space="preserve"> </w:t>
      </w:r>
    </w:p>
    <w:p w14:paraId="19D17E8C" w14:textId="471DBA58" w:rsidR="00DB069C" w:rsidRDefault="00E82735" w:rsidP="00A14CB0">
      <w:pPr>
        <w:shd w:val="clear" w:color="auto" w:fill="FFFFFF" w:themeFill="background1"/>
        <w:spacing w:line="360" w:lineRule="auto"/>
      </w:pPr>
      <w:r w:rsidRPr="008F33C8">
        <w:t xml:space="preserve">As expected, the two most prevalent species cultured were </w:t>
      </w:r>
      <w:r w:rsidRPr="008F33C8">
        <w:rPr>
          <w:i/>
        </w:rPr>
        <w:t xml:space="preserve">H. influenzae </w:t>
      </w:r>
      <w:r w:rsidRPr="008F33C8">
        <w:t>and</w:t>
      </w:r>
      <w:r w:rsidRPr="008F33C8">
        <w:rPr>
          <w:i/>
        </w:rPr>
        <w:t xml:space="preserve"> S. pneumoniae</w:t>
      </w:r>
      <w:r w:rsidRPr="008F33C8">
        <w:t xml:space="preserve">. </w:t>
      </w:r>
    </w:p>
    <w:p w14:paraId="19C3A4A0" w14:textId="09CCB4C5" w:rsidR="00DB069C" w:rsidRPr="008F33C8" w:rsidRDefault="00E82735" w:rsidP="00B751E5">
      <w:pPr>
        <w:shd w:val="clear" w:color="auto" w:fill="FFFFFF" w:themeFill="background1"/>
        <w:spacing w:after="160" w:line="360" w:lineRule="auto"/>
      </w:pPr>
      <w:r w:rsidRPr="00241369">
        <w:t xml:space="preserve">UK carriage prevalence of non-typable </w:t>
      </w:r>
      <w:r w:rsidRPr="00241369">
        <w:rPr>
          <w:i/>
        </w:rPr>
        <w:t xml:space="preserve">H. Influenzae </w:t>
      </w:r>
      <w:r w:rsidRPr="00241369">
        <w:t>in children under 5</w:t>
      </w:r>
      <w:r w:rsidRPr="00241369">
        <w:rPr>
          <w:i/>
        </w:rPr>
        <w:t xml:space="preserve"> </w:t>
      </w:r>
      <w:r w:rsidRPr="00241369">
        <w:t>years</w:t>
      </w:r>
      <w:r w:rsidRPr="00241369">
        <w:rPr>
          <w:i/>
        </w:rPr>
        <w:t xml:space="preserve"> </w:t>
      </w:r>
      <w:r w:rsidRPr="00241369">
        <w:t>was reported to be 22.65% over the winter 2012/13</w:t>
      </w:r>
      <w:r w:rsidR="003A3FA8">
        <w:t xml:space="preserve"> </w:t>
      </w:r>
      <w:r w:rsidR="00587CD0">
        <w:fldChar w:fldCharType="begin"/>
      </w:r>
      <w:r w:rsidR="00EE22EB">
        <w:instrText xml:space="preserve"> ADDIN EN.CITE &lt;EndNote&gt;&lt;Cite&gt;&lt;Author&gt;Cleary&lt;/Author&gt;&lt;Year&gt;2017&lt;/Year&gt;&lt;RecNum&gt;274&lt;/RecNum&gt;&lt;DisplayText&gt;(Cleary et al., 2017)&lt;/DisplayText&gt;&lt;record&gt;&lt;rec-number&gt;274&lt;/rec-number&gt;&lt;foreign-keys&gt;&lt;key app="EN" db-id="pr9rwt2w8padxcerwx6prd0a9wtda2w5fw2t" timestamp="1629731697"&gt;274&lt;/key&gt;&lt;/foreign-keys&gt;&lt;ref-type name="Journal Article"&gt;17&lt;/ref-type&gt;&lt;contributors&gt;&lt;authors&gt;&lt;author&gt;Cleary, David W.&lt;/author&gt;&lt;author&gt;Devine, Vanessa T.&lt;/author&gt;&lt;author&gt;Morris, Denise E.&lt;/author&gt;&lt;author&gt;Osman, Karen L.&lt;/author&gt;&lt;author&gt;Gladstone, Rebecca A.&lt;/author&gt;&lt;author&gt;Bentley, Stephen D.&lt;/author&gt;&lt;author&gt;Faust, Saul N.&lt;/author&gt;&lt;author&gt;Clarke, Stuart C.&lt;/author&gt;&lt;/authors&gt;&lt;/contributors&gt;&lt;titles&gt;&lt;title&gt;Pneumococcal vaccine impacts on the population genomics of non-typeable &amp;amp;lt;em&amp;amp;gt;Haemophilus influenzae&amp;amp;lt;/em&amp;amp;gt&lt;/title&gt;&lt;secondary-title&gt;bioRxiv&lt;/secondary-title&gt;&lt;/titles&gt;&lt;periodical&gt;&lt;full-title&gt;bioRxiv&lt;/full-title&gt;&lt;/periodical&gt;&lt;pages&gt;228791&lt;/pages&gt;&lt;dates&gt;&lt;year&gt;2017&lt;/year&gt;&lt;/dates&gt;&lt;urls&gt;&lt;related-urls&gt;&lt;url&gt;http://biorxiv.org/content/early/2017/12/04/228791.abstract&lt;/url&gt;&lt;/related-urls&gt;&lt;/urls&gt;&lt;electronic-resource-num&gt;10.1101/228791&lt;/electronic-resource-num&gt;&lt;/record&gt;&lt;/Cite&gt;&lt;/EndNote&gt;</w:instrText>
      </w:r>
      <w:r w:rsidR="00587CD0">
        <w:fldChar w:fldCharType="separate"/>
      </w:r>
      <w:r w:rsidR="00EE22EB">
        <w:rPr>
          <w:noProof/>
        </w:rPr>
        <w:t>(Cleary et al., 2017)</w:t>
      </w:r>
      <w:r w:rsidR="00587CD0">
        <w:fldChar w:fldCharType="end"/>
      </w:r>
      <w:r w:rsidRPr="00241369">
        <w:t xml:space="preserve">. </w:t>
      </w:r>
      <w:r w:rsidRPr="008F33C8">
        <w:t xml:space="preserve">Many strains of </w:t>
      </w:r>
      <w:r w:rsidRPr="008F33C8">
        <w:rPr>
          <w:i/>
        </w:rPr>
        <w:t>H. influenzae</w:t>
      </w:r>
      <w:r w:rsidRPr="008F33C8">
        <w:t xml:space="preserve"> exhibit low level intrinsic non-susceptibility to macrolides primarily due to </w:t>
      </w:r>
      <w:r w:rsidR="005D474B">
        <w:t xml:space="preserve">the presence of </w:t>
      </w:r>
      <w:r w:rsidRPr="008F33C8">
        <w:t>an efflux pump</w:t>
      </w:r>
      <w:r w:rsidR="005D474B" w:rsidRPr="005D474B">
        <w:t xml:space="preserve"> homologous to the </w:t>
      </w:r>
      <w:proofErr w:type="spellStart"/>
      <w:r w:rsidR="005D474B" w:rsidRPr="005D474B">
        <w:t>acrAB</w:t>
      </w:r>
      <w:proofErr w:type="spellEnd"/>
      <w:r w:rsidR="005D474B" w:rsidRPr="005D474B">
        <w:t xml:space="preserve"> efflux </w:t>
      </w:r>
      <w:r w:rsidR="005D474B">
        <w:t>pump</w:t>
      </w:r>
      <w:r w:rsidR="005D474B" w:rsidRPr="005D474B">
        <w:t xml:space="preserve"> in </w:t>
      </w:r>
      <w:r w:rsidR="005D474B" w:rsidRPr="00DB6CD7">
        <w:rPr>
          <w:i/>
          <w:iCs/>
        </w:rPr>
        <w:t>E. coli</w:t>
      </w:r>
      <w:r w:rsidRPr="00DB6CD7">
        <w:rPr>
          <w:i/>
          <w:iCs/>
        </w:rPr>
        <w:t xml:space="preserve"> </w:t>
      </w:r>
      <w:r w:rsidR="00587CD0">
        <w:fldChar w:fldCharType="begin"/>
      </w:r>
      <w:r w:rsidR="00EE22EB">
        <w:instrText xml:space="preserve"> ADDIN EN.CITE &lt;EndNote&gt;&lt;Cite&gt;&lt;Author&gt;Tristram&lt;/Author&gt;&lt;Year&gt;2007&lt;/Year&gt;&lt;RecNum&gt;275&lt;/RecNum&gt;&lt;DisplayText&gt;(Tristram et al., 2007)&lt;/DisplayText&gt;&lt;record&gt;&lt;rec-number&gt;275&lt;/rec-number&gt;&lt;foreign-keys&gt;&lt;key app="EN" db-id="pr9rwt2w8padxcerwx6prd0a9wtda2w5fw2t" timestamp="1629731697"&gt;275&lt;/key&gt;&lt;/foreign-keys&gt;&lt;ref-type name="Journal Article"&gt;17&lt;/ref-type&gt;&lt;contributors&gt;&lt;authors&gt;&lt;author&gt;Tristram, Stephen&lt;/author&gt;&lt;author&gt;Jacobs, Michael R.&lt;/author&gt;&lt;author&gt;Appelbaum, Peter C.&lt;/author&gt;&lt;/authors&gt;&lt;/contributors&gt;&lt;titles&gt;&lt;title&gt;Antimicrobial resistance in Haemophilus influenzae&lt;/title&gt;&lt;secondary-title&gt;Clinical microbiology reviews&lt;/secondary-title&gt;&lt;alt-title&gt;Clin Microbiol Rev&lt;/alt-title&gt;&lt;/titles&gt;&lt;periodical&gt;&lt;full-title&gt;Clinical microbiology reviews&lt;/full-title&gt;&lt;abbr-1&gt;Clin Microbiol Rev&lt;/abbr-1&gt;&lt;/periodical&gt;&lt;alt-periodical&gt;&lt;full-title&gt;Clinical microbiology reviews&lt;/full-title&gt;&lt;abbr-1&gt;Clin Microbiol Rev&lt;/abbr-1&gt;&lt;/alt-periodical&gt;&lt;pages&gt;368-389&lt;/pages&gt;&lt;volume&gt;20&lt;/volume&gt;&lt;number&gt;2&lt;/number&gt;&lt;keywords&gt;&lt;keyword&gt;Anti-Bacterial Agents/*pharmacology/therapeutic use&lt;/keyword&gt;&lt;keyword&gt;Drug Resistance, Bacterial/*genetics&lt;/keyword&gt;&lt;keyword&gt;Haemophilus Infections/drug therapy&lt;/keyword&gt;&lt;keyword&gt;Haemophilus influenzae/*drug effects/genetics&lt;/keyword&gt;&lt;keyword&gt;Humans&lt;/keyword&gt;&lt;keyword&gt;Microbial Sensitivity Tests&lt;/keyword&gt;&lt;keyword&gt;beta-Lactam Resistance/genetics&lt;/keyword&gt;&lt;/keywords&gt;&lt;dates&gt;&lt;year&gt;2007&lt;/year&gt;&lt;/dates&gt;&lt;publisher&gt;American Society for Microbiology&lt;/publisher&gt;&lt;isbn&gt;0893-8512&amp;#xD;1098-6618&lt;/isbn&gt;&lt;accession-num&gt;17428889&lt;/accession-num&gt;&lt;urls&gt;&lt;related-urls&gt;&lt;url&gt;https://www.ncbi.nlm.nih.gov/pubmed/17428889&lt;/url&gt;&lt;url&gt;https://www.ncbi.nlm.nih.gov/pmc/articles/PMC1865592/&lt;/url&gt;&lt;/related-urls&gt;&lt;/urls&gt;&lt;electronic-resource-num&gt;10.1128/CMR.00040-06&lt;/electronic-resource-num&gt;&lt;remote-database-name&gt;PubMed&lt;/remote-database-name&gt;&lt;language&gt;eng&lt;/language&gt;&lt;/record&gt;&lt;/Cite&gt;&lt;/EndNote&gt;</w:instrText>
      </w:r>
      <w:r w:rsidR="00587CD0">
        <w:fldChar w:fldCharType="separate"/>
      </w:r>
      <w:r w:rsidR="00EE22EB">
        <w:rPr>
          <w:noProof/>
        </w:rPr>
        <w:t>(Tristram et al., 2007)</w:t>
      </w:r>
      <w:r w:rsidR="00587CD0">
        <w:fldChar w:fldCharType="end"/>
      </w:r>
      <w:r w:rsidR="003A3FA8">
        <w:t>.</w:t>
      </w:r>
      <w:r w:rsidRPr="008F33C8">
        <w:t xml:space="preserve"> Occasional strains lack this efflux pump and are more susceptible to macrolides whereas others with ribosomal protein mu</w:t>
      </w:r>
      <w:r w:rsidR="00C722BE">
        <w:t xml:space="preserve">tations have higher MICs </w:t>
      </w:r>
      <w:r w:rsidR="00ED0001">
        <w:fldChar w:fldCharType="begin"/>
      </w:r>
      <w:r w:rsidR="00EE22EB">
        <w:instrText xml:space="preserve"> ADDIN EN.CITE &lt;EndNote&gt;&lt;Cite&gt;&lt;Author&gt;Tristram&lt;/Author&gt;&lt;Year&gt;2007&lt;/Year&gt;&lt;RecNum&gt;275&lt;/RecNum&gt;&lt;DisplayText&gt;(Tristram et al., 2007)&lt;/DisplayText&gt;&lt;record&gt;&lt;rec-number&gt;275&lt;/rec-number&gt;&lt;foreign-keys&gt;&lt;key app="EN" db-id="pr9rwt2w8padxcerwx6prd0a9wtda2w5fw2t" timestamp="1629731697"&gt;275&lt;/key&gt;&lt;/foreign-keys&gt;&lt;ref-type name="Journal Article"&gt;17&lt;/ref-type&gt;&lt;contributors&gt;&lt;authors&gt;&lt;author&gt;Tristram, Stephen&lt;/author&gt;&lt;author&gt;Jacobs, Michael R.&lt;/author&gt;&lt;author&gt;Appelbaum, Peter C.&lt;/author&gt;&lt;/authors&gt;&lt;/contributors&gt;&lt;titles&gt;&lt;title&gt;Antimicrobial resistance in Haemophilus influenzae&lt;/title&gt;&lt;secondary-title&gt;Clinical microbiology reviews&lt;/secondary-title&gt;&lt;alt-title&gt;Clin Microbiol Rev&lt;/alt-title&gt;&lt;/titles&gt;&lt;periodical&gt;&lt;full-title&gt;Clinical microbiology reviews&lt;/full-title&gt;&lt;abbr-1&gt;Clin Microbiol Rev&lt;/abbr-1&gt;&lt;/periodical&gt;&lt;alt-periodical&gt;&lt;full-title&gt;Clinical microbiology reviews&lt;/full-title&gt;&lt;abbr-1&gt;Clin Microbiol Rev&lt;/abbr-1&gt;&lt;/alt-periodical&gt;&lt;pages&gt;368-389&lt;/pages&gt;&lt;volume&gt;20&lt;/volume&gt;&lt;number&gt;2&lt;/number&gt;&lt;keywords&gt;&lt;keyword&gt;Anti-Bacterial Agents/*pharmacology/therapeutic use&lt;/keyword&gt;&lt;keyword&gt;Drug Resistance, Bacterial/*genetics&lt;/keyword&gt;&lt;keyword&gt;Haemophilus Infections/drug therapy&lt;/keyword&gt;&lt;keyword&gt;Haemophilus influenzae/*drug effects/genetics&lt;/keyword&gt;&lt;keyword&gt;Humans&lt;/keyword&gt;&lt;keyword&gt;Microbial Sensitivity Tests&lt;/keyword&gt;&lt;keyword&gt;beta-Lactam Resistance/genetics&lt;/keyword&gt;&lt;/keywords&gt;&lt;dates&gt;&lt;year&gt;2007&lt;/year&gt;&lt;/dates&gt;&lt;publisher&gt;American Society for Microbiology&lt;/publisher&gt;&lt;isbn&gt;0893-8512&amp;#xD;1098-6618&lt;/isbn&gt;&lt;accession-num&gt;17428889&lt;/accession-num&gt;&lt;urls&gt;&lt;related-urls&gt;&lt;url&gt;https://www.ncbi.nlm.nih.gov/pubmed/17428889&lt;/url&gt;&lt;url&gt;https://www.ncbi.nlm.nih.gov/pmc/articles/PMC1865592/&lt;/url&gt;&lt;/related-urls&gt;&lt;/urls&gt;&lt;electronic-resource-num&gt;10.1128/CMR.00040-06&lt;/electronic-resource-num&gt;&lt;remote-database-name&gt;PubMed&lt;/remote-database-name&gt;&lt;language&gt;eng&lt;/language&gt;&lt;/record&gt;&lt;/Cite&gt;&lt;/EndNote&gt;</w:instrText>
      </w:r>
      <w:r w:rsidR="00ED0001">
        <w:fldChar w:fldCharType="separate"/>
      </w:r>
      <w:r w:rsidR="00EE22EB">
        <w:rPr>
          <w:noProof/>
        </w:rPr>
        <w:t>(Tristram et al., 2007)</w:t>
      </w:r>
      <w:r w:rsidR="00ED0001">
        <w:fldChar w:fldCharType="end"/>
      </w:r>
      <w:r w:rsidRPr="008F33C8">
        <w:t>. New</w:t>
      </w:r>
      <w:r w:rsidR="00DB069C">
        <w:t>er</w:t>
      </w:r>
      <w:r w:rsidRPr="008F33C8">
        <w:t xml:space="preserve"> macrolides such as azithromycin have long half-lives and high tissue penetration. By achieving high intracellular concentrations, it is thought new generation macrolides may be useful antibiotics for community acquired infections caused by </w:t>
      </w:r>
      <w:r w:rsidRPr="008F33C8">
        <w:rPr>
          <w:i/>
        </w:rPr>
        <w:t>H. influenzae</w:t>
      </w:r>
      <w:r w:rsidRPr="008F33C8">
        <w:t xml:space="preserve"> even in less susceptible strains</w:t>
      </w:r>
      <w:r w:rsidR="003A3FA8">
        <w:t xml:space="preserve"> </w:t>
      </w:r>
      <w:r w:rsidR="00587CD0">
        <w:fldChar w:fldCharType="begin">
          <w:fldData xml:space="preserve">PEVuZE5vdGU+PENpdGU+PEF1dGhvcj5FdWJhPC9BdXRob3I+PFllYXI+MjAxNTwvWWVhcj48UmVj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</w:fldData>
        </w:fldChar>
      </w:r>
      <w:r w:rsidR="00EE22EB">
        <w:instrText xml:space="preserve"> ADDIN EN.CITE </w:instrText>
      </w:r>
      <w:r w:rsidR="00EE22EB">
        <w:fldChar w:fldCharType="begin">
          <w:fldData xml:space="preserve">PEVuZE5vdGU+PENpdGU+PEF1dGhvcj5FdWJhPC9BdXRob3I+PFllYXI+MjAxNTwvWWVhcj48UmVj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</w:fldData>
        </w:fldChar>
      </w:r>
      <w:r w:rsidR="00EE22EB">
        <w:instrText xml:space="preserve"> ADDIN EN.CITE.DATA </w:instrText>
      </w:r>
      <w:r w:rsidR="00EE22EB">
        <w:fldChar w:fldCharType="end"/>
      </w:r>
      <w:r w:rsidR="00587CD0">
        <w:fldChar w:fldCharType="separate"/>
      </w:r>
      <w:r w:rsidR="00EE22EB">
        <w:rPr>
          <w:noProof/>
        </w:rPr>
        <w:t>(Euba et al., 2015)</w:t>
      </w:r>
      <w:r w:rsidR="00587CD0">
        <w:fldChar w:fldCharType="end"/>
      </w:r>
      <w:r w:rsidRPr="008F33C8">
        <w:t xml:space="preserve">. </w:t>
      </w:r>
      <w:r w:rsidRPr="00DB6CD7">
        <w:rPr>
          <w:i/>
          <w:iCs/>
        </w:rPr>
        <w:t>H. influenza</w:t>
      </w:r>
      <w:r w:rsidR="005D474B" w:rsidRPr="00DB6CD7">
        <w:rPr>
          <w:i/>
          <w:iCs/>
        </w:rPr>
        <w:t>e</w:t>
      </w:r>
      <w:r w:rsidRPr="008F33C8">
        <w:t xml:space="preserve"> </w:t>
      </w:r>
      <w:r w:rsidR="00A73413">
        <w:t xml:space="preserve">is generally </w:t>
      </w:r>
      <w:r w:rsidR="005D474B">
        <w:t>thought to be</w:t>
      </w:r>
      <w:r w:rsidR="005D474B" w:rsidRPr="008F33C8">
        <w:t xml:space="preserve"> </w:t>
      </w:r>
      <w:r w:rsidRPr="008F33C8">
        <w:t>predomin</w:t>
      </w:r>
      <w:r w:rsidR="003A3FA8">
        <w:t>antly an extracellular organism</w:t>
      </w:r>
      <w:r w:rsidR="005D474B">
        <w:t xml:space="preserve">, suggesting this would not be a relevant fact, however newer data have suggested </w:t>
      </w:r>
      <w:r w:rsidR="005D474B" w:rsidRPr="00DB6CD7">
        <w:rPr>
          <w:i/>
          <w:iCs/>
        </w:rPr>
        <w:t>H</w:t>
      </w:r>
      <w:r w:rsidR="00A73413" w:rsidRPr="00DB6CD7">
        <w:rPr>
          <w:i/>
          <w:iCs/>
        </w:rPr>
        <w:t>.</w:t>
      </w:r>
      <w:r w:rsidR="005D474B" w:rsidRPr="00DB6CD7">
        <w:rPr>
          <w:i/>
          <w:iCs/>
        </w:rPr>
        <w:t xml:space="preserve"> influenzae </w:t>
      </w:r>
      <w:r w:rsidR="005D474B">
        <w:t>may in fact have the ability to persist specifically within macrophages (</w:t>
      </w:r>
      <w:proofErr w:type="spellStart"/>
      <w:r w:rsidR="005D474B">
        <w:t>Ackland</w:t>
      </w:r>
      <w:proofErr w:type="spellEnd"/>
      <w:r w:rsidR="005D474B">
        <w:t xml:space="preserve"> et al., 2021). </w:t>
      </w:r>
    </w:p>
    <w:p w14:paraId="514DEA35" w14:textId="22F0EB11" w:rsidR="002B2FAC" w:rsidRDefault="00E82735" w:rsidP="00B751E5">
      <w:pPr>
        <w:shd w:val="clear" w:color="auto" w:fill="FFFFFF" w:themeFill="background1"/>
        <w:spacing w:after="160" w:line="360" w:lineRule="auto"/>
      </w:pPr>
      <w:r w:rsidRPr="008F33C8">
        <w:t xml:space="preserve">In 2005, the </w:t>
      </w:r>
      <w:proofErr w:type="spellStart"/>
      <w:r w:rsidRPr="008F33C8">
        <w:t>TARGETed</w:t>
      </w:r>
      <w:proofErr w:type="spellEnd"/>
      <w:r w:rsidRPr="008F33C8">
        <w:t xml:space="preserve"> surveillance programme monitoring antimicrobial resistance, reported that 97-100% of all strains of </w:t>
      </w:r>
      <w:r w:rsidRPr="008F33C8">
        <w:rPr>
          <w:i/>
          <w:iCs/>
        </w:rPr>
        <w:t>H. influenzae</w:t>
      </w:r>
      <w:r w:rsidRPr="008F33C8">
        <w:t xml:space="preserve"> were susceptible to azithromycin (1</w:t>
      </w:r>
      <w:r w:rsidR="00A71B2A">
        <w:t>,</w:t>
      </w:r>
      <w:r w:rsidRPr="008F33C8">
        <w:t xml:space="preserve">530 </w:t>
      </w:r>
      <w:r w:rsidRPr="008F33C8">
        <w:rPr>
          <w:i/>
          <w:iCs/>
        </w:rPr>
        <w:t>H. influenzae</w:t>
      </w:r>
      <w:r w:rsidRPr="008F33C8">
        <w:t xml:space="preserve"> isolates analysed from six countries including France, Germany and Spain)</w:t>
      </w:r>
      <w:r w:rsidR="003A3FA8">
        <w:t xml:space="preserve"> </w:t>
      </w:r>
      <w:r w:rsidR="00587CD0">
        <w:fldChar w:fldCharType="begin"/>
      </w:r>
      <w:r w:rsidR="00CD2C33">
        <w:instrText xml:space="preserve"> ADDIN EN.CITE &lt;EndNote&gt;&lt;Cite&gt;&lt;Author&gt;Rennie&lt;/Author&gt;&lt;Year&gt;2005&lt;/Year&gt;&lt;RecNum&gt;278&lt;/RecNum&gt;&lt;DisplayText&gt;(Rennie et al., 2005)&lt;/DisplayText&gt;&lt;record&gt;&lt;rec-number&gt;278&lt;/rec-number&gt;&lt;foreign-keys&gt;&lt;key app="EN" db-id="pr9rwt2w8padxcerwx6prd0a9wtda2w5fw2t" timestamp="1629731697"&gt;278&lt;/key&gt;&lt;/foreign-keys&gt;&lt;ref-type name="Journal Article"&gt;17&lt;/ref-type&gt;&lt;contributors&gt;&lt;authors&gt;&lt;author&gt;Rennie, R. P.&lt;/author&gt;&lt;author&gt;Ibrahim, K. H.&lt;/author&gt;&lt;/authors&gt;&lt;/contributors&gt;&lt;auth-address&gt;Medical Microbiology Laboratory, University of Alberta Hospital, Edmonton, Canada. R.Rennie@provlab.ab.ca&lt;/auth-address&gt;&lt;titles&gt;&lt;title&gt;Antimicrobial resistance in Haemophilus influenzae: how can we prevent the inevitable? Commentary on antimicrobial resistance in H. influenzae based on data from the TARGETed surveillance program&lt;/title&gt;&lt;secondary-title&gt;Clin Infect Dis&lt;/secondary-title&gt;&lt;/titles&gt;&lt;periodical&gt;&lt;full-title&gt;Clin Infect Dis&lt;/full-title&gt;&lt;/periodical&gt;&lt;pages&gt;S234-8&lt;/pages&gt;&lt;volume&gt;41 Suppl 4&lt;/volume&gt;&lt;edition&gt;2005/07/21&lt;/edition&gt;&lt;keywords&gt;&lt;keyword&gt;Azithromycin/pharmacology&lt;/keyword&gt;&lt;keyword&gt;Community-Acquired Infections/drug therapy/microbiology/prevention &amp;amp; control&lt;/keyword&gt;&lt;keyword&gt;*Drug Resistance, Bacterial&lt;/keyword&gt;&lt;keyword&gt;Fluoroquinolones/pharmacology&lt;/keyword&gt;&lt;keyword&gt;Haemophilus Infections/*drug therapy/*microbiology/prevention &amp;amp; control&lt;/keyword&gt;&lt;keyword&gt;Haemophilus influenzae/*drug effects/isolation &amp;amp; purification&lt;/keyword&gt;&lt;keyword&gt;Humans&lt;/keyword&gt;&lt;keyword&gt;Macrolides/pharmacology&lt;/keyword&gt;&lt;keyword&gt;Microbial Sensitivity Tests&lt;/keyword&gt;&lt;keyword&gt;beta-Lactams/pharmacology&lt;/keyword&gt;&lt;/keywords&gt;&lt;dates&gt;&lt;year&gt;2005&lt;/year&gt;&lt;pub-dates&gt;&lt;date&gt;Aug 15&lt;/date&gt;&lt;/pub-dates&gt;&lt;/dates&gt;&lt;isbn&gt;1058-4838&lt;/isbn&gt;&lt;accession-num&gt;16032558&lt;/accession-num&gt;&lt;urls&gt;&lt;/urls&gt;&lt;electronic-resource-num&gt;10.1086/430783&lt;/electronic-resource-num&gt;&lt;remote-database-provider&gt;NLM&lt;/remote-database-provider&gt;&lt;language&gt;eng&lt;/language&gt;&lt;/record&gt;&lt;/Cite&gt;&lt;/EndNote&gt;</w:instrText>
      </w:r>
      <w:r w:rsidR="00587CD0">
        <w:fldChar w:fldCharType="separate"/>
      </w:r>
      <w:r w:rsidR="00CD2C33">
        <w:rPr>
          <w:noProof/>
        </w:rPr>
        <w:t>(Rennie et al., 2005)</w:t>
      </w:r>
      <w:r w:rsidR="00587CD0">
        <w:fldChar w:fldCharType="end"/>
      </w:r>
      <w:r w:rsidRPr="008F33C8">
        <w:t xml:space="preserve">. More recently, emerging azithromycin resistant strains of </w:t>
      </w:r>
      <w:r w:rsidRPr="008F33C8">
        <w:rPr>
          <w:i/>
          <w:iCs/>
        </w:rPr>
        <w:t>H. influenzae</w:t>
      </w:r>
      <w:r w:rsidRPr="008F33C8">
        <w:t xml:space="preserve"> have been reported. Data from the survey of antibiotic resistance (SOAR) 2014-2016 in Greece reported 5.8% of 52 </w:t>
      </w:r>
      <w:r w:rsidRPr="00241369">
        <w:rPr>
          <w:i/>
          <w:iCs/>
        </w:rPr>
        <w:t>H. influenza</w:t>
      </w:r>
      <w:r w:rsidR="008D7450">
        <w:t>e</w:t>
      </w:r>
      <w:r w:rsidRPr="008F33C8">
        <w:t xml:space="preserve"> isolates from community acquired respiratory infections were resistant to azithromycin</w:t>
      </w:r>
      <w:r w:rsidR="003A3FA8">
        <w:t xml:space="preserve"> </w:t>
      </w:r>
      <w:r w:rsidR="00587CD0">
        <w:fldChar w:fldCharType="begin">
          <w:fldData xml:space="preserve">PEVuZE5vdGU+PENpdGU+PEF1dGhvcj5Ub3J1bWt1bmV5PC9BdXRob3I+PFllYXI+MjAxODwvWWVh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</w:fldData>
        </w:fldChar>
      </w:r>
      <w:r w:rsidR="00EE22EB">
        <w:instrText xml:space="preserve"> ADDIN EN.CITE </w:instrText>
      </w:r>
      <w:r w:rsidR="00EE22EB">
        <w:fldChar w:fldCharType="begin">
          <w:fldData xml:space="preserve">PEVuZE5vdGU+PENpdGU+PEF1dGhvcj5Ub3J1bWt1bmV5PC9BdXRob3I+PFllYXI+MjAxODwvWWVh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</w:fldData>
        </w:fldChar>
      </w:r>
      <w:r w:rsidR="00EE22EB">
        <w:instrText xml:space="preserve"> ADDIN EN.CITE.DATA </w:instrText>
      </w:r>
      <w:r w:rsidR="00EE22EB">
        <w:fldChar w:fldCharType="end"/>
      </w:r>
      <w:r w:rsidR="00587CD0">
        <w:fldChar w:fldCharType="separate"/>
      </w:r>
      <w:r w:rsidR="00EE22EB">
        <w:rPr>
          <w:noProof/>
        </w:rPr>
        <w:t>(Torumkuney et al., 2018)</w:t>
      </w:r>
      <w:r w:rsidR="00587CD0">
        <w:fldChar w:fldCharType="end"/>
      </w:r>
      <w:r w:rsidRPr="008F33C8">
        <w:t>.  Intermediate resistance was reported in 90.4%. This study us</w:t>
      </w:r>
      <w:r w:rsidR="00C722BE">
        <w:t xml:space="preserve">ed older EUCAST breakpoints of </w:t>
      </w:r>
      <w:r w:rsidR="00023CC6">
        <w:rPr>
          <w:rFonts w:cstheme="minorHAnsi"/>
        </w:rPr>
        <w:t>≥</w:t>
      </w:r>
      <w:r w:rsidRPr="008F33C8">
        <w:t xml:space="preserve">8mg/L for </w:t>
      </w:r>
      <w:r w:rsidR="00023CC6">
        <w:t xml:space="preserve">azithromycin </w:t>
      </w:r>
      <w:r w:rsidRPr="008F33C8">
        <w:t>resistan</w:t>
      </w:r>
      <w:r w:rsidR="00023CC6">
        <w:t>ce</w:t>
      </w:r>
      <w:r w:rsidRPr="008F33C8">
        <w:t xml:space="preserve"> and 0.25-4mg/L for intermediate susceptibility. Clarithromycin susceptibility was intermediate for 100% of these isolates. In comparison, the results from our study showed </w:t>
      </w:r>
      <w:r w:rsidR="00B26A6A">
        <w:t xml:space="preserve">19 </w:t>
      </w:r>
      <w:r w:rsidRPr="008F33C8">
        <w:t xml:space="preserve">% of </w:t>
      </w:r>
      <w:r w:rsidRPr="00241369">
        <w:rPr>
          <w:i/>
          <w:iCs/>
        </w:rPr>
        <w:t>H. influenza</w:t>
      </w:r>
      <w:r w:rsidR="008D7450">
        <w:rPr>
          <w:i/>
          <w:iCs/>
        </w:rPr>
        <w:t>e</w:t>
      </w:r>
      <w:r w:rsidRPr="008F33C8">
        <w:t xml:space="preserve"> isolates as being resistant (EUCAST cut off &gt;4mg/L). This finding may be higher than the previous surveillance studies due to newer </w:t>
      </w:r>
      <w:r w:rsidR="00B11248">
        <w:t xml:space="preserve">(and lower) </w:t>
      </w:r>
      <w:r w:rsidRPr="008F33C8">
        <w:t xml:space="preserve">breakpoint definitions being used. Those </w:t>
      </w:r>
      <w:r w:rsidR="00DB069C">
        <w:t xml:space="preserve">in the </w:t>
      </w:r>
      <w:r w:rsidRPr="008F33C8">
        <w:t xml:space="preserve">azithromycin </w:t>
      </w:r>
      <w:r w:rsidR="00DB069C">
        <w:t xml:space="preserve">prophylaxis groups </w:t>
      </w:r>
      <w:r w:rsidRPr="008F33C8">
        <w:t xml:space="preserve">showed a trend towards having a higher proportion of </w:t>
      </w:r>
      <w:r w:rsidRPr="008F33C8">
        <w:rPr>
          <w:i/>
          <w:iCs/>
        </w:rPr>
        <w:t xml:space="preserve">H. </w:t>
      </w:r>
      <w:r w:rsidRPr="008F33C8">
        <w:rPr>
          <w:i/>
          <w:iCs/>
        </w:rPr>
        <w:lastRenderedPageBreak/>
        <w:t>influenzae</w:t>
      </w:r>
      <w:r w:rsidRPr="008F33C8">
        <w:t xml:space="preserve"> resistant isolates following exposure</w:t>
      </w:r>
      <w:r w:rsidR="00DB069C">
        <w:t>,</w:t>
      </w:r>
      <w:r w:rsidR="00B11248">
        <w:t xml:space="preserve"> but this did not reach significance, perhaps owing to the small sample size</w:t>
      </w:r>
      <w:r w:rsidRPr="008F33C8">
        <w:t>.</w:t>
      </w:r>
    </w:p>
    <w:p w14:paraId="7020A0D3" w14:textId="7AD73D10" w:rsidR="00E82735" w:rsidRDefault="00D30B3E" w:rsidP="006E6081">
      <w:pPr>
        <w:spacing w:after="160" w:line="360" w:lineRule="auto"/>
      </w:pPr>
      <w:r w:rsidRPr="008F33C8">
        <w:t xml:space="preserve">It should be noted that there is conflicting evidence for the efficacy of macrolides in </w:t>
      </w:r>
      <w:r w:rsidRPr="008F33C8">
        <w:rPr>
          <w:i/>
        </w:rPr>
        <w:t>H. influenzae</w:t>
      </w:r>
      <w:r w:rsidRPr="008F33C8">
        <w:t xml:space="preserve"> respiratory infections due to spontaneous cure rates. Epidemiological cut-offs are therefore advised by EUCAST rather than clinical breakpoints. </w:t>
      </w:r>
      <w:r>
        <w:t xml:space="preserve">A clinical breakpoint predicts clinical success whereas an epidemiological cut off is the MIC that separates a population into isolates with and without acquired or mutational resistance </w:t>
      </w:r>
      <w:r>
        <w:fldChar w:fldCharType="begin">
          <w:fldData xml:space="preserve">PEVuZE5vdGU+PENpdGU+PEF1dGhvcj5Mb2NraGFydDwvQXV0aG9yPjxZZWFyPjIwMTc8L1llYXI+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</w:fldData>
        </w:fldChar>
      </w:r>
      <w:r w:rsidR="00EE22EB">
        <w:instrText xml:space="preserve"> ADDIN EN.CITE </w:instrText>
      </w:r>
      <w:r w:rsidR="00EE22EB">
        <w:fldChar w:fldCharType="begin">
          <w:fldData xml:space="preserve">PEVuZE5vdGU+PENpdGU+PEF1dGhvcj5Mb2NraGFydDwvQXV0aG9yPjxZZWFyPjIwMTc8L1llYXI+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</w:fldData>
        </w:fldChar>
      </w:r>
      <w:r w:rsidR="00EE22EB">
        <w:instrText xml:space="preserve"> ADDIN EN.CITE.DATA </w:instrText>
      </w:r>
      <w:r w:rsidR="00EE22EB">
        <w:fldChar w:fldCharType="end"/>
      </w:r>
      <w:r>
        <w:fldChar w:fldCharType="separate"/>
      </w:r>
      <w:r w:rsidR="00EE22EB">
        <w:rPr>
          <w:noProof/>
        </w:rPr>
        <w:t>(Lockhart et al., 2017)</w:t>
      </w:r>
      <w:r>
        <w:fldChar w:fldCharType="end"/>
      </w:r>
      <w:r>
        <w:t>. Where there is limited data on the correlation between MIC and clinical response, as is the case</w:t>
      </w:r>
      <w:r w:rsidR="002B2FAC">
        <w:t xml:space="preserve"> </w:t>
      </w:r>
      <w:r>
        <w:t xml:space="preserve">in </w:t>
      </w:r>
      <w:r w:rsidRPr="001D04B2">
        <w:rPr>
          <w:i/>
          <w:iCs/>
        </w:rPr>
        <w:t>H. influenzae</w:t>
      </w:r>
      <w:r>
        <w:t xml:space="preserve"> due to spontaneous cure rates, epidemiological cut offs are provided rather than </w:t>
      </w:r>
      <w:r w:rsidR="002B2FAC">
        <w:t>breakpoints</w:t>
      </w:r>
      <w:r w:rsidR="00764BD5">
        <w:t xml:space="preserve"> </w:t>
      </w:r>
      <w:r w:rsidR="00764BD5">
        <w:fldChar w:fldCharType="begin"/>
      </w:r>
      <w:r w:rsidR="00764BD5">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764BD5">
        <w:fldChar w:fldCharType="separate"/>
      </w:r>
      <w:r w:rsidR="00764BD5">
        <w:rPr>
          <w:noProof/>
        </w:rPr>
        <w:t>(EUCAST, 2022)</w:t>
      </w:r>
      <w:r w:rsidR="00764BD5">
        <w:fldChar w:fldCharType="end"/>
      </w:r>
      <w:r>
        <w:t xml:space="preserve">. </w:t>
      </w:r>
    </w:p>
    <w:p w14:paraId="2EC6B4E4" w14:textId="14320D52" w:rsidR="00E82735" w:rsidRPr="008F33C8" w:rsidRDefault="00E82735" w:rsidP="006E6081">
      <w:pPr>
        <w:spacing w:after="160" w:line="360" w:lineRule="auto"/>
      </w:pPr>
      <w:r w:rsidRPr="008F33C8">
        <w:t>The cohort</w:t>
      </w:r>
      <w:r w:rsidR="008C45FD">
        <w:t>s</w:t>
      </w:r>
      <w:r w:rsidRPr="008F33C8">
        <w:t xml:space="preserve"> treated with azithromycin prophylaxis showed a reduction in the total number of isolates of </w:t>
      </w:r>
      <w:r w:rsidRPr="008F33C8">
        <w:rPr>
          <w:i/>
        </w:rPr>
        <w:t>H. influenzae</w:t>
      </w:r>
      <w:r w:rsidR="00EF3B67">
        <w:rPr>
          <w:iCs/>
        </w:rPr>
        <w:t xml:space="preserve"> detected</w:t>
      </w:r>
      <w:r w:rsidR="008C45FD">
        <w:rPr>
          <w:iCs/>
        </w:rPr>
        <w:t xml:space="preserve"> during the study period</w:t>
      </w:r>
      <w:r w:rsidR="00EF3B67">
        <w:rPr>
          <w:iCs/>
        </w:rPr>
        <w:t xml:space="preserve"> compared to the comparison group</w:t>
      </w:r>
      <w:r w:rsidR="00DB069C">
        <w:rPr>
          <w:iCs/>
        </w:rPr>
        <w:t>s</w:t>
      </w:r>
      <w:r w:rsidR="00EF3B67">
        <w:rPr>
          <w:iCs/>
        </w:rPr>
        <w:t xml:space="preserve">, </w:t>
      </w:r>
      <w:r w:rsidR="008C45FD">
        <w:rPr>
          <w:iCs/>
        </w:rPr>
        <w:t>11</w:t>
      </w:r>
      <w:r w:rsidR="00C25FC9">
        <w:rPr>
          <w:iCs/>
        </w:rPr>
        <w:t xml:space="preserve"> (28% of the isolates obtained during the study period)</w:t>
      </w:r>
      <w:r w:rsidR="008C45FD">
        <w:rPr>
          <w:iCs/>
        </w:rPr>
        <w:t xml:space="preserve"> </w:t>
      </w:r>
      <w:r w:rsidR="00EF3B67">
        <w:rPr>
          <w:iCs/>
        </w:rPr>
        <w:t xml:space="preserve">vs </w:t>
      </w:r>
      <w:r w:rsidR="008C45FD">
        <w:rPr>
          <w:iCs/>
        </w:rPr>
        <w:t>25</w:t>
      </w:r>
      <w:r w:rsidR="00EF3B67">
        <w:rPr>
          <w:iCs/>
        </w:rPr>
        <w:t xml:space="preserve"> respectively</w:t>
      </w:r>
      <w:r w:rsidR="00C25FC9">
        <w:rPr>
          <w:iCs/>
        </w:rPr>
        <w:t xml:space="preserve"> (35% of the isolates obtained during the study period)</w:t>
      </w:r>
      <w:r w:rsidRPr="008F33C8">
        <w:t>. There is precedent for this finding. In a cohort of adu</w:t>
      </w:r>
      <w:r w:rsidR="00335B4F">
        <w:t>lts with severe asthma, t</w:t>
      </w:r>
      <w:r w:rsidRPr="008F33C8">
        <w:t xml:space="preserve">he AMAZEs study found a significant reduction in </w:t>
      </w:r>
      <w:r w:rsidRPr="008F33C8">
        <w:rPr>
          <w:i/>
        </w:rPr>
        <w:t>H. influenzae</w:t>
      </w:r>
      <w:r w:rsidRPr="008F33C8">
        <w:t xml:space="preserve"> load on sputum samples following 48 weeks of thrice-weekly azithromycin compared to placebo</w:t>
      </w:r>
      <w:r w:rsidR="003A3FA8">
        <w:t xml:space="preserve"> </w:t>
      </w:r>
      <w:r w:rsidR="00587CD0">
        <w:fldChar w:fldCharType="begin">
          <w:fldData xml:space="preserve">PEVuZE5vdGU+PENpdGU+PEF1dGhvcj5HaWJzb248L0F1dGhvcj48WWVhcj4yMDE3PC9ZZWFyPjxS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</w:fldData>
        </w:fldChar>
      </w:r>
      <w:r w:rsidR="00EE22EB">
        <w:instrText xml:space="preserve"> ADDIN EN.CITE </w:instrText>
      </w:r>
      <w:r w:rsidR="00EE22EB">
        <w:fldChar w:fldCharType="begin">
          <w:fldData xml:space="preserve">PEVuZE5vdGU+PENpdGU+PEF1dGhvcj5HaWJzb248L0F1dGhvcj48WWVhcj4yMDE3PC9ZZWFyPjxS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</w:fldData>
        </w:fldChar>
      </w:r>
      <w:r w:rsidR="00EE22EB">
        <w:instrText xml:space="preserve"> ADDIN EN.CITE.DATA </w:instrText>
      </w:r>
      <w:r w:rsidR="00EE22EB">
        <w:fldChar w:fldCharType="end"/>
      </w:r>
      <w:r w:rsidR="00587CD0">
        <w:fldChar w:fldCharType="separate"/>
      </w:r>
      <w:r w:rsidR="00EE22EB">
        <w:rPr>
          <w:noProof/>
        </w:rPr>
        <w:t>(Gibson et al., 2017)</w:t>
      </w:r>
      <w:r w:rsidR="00587CD0">
        <w:fldChar w:fldCharType="end"/>
      </w:r>
      <w:r w:rsidRPr="008F33C8">
        <w:t xml:space="preserve">. Valery et al also reported a reduction in </w:t>
      </w:r>
      <w:r w:rsidRPr="008F33C8">
        <w:rPr>
          <w:i/>
        </w:rPr>
        <w:t>H. influenzae</w:t>
      </w:r>
      <w:r w:rsidRPr="008F33C8">
        <w:t xml:space="preserve"> isolates in children exposed to azithromycin for 12- 24 months</w:t>
      </w:r>
      <w:r w:rsidR="003A3FA8">
        <w:t xml:space="preserve"> </w:t>
      </w:r>
      <w:r w:rsidR="00587CD0">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 </w:instrText>
      </w:r>
      <w:r w:rsidR="00EE22EB">
        <w:fldChar w:fldCharType="begin">
          <w:fldData xml:space="preserve">PEVuZE5vdGU+PENpdGU+PEF1dGhvcj5WYWxlcnk8L0F1dGhvcj48WWVhcj4yMDEzPC9ZZWFyPjxS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=
</w:fldData>
        </w:fldChar>
      </w:r>
      <w:r w:rsidR="00EE22EB">
        <w:instrText xml:space="preserve"> ADDIN EN.CITE.DATA </w:instrText>
      </w:r>
      <w:r w:rsidR="00EE22EB">
        <w:fldChar w:fldCharType="end"/>
      </w:r>
      <w:r w:rsidR="00587CD0">
        <w:fldChar w:fldCharType="separate"/>
      </w:r>
      <w:r w:rsidR="00EE22EB">
        <w:rPr>
          <w:noProof/>
        </w:rPr>
        <w:t>(Valery et al., 2013)</w:t>
      </w:r>
      <w:r w:rsidR="00587CD0">
        <w:fldChar w:fldCharType="end"/>
      </w:r>
      <w:r w:rsidR="003A3FA8">
        <w:t>.</w:t>
      </w:r>
      <w:r w:rsidRPr="008F33C8">
        <w:t xml:space="preserve"> In this study, of the 15 children in the azithromycin group </w:t>
      </w:r>
      <w:r w:rsidR="00250E1E">
        <w:t xml:space="preserve">who isolated </w:t>
      </w:r>
      <w:r w:rsidRPr="008F33C8">
        <w:t xml:space="preserve"> </w:t>
      </w:r>
      <w:r w:rsidRPr="008F33C8">
        <w:rPr>
          <w:i/>
        </w:rPr>
        <w:t>H. Influenzae</w:t>
      </w:r>
      <w:r w:rsidRPr="008F33C8">
        <w:t xml:space="preserve"> at baseline, only 1 still carried it at their last visit; this compared to the placebo group where 9 </w:t>
      </w:r>
      <w:r w:rsidR="00250E1E">
        <w:t>isolated</w:t>
      </w:r>
      <w:r w:rsidRPr="008F33C8">
        <w:t xml:space="preserve"> with </w:t>
      </w:r>
      <w:r w:rsidRPr="008F33C8">
        <w:rPr>
          <w:i/>
        </w:rPr>
        <w:t>H. Influenzae</w:t>
      </w:r>
      <w:r w:rsidRPr="008F33C8">
        <w:t xml:space="preserve"> at baseline and 5 remained colonised at the last visit. </w:t>
      </w:r>
      <w:r w:rsidR="00250E1E">
        <w:t xml:space="preserve">This may suggest azithromycin prophylaxis can in some cases eliminate </w:t>
      </w:r>
      <w:r w:rsidR="00250E1E" w:rsidRPr="00DB6CD7">
        <w:rPr>
          <w:i/>
          <w:iCs/>
        </w:rPr>
        <w:t xml:space="preserve">H. </w:t>
      </w:r>
      <w:proofErr w:type="spellStart"/>
      <w:r w:rsidR="00250E1E" w:rsidRPr="00DB6CD7">
        <w:rPr>
          <w:i/>
          <w:iCs/>
        </w:rPr>
        <w:t>influenaze</w:t>
      </w:r>
      <w:proofErr w:type="spellEnd"/>
      <w:r w:rsidR="00250E1E">
        <w:t xml:space="preserve"> colonisation of the upper airways, although there is also the potential for </w:t>
      </w:r>
      <w:r w:rsidR="00DB6CD7">
        <w:t>spontaneous</w:t>
      </w:r>
      <w:r w:rsidR="00250E1E">
        <w:t xml:space="preserve"> clearance; alternatively the initial isolates may represent transient rather than </w:t>
      </w:r>
      <w:r w:rsidR="00DB069C">
        <w:t>long-term</w:t>
      </w:r>
      <w:r w:rsidR="00250E1E">
        <w:t xml:space="preserve"> colonisation with the azithromycin reducing the likelihood of re-colonisation.</w:t>
      </w:r>
    </w:p>
    <w:p w14:paraId="29F77070" w14:textId="5E967718" w:rsidR="00591B15" w:rsidRDefault="006C105F" w:rsidP="0064056D">
      <w:pPr>
        <w:spacing w:after="160" w:line="360" w:lineRule="auto"/>
      </w:pPr>
      <w:r w:rsidRPr="008F33C8">
        <w:rPr>
          <w:i/>
        </w:rPr>
        <w:t>S. pneumoniae</w:t>
      </w:r>
      <w:r w:rsidRPr="008F33C8">
        <w:t xml:space="preserve"> is another common cause of childhood respiratory tract infections. </w:t>
      </w:r>
      <w:r w:rsidRPr="001E215B">
        <w:t>Following the introduction of the 7-valent pneumococcal vaccine (PCV) in 2006 to the UK paediatric immunisation schedule, invasive pneumococcal disease caused by PCV7 serotypes reduced by 98% in children under 2 years (</w:t>
      </w:r>
      <w:r w:rsidRPr="001E215B">
        <w:fldChar w:fldCharType="begin">
          <w:fldData xml:space="preserve">PEVuZE5vdGU+PENpdGU+PEF1dGhvcj5NaWxsZXI8L0F1dGhvcj48WWVhcj4yMDExPC9ZZWFyPjxS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</w:fldData>
        </w:fldChar>
      </w:r>
      <w:r w:rsidR="00EE22EB">
        <w:instrText xml:space="preserve"> ADDIN EN.CITE </w:instrText>
      </w:r>
      <w:r w:rsidR="00EE22EB">
        <w:fldChar w:fldCharType="begin">
          <w:fldData xml:space="preserve">PEVuZE5vdGU+PENpdGU+PEF1dGhvcj5NaWxsZXI8L0F1dGhvcj48WWVhcj4yMDExPC9ZZWFyPjxS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</w:fldData>
        </w:fldChar>
      </w:r>
      <w:r w:rsidR="00EE22EB">
        <w:instrText xml:space="preserve"> ADDIN EN.CITE.DATA </w:instrText>
      </w:r>
      <w:r w:rsidR="00EE22EB">
        <w:fldChar w:fldCharType="end"/>
      </w:r>
      <w:r w:rsidRPr="001E215B">
        <w:fldChar w:fldCharType="separate"/>
      </w:r>
      <w:r w:rsidR="00EE22EB">
        <w:rPr>
          <w:noProof/>
        </w:rPr>
        <w:t>(Miller et al., 2011)</w:t>
      </w:r>
      <w:r w:rsidRPr="001E215B">
        <w:fldChar w:fldCharType="end"/>
      </w:r>
      <w:r w:rsidRPr="001E215B">
        <w:t>. In April 2010 the 7-valent vaccine was changed to a 13-valent vaccine. By 2016/</w:t>
      </w:r>
      <w:r w:rsidR="00DB069C" w:rsidRPr="001E215B">
        <w:t>17 PCV</w:t>
      </w:r>
      <w:r w:rsidRPr="001E215B">
        <w:t xml:space="preserve">-7 type invasive pneumococcal disease had </w:t>
      </w:r>
      <w:r w:rsidRPr="001E215B">
        <w:lastRenderedPageBreak/>
        <w:t xml:space="preserve">decreased by 97% in all ages compared to pre PCV-7 era  and PCV-13 type invasive pneumococcal disease had decreased by 64% since following the introduction of PCV-13 </w:t>
      </w:r>
      <w:r w:rsidRPr="001E215B">
        <w:fldChar w:fldCharType="begin">
          <w:fldData xml:space="preserve">PEVuZE5vdGU+PENpdGU+PEF1dGhvcj5MYWRoYW5pPC9BdXRob3I+PFllYXI+MjAxODwvWWVhcj48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</w:fldData>
        </w:fldChar>
      </w:r>
      <w:r w:rsidR="00EE22EB">
        <w:instrText xml:space="preserve"> ADDIN EN.CITE </w:instrText>
      </w:r>
      <w:r w:rsidR="00EE22EB">
        <w:fldChar w:fldCharType="begin">
          <w:fldData xml:space="preserve">PEVuZE5vdGU+PENpdGU+PEF1dGhvcj5MYWRoYW5pPC9BdXRob3I+PFllYXI+MjAxODwvWWVhcj48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</w:fldData>
        </w:fldChar>
      </w:r>
      <w:r w:rsidR="00EE22EB">
        <w:instrText xml:space="preserve"> ADDIN EN.CITE.DATA </w:instrText>
      </w:r>
      <w:r w:rsidR="00EE22EB">
        <w:fldChar w:fldCharType="end"/>
      </w:r>
      <w:r w:rsidRPr="001E215B">
        <w:fldChar w:fldCharType="separate"/>
      </w:r>
      <w:r w:rsidR="00EE22EB">
        <w:rPr>
          <w:noProof/>
        </w:rPr>
        <w:t>(Ladhani et al., 2018)</w:t>
      </w:r>
      <w:r w:rsidRPr="001E215B">
        <w:fldChar w:fldCharType="end"/>
      </w:r>
      <w:r w:rsidRPr="001E215B">
        <w:t>. Invasive pneumococcal disease due to nonvaccine serotypes has increased although this is predominantly seen in adults</w:t>
      </w:r>
      <w:r>
        <w:t xml:space="preserve"> </w:t>
      </w:r>
      <w:r w:rsidRPr="001E215B">
        <w:fldChar w:fldCharType="begin">
          <w:fldData xml:space="preserve">PEVuZE5vdGU+PENpdGU+PEF1dGhvcj5MYWRoYW5pPC9BdXRob3I+PFllYXI+MjAxODwvWWVhcj48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</w:fldData>
        </w:fldChar>
      </w:r>
      <w:r w:rsidR="00EE22EB">
        <w:instrText xml:space="preserve"> ADDIN EN.CITE </w:instrText>
      </w:r>
      <w:r w:rsidR="00EE22EB">
        <w:fldChar w:fldCharType="begin">
          <w:fldData xml:space="preserve">PEVuZE5vdGU+PENpdGU+PEF1dGhvcj5MYWRoYW5pPC9BdXRob3I+PFllYXI+MjAxODwvWWVhcj48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</w:fldData>
        </w:fldChar>
      </w:r>
      <w:r w:rsidR="00EE22EB">
        <w:instrText xml:space="preserve"> ADDIN EN.CITE.DATA </w:instrText>
      </w:r>
      <w:r w:rsidR="00EE22EB">
        <w:fldChar w:fldCharType="end"/>
      </w:r>
      <w:r w:rsidRPr="001E215B">
        <w:fldChar w:fldCharType="separate"/>
      </w:r>
      <w:r w:rsidR="00EE22EB">
        <w:rPr>
          <w:noProof/>
        </w:rPr>
        <w:t>(Ladhani et al., 2018)</w:t>
      </w:r>
      <w:r w:rsidRPr="001E215B">
        <w:fldChar w:fldCharType="end"/>
      </w:r>
      <w:r w:rsidRPr="001E215B">
        <w:t xml:space="preserve">. </w:t>
      </w:r>
      <w:r w:rsidR="00EB129D">
        <w:t xml:space="preserve">The dominant serotypes causing community acquired pneumonia in adults requiring hospitalisation </w:t>
      </w:r>
      <w:r w:rsidR="00D57FFA">
        <w:t>have been reported to be</w:t>
      </w:r>
      <w:r w:rsidR="00EB129D">
        <w:t xml:space="preserve"> serotypes 3 and 8 </w:t>
      </w:r>
      <w:r w:rsidR="005B4EFC">
        <w:fldChar w:fldCharType="begin">
          <w:fldData xml:space="preserve">PEVuZE5vdGU+PENpdGU+PEF1dGhvcj5QaWNrPC9BdXRob3I+PFllYXI+MjAyMDwvWWVhcj48UmVj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</w:fldData>
        </w:fldChar>
      </w:r>
      <w:r w:rsidR="005B4EFC">
        <w:instrText xml:space="preserve"> ADDIN EN.CITE </w:instrText>
      </w:r>
      <w:r w:rsidR="005B4EFC">
        <w:fldChar w:fldCharType="begin">
          <w:fldData xml:space="preserve">PEVuZE5vdGU+PENpdGU+PEF1dGhvcj5QaWNrPC9BdXRob3I+PFllYXI+MjAyMDwvWWVhcj48UmVj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</w:fldData>
        </w:fldChar>
      </w:r>
      <w:r w:rsidR="005B4EFC">
        <w:instrText xml:space="preserve"> ADDIN EN.CITE.DATA </w:instrText>
      </w:r>
      <w:r w:rsidR="005B4EFC">
        <w:fldChar w:fldCharType="end"/>
      </w:r>
      <w:r w:rsidR="005B4EFC">
        <w:fldChar w:fldCharType="separate"/>
      </w:r>
      <w:r w:rsidR="005B4EFC">
        <w:rPr>
          <w:noProof/>
        </w:rPr>
        <w:t>(Pick et al., 2020)</w:t>
      </w:r>
      <w:r w:rsidR="005B4EFC">
        <w:fldChar w:fldCharType="end"/>
      </w:r>
      <w:r w:rsidR="00EB129D">
        <w:t xml:space="preserve">. </w:t>
      </w:r>
      <w:r w:rsidRPr="001E215B">
        <w:t xml:space="preserve">Carriage of 2 serotypes, 3 and 19A have continued to still be detected in fully vaccinated children </w:t>
      </w:r>
      <w:r w:rsidRPr="001E215B">
        <w:fldChar w:fldCharType="begin">
          <w:fldData xml:space="preserve">PEVuZE5vdGU+PENpdGU+PEF1dGhvcj5Tb3V0aGVybjwvQXV0aG9yPjxZZWFyPjIwMTg8L1llYXI+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</w:fldData>
        </w:fldChar>
      </w:r>
      <w:r w:rsidR="00EE22EB">
        <w:instrText xml:space="preserve"> ADDIN EN.CITE </w:instrText>
      </w:r>
      <w:r w:rsidR="00EE22EB">
        <w:fldChar w:fldCharType="begin">
          <w:fldData xml:space="preserve">PEVuZE5vdGU+PENpdGU+PEF1dGhvcj5Tb3V0aGVybjwvQXV0aG9yPjxZZWFyPjIwMTg8L1llYXI+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</w:fldData>
        </w:fldChar>
      </w:r>
      <w:r w:rsidR="00EE22EB">
        <w:instrText xml:space="preserve"> ADDIN EN.CITE.DATA </w:instrText>
      </w:r>
      <w:r w:rsidR="00EE22EB">
        <w:fldChar w:fldCharType="end"/>
      </w:r>
      <w:r w:rsidRPr="001E215B">
        <w:fldChar w:fldCharType="separate"/>
      </w:r>
      <w:r w:rsidR="00EE22EB">
        <w:rPr>
          <w:noProof/>
        </w:rPr>
        <w:t>(Southern et al., 2018)</w:t>
      </w:r>
      <w:r w:rsidRPr="001E215B">
        <w:fldChar w:fldCharType="end"/>
      </w:r>
      <w:r w:rsidRPr="001E215B">
        <w:t xml:space="preserve">. The pneumococcal serotypes we report are consistent with the literature in that all but one of the serotypes were non PCV-13 serotypes apart from a single isolate that was 19A. </w:t>
      </w:r>
      <w:r w:rsidRPr="008F33C8">
        <w:t xml:space="preserve">All children in the study had been fully vaccinated as per the recommended UK immunisation schedule. </w:t>
      </w:r>
      <w:r w:rsidR="00E82735" w:rsidRPr="008F33C8">
        <w:t xml:space="preserve">Those noted to have a poor response to PCV13 were boosted and an adequate response subsequently documented. Pneumococcal vaccination is known to reduce nasopharyngeal colonisation density as well as colonisation with vaccine strains </w:t>
      </w:r>
      <w:r w:rsidR="00587CD0">
        <w:fldChar w:fldCharType="begin">
          <w:fldData xml:space="preserve">PEVuZE5vdGU+PENpdGU+PEF1dGhvcj5PJmFwb3M7QnJpZW48L0F1dGhvcj48WWVhcj4yMDA3PC9Z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</w:fldData>
        </w:fldChar>
      </w:r>
      <w:r w:rsidR="00EE22EB">
        <w:instrText xml:space="preserve"> ADDIN EN.CITE </w:instrText>
      </w:r>
      <w:r w:rsidR="00EE22EB">
        <w:fldChar w:fldCharType="begin">
          <w:fldData xml:space="preserve">PEVuZE5vdGU+PENpdGU+PEF1dGhvcj5PJmFwb3M7QnJpZW48L0F1dGhvcj48WWVhcj4yMDA3PC9Z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</w:fldData>
        </w:fldChar>
      </w:r>
      <w:r w:rsidR="00EE22EB">
        <w:instrText xml:space="preserve"> ADDIN EN.CITE.DATA </w:instrText>
      </w:r>
      <w:r w:rsidR="00EE22EB">
        <w:fldChar w:fldCharType="end"/>
      </w:r>
      <w:r w:rsidR="00587CD0">
        <w:fldChar w:fldCharType="separate"/>
      </w:r>
      <w:r w:rsidR="00EE22EB">
        <w:rPr>
          <w:noProof/>
        </w:rPr>
        <w:t>(O'Brien et al., 2007)</w:t>
      </w:r>
      <w:r w:rsidR="00587CD0">
        <w:fldChar w:fldCharType="end"/>
      </w:r>
      <w:r w:rsidR="00E82735" w:rsidRPr="008F33C8">
        <w:t>. Carriage rates following the introduction of PCV 13 in 2010 in the UK have been reporte</w:t>
      </w:r>
      <w:r w:rsidR="00335B4F">
        <w:t>d to be 30% in children under 4-</w:t>
      </w:r>
      <w:r w:rsidR="00E82735" w:rsidRPr="008F33C8">
        <w:t xml:space="preserve">years </w:t>
      </w:r>
      <w:r w:rsidR="00587CD0">
        <w:fldChar w:fldCharType="begin">
          <w:fldData xml:space="preserve">PEVuZE5vdGU+PENpdGU+PEF1dGhvcj5HbGFkc3RvbmU8L0F1dGhvcj48WWVhcj4yMDE1PC9ZZWFy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</w:fldData>
        </w:fldChar>
      </w:r>
      <w:r w:rsidR="00EE22EB">
        <w:instrText xml:space="preserve"> ADDIN EN.CITE </w:instrText>
      </w:r>
      <w:r w:rsidR="00EE22EB">
        <w:fldChar w:fldCharType="begin">
          <w:fldData xml:space="preserve">PEVuZE5vdGU+PENpdGU+PEF1dGhvcj5HbGFkc3RvbmU8L0F1dGhvcj48WWVhcj4yMDE1PC9ZZWFy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</w:fldData>
        </w:fldChar>
      </w:r>
      <w:r w:rsidR="00EE22EB">
        <w:instrText xml:space="preserve"> ADDIN EN.CITE.DATA </w:instrText>
      </w:r>
      <w:r w:rsidR="00EE22EB">
        <w:fldChar w:fldCharType="end"/>
      </w:r>
      <w:r w:rsidR="00587CD0">
        <w:fldChar w:fldCharType="separate"/>
      </w:r>
      <w:r w:rsidR="00EE22EB">
        <w:rPr>
          <w:noProof/>
        </w:rPr>
        <w:t>(Gladstone et al., 2015)</w:t>
      </w:r>
      <w:r w:rsidR="00587CD0">
        <w:fldChar w:fldCharType="end"/>
      </w:r>
      <w:r w:rsidR="00E82735" w:rsidRPr="008F33C8">
        <w:t>.</w:t>
      </w:r>
      <w:r w:rsidR="003265DC">
        <w:t xml:space="preserve"> This reflects our findings of carriage at baseline of 36% in the comparison groups and 32% in the azithromycin groups.</w:t>
      </w:r>
    </w:p>
    <w:p w14:paraId="18165A95" w14:textId="5B69763A" w:rsidR="00E82735" w:rsidRDefault="00FA66FB" w:rsidP="00E82735">
      <w:pPr>
        <w:spacing w:line="360" w:lineRule="auto"/>
        <w:rPr>
          <w:iCs/>
        </w:rPr>
      </w:pPr>
      <w:r>
        <w:t>A</w:t>
      </w:r>
      <w:r w:rsidR="003265DC">
        <w:t>zithromycin</w:t>
      </w:r>
      <w:r w:rsidR="00E82735" w:rsidRPr="008F33C8">
        <w:t xml:space="preserve">-resistant </w:t>
      </w:r>
      <w:r w:rsidR="00E82735" w:rsidRPr="008F33C8">
        <w:rPr>
          <w:i/>
        </w:rPr>
        <w:t>S. pneumoniae</w:t>
      </w:r>
      <w:r w:rsidR="00E82735" w:rsidRPr="008F33C8">
        <w:t xml:space="preserve"> was much more common than anticipated in both groups</w:t>
      </w:r>
      <w:r w:rsidR="008F576E">
        <w:t xml:space="preserve">; </w:t>
      </w:r>
      <w:r w:rsidR="003265DC">
        <w:t>94</w:t>
      </w:r>
      <w:r w:rsidR="00E82735" w:rsidRPr="008F33C8">
        <w:t xml:space="preserve">% and </w:t>
      </w:r>
      <w:r w:rsidR="003265DC">
        <w:t>95</w:t>
      </w:r>
      <w:r w:rsidR="00E82735" w:rsidRPr="008F33C8">
        <w:t xml:space="preserve">% in </w:t>
      </w:r>
      <w:r w:rsidR="00B26A6A">
        <w:t>the comparison group</w:t>
      </w:r>
      <w:r w:rsidR="00E82735" w:rsidRPr="008F33C8">
        <w:t xml:space="preserve"> and azithromycin </w:t>
      </w:r>
      <w:r w:rsidR="00B26A6A">
        <w:t>group</w:t>
      </w:r>
      <w:r w:rsidR="00E82735" w:rsidRPr="008F33C8">
        <w:t xml:space="preserve"> respectively. </w:t>
      </w:r>
      <w:r w:rsidR="00FC352A">
        <w:t xml:space="preserve">The </w:t>
      </w:r>
      <w:r w:rsidR="00036459">
        <w:t>baseline</w:t>
      </w:r>
      <w:r w:rsidR="00FC352A">
        <w:t xml:space="preserve"> proportion of azithromycin resistant </w:t>
      </w:r>
      <w:r w:rsidR="00FC352A" w:rsidRPr="001D04B2">
        <w:rPr>
          <w:i/>
          <w:iCs/>
        </w:rPr>
        <w:t>S. pneumoniae</w:t>
      </w:r>
      <w:r w:rsidR="00FC352A">
        <w:t xml:space="preserve"> isolates was similar across groups with the subsequent spread </w:t>
      </w:r>
      <w:r w:rsidR="003215E9">
        <w:t>of S</w:t>
      </w:r>
      <w:r w:rsidR="003215E9" w:rsidRPr="001D04B2">
        <w:rPr>
          <w:i/>
          <w:iCs/>
        </w:rPr>
        <w:t>. pneumoniae</w:t>
      </w:r>
      <w:r w:rsidR="003215E9">
        <w:t xml:space="preserve"> isolates relatively even throughout the study in the comparison </w:t>
      </w:r>
      <w:r w:rsidR="00DB069C">
        <w:t>group, suggesting</w:t>
      </w:r>
      <w:r w:rsidR="003215E9">
        <w:t xml:space="preserve"> that the use of long</w:t>
      </w:r>
      <w:r w:rsidR="00E11727">
        <w:t>-</w:t>
      </w:r>
      <w:r w:rsidR="003215E9">
        <w:t>term azithromycin was</w:t>
      </w:r>
      <w:r w:rsidR="00250E1E">
        <w:t xml:space="preserve"> not</w:t>
      </w:r>
      <w:r w:rsidR="003215E9">
        <w:t xml:space="preserve"> driving this </w:t>
      </w:r>
      <w:r w:rsidR="00FC352A">
        <w:t>resistance</w:t>
      </w:r>
      <w:r w:rsidR="003215E9">
        <w:t xml:space="preserve">. </w:t>
      </w:r>
      <w:r w:rsidR="00E82735" w:rsidRPr="008F33C8">
        <w:t xml:space="preserve">Data from the European centre of Disease Prevention and Control on </w:t>
      </w:r>
      <w:r>
        <w:t>macrolide</w:t>
      </w:r>
      <w:r w:rsidRPr="008F33C8">
        <w:t xml:space="preserve"> </w:t>
      </w:r>
      <w:r w:rsidR="00183362">
        <w:t xml:space="preserve">(erythromycin/ clarithromycin/ azithromycin) </w:t>
      </w:r>
      <w:r w:rsidR="00E82735" w:rsidRPr="008F33C8">
        <w:t xml:space="preserve">resistant invasive strains of </w:t>
      </w:r>
      <w:r w:rsidR="00E82735" w:rsidRPr="008F33C8">
        <w:rPr>
          <w:i/>
        </w:rPr>
        <w:t>S. pneumoniae</w:t>
      </w:r>
      <w:r w:rsidR="00E82735" w:rsidRPr="008F33C8">
        <w:t xml:space="preserve"> report UK levels of just </w:t>
      </w:r>
      <w:r w:rsidR="00B26A6A">
        <w:t>5.5</w:t>
      </w:r>
      <w:r w:rsidR="00E82735" w:rsidRPr="008F33C8">
        <w:t>%</w:t>
      </w:r>
      <w:r w:rsidR="00944950">
        <w:t xml:space="preserve"> </w:t>
      </w:r>
      <w:r>
        <w:fldChar w:fldCharType="begin"/>
      </w:r>
      <w:r w:rsidR="000914CA">
        <w:instrText xml:space="preserve"> ADDIN EN.CITE &lt;EndNote&gt;&lt;Cite&gt;&lt;Author&gt;ECDC&lt;/Author&gt;&lt;Year&gt;2021&lt;/Year&gt;&lt;RecNum&gt;445&lt;/RecNum&gt;&lt;DisplayText&gt;(ECDC, 2021)&lt;/DisplayText&gt;&lt;record&gt;&lt;rec-number&gt;445&lt;/rec-number&gt;&lt;foreign-keys&gt;&lt;key app="EN" db-id="pr9rwt2w8padxcerwx6prd0a9wtda2w5fw2t" timestamp="1648388441"&gt;445&lt;/key&gt;&lt;/foreign-keys&gt;&lt;ref-type name="Web Page"&gt;12&lt;/ref-type&gt;&lt;contributors&gt;&lt;authors&gt;&lt;author&gt;ECDC, &lt;/author&gt;&lt;/authors&gt;&lt;secondary-authors&gt;&lt;author&gt; European Centre for Disease Prevention and Control&lt;/author&gt;&lt;/secondary-authors&gt;&lt;/contributors&gt;&lt;titles&gt;&lt;title&gt;Antimicrobial consumption in the EU/EEA (ESAC-Net) - Annual Epidemiological Report for 2020&lt;/title&gt;&lt;/titles&gt;&lt;dates&gt;&lt;year&gt;2021&lt;/year&gt;&lt;pub-dates&gt;&lt;date&gt;18/11/2021&lt;/date&gt;&lt;/pub-dates&gt;&lt;/dates&gt;&lt;urls&gt;&lt;related-urls&gt;&lt;url&gt;https://www.ecdc.europa.eu/en/publications-data/surveillance-antimicrobial-consumption-europe-2020&lt;/url&gt;&lt;/related-urls&gt;&lt;/urls&gt;&lt;/record&gt;&lt;/Cite&gt;&lt;/EndNote&gt;</w:instrText>
      </w:r>
      <w:r>
        <w:fldChar w:fldCharType="separate"/>
      </w:r>
      <w:r>
        <w:rPr>
          <w:noProof/>
        </w:rPr>
        <w:t>(ECDC, 2021)</w:t>
      </w:r>
      <w:r>
        <w:fldChar w:fldCharType="end"/>
      </w:r>
      <w:r>
        <w:t>.</w:t>
      </w:r>
      <w:r w:rsidR="00E82735" w:rsidRPr="008F33C8">
        <w:t xml:space="preserve"> </w:t>
      </w:r>
      <w:r w:rsidR="00183362">
        <w:t xml:space="preserve">Only </w:t>
      </w:r>
      <w:r w:rsidR="001426A7">
        <w:t xml:space="preserve">results using the EUCAST breakpoints and methodology are accepted. </w:t>
      </w:r>
      <w:r w:rsidR="006C105F">
        <w:t xml:space="preserve">At SCH, erythromycin rather than azithromycin resistance </w:t>
      </w:r>
      <w:r w:rsidR="00DB069C">
        <w:t xml:space="preserve">is standardly </w:t>
      </w:r>
      <w:r w:rsidR="006C105F">
        <w:t xml:space="preserve">reported – we used azithromycin resistance as we were specifically using azithromycin prophylaxis. </w:t>
      </w:r>
      <w:r w:rsidR="00E82735" w:rsidRPr="008F33C8">
        <w:t xml:space="preserve">Local data from sputum samples in children sent from Sheffield Children’s hospital between 2012 and 2015 report erythromycin resistant </w:t>
      </w:r>
      <w:r w:rsidR="00E82735" w:rsidRPr="008F33C8">
        <w:rPr>
          <w:i/>
        </w:rPr>
        <w:t>S. pneumoniae</w:t>
      </w:r>
      <w:r w:rsidR="00E82735" w:rsidRPr="008F33C8">
        <w:t xml:space="preserve"> to have been cultured in 51 of 341 (14.9%) sputum samples</w:t>
      </w:r>
      <w:r w:rsidR="00EB129D">
        <w:t xml:space="preserve"> (personal communication, Trevor Winstanley </w:t>
      </w:r>
      <w:r w:rsidR="00EB129D">
        <w:rPr>
          <w:i/>
        </w:rPr>
        <w:t>Clinical Scientist and I.T. lead</w:t>
      </w:r>
      <w:r w:rsidR="00EB129D">
        <w:t xml:space="preserve"> </w:t>
      </w:r>
      <w:r w:rsidR="00EB129D">
        <w:rPr>
          <w:i/>
        </w:rPr>
        <w:t>Department of Microbiology STH</w:t>
      </w:r>
      <w:r w:rsidR="00EB129D">
        <w:rPr>
          <w:iCs/>
        </w:rPr>
        <w:t>)</w:t>
      </w:r>
      <w:r w:rsidR="00E82735" w:rsidRPr="008F33C8">
        <w:t xml:space="preserve">. Given that sputum samples are generally not obtainable in those under 5 years this may not be </w:t>
      </w:r>
      <w:r w:rsidR="00E82735" w:rsidRPr="008F33C8">
        <w:lastRenderedPageBreak/>
        <w:t>representative of background resistance in younger children</w:t>
      </w:r>
      <w:r w:rsidR="00DB069C">
        <w:t xml:space="preserve"> however it may be indicative of higher than expected rates of resistance locally</w:t>
      </w:r>
      <w:r w:rsidR="00E82735" w:rsidRPr="008F33C8">
        <w:t>. Data from sputum samp</w:t>
      </w:r>
      <w:r w:rsidR="00335B4F">
        <w:t>les sent from children under 16-</w:t>
      </w:r>
      <w:r w:rsidR="00E82735" w:rsidRPr="008F33C8">
        <w:t xml:space="preserve">years in general practice over the same period showed no macrolide-resistant isolates of </w:t>
      </w:r>
      <w:r w:rsidR="00E82735" w:rsidRPr="008F33C8">
        <w:rPr>
          <w:i/>
        </w:rPr>
        <w:t>S. pneumoniae</w:t>
      </w:r>
      <w:r w:rsidR="00E82735" w:rsidRPr="008F33C8">
        <w:t xml:space="preserve"> from 37 sample</w:t>
      </w:r>
      <w:r w:rsidR="00DB069C">
        <w:t>s</w:t>
      </w:r>
      <w:r w:rsidR="00E82735" w:rsidRPr="008F33C8">
        <w:t xml:space="preserve">. Adult sputum samples over the same time period found growth of </w:t>
      </w:r>
      <w:r w:rsidR="00E82735" w:rsidRPr="008F33C8">
        <w:rPr>
          <w:i/>
        </w:rPr>
        <w:t>S. pneumoniae</w:t>
      </w:r>
      <w:r w:rsidR="00E82735" w:rsidRPr="008F33C8">
        <w:t xml:space="preserve"> on 2385 samples. Of these 518 were erythromycin resistant, 21.7%. (personal communication, Trevor Winstanley </w:t>
      </w:r>
      <w:r w:rsidR="00E82735" w:rsidRPr="008F33C8">
        <w:rPr>
          <w:i/>
          <w:iCs/>
        </w:rPr>
        <w:t>Clinical Scientist and I.T. lead</w:t>
      </w:r>
      <w:r w:rsidR="00E82735" w:rsidRPr="008F33C8">
        <w:t xml:space="preserve"> </w:t>
      </w:r>
      <w:r w:rsidR="00E82735" w:rsidRPr="008F33C8">
        <w:rPr>
          <w:i/>
          <w:iCs/>
        </w:rPr>
        <w:t xml:space="preserve">Department of Microbiology STH). </w:t>
      </w:r>
      <w:r w:rsidR="00C715C8">
        <w:t xml:space="preserve">In a UK adult prevalence and antibiotic resistance study, </w:t>
      </w:r>
      <w:r w:rsidR="00C715C8" w:rsidRPr="00C715C8">
        <w:rPr>
          <w:i/>
          <w:iCs/>
        </w:rPr>
        <w:t>S. pneumoniae</w:t>
      </w:r>
      <w:r w:rsidR="00C715C8">
        <w:t xml:space="preserve"> carriage was 1.8% with clarithromycin resistance of these isolates being 13.9% (95%CI 2.6-25.2) (</w:t>
      </w:r>
      <w:proofErr w:type="spellStart"/>
      <w:r w:rsidR="00C715C8">
        <w:t>Yahiaoui</w:t>
      </w:r>
      <w:proofErr w:type="spellEnd"/>
      <w:r w:rsidR="00C715C8">
        <w:t xml:space="preserve"> et al 2016). </w:t>
      </w:r>
      <w:r w:rsidR="006C105F">
        <w:rPr>
          <w:iCs/>
        </w:rPr>
        <w:t xml:space="preserve">The apparently high levels of azithromycin resistance prompted us to undertake additional antibiotic sensitivity testing, supported by a pump priming grant from the Florey </w:t>
      </w:r>
      <w:r w:rsidR="00EF4A76">
        <w:rPr>
          <w:iCs/>
        </w:rPr>
        <w:t>Institute</w:t>
      </w:r>
      <w:r w:rsidR="006C105F">
        <w:rPr>
          <w:iCs/>
        </w:rPr>
        <w:t>.</w:t>
      </w:r>
    </w:p>
    <w:p w14:paraId="5B5D52AE" w14:textId="77777777" w:rsidR="003E0EC9" w:rsidRDefault="003E0EC9" w:rsidP="00B01D0D">
      <w:pPr>
        <w:spacing w:line="360" w:lineRule="auto"/>
        <w:rPr>
          <w:iCs/>
        </w:rPr>
      </w:pPr>
    </w:p>
    <w:p w14:paraId="6D159BED" w14:textId="6D1B08DE" w:rsidR="00B21CFD" w:rsidRPr="008F33C8" w:rsidRDefault="009472BE" w:rsidP="00B01D0D">
      <w:pPr>
        <w:pStyle w:val="Heading3"/>
        <w:spacing w:before="0" w:line="360" w:lineRule="auto"/>
      </w:pPr>
      <w:bookmarkStart w:id="277" w:name="_Toc117766003"/>
      <w:r>
        <w:t>Extended antibiotic resistance</w:t>
      </w:r>
      <w:bookmarkEnd w:id="277"/>
      <w:r>
        <w:t xml:space="preserve"> </w:t>
      </w:r>
    </w:p>
    <w:p w14:paraId="01E4E25B" w14:textId="0B6E6F49" w:rsidR="0015406C" w:rsidRDefault="00B21CFD" w:rsidP="0064056D">
      <w:pPr>
        <w:spacing w:after="160" w:line="360" w:lineRule="auto"/>
        <w:rPr>
          <w:rFonts w:cstheme="minorHAnsi"/>
          <w:i/>
          <w:iCs/>
        </w:rPr>
      </w:pPr>
      <w:r w:rsidRPr="001E215B">
        <w:t xml:space="preserve">The extended phenotypic antibiotic resistance data and genotypic data enabled a more detailed investigation into the surprisingly high level of azithromycin resistant </w:t>
      </w:r>
      <w:r w:rsidRPr="001E215B">
        <w:rPr>
          <w:i/>
          <w:iCs/>
        </w:rPr>
        <w:t>S. pneumoniae</w:t>
      </w:r>
      <w:r w:rsidRPr="001E215B">
        <w:t xml:space="preserve"> carriage within the nasopharynxes of children with PBB both exposed and unexposed to long</w:t>
      </w:r>
      <w:r w:rsidR="00F70990">
        <w:t>-</w:t>
      </w:r>
      <w:r w:rsidRPr="001E215B">
        <w:t xml:space="preserve">term azithromycin. Given that only 5 of the 55 azithromycin resistant </w:t>
      </w:r>
      <w:r w:rsidRPr="001E215B">
        <w:rPr>
          <w:i/>
          <w:iCs/>
        </w:rPr>
        <w:t>S. pneumoniae</w:t>
      </w:r>
      <w:r w:rsidRPr="001E215B">
        <w:t xml:space="preserve"> isolates were resistant to erythromycin there were initial concerns that during the freezing and storage process, antibiotic resistance </w:t>
      </w:r>
      <w:r w:rsidR="00DB069C">
        <w:t>had</w:t>
      </w:r>
      <w:r w:rsidRPr="001E215B">
        <w:t xml:space="preserve"> been lost. By re-culturing a subset of the original azithromycin resistant </w:t>
      </w:r>
      <w:r w:rsidRPr="001E215B">
        <w:rPr>
          <w:i/>
          <w:iCs/>
        </w:rPr>
        <w:t>S. pneumoniae</w:t>
      </w:r>
      <w:r w:rsidRPr="001E215B">
        <w:t xml:space="preserve"> isolates and carrying out in parallel susceptibility testing with azithromycin and erythromycin E test strips and erythromycin disk diffusion, we were able to confirm that the</w:t>
      </w:r>
      <w:r w:rsidR="0015406C">
        <w:t xml:space="preserve"> subset of</w:t>
      </w:r>
      <w:r w:rsidR="00DB069C">
        <w:t xml:space="preserve"> the</w:t>
      </w:r>
      <w:r w:rsidRPr="001E215B">
        <w:t xml:space="preserve"> isolates</w:t>
      </w:r>
      <w:r w:rsidR="0015406C">
        <w:t xml:space="preserve"> re-tested</w:t>
      </w:r>
      <w:r w:rsidRPr="001E215B">
        <w:t xml:space="preserve"> were susceptible to erythromycin yet </w:t>
      </w:r>
      <w:r w:rsidR="0015406C">
        <w:t xml:space="preserve">remained </w:t>
      </w:r>
      <w:r w:rsidRPr="001E215B">
        <w:t xml:space="preserve">resistant to azithromycin. This </w:t>
      </w:r>
      <w:r w:rsidR="00DB069C">
        <w:t>suggested</w:t>
      </w:r>
      <w:r w:rsidR="00DB069C" w:rsidRPr="001E215B">
        <w:t xml:space="preserve"> </w:t>
      </w:r>
      <w:r w:rsidRPr="001E215B">
        <w:t xml:space="preserve">that there was not </w:t>
      </w:r>
      <w:r w:rsidR="00DB069C">
        <w:t>simple error in</w:t>
      </w:r>
      <w:r w:rsidRPr="001E215B">
        <w:t xml:space="preserve"> the original azithromycin E-test susceptibility testing. The use of E-test strips is a validated and </w:t>
      </w:r>
      <w:r w:rsidR="00E401F5">
        <w:t>widely used</w:t>
      </w:r>
      <w:r w:rsidR="00E401F5" w:rsidRPr="001E215B">
        <w:t xml:space="preserve"> </w:t>
      </w:r>
      <w:r w:rsidRPr="001E215B">
        <w:t xml:space="preserve">method for determining antibiotic resistance. In </w:t>
      </w:r>
      <w:r w:rsidRPr="001E215B">
        <w:rPr>
          <w:i/>
          <w:iCs/>
        </w:rPr>
        <w:t xml:space="preserve">S. </w:t>
      </w:r>
      <w:r w:rsidR="00CE6285">
        <w:rPr>
          <w:i/>
          <w:iCs/>
        </w:rPr>
        <w:t>p</w:t>
      </w:r>
      <w:r w:rsidRPr="001E215B">
        <w:rPr>
          <w:i/>
          <w:iCs/>
        </w:rPr>
        <w:t>neumoniae</w:t>
      </w:r>
      <w:r w:rsidRPr="001E215B">
        <w:t xml:space="preserve"> it </w:t>
      </w:r>
      <w:r w:rsidR="00E401F5">
        <w:t>has been</w:t>
      </w:r>
      <w:r w:rsidR="00E401F5" w:rsidRPr="001E215B">
        <w:t xml:space="preserve"> </w:t>
      </w:r>
      <w:r w:rsidRPr="001E215B">
        <w:t xml:space="preserve">reported that there is 98% agreement between E-test strips and </w:t>
      </w:r>
      <w:r w:rsidR="002734B2">
        <w:t xml:space="preserve">a standard </w:t>
      </w:r>
      <w:r w:rsidRPr="001E215B">
        <w:t xml:space="preserve">microbroth dilution method in determining erythromycin resistance </w:t>
      </w:r>
      <w:r w:rsidRPr="001E215B">
        <w:fldChar w:fldCharType="begin"/>
      </w:r>
      <w:r w:rsidR="00EE22EB">
        <w:instrText xml:space="preserve"> ADDIN EN.CITE &lt;EndNote&gt;&lt;Cite&gt;&lt;Author&gt;Jorgensen&lt;/Author&gt;&lt;Year&gt;1991&lt;/Year&gt;&lt;RecNum&gt;423&lt;/RecNum&gt;&lt;DisplayText&gt;(Jorgensen et al., 1991)&lt;/DisplayText&gt;&lt;record&gt;&lt;rec-number&gt;423&lt;/rec-number&gt;&lt;foreign-keys&gt;&lt;key app="EN" db-id="pr9rwt2w8padxcerwx6prd0a9wtda2w5fw2t" timestamp="1648124670"&gt;423&lt;/key&gt;&lt;/foreign-keys&gt;&lt;ref-type name="Journal Article"&gt;17&lt;/ref-type&gt;&lt;contributors&gt;&lt;authors&gt;&lt;author&gt;Jorgensen, J. H.&lt;/author&gt;&lt;author&gt;Howell, A. W.&lt;/author&gt;&lt;author&gt;Maher, L. A.&lt;/author&gt;&lt;/authors&gt;&lt;/contributors&gt;&lt;auth-address&gt;Department of Pathology, University of Texas Health Science Center, San Antonio 78284-7750.&lt;/auth-address&gt;&lt;titles&gt;&lt;title&gt;Quantitative antimicrobial susceptibility testing of Haemophilus influenzae and Streptococcus pneumoniae by using the E-test&lt;/title&gt;&lt;secondary-title&gt;J Clin Microbiol&lt;/secondary-title&gt;&lt;/titles&gt;&lt;periodical&gt;&lt;full-title&gt;J Clin Microbiol&lt;/full-title&gt;&lt;/periodical&gt;&lt;pages&gt;109-14&lt;/pages&gt;&lt;volume&gt;29&lt;/volume&gt;&lt;number&gt;1&lt;/number&gt;&lt;edition&gt;1991/01/01&lt;/edition&gt;&lt;keywords&gt;&lt;keyword&gt;Culture Media&lt;/keyword&gt;&lt;keyword&gt;Drug Resistance&lt;/keyword&gt;&lt;keyword&gt;Evaluation Studies as Topic&lt;/keyword&gt;&lt;keyword&gt;Haemophilus influenzae/*drug effects&lt;/keyword&gt;&lt;keyword&gt;*Microbial Sensitivity Tests&lt;/keyword&gt;&lt;keyword&gt;Streptococcus pneumoniae/*drug effects&lt;/keyword&gt;&lt;/keywords&gt;&lt;dates&gt;&lt;year&gt;1991&lt;/year&gt;&lt;pub-dates&gt;&lt;date&gt;Jan&lt;/date&gt;&lt;/pub-dates&gt;&lt;/dates&gt;&lt;isbn&gt;0095-1137 (Print)&amp;#xD;0095-1137&lt;/isbn&gt;&lt;accession-num&gt;1993744&lt;/accession-num&gt;&lt;urls&gt;&lt;/urls&gt;&lt;custom2&gt;PMC269713&lt;/custom2&gt;&lt;electronic-resource-num&gt;10.1128/jcm.29.1.109-114.1991&lt;/electronic-resource-num&gt;&lt;remote-database-provider&gt;NLM&lt;/remote-database-provider&gt;&lt;language&gt;eng&lt;/language&gt;&lt;/record&gt;&lt;/Cite&gt;&lt;/EndNote&gt;</w:instrText>
      </w:r>
      <w:r w:rsidRPr="001E215B">
        <w:fldChar w:fldCharType="separate"/>
      </w:r>
      <w:r w:rsidR="00EE22EB">
        <w:rPr>
          <w:noProof/>
        </w:rPr>
        <w:t>(Jorgensen et al., 1991)</w:t>
      </w:r>
      <w:r w:rsidRPr="001E215B">
        <w:fldChar w:fldCharType="end"/>
      </w:r>
      <w:r w:rsidRPr="001E215B">
        <w:t xml:space="preserve">. </w:t>
      </w:r>
      <w:r w:rsidR="001D37E8">
        <w:t xml:space="preserve">Susceptibility testing can be affected by many factors including inoculum size, enrichment broth concentration and carbon dioxide. </w:t>
      </w:r>
      <w:r w:rsidR="00D5056F">
        <w:t xml:space="preserve">The use of ‘AB </w:t>
      </w:r>
      <w:proofErr w:type="spellStart"/>
      <w:r w:rsidR="00D5056F">
        <w:t>biodisk</w:t>
      </w:r>
      <w:proofErr w:type="spellEnd"/>
      <w:r w:rsidR="00D5056F">
        <w:t xml:space="preserve">’ E-test strips were found to falsely overestimate </w:t>
      </w:r>
      <w:r w:rsidR="00D5056F" w:rsidRPr="00D5056F">
        <w:rPr>
          <w:i/>
          <w:iCs/>
        </w:rPr>
        <w:t>S. pneumoniae</w:t>
      </w:r>
      <w:r w:rsidR="00D5056F">
        <w:t xml:space="preserve"> MICs in the presence of carbon dioxide </w:t>
      </w:r>
      <w:r w:rsidR="005455CB">
        <w:t xml:space="preserve">which also lowered the pH of the agar plates </w:t>
      </w:r>
      <w:r w:rsidR="001719F1">
        <w:fldChar w:fldCharType="begin"/>
      </w:r>
      <w:r w:rsidR="00EE22EB">
        <w:instrText xml:space="preserve"> ADDIN EN.CITE &lt;EndNote&gt;&lt;Cite&gt;&lt;Author&gt;Johnson&lt;/Author&gt;&lt;Year&gt;1999&lt;/Year&gt;&lt;RecNum&gt;527&lt;/RecNum&gt;&lt;DisplayText&gt;(Johnson et al., 1999)&lt;/DisplayText&gt;&lt;record&gt;&lt;rec-number&gt;527&lt;/rec-number&gt;&lt;foreign-keys&gt;&lt;key app="EN" db-id="pr9rwt2w8padxcerwx6prd0a9wtda2w5fw2t" timestamp="1657031921"&gt;527&lt;/key&gt;&lt;/foreign-keys&gt;&lt;ref-type name="Journal Article"&gt;17&lt;/ref-type&gt;&lt;contributors&gt;&lt;authors&gt;&lt;author&gt;Johnson, J.&lt;/author&gt;&lt;author&gt;Bouchillon, S.&lt;/author&gt;&lt;author&gt;Pontani, D.&lt;/author&gt;&lt;/authors&gt;&lt;/contributors&gt;&lt;auth-address&gt;International Health Management Associates, Rolling Meadows, Illinois.&lt;/auth-address&gt;&lt;titles&gt;&lt;title&gt;The effect of carbon dioxide on susceptibility testing of azithromycin, clarithromycin and roxithromycin against clinical isolates of Streptococcus pneumoniae and Streptococcus pyogenes by broth microdilution and the Etest: Artemis Project-first-phase study&lt;/title&gt;&lt;secondary-title&gt;Clin Microbiol Infect&lt;/secondary-title&gt;&lt;/titles&gt;&lt;periodical&gt;&lt;full-title&gt;Clin Microbiol Infect&lt;/full-title&gt;&lt;/periodical&gt;&lt;pages&gt;327-330&lt;/pages&gt;&lt;volume&gt;5&lt;/volume&gt;&lt;number&gt;6&lt;/number&gt;&lt;edition&gt;2002/02/22&lt;/edition&gt;&lt;dates&gt;&lt;year&gt;1999&lt;/year&gt;&lt;pub-dates&gt;&lt;date&gt;Jun&lt;/date&gt;&lt;/pub-dates&gt;&lt;/dates&gt;&lt;isbn&gt;1198-743x&lt;/isbn&gt;&lt;accession-num&gt;11856277&lt;/accession-num&gt;&lt;urls&gt;&lt;/urls&gt;&lt;electronic-resource-num&gt;10.1111/j.1469-0691.1999.tb00151.x&lt;/electronic-resource-num&gt;&lt;remote-database-provider&gt;NLM&lt;/remote-database-provider&gt;&lt;language&gt;eng&lt;/language&gt;&lt;/record&gt;&lt;/Cite&gt;&lt;/EndNote&gt;</w:instrText>
      </w:r>
      <w:r w:rsidR="001719F1">
        <w:fldChar w:fldCharType="separate"/>
      </w:r>
      <w:r w:rsidR="00EE22EB">
        <w:rPr>
          <w:noProof/>
        </w:rPr>
        <w:t>(Johnson et al., 1999)</w:t>
      </w:r>
      <w:r w:rsidR="001719F1">
        <w:fldChar w:fldCharType="end"/>
      </w:r>
      <w:r w:rsidR="00D5056F">
        <w:t>.</w:t>
      </w:r>
      <w:r w:rsidR="000F7E09">
        <w:t xml:space="preserve"> </w:t>
      </w:r>
      <w:r w:rsidR="005455CB">
        <w:t>When retested in the absence of carbon dioxide, susceptibility testing by E</w:t>
      </w:r>
      <w:r w:rsidR="009C5735">
        <w:t>-</w:t>
      </w:r>
      <w:r w:rsidR="005455CB">
        <w:t xml:space="preserve">test and microbroth </w:t>
      </w:r>
      <w:r w:rsidR="005455CB">
        <w:lastRenderedPageBreak/>
        <w:t xml:space="preserve">dilution were comparable. </w:t>
      </w:r>
      <w:r w:rsidR="000F7E09">
        <w:t>The diagnostic accuracy of E</w:t>
      </w:r>
      <w:r w:rsidR="009C5735">
        <w:t>-</w:t>
      </w:r>
      <w:r w:rsidR="000F7E09">
        <w:t xml:space="preserve">test strips for susceptibility testing in </w:t>
      </w:r>
      <w:r w:rsidR="000F7E09" w:rsidRPr="000F7E09">
        <w:rPr>
          <w:i/>
          <w:iCs/>
        </w:rPr>
        <w:t>S. pneumoniae</w:t>
      </w:r>
      <w:r w:rsidR="000F7E09">
        <w:t xml:space="preserve"> has not been more recently updated. To note, the </w:t>
      </w:r>
      <w:r w:rsidR="009C5735">
        <w:t xml:space="preserve">instruction manual for the </w:t>
      </w:r>
      <w:proofErr w:type="spellStart"/>
      <w:r w:rsidR="000F7E09">
        <w:t>Bio</w:t>
      </w:r>
      <w:r w:rsidR="001719F1">
        <w:t>M</w:t>
      </w:r>
      <w:r w:rsidR="000F7E09">
        <w:t>erieux</w:t>
      </w:r>
      <w:proofErr w:type="spellEnd"/>
      <w:r w:rsidR="000F7E09">
        <w:t xml:space="preserve"> E</w:t>
      </w:r>
      <w:r w:rsidR="009C5735">
        <w:t>-</w:t>
      </w:r>
      <w:r w:rsidR="000F7E09">
        <w:t xml:space="preserve">test strips used to test for azithromycin resistance </w:t>
      </w:r>
      <w:r w:rsidR="009C5735">
        <w:t xml:space="preserve">in the PBB studies, </w:t>
      </w:r>
      <w:r w:rsidR="000F7E09">
        <w:t>specif</w:t>
      </w:r>
      <w:r w:rsidR="009C5735">
        <w:t>ies</w:t>
      </w:r>
      <w:r w:rsidR="000F7E09">
        <w:t xml:space="preserve"> that </w:t>
      </w:r>
      <w:r w:rsidR="009C5735" w:rsidRPr="009C5735">
        <w:rPr>
          <w:i/>
          <w:iCs/>
        </w:rPr>
        <w:t>S. pneumoniae</w:t>
      </w:r>
      <w:r w:rsidR="009C5735">
        <w:t xml:space="preserve"> should be incubated in 4-6% CO</w:t>
      </w:r>
      <w:r w:rsidR="009C5735" w:rsidRPr="009C5735">
        <w:rPr>
          <w:vertAlign w:val="subscript"/>
        </w:rPr>
        <w:t>2</w:t>
      </w:r>
      <w:r w:rsidR="000F7E09">
        <w:t xml:space="preserve"> </w:t>
      </w:r>
      <w:r w:rsidR="009C5735">
        <w:t xml:space="preserve">when using </w:t>
      </w:r>
      <w:proofErr w:type="spellStart"/>
      <w:r w:rsidR="009C5735">
        <w:t>Bio</w:t>
      </w:r>
      <w:r w:rsidR="001719F1">
        <w:t>M</w:t>
      </w:r>
      <w:r w:rsidR="009C5735">
        <w:t>erieux</w:t>
      </w:r>
      <w:proofErr w:type="spellEnd"/>
      <w:r w:rsidR="009C5735">
        <w:t xml:space="preserve"> E-test strips</w:t>
      </w:r>
      <w:r w:rsidR="001719F1">
        <w:t xml:space="preserve"> </w:t>
      </w:r>
      <w:r w:rsidR="001719F1">
        <w:fldChar w:fldCharType="begin"/>
      </w:r>
      <w:r w:rsidR="001719F1">
        <w:instrText xml:space="preserve"> ADDIN EN.CITE &lt;EndNote&gt;&lt;Cite&gt;&lt;Author&gt;BioMerieux&lt;/Author&gt;&lt;Year&gt;2016&lt;/Year&gt;&lt;RecNum&gt;528&lt;/RecNum&gt;&lt;DisplayText&gt;(BioMerieux, 2016)&lt;/DisplayText&gt;&lt;record&gt;&lt;rec-number&gt;528&lt;/rec-number&gt;&lt;foreign-keys&gt;&lt;key app="EN" db-id="pr9rwt2w8padxcerwx6prd0a9wtda2w5fw2t" timestamp="1657033678"&gt;528&lt;/key&gt;&lt;/foreign-keys&gt;&lt;ref-type name="Report"&gt;27&lt;/ref-type&gt;&lt;contributors&gt;&lt;authors&gt;&lt;author&gt;BioMerieux, inc&lt;/author&gt;&lt;/authors&gt;&lt;/contributors&gt;&lt;titles&gt;&lt;title&gt;BioMerieux, ETEST Antimicrobial Susceptibility Testing&lt;/title&gt;&lt;secondary-title&gt;501658 - Azithromycin AZ 256 US F100&lt;/secondary-title&gt;&lt;/titles&gt;&lt;dates&gt;&lt;year&gt;2016&lt;/year&gt;&lt;/dates&gt;&lt;urls&gt;&lt;related-urls&gt;&lt;url&gt;https://resourcecenter.biomerieux.com/login&lt;/url&gt;&lt;/related-urls&gt;&lt;/urls&gt;&lt;access-date&gt;05/07/2022&lt;/access-date&gt;&lt;/record&gt;&lt;/Cite&gt;&lt;/EndNote&gt;</w:instrText>
      </w:r>
      <w:r w:rsidR="001719F1">
        <w:fldChar w:fldCharType="separate"/>
      </w:r>
      <w:r w:rsidR="001719F1">
        <w:rPr>
          <w:noProof/>
        </w:rPr>
        <w:t>(BioMerieux, 2016)</w:t>
      </w:r>
      <w:r w:rsidR="001719F1">
        <w:fldChar w:fldCharType="end"/>
      </w:r>
      <w:r w:rsidR="009C5735">
        <w:t xml:space="preserve">. </w:t>
      </w:r>
      <w:r w:rsidR="001719F1" w:rsidRPr="001719F1">
        <w:rPr>
          <w:i/>
          <w:iCs/>
        </w:rPr>
        <w:t>S. pneumoniae</w:t>
      </w:r>
      <w:r w:rsidR="001719F1">
        <w:t xml:space="preserve"> was incubated in 5% CO</w:t>
      </w:r>
      <w:r w:rsidR="001719F1" w:rsidRPr="001719F1">
        <w:rPr>
          <w:vertAlign w:val="subscript"/>
        </w:rPr>
        <w:t>2</w:t>
      </w:r>
      <w:r w:rsidR="001719F1">
        <w:rPr>
          <w:vertAlign w:val="subscript"/>
        </w:rPr>
        <w:t xml:space="preserve"> </w:t>
      </w:r>
      <w:r w:rsidR="001719F1">
        <w:t>for the PBB studies</w:t>
      </w:r>
      <w:r w:rsidR="00DB069C">
        <w:t xml:space="preserve"> hence it is unlikely that this a source of error</w:t>
      </w:r>
      <w:r w:rsidR="001719F1">
        <w:t xml:space="preserve">. </w:t>
      </w:r>
      <w:r w:rsidRPr="001E215B">
        <w:t xml:space="preserve">The margins of the zone diameters to determine erythromycin susceptibility of </w:t>
      </w:r>
      <w:r w:rsidRPr="001E215B">
        <w:rPr>
          <w:i/>
          <w:iCs/>
        </w:rPr>
        <w:t>S. pneumoniae</w:t>
      </w:r>
      <w:r w:rsidRPr="001E215B">
        <w:t xml:space="preserve"> using disk diffusion in our study were not </w:t>
      </w:r>
      <w:r w:rsidR="00E401F5">
        <w:t xml:space="preserve">small and </w:t>
      </w:r>
      <w:r w:rsidR="008F7725">
        <w:t xml:space="preserve">therefore not </w:t>
      </w:r>
      <w:r w:rsidR="00E401F5">
        <w:t>likely to have led to subjective measuring errors</w:t>
      </w:r>
      <w:r w:rsidRPr="001E215B">
        <w:t xml:space="preserve">. A zone diameter of &lt;19mm is used to determine resistance and a zone </w:t>
      </w:r>
      <w:r w:rsidRPr="001E215B">
        <w:rPr>
          <w:rFonts w:cstheme="minorHAnsi"/>
        </w:rPr>
        <w:t>≥</w:t>
      </w:r>
      <w:r w:rsidRPr="001E215B">
        <w:t xml:space="preserve"> 22mm to determine susceptibility</w:t>
      </w:r>
      <w:r w:rsidR="002326B5">
        <w:t xml:space="preserve"> </w:t>
      </w:r>
      <w:r w:rsidR="002326B5">
        <w:fldChar w:fldCharType="begin"/>
      </w:r>
      <w:r w:rsidR="004A398A">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2326B5">
        <w:fldChar w:fldCharType="separate"/>
      </w:r>
      <w:r w:rsidR="002326B5">
        <w:rPr>
          <w:noProof/>
        </w:rPr>
        <w:t>(EUCAST, 2022)</w:t>
      </w:r>
      <w:r w:rsidR="002326B5">
        <w:fldChar w:fldCharType="end"/>
      </w:r>
      <w:r w:rsidRPr="001E215B">
        <w:t xml:space="preserve">. All susceptible samples had a zone diameter </w:t>
      </w:r>
      <w:r w:rsidRPr="001E215B">
        <w:rPr>
          <w:rFonts w:cstheme="minorHAnsi"/>
        </w:rPr>
        <w:t xml:space="preserve">≥ 27mm </w:t>
      </w:r>
      <w:r w:rsidR="008F7725">
        <w:rPr>
          <w:rFonts w:cstheme="minorHAnsi"/>
        </w:rPr>
        <w:t xml:space="preserve">which is well above the 22mm breakpoint. These erythromycin susceptible isolates </w:t>
      </w:r>
      <w:r w:rsidRPr="001E215B">
        <w:rPr>
          <w:rFonts w:cstheme="minorHAnsi"/>
        </w:rPr>
        <w:t>includ</w:t>
      </w:r>
      <w:r w:rsidR="00A250C6">
        <w:rPr>
          <w:rFonts w:cstheme="minorHAnsi"/>
        </w:rPr>
        <w:t>e</w:t>
      </w:r>
      <w:r w:rsidRPr="001E215B">
        <w:rPr>
          <w:rFonts w:cstheme="minorHAnsi"/>
        </w:rPr>
        <w:t xml:space="preserve"> </w:t>
      </w:r>
      <w:r w:rsidR="00A250C6">
        <w:rPr>
          <w:rFonts w:cstheme="minorHAnsi"/>
        </w:rPr>
        <w:t xml:space="preserve">isolates </w:t>
      </w:r>
      <w:r w:rsidRPr="001E215B">
        <w:rPr>
          <w:rFonts w:cstheme="minorHAnsi"/>
        </w:rPr>
        <w:t xml:space="preserve">with an azithromycin MIC of 4 mg/L, representing an </w:t>
      </w:r>
      <w:r w:rsidR="00DB069C" w:rsidRPr="001E215B">
        <w:rPr>
          <w:rFonts w:cstheme="minorHAnsi"/>
        </w:rPr>
        <w:t>8-fold</w:t>
      </w:r>
      <w:r w:rsidRPr="001E215B">
        <w:rPr>
          <w:rFonts w:cstheme="minorHAnsi"/>
        </w:rPr>
        <w:t xml:space="preserve"> increase in MIC over that which determines azithromycin resistance. </w:t>
      </w:r>
      <w:r w:rsidR="00987843">
        <w:rPr>
          <w:rFonts w:cstheme="minorHAnsi"/>
        </w:rPr>
        <w:t xml:space="preserve">Subjective measuring errors are therefore again not likely. </w:t>
      </w:r>
    </w:p>
    <w:p w14:paraId="2FC4FAD3" w14:textId="428CCE44" w:rsidR="00B21CFD" w:rsidRPr="001E215B" w:rsidRDefault="00B21CFD" w:rsidP="0064056D">
      <w:pPr>
        <w:spacing w:after="160" w:line="360" w:lineRule="auto"/>
        <w:rPr>
          <w:rFonts w:cstheme="minorHAnsi"/>
        </w:rPr>
      </w:pPr>
      <w:r w:rsidRPr="001E215B">
        <w:rPr>
          <w:rFonts w:cstheme="minorHAnsi"/>
        </w:rPr>
        <w:t xml:space="preserve">Literature reporting macrolide resistance in </w:t>
      </w:r>
      <w:r w:rsidRPr="001E215B">
        <w:rPr>
          <w:rFonts w:cstheme="minorHAnsi"/>
          <w:i/>
          <w:iCs/>
        </w:rPr>
        <w:t>S. pneumoniae</w:t>
      </w:r>
      <w:r w:rsidRPr="001E215B">
        <w:rPr>
          <w:rFonts w:cstheme="minorHAnsi"/>
        </w:rPr>
        <w:t xml:space="preserve"> rarely </w:t>
      </w:r>
      <w:r w:rsidR="00DB069C">
        <w:rPr>
          <w:rFonts w:cstheme="minorHAnsi"/>
        </w:rPr>
        <w:t>document</w:t>
      </w:r>
      <w:r w:rsidRPr="001E215B">
        <w:rPr>
          <w:rFonts w:cstheme="minorHAnsi"/>
        </w:rPr>
        <w:t xml:space="preserve"> comparisons between individual macrolides given that erythromycin resistance </w:t>
      </w:r>
      <w:r w:rsidR="00DB069C">
        <w:rPr>
          <w:rFonts w:cstheme="minorHAnsi"/>
        </w:rPr>
        <w:t>has been said to be a valid</w:t>
      </w:r>
      <w:r w:rsidRPr="001E215B">
        <w:rPr>
          <w:rFonts w:cstheme="minorHAnsi"/>
        </w:rPr>
        <w:t xml:space="preserve"> surrogate marker for other macrolide resistance</w:t>
      </w:r>
      <w:r w:rsidR="002326B5">
        <w:rPr>
          <w:rFonts w:cstheme="minorHAnsi"/>
        </w:rPr>
        <w:t xml:space="preserve"> </w:t>
      </w:r>
      <w:r w:rsidR="002326B5">
        <w:rPr>
          <w:rFonts w:cstheme="minorHAnsi"/>
        </w:rPr>
        <w:fldChar w:fldCharType="begin"/>
      </w:r>
      <w:r w:rsidR="004A398A">
        <w:rPr>
          <w:rFonts w:cstheme="minorHAnsi"/>
        </w:rPr>
        <w:instrText xml:space="preserve"> ADDIN EN.CITE &lt;EndNote&gt;&lt;Cite&gt;&lt;Author&gt;EUCAST&lt;/Author&gt;&lt;Year&gt;2022&lt;/Year&gt;&lt;RecNum&gt;529&lt;/RecNum&gt;&lt;DisplayText&gt;(EUCAST, 2022)&lt;/DisplayText&gt;&lt;record&gt;&lt;rec-number&gt;529&lt;/rec-number&gt;&lt;foreign-keys&gt;&lt;key app="EN" db-id="pr9rwt2w8padxcerwx6prd0a9wtda2w5fw2t" timestamp="1657035344"&gt;529&lt;/key&gt;&lt;/foreign-keys&gt;&lt;ref-type name="Web Page"&gt;12&lt;/ref-type&gt;&lt;contributors&gt;&lt;authors&gt;&lt;author&gt;EUCAST&lt;/author&gt;&lt;/authors&gt;&lt;secondary-authors&gt;&lt;author&gt;European Committee on Antimicrobial Susceptibility Testing&lt;/author&gt;&lt;/secondary-authors&gt;&lt;/contributors&gt;&lt;titles&gt;&lt;title&gt;Clinical breakpoints - breakpoints and guidance&lt;/title&gt;&lt;/titles&gt;&lt;number&gt;05/07/2022&lt;/number&gt;&lt;dates&gt;&lt;year&gt;2022&lt;/year&gt;&lt;/dates&gt;&lt;urls&gt;&lt;related-urls&gt;&lt;url&gt;https://www.eucast.org/clinical_breakpoints/&lt;/url&gt;&lt;/related-urls&gt;&lt;/urls&gt;&lt;access-date&gt;05/07/2022&lt;/access-date&gt;&lt;/record&gt;&lt;/Cite&gt;&lt;/EndNote&gt;</w:instrText>
      </w:r>
      <w:r w:rsidR="002326B5">
        <w:rPr>
          <w:rFonts w:cstheme="minorHAnsi"/>
        </w:rPr>
        <w:fldChar w:fldCharType="separate"/>
      </w:r>
      <w:r w:rsidR="002326B5">
        <w:rPr>
          <w:rFonts w:cstheme="minorHAnsi"/>
          <w:noProof/>
        </w:rPr>
        <w:t>(EUCAST, 2022)</w:t>
      </w:r>
      <w:r w:rsidR="002326B5">
        <w:rPr>
          <w:rFonts w:cstheme="minorHAnsi"/>
        </w:rPr>
        <w:fldChar w:fldCharType="end"/>
      </w:r>
      <w:r w:rsidRPr="001E215B">
        <w:rPr>
          <w:rFonts w:cstheme="minorHAnsi"/>
        </w:rPr>
        <w:t xml:space="preserve">. </w:t>
      </w:r>
      <w:proofErr w:type="spellStart"/>
      <w:r w:rsidRPr="001E215B">
        <w:rPr>
          <w:rFonts w:cstheme="minorHAnsi"/>
        </w:rPr>
        <w:t>Mosleh</w:t>
      </w:r>
      <w:proofErr w:type="spellEnd"/>
      <w:r w:rsidRPr="001E215B">
        <w:rPr>
          <w:rFonts w:cstheme="minorHAnsi"/>
        </w:rPr>
        <w:t xml:space="preserve"> et al. investigated local </w:t>
      </w:r>
      <w:r w:rsidRPr="001E215B">
        <w:rPr>
          <w:rFonts w:cstheme="minorHAnsi"/>
          <w:i/>
          <w:iCs/>
        </w:rPr>
        <w:t>S. pneumoniae</w:t>
      </w:r>
      <w:r w:rsidRPr="001E215B">
        <w:rPr>
          <w:rFonts w:cstheme="minorHAnsi"/>
        </w:rPr>
        <w:t xml:space="preserve"> macrolide resistance in Hamadan (Iran). They report that of the 55 </w:t>
      </w:r>
      <w:r w:rsidRPr="00F70990">
        <w:rPr>
          <w:rFonts w:cstheme="minorHAnsi"/>
          <w:i/>
          <w:iCs/>
        </w:rPr>
        <w:t>S. pneumoniae</w:t>
      </w:r>
      <w:r w:rsidRPr="001E215B">
        <w:rPr>
          <w:rFonts w:cstheme="minorHAnsi"/>
        </w:rPr>
        <w:t xml:space="preserve"> isolates obtained from clinical samples, 25.5% were resistant to erythromycin, 18.2% to clarithromycin and 16.4% resistant to azithromycin (susceptibility testing using E-tests)</w:t>
      </w:r>
      <w:r w:rsidR="00DB069C">
        <w:rPr>
          <w:rFonts w:cstheme="minorHAnsi"/>
        </w:rPr>
        <w:t xml:space="preserve"> </w:t>
      </w:r>
      <w:r w:rsidRPr="001E215B">
        <w:rPr>
          <w:rFonts w:cstheme="minorHAnsi"/>
        </w:rPr>
        <w:fldChar w:fldCharType="begin"/>
      </w:r>
      <w:r w:rsidR="00EE22EB">
        <w:rPr>
          <w:rFonts w:cstheme="minorHAnsi"/>
        </w:rPr>
        <w:instrText xml:space="preserve"> ADDIN EN.CITE &lt;EndNote&gt;&lt;Cite&gt;&lt;Author&gt;Mosleh&lt;/Author&gt;&lt;Year&gt;2014&lt;/Year&gt;&lt;RecNum&gt;451&lt;/RecNum&gt;&lt;DisplayText&gt;(Mosleh et al., 2014)&lt;/DisplayText&gt;&lt;record&gt;&lt;rec-number&gt;451&lt;/rec-number&gt;&lt;foreign-keys&gt;&lt;key app="EN" db-id="pr9rwt2w8padxcerwx6prd0a9wtda2w5fw2t" timestamp="1648583868"&gt;451&lt;/key&gt;&lt;/foreign-keys&gt;&lt;ref-type name="Journal Article"&gt;17&lt;/ref-type&gt;&lt;contributors&gt;&lt;authors&gt;&lt;author&gt;Mosleh, Mohammad Najafi&lt;/author&gt;&lt;author&gt;Gharibi, Marzieh&lt;/author&gt;&lt;author&gt;Alikhani, Mohammad Yousef&lt;/author&gt;&lt;author&gt;Saidijam, Massoud&lt;/author&gt;&lt;author&gt;Vakhshiteh, Faezeh&lt;/author&gt;&lt;/authors&gt;&lt;/contributors&gt;&lt;titles&gt;&lt;title&gt;Antimicrobial susceptibility and analysis of macrolide resistance genes in Streptococcus pneumoniae isolated in Hamadan&lt;/title&gt;&lt;secondary-title&gt;Iranian journal of basic medical sciences&lt;/secondary-title&gt;&lt;alt-title&gt;Iran J Basic Med Sci&lt;/alt-title&gt;&lt;/titles&gt;&lt;periodical&gt;&lt;full-title&gt;Iranian journal of basic medical sciences&lt;/full-title&gt;&lt;abbr-1&gt;Iran J Basic Med Sci&lt;/abbr-1&gt;&lt;/periodical&gt;&lt;alt-periodical&gt;&lt;full-title&gt;Iranian journal of basic medical sciences&lt;/full-title&gt;&lt;abbr-1&gt;Iran J Basic Med Sci&lt;/abbr-1&gt;&lt;/alt-periodical&gt;&lt;pages&gt;595-599&lt;/pages&gt;&lt;volume&gt;17&lt;/volume&gt;&lt;number&gt;8&lt;/number&gt;&lt;keywords&gt;&lt;keyword&gt;Antibiotic resistance&lt;/keyword&gt;&lt;keyword&gt;Autolysin gene&lt;/keyword&gt;&lt;keyword&gt;Macrolide&lt;/keyword&gt;&lt;keyword&gt;PCR&lt;/keyword&gt;&lt;keyword&gt;Streptococcus pneumoniae&lt;/keyword&gt;&lt;/keywords&gt;&lt;dates&gt;&lt;year&gt;2014&lt;/year&gt;&lt;/dates&gt;&lt;publisher&gt;Mashhad University of Medical Sciences&lt;/publisher&gt;&lt;isbn&gt;2008-3866&amp;#xD;2008-3874&lt;/isbn&gt;&lt;accession-num&gt;25422753&lt;/accession-num&gt;&lt;urls&gt;&lt;related-urls&gt;&lt;url&gt;https://pubmed.ncbi.nlm.nih.gov/25422753&lt;/url&gt;&lt;/related-urls&gt;&lt;/urls&gt;&lt;remote-database-name&gt;PubMed&lt;/remote-database-name&gt;&lt;language&gt;eng&lt;/language&gt;&lt;/record&gt;&lt;/Cite&gt;&lt;/EndNote&gt;</w:instrText>
      </w:r>
      <w:r w:rsidRPr="001E215B">
        <w:rPr>
          <w:rFonts w:cstheme="minorHAnsi"/>
        </w:rPr>
        <w:fldChar w:fldCharType="separate"/>
      </w:r>
      <w:r w:rsidR="00EE22EB">
        <w:rPr>
          <w:rFonts w:cstheme="minorHAnsi"/>
          <w:noProof/>
        </w:rPr>
        <w:t>(Mosleh et al., 2014)</w:t>
      </w:r>
      <w:r w:rsidRPr="001E215B">
        <w:rPr>
          <w:rFonts w:cstheme="minorHAnsi"/>
        </w:rPr>
        <w:fldChar w:fldCharType="end"/>
      </w:r>
      <w:r w:rsidRPr="001E215B">
        <w:rPr>
          <w:rFonts w:cstheme="minorHAnsi"/>
        </w:rPr>
        <w:t xml:space="preserve">. Genotypic data </w:t>
      </w:r>
      <w:r w:rsidR="00DB069C">
        <w:rPr>
          <w:rFonts w:cstheme="minorHAnsi"/>
        </w:rPr>
        <w:t xml:space="preserve">from this study </w:t>
      </w:r>
      <w:r w:rsidRPr="001E215B">
        <w:rPr>
          <w:rFonts w:cstheme="minorHAnsi"/>
        </w:rPr>
        <w:t xml:space="preserve">showed </w:t>
      </w:r>
      <w:proofErr w:type="spellStart"/>
      <w:r w:rsidRPr="001E215B">
        <w:rPr>
          <w:rFonts w:cstheme="minorHAnsi"/>
        </w:rPr>
        <w:t>ermB</w:t>
      </w:r>
      <w:proofErr w:type="spellEnd"/>
      <w:r w:rsidRPr="001E215B">
        <w:rPr>
          <w:rFonts w:cstheme="minorHAnsi"/>
        </w:rPr>
        <w:t xml:space="preserve"> to be present in 10.9% (6 samples) and </w:t>
      </w:r>
      <w:proofErr w:type="spellStart"/>
      <w:r w:rsidRPr="001E215B">
        <w:rPr>
          <w:rFonts w:cstheme="minorHAnsi"/>
        </w:rPr>
        <w:t>mefA</w:t>
      </w:r>
      <w:proofErr w:type="spellEnd"/>
      <w:r w:rsidRPr="001E215B">
        <w:rPr>
          <w:rFonts w:cstheme="minorHAnsi"/>
        </w:rPr>
        <w:t xml:space="preserve"> in 18.2% (10 samples). The Survey of Antibiotic Resistance (SOAR) is an international antimicrobial surveillance study focussing on respiratory pathogens across a variety of countries in the Middle East, Latin America and Asia-Pacific. </w:t>
      </w:r>
      <w:r w:rsidR="00DB069C" w:rsidRPr="001E215B">
        <w:rPr>
          <w:rFonts w:cstheme="minorHAnsi"/>
        </w:rPr>
        <w:t>Pakistan</w:t>
      </w:r>
      <w:r w:rsidR="00DB069C">
        <w:rPr>
          <w:rFonts w:cstheme="minorHAnsi"/>
        </w:rPr>
        <w:t>i m</w:t>
      </w:r>
      <w:r w:rsidRPr="001E215B">
        <w:rPr>
          <w:rFonts w:cstheme="minorHAnsi"/>
        </w:rPr>
        <w:t xml:space="preserve">acrolide resistance data in </w:t>
      </w:r>
      <w:r w:rsidRPr="001E215B">
        <w:rPr>
          <w:rFonts w:cstheme="minorHAnsi"/>
          <w:i/>
          <w:iCs/>
        </w:rPr>
        <w:t>S. pneumoniae</w:t>
      </w:r>
      <w:r w:rsidRPr="001E215B">
        <w:rPr>
          <w:rFonts w:cstheme="minorHAnsi"/>
        </w:rPr>
        <w:t xml:space="preserve"> isolates obtained from non-hospitalised patients with community acquired respiratory tract infections, was reported in 2004-2006 for 3 macrolides with 12.8% erythromycin resistance, 9.8% azithromycin resistance and 9.2% clarithromycin resistance (180 samples analysed using E-test strips) </w:t>
      </w:r>
      <w:r w:rsidRPr="001E215B">
        <w:rPr>
          <w:rFonts w:cstheme="minorHAnsi"/>
        </w:rPr>
        <w:fldChar w:fldCharType="begin">
          <w:fldData xml:space="preserve">PEVuZE5vdGU+PENpdGU+PEF1dGhvcj5aYWZhcjwvQXV0aG9yPjxZZWFyPjIwMTY8L1llYXI+PFJl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</w:fldData>
        </w:fldChar>
      </w:r>
      <w:r w:rsidR="00EE22EB">
        <w:rPr>
          <w:rFonts w:cstheme="minorHAnsi"/>
        </w:rPr>
        <w:instrText xml:space="preserve"> ADDIN EN.CITE </w:instrText>
      </w:r>
      <w:r w:rsidR="00EE22EB">
        <w:rPr>
          <w:rFonts w:cstheme="minorHAnsi"/>
        </w:rPr>
        <w:fldChar w:fldCharType="begin">
          <w:fldData xml:space="preserve">PEVuZE5vdGU+PENpdGU+PEF1dGhvcj5aYWZhcjwvQXV0aG9yPjxZZWFyPjIwMTY8L1llYXI+PFJl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</w:fldData>
        </w:fldChar>
      </w:r>
      <w:r w:rsidR="00EE22EB">
        <w:rPr>
          <w:rFonts w:cstheme="minorHAnsi"/>
        </w:rPr>
        <w:instrText xml:space="preserve"> ADDIN EN.CITE.DATA </w:instrText>
      </w:r>
      <w:r w:rsidR="00EE22EB">
        <w:rPr>
          <w:rFonts w:cstheme="minorHAnsi"/>
        </w:rPr>
      </w:r>
      <w:r w:rsidR="00EE22EB">
        <w:rPr>
          <w:rFonts w:cstheme="minorHAnsi"/>
        </w:rPr>
        <w:fldChar w:fldCharType="end"/>
      </w:r>
      <w:r w:rsidRPr="001E215B">
        <w:rPr>
          <w:rFonts w:cstheme="minorHAnsi"/>
        </w:rPr>
      </w:r>
      <w:r w:rsidRPr="001E215B">
        <w:rPr>
          <w:rFonts w:cstheme="minorHAnsi"/>
        </w:rPr>
        <w:fldChar w:fldCharType="separate"/>
      </w:r>
      <w:r w:rsidR="00EE22EB">
        <w:rPr>
          <w:rFonts w:cstheme="minorHAnsi"/>
          <w:noProof/>
        </w:rPr>
        <w:t>(Zafar et al., 2016)</w:t>
      </w:r>
      <w:r w:rsidRPr="001E215B">
        <w:rPr>
          <w:rFonts w:cstheme="minorHAnsi"/>
        </w:rPr>
        <w:fldChar w:fldCharType="end"/>
      </w:r>
      <w:r w:rsidRPr="001E215B">
        <w:rPr>
          <w:rFonts w:cstheme="minorHAnsi"/>
        </w:rPr>
        <w:t xml:space="preserve">. SOAR data from the Kuwait and Saudi Arabia 2015-2017 reported </w:t>
      </w:r>
      <w:r w:rsidRPr="001E215B">
        <w:rPr>
          <w:rFonts w:cstheme="minorHAnsi"/>
          <w:i/>
          <w:iCs/>
        </w:rPr>
        <w:t>S. pneumoniae</w:t>
      </w:r>
      <w:r w:rsidRPr="001E215B">
        <w:rPr>
          <w:rFonts w:cstheme="minorHAnsi"/>
        </w:rPr>
        <w:t xml:space="preserve"> resistance to 3 macrolides; Kuwait erythromycin 58.%, azithromycin 57.3% and clarithromycin 57.3% resistance (82 samples using broth dilution); Saudi Arabia</w:t>
      </w:r>
      <w:r w:rsidR="00B66CD5">
        <w:rPr>
          <w:rFonts w:cstheme="minorHAnsi"/>
        </w:rPr>
        <w:t>,</w:t>
      </w:r>
      <w:r w:rsidRPr="001E215B">
        <w:rPr>
          <w:rFonts w:cstheme="minorHAnsi"/>
        </w:rPr>
        <w:t xml:space="preserve"> all 3 macrolide</w:t>
      </w:r>
      <w:r w:rsidR="00B66CD5">
        <w:rPr>
          <w:rFonts w:cstheme="minorHAnsi"/>
        </w:rPr>
        <w:t>s</w:t>
      </w:r>
      <w:r w:rsidRPr="001E215B">
        <w:rPr>
          <w:rFonts w:cstheme="minorHAnsi"/>
        </w:rPr>
        <w:t xml:space="preserve"> 47.2% resistance (36 samples) </w:t>
      </w:r>
      <w:r w:rsidRPr="001E215B">
        <w:rPr>
          <w:rFonts w:cstheme="minorHAnsi"/>
        </w:rPr>
        <w:fldChar w:fldCharType="begin">
          <w:fldData xml:space="preserve">PEVuZE5vdGU+PENpdGU+PEF1dGhvcj5Ub3J1bWt1bmV5PC9BdXRob3I+PFllYXI+MjAyMDwvWWVh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</w:fldData>
        </w:fldChar>
      </w:r>
      <w:r w:rsidR="00EE22EB">
        <w:rPr>
          <w:rFonts w:cstheme="minorHAnsi"/>
        </w:rPr>
        <w:instrText xml:space="preserve"> ADDIN EN.CITE </w:instrText>
      </w:r>
      <w:r w:rsidR="00EE22EB">
        <w:rPr>
          <w:rFonts w:cstheme="minorHAnsi"/>
        </w:rPr>
        <w:fldChar w:fldCharType="begin">
          <w:fldData xml:space="preserve">PEVuZE5vdGU+PENpdGU+PEF1dGhvcj5Ub3J1bWt1bmV5PC9BdXRob3I+PFllYXI+MjAyMDwvWWVh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</w:fldData>
        </w:fldChar>
      </w:r>
      <w:r w:rsidR="00EE22EB">
        <w:rPr>
          <w:rFonts w:cstheme="minorHAnsi"/>
        </w:rPr>
        <w:instrText xml:space="preserve"> ADDIN EN.CITE.DATA </w:instrText>
      </w:r>
      <w:r w:rsidR="00EE22EB">
        <w:rPr>
          <w:rFonts w:cstheme="minorHAnsi"/>
        </w:rPr>
      </w:r>
      <w:r w:rsidR="00EE22EB">
        <w:rPr>
          <w:rFonts w:cstheme="minorHAnsi"/>
        </w:rPr>
        <w:fldChar w:fldCharType="end"/>
      </w:r>
      <w:r w:rsidRPr="001E215B">
        <w:rPr>
          <w:rFonts w:cstheme="minorHAnsi"/>
        </w:rPr>
      </w:r>
      <w:r w:rsidRPr="001E215B">
        <w:rPr>
          <w:rFonts w:cstheme="minorHAnsi"/>
        </w:rPr>
        <w:fldChar w:fldCharType="separate"/>
      </w:r>
      <w:r w:rsidR="00EE22EB">
        <w:rPr>
          <w:rFonts w:cstheme="minorHAnsi"/>
          <w:noProof/>
        </w:rPr>
        <w:t>(Torumkuney et al., 2020)</w:t>
      </w:r>
      <w:r w:rsidRPr="001E215B">
        <w:rPr>
          <w:rFonts w:cstheme="minorHAnsi"/>
        </w:rPr>
        <w:fldChar w:fldCharType="end"/>
      </w:r>
      <w:r w:rsidRPr="001E215B">
        <w:rPr>
          <w:rFonts w:cstheme="minorHAnsi"/>
        </w:rPr>
        <w:t xml:space="preserve">. </w:t>
      </w:r>
      <w:r w:rsidR="00E401F5">
        <w:rPr>
          <w:rFonts w:cstheme="minorHAnsi"/>
        </w:rPr>
        <w:t>Thus a</w:t>
      </w:r>
      <w:r w:rsidR="00E401F5" w:rsidRPr="001E215B">
        <w:rPr>
          <w:rFonts w:cstheme="minorHAnsi"/>
        </w:rPr>
        <w:t xml:space="preserve">cross </w:t>
      </w:r>
      <w:r w:rsidRPr="001E215B">
        <w:rPr>
          <w:rFonts w:cstheme="minorHAnsi"/>
        </w:rPr>
        <w:t xml:space="preserve">different countries and different time points, only slight discrepancies </w:t>
      </w:r>
      <w:r w:rsidRPr="001E215B">
        <w:rPr>
          <w:rFonts w:cstheme="minorHAnsi"/>
        </w:rPr>
        <w:lastRenderedPageBreak/>
        <w:t xml:space="preserve">between the percentage of resistant </w:t>
      </w:r>
      <w:r w:rsidRPr="001E215B">
        <w:rPr>
          <w:rFonts w:cstheme="minorHAnsi"/>
          <w:i/>
          <w:iCs/>
        </w:rPr>
        <w:t>S. pneumoniae</w:t>
      </w:r>
      <w:r w:rsidRPr="001E215B">
        <w:rPr>
          <w:rFonts w:cstheme="minorHAnsi"/>
        </w:rPr>
        <w:t xml:space="preserve"> isolates are reported for the 3 different macrolide</w:t>
      </w:r>
      <w:r w:rsidR="00B66CD5">
        <w:rPr>
          <w:rFonts w:cstheme="minorHAnsi"/>
        </w:rPr>
        <w:t>s</w:t>
      </w:r>
      <w:r w:rsidRPr="001E215B">
        <w:rPr>
          <w:rFonts w:cstheme="minorHAnsi"/>
        </w:rPr>
        <w:t xml:space="preserve"> with isolates generally being more resistant to erythromycin than later generation macrolides</w:t>
      </w:r>
      <w:r w:rsidR="00ED1242">
        <w:rPr>
          <w:rFonts w:cstheme="minorHAnsi"/>
        </w:rPr>
        <w:t xml:space="preserve"> such as azithromycin</w:t>
      </w:r>
      <w:r w:rsidRPr="001E215B">
        <w:rPr>
          <w:rFonts w:cstheme="minorHAnsi"/>
        </w:rPr>
        <w:t xml:space="preserve">. </w:t>
      </w:r>
      <w:r w:rsidR="00E401F5">
        <w:rPr>
          <w:rFonts w:cstheme="minorHAnsi"/>
        </w:rPr>
        <w:t>The finding from PBB study 3 of apparent azithromycin resistance together with erythromycin sensitivity is thus very unexpected.</w:t>
      </w:r>
    </w:p>
    <w:p w14:paraId="091ACC65" w14:textId="5FC46568" w:rsidR="00B21CFD" w:rsidRDefault="00B21CFD" w:rsidP="0064056D">
      <w:pPr>
        <w:spacing w:after="160" w:line="360" w:lineRule="auto"/>
      </w:pPr>
      <w:r w:rsidRPr="001E215B">
        <w:t xml:space="preserve">As per the EUCAST guidelines, erythromycin </w:t>
      </w:r>
      <w:r w:rsidR="00DB069C" w:rsidRPr="001E215B">
        <w:t xml:space="preserve">susceptibility in </w:t>
      </w:r>
      <w:r w:rsidR="00DB069C" w:rsidRPr="001E215B">
        <w:rPr>
          <w:i/>
          <w:iCs/>
        </w:rPr>
        <w:t xml:space="preserve">S. pneumoniae </w:t>
      </w:r>
      <w:r w:rsidR="00DB069C">
        <w:t>can be</w:t>
      </w:r>
      <w:r w:rsidRPr="001E215B">
        <w:t xml:space="preserve"> used to </w:t>
      </w:r>
      <w:r w:rsidR="00DB069C">
        <w:t xml:space="preserve">infer </w:t>
      </w:r>
      <w:r w:rsidRPr="001E215B">
        <w:t xml:space="preserve">susceptibility to </w:t>
      </w:r>
      <w:r w:rsidR="00DB069C">
        <w:t>other macrolides</w:t>
      </w:r>
      <w:r w:rsidRPr="001E215B">
        <w:t xml:space="preserve"> </w:t>
      </w:r>
      <w:r w:rsidRPr="001E215B">
        <w:rPr>
          <w:i/>
          <w:iCs/>
        </w:rPr>
        <w:fldChar w:fldCharType="begin"/>
      </w:r>
      <w:r w:rsidR="00185170">
        <w:rPr>
          <w:i/>
          <w:iCs/>
        </w:rPr>
        <w:instrText xml:space="preserve"> ADDIN EN.CITE &lt;EndNote&gt;&lt;Cite&gt;&lt;Author&gt;EUCAST&lt;/Author&gt;&lt;Year&gt;2021&lt;/Year&gt;&lt;RecNum&gt;385&lt;/RecNum&gt;&lt;DisplayText&gt;(EUCAST, 2021)&lt;/DisplayText&gt;&lt;record&gt;&lt;rec-number&gt;385&lt;/rec-number&gt;&lt;foreign-keys&gt;&lt;key app="EN" db-id="pr9rwt2w8padxcerwx6prd0a9wtda2w5fw2t" timestamp="1629989844"&gt;385&lt;/key&gt;&lt;/foreign-keys&gt;&lt;ref-type name="Web Page"&gt;12&lt;/ref-type&gt;&lt;contributors&gt;&lt;authors&gt;&lt;author&gt;EUCAST&lt;/author&gt;&lt;/authors&gt;&lt;/contributors&gt;&lt;titles&gt;&lt;title&gt;Clinical breakpoints - breakpoints and guidance&lt;/title&gt;&lt;/titles&gt;&lt;number&gt;12/12/2021&lt;/number&gt;&lt;dates&gt;&lt;year&gt;2021&lt;/year&gt;&lt;/dates&gt;&lt;pub-location&gt;European Society of Clinical Microbiology and Infectious Diseases&lt;/pub-location&gt;&lt;urls&gt;&lt;/urls&gt;&lt;/record&gt;&lt;/Cite&gt;&lt;/EndNote&gt;</w:instrText>
      </w:r>
      <w:r w:rsidRPr="001E215B">
        <w:rPr>
          <w:i/>
          <w:iCs/>
        </w:rPr>
        <w:fldChar w:fldCharType="separate"/>
      </w:r>
      <w:r w:rsidRPr="001E215B">
        <w:rPr>
          <w:i/>
          <w:iCs/>
          <w:noProof/>
        </w:rPr>
        <w:t>(EUCAST, 2021)</w:t>
      </w:r>
      <w:r w:rsidRPr="001E215B">
        <w:rPr>
          <w:i/>
          <w:iCs/>
        </w:rPr>
        <w:fldChar w:fldCharType="end"/>
      </w:r>
      <w:r w:rsidRPr="001E215B">
        <w:t xml:space="preserve">. A 2 fold increase in MIC from 0.5 to 1mg/L may not be clinically relevant given that there is intracellular accumulation of azithromycin in cells such alveolar macrophages and the fact that MICs are set conservatively. Knowing that there is an </w:t>
      </w:r>
      <w:r w:rsidR="00DB069C" w:rsidRPr="001E215B">
        <w:t>8-fold</w:t>
      </w:r>
      <w:r w:rsidRPr="001E215B">
        <w:t xml:space="preserve"> increase in the azithromycin MIC </w:t>
      </w:r>
      <w:r w:rsidR="00E401F5">
        <w:t>might</w:t>
      </w:r>
      <w:r w:rsidR="00E401F5" w:rsidRPr="001E215B">
        <w:t xml:space="preserve"> </w:t>
      </w:r>
      <w:r w:rsidRPr="001E215B">
        <w:t>however change the choice of antibiotic used</w:t>
      </w:r>
      <w:r w:rsidR="00DB069C">
        <w:t xml:space="preserve"> (personal communication, Professor David Partridge, STH microbiology</w:t>
      </w:r>
      <w:r w:rsidR="00594A27">
        <w:t>, who is responsible for clinical advise regarding antibiotic choices based on MIC data</w:t>
      </w:r>
      <w:r w:rsidR="00DB069C">
        <w:t>)</w:t>
      </w:r>
      <w:r w:rsidRPr="001E215B">
        <w:t xml:space="preserve">. From an antimicrobial stewardship perspective, the use of a potentially subtherapeutic antibiotic </w:t>
      </w:r>
      <w:r w:rsidR="00DB069C">
        <w:t>could</w:t>
      </w:r>
      <w:r w:rsidRPr="001E215B">
        <w:t xml:space="preserve"> </w:t>
      </w:r>
      <w:r w:rsidR="00DB069C">
        <w:t>further</w:t>
      </w:r>
      <w:r w:rsidRPr="001E215B">
        <w:t xml:space="preserve"> drive azithromycin resistance. This is particularly pertinent given the increased use of azithromycin during the COVID-19 pandemic </w:t>
      </w:r>
      <w:r w:rsidRPr="001E215B">
        <w:fldChar w:fldCharType="begin"/>
      </w:r>
      <w:r w:rsidR="00CD2C33">
        <w:instrText xml:space="preserve"> ADDIN EN.CITE &lt;EndNote&gt;&lt;Cite&gt;&lt;Author&gt;Abdelmalek&lt;/Author&gt;&lt;Year&gt;2022&lt;/Year&gt;&lt;RecNum&gt;424&lt;/RecNum&gt;&lt;DisplayText&gt;(Abdelmalek et al., 2022)&lt;/DisplayText&gt;&lt;record&gt;&lt;rec-number&gt;424&lt;/rec-number&gt;&lt;foreign-keys&gt;&lt;key app="EN" db-id="pr9rwt2w8padxcerwx6prd0a9wtda2w5fw2t" timestamp="1648129331"&gt;424&lt;/key&gt;&lt;/foreign-keys&gt;&lt;ref-type name="Journal Article"&gt;17&lt;/ref-type&gt;&lt;contributors&gt;&lt;authors&gt;&lt;author&gt;Abdelmalek, S. M. A.&lt;/author&gt;&lt;author&gt;Mousa, A.&lt;/author&gt;&lt;/authors&gt;&lt;/contributors&gt;&lt;auth-address&gt;Department of Pharmacology and Biomedical Sciences, Faculty of Pharmacy and Medical Sciences, University of Petra, Amman, Jordan.&lt;/auth-address&gt;&lt;titles&gt;&lt;title&gt;Azithromycin Misuse During the COVID-19 Pandemic: A Cross-Sectional Study from Jordan&lt;/title&gt;&lt;secondary-title&gt;Infect Drug Resist&lt;/secondary-title&gt;&lt;/titles&gt;&lt;periodical&gt;&lt;full-title&gt;Infection and drug resistance&lt;/full-title&gt;&lt;abbr-1&gt;Infect Drug Resist&lt;/abbr-1&gt;&lt;/periodical&gt;&lt;pages&gt;747-755&lt;/pages&gt;&lt;volume&gt;15&lt;/volume&gt;&lt;edition&gt;2022/03/11&lt;/edition&gt;&lt;keywords&gt;&lt;keyword&gt;Covid-19&lt;/keyword&gt;&lt;keyword&gt;Jordan&lt;/keyword&gt;&lt;keyword&gt;azithromycin&lt;/keyword&gt;&lt;keyword&gt;bacterial resistance&lt;/keyword&gt;&lt;keyword&gt;misuse&lt;/keyword&gt;&lt;keyword&gt;prescription&lt;/keyword&gt;&lt;keyword&gt;sales&lt;/keyword&gt;&lt;keyword&gt;social media&lt;/keyword&gt;&lt;/keywords&gt;&lt;dates&gt;&lt;year&gt;2022&lt;/year&gt;&lt;/dates&gt;&lt;isbn&gt;1178-6973 (Print)&amp;#xD;1178-6973&lt;/isbn&gt;&lt;accession-num&gt;35264858&lt;/accession-num&gt;&lt;urls&gt;&lt;/urls&gt;&lt;custom2&gt;PMC8900634&lt;/custom2&gt;&lt;electronic-resource-num&gt;10.2147/idr.S351827&lt;/electronic-resource-num&gt;&lt;remote-database-provider&gt;NLM&lt;/remote-database-provider&gt;&lt;language&gt;eng&lt;/language&gt;&lt;/record&gt;&lt;/Cite&gt;&lt;/EndNote&gt;</w:instrText>
      </w:r>
      <w:r w:rsidRPr="001E215B">
        <w:fldChar w:fldCharType="separate"/>
      </w:r>
      <w:r w:rsidR="00CD2C33">
        <w:rPr>
          <w:noProof/>
        </w:rPr>
        <w:t>(Abdelmalek et al., 2022)</w:t>
      </w:r>
      <w:r w:rsidRPr="001E215B">
        <w:fldChar w:fldCharType="end"/>
      </w:r>
      <w:r w:rsidRPr="001E215B">
        <w:t xml:space="preserve"> </w:t>
      </w:r>
      <w:r w:rsidRPr="001E215B">
        <w:fldChar w:fldCharType="begin"/>
      </w:r>
      <w:r w:rsidRPr="001E215B">
        <w:instrText xml:space="preserve"> ADDIN EN.CITE &lt;EndNote&gt;&lt;Cite&gt;&lt;Author&gt;Taylor&lt;/Author&gt;&lt;Year&gt;2021&lt;/Year&gt;&lt;RecNum&gt;425&lt;/RecNum&gt;&lt;DisplayText&gt;(Taylor, 2021)&lt;/DisplayText&gt;&lt;record&gt;&lt;rec-number&gt;425&lt;/rec-number&gt;&lt;foreign-keys&gt;&lt;key app="EN" db-id="pr9rwt2w8padxcerwx6prd0a9wtda2w5fw2t" timestamp="1648129641"&gt;425&lt;/key&gt;&lt;/foreign-keys&gt;&lt;ref-type name="Journal Article"&gt;17&lt;/ref-type&gt;&lt;contributors&gt;&lt;authors&gt;&lt;author&gt;Taylor, Luke&lt;/author&gt;&lt;/authors&gt;&lt;/contributors&gt;&lt;titles&gt;&lt;title&gt;Covid-19: Antimicrobial misuse in Americas sees drug resistant infections surge, says WHO&lt;/title&gt;&lt;secondary-title&gt;BMJ&lt;/secondary-title&gt;&lt;/titles&gt;&lt;periodical&gt;&lt;full-title&gt;BMJ&lt;/full-title&gt;&lt;/periodical&gt;&lt;pages&gt;n2845&lt;/pages&gt;&lt;volume&gt;375&lt;/volume&gt;&lt;dates&gt;&lt;year&gt;2021&lt;/year&gt;&lt;/dates&gt;&lt;urls&gt;&lt;related-urls&gt;&lt;url&gt;https://www.bmj.com/content/bmj/375/bmj.n2845.full.pdf&lt;/url&gt;&lt;/related-urls&gt;&lt;/urls&gt;&lt;electronic-resource-num&gt;10.1136/bmj.n2845&lt;/electronic-resource-num&gt;&lt;/record&gt;&lt;/Cite&gt;&lt;/EndNote&gt;</w:instrText>
      </w:r>
      <w:r w:rsidRPr="001E215B">
        <w:fldChar w:fldCharType="separate"/>
      </w:r>
      <w:r w:rsidRPr="001E215B">
        <w:rPr>
          <w:noProof/>
        </w:rPr>
        <w:t>(Taylor, 2021)</w:t>
      </w:r>
      <w:r w:rsidRPr="001E215B">
        <w:fldChar w:fldCharType="end"/>
      </w:r>
      <w:r w:rsidR="00E401F5">
        <w:t>,</w:t>
      </w:r>
      <w:r w:rsidRPr="001E215B">
        <w:t xml:space="preserve"> </w:t>
      </w:r>
      <w:r w:rsidR="00E401F5">
        <w:t>a</w:t>
      </w:r>
      <w:r w:rsidR="00E401F5" w:rsidRPr="001E215B">
        <w:t xml:space="preserve">lthough </w:t>
      </w:r>
      <w:r w:rsidRPr="001E215B">
        <w:t xml:space="preserve">current evidence now suggests that azithromycin should not be used in the treatment of COVID-19 </w:t>
      </w:r>
      <w:r w:rsidRPr="001E215B">
        <w:fldChar w:fldCharType="begin">
          <w:fldData xml:space="preserve">PEVuZE5vdGU+PENpdGU+PEF1dGhvcj5IaW5rczwvQXV0aG9yPjxZZWFyPjIwMjE8L1llYXI+PFJl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</w:fldData>
        </w:fldChar>
      </w:r>
      <w:r w:rsidR="00CD2C33">
        <w:instrText xml:space="preserve"> ADDIN EN.CITE </w:instrText>
      </w:r>
      <w:r w:rsidR="00CD2C33">
        <w:fldChar w:fldCharType="begin">
          <w:fldData xml:space="preserve">PEVuZE5vdGU+PENpdGU+PEF1dGhvcj5IaW5rczwvQXV0aG9yPjxZZWFyPjIwMjE8L1llYXI+PFJl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</w:fldData>
        </w:fldChar>
      </w:r>
      <w:r w:rsidR="00CD2C33">
        <w:instrText xml:space="preserve"> ADDIN EN.CITE.DATA </w:instrText>
      </w:r>
      <w:r w:rsidR="00CD2C33">
        <w:fldChar w:fldCharType="end"/>
      </w:r>
      <w:r w:rsidRPr="001E215B">
        <w:fldChar w:fldCharType="separate"/>
      </w:r>
      <w:r w:rsidR="00CD2C33">
        <w:rPr>
          <w:noProof/>
        </w:rPr>
        <w:t>(Hinks et al., 2021; Oldenburg et al., 2021)</w:t>
      </w:r>
      <w:r w:rsidRPr="001E215B">
        <w:fldChar w:fldCharType="end"/>
      </w:r>
      <w:r w:rsidRPr="001E215B">
        <w:t>.</w:t>
      </w:r>
      <w:r w:rsidR="00E401F5">
        <w:t xml:space="preserve"> Due to the potential clinical relevance, t</w:t>
      </w:r>
      <w:r w:rsidRPr="001E215B">
        <w:t xml:space="preserve">he results of this discrepancy between erythromycin and azithromycin resistance in the </w:t>
      </w:r>
      <w:r w:rsidRPr="001E215B">
        <w:rPr>
          <w:i/>
          <w:iCs/>
        </w:rPr>
        <w:t>S. pneumoniae</w:t>
      </w:r>
      <w:r w:rsidRPr="001E215B">
        <w:t xml:space="preserve"> isolates has been </w:t>
      </w:r>
      <w:r w:rsidR="00DB069C">
        <w:t xml:space="preserve">extensively </w:t>
      </w:r>
      <w:r w:rsidRPr="001E215B">
        <w:t>discussed with the local microbiology team at STH. Given erythromycin is used as a surrogate marker for azithromycin resistance,</w:t>
      </w:r>
      <w:r w:rsidR="00DB069C">
        <w:t xml:space="preserve"> and azithromycin is increasingly used in many settings, </w:t>
      </w:r>
      <w:r w:rsidRPr="001E215B">
        <w:t xml:space="preserve">these data </w:t>
      </w:r>
      <w:r w:rsidR="00E401F5">
        <w:t>were felt to have potential</w:t>
      </w:r>
      <w:r w:rsidRPr="001E215B">
        <w:t xml:space="preserve"> direct clinical relevance. As such, the microbiology department have contacted the UK </w:t>
      </w:r>
      <w:r w:rsidR="00E401F5">
        <w:t>H</w:t>
      </w:r>
      <w:r w:rsidR="00E401F5" w:rsidRPr="001E215B">
        <w:t xml:space="preserve">ealth </w:t>
      </w:r>
      <w:r w:rsidRPr="001E215B">
        <w:t xml:space="preserve">Security Agency in order to take this further. </w:t>
      </w:r>
    </w:p>
    <w:p w14:paraId="755CDD3D" w14:textId="7F875735" w:rsidR="00E401F5" w:rsidRDefault="00E401F5" w:rsidP="0064056D">
      <w:pPr>
        <w:spacing w:after="160" w:line="360" w:lineRule="auto"/>
      </w:pPr>
      <w:r>
        <w:t xml:space="preserve">The mechanism of the low level azithromycin resistance in the </w:t>
      </w:r>
      <w:r w:rsidR="001D2087">
        <w:t>erythromycin</w:t>
      </w:r>
      <w:r>
        <w:t xml:space="preserve"> sensitive strains of </w:t>
      </w:r>
      <w:r w:rsidRPr="001D2087">
        <w:rPr>
          <w:i/>
          <w:iCs/>
        </w:rPr>
        <w:t>S</w:t>
      </w:r>
      <w:r w:rsidR="005D474B" w:rsidRPr="001D2087">
        <w:rPr>
          <w:i/>
          <w:iCs/>
        </w:rPr>
        <w:t>.</w:t>
      </w:r>
      <w:r w:rsidRPr="001D2087">
        <w:rPr>
          <w:i/>
          <w:iCs/>
        </w:rPr>
        <w:t xml:space="preserve"> pneumoniae</w:t>
      </w:r>
      <w:r>
        <w:t xml:space="preserve"> is currently unexplained – no mutations were </w:t>
      </w:r>
      <w:r w:rsidR="0022489C">
        <w:t xml:space="preserve">identified that might underpin this finding. </w:t>
      </w:r>
      <w:r w:rsidR="00C66C34">
        <w:t xml:space="preserve">Although I was unable to find a precedent in </w:t>
      </w:r>
      <w:r w:rsidR="00C66C34" w:rsidRPr="001D2087">
        <w:rPr>
          <w:i/>
          <w:iCs/>
        </w:rPr>
        <w:t>S. pneumoniae</w:t>
      </w:r>
      <w:r w:rsidR="00C66C34">
        <w:t xml:space="preserve">, in a study of </w:t>
      </w:r>
      <w:r w:rsidR="0022489C" w:rsidRPr="00223B43">
        <w:rPr>
          <w:i/>
          <w:iCs/>
        </w:rPr>
        <w:t>Legionella pneumophila</w:t>
      </w:r>
      <w:r w:rsidR="0022489C">
        <w:t xml:space="preserve"> isolates from China, a</w:t>
      </w:r>
      <w:r w:rsidR="0022489C" w:rsidRPr="0022489C">
        <w:t>ll 149 strains</w:t>
      </w:r>
      <w:r w:rsidR="0022489C">
        <w:t xml:space="preserve"> examined</w:t>
      </w:r>
      <w:r w:rsidR="0022489C" w:rsidRPr="0022489C">
        <w:t xml:space="preserve"> were </w:t>
      </w:r>
      <w:r w:rsidR="00DB069C">
        <w:t xml:space="preserve">fully </w:t>
      </w:r>
      <w:r w:rsidR="0022489C" w:rsidRPr="0022489C">
        <w:t>sensitive to erythromycin</w:t>
      </w:r>
      <w:r w:rsidR="0022489C">
        <w:t xml:space="preserve"> but</w:t>
      </w:r>
      <w:r w:rsidR="0022489C" w:rsidRPr="0022489C">
        <w:t xml:space="preserve"> 25 of the strains exhibited azithromycin resistance</w:t>
      </w:r>
      <w:r w:rsidR="00EA31AF">
        <w:t xml:space="preserve"> </w:t>
      </w:r>
      <w:r w:rsidR="00F1039D">
        <w:fldChar w:fldCharType="begin">
          <w:fldData xml:space="preserve">PEVuZE5vdGU+PENpdGU+PEF1dGhvcj5KaWE8L0F1dGhvcj48WWVhcj4yMDE5PC9ZZWFyPjxSZWNO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</w:fldData>
        </w:fldChar>
      </w:r>
      <w:r w:rsidR="00F1039D">
        <w:instrText xml:space="preserve"> ADDIN EN.CITE </w:instrText>
      </w:r>
      <w:r w:rsidR="00F1039D">
        <w:fldChar w:fldCharType="begin">
          <w:fldData xml:space="preserve">PEVuZE5vdGU+PENpdGU+PEF1dGhvcj5KaWE8L0F1dGhvcj48WWVhcj4yMDE5PC9ZZWFyPjxSZWNO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</w:fldData>
        </w:fldChar>
      </w:r>
      <w:r w:rsidR="00F1039D">
        <w:instrText xml:space="preserve"> ADDIN EN.CITE.DATA </w:instrText>
      </w:r>
      <w:r w:rsidR="00F1039D">
        <w:fldChar w:fldCharType="end"/>
      </w:r>
      <w:r w:rsidR="00F1039D">
        <w:fldChar w:fldCharType="separate"/>
      </w:r>
      <w:r w:rsidR="00F1039D">
        <w:rPr>
          <w:noProof/>
        </w:rPr>
        <w:t>(Jia et al., 2019)</w:t>
      </w:r>
      <w:r w:rsidR="00F1039D">
        <w:fldChar w:fldCharType="end"/>
      </w:r>
      <w:r w:rsidR="00F1039D">
        <w:t>.</w:t>
      </w:r>
      <w:r w:rsidR="006F000A">
        <w:t xml:space="preserve"> </w:t>
      </w:r>
      <w:r w:rsidR="00EA31AF">
        <w:t>Increased e</w:t>
      </w:r>
      <w:r w:rsidR="00C66C34" w:rsidRPr="00C66C34">
        <w:t xml:space="preserve">xpression of </w:t>
      </w:r>
      <w:r w:rsidR="00C66C34">
        <w:t xml:space="preserve">efflux pump component </w:t>
      </w:r>
      <w:proofErr w:type="spellStart"/>
      <w:r w:rsidR="00C66C34" w:rsidRPr="00C66C34">
        <w:t>lpeAB</w:t>
      </w:r>
      <w:proofErr w:type="spellEnd"/>
      <w:r w:rsidR="00C66C34" w:rsidRPr="00C66C34">
        <w:t xml:space="preserve"> was responsible for the reduced azithromycin susceptibility in all 25 of these strains</w:t>
      </w:r>
      <w:r w:rsidR="00EA31AF">
        <w:t>, with mutations identified in some but not all of these strains</w:t>
      </w:r>
      <w:r w:rsidR="00F1039D">
        <w:t xml:space="preserve"> </w:t>
      </w:r>
      <w:r w:rsidR="00F1039D">
        <w:fldChar w:fldCharType="begin">
          <w:fldData xml:space="preserve">PEVuZE5vdGU+PENpdGU+PEF1dGhvcj5KaWE8L0F1dGhvcj48WWVhcj4yMDE5PC9ZZWFyPjxSZWNO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</w:fldData>
        </w:fldChar>
      </w:r>
      <w:r w:rsidR="00F1039D">
        <w:instrText xml:space="preserve"> ADDIN EN.CITE </w:instrText>
      </w:r>
      <w:r w:rsidR="00F1039D">
        <w:fldChar w:fldCharType="begin">
          <w:fldData xml:space="preserve">PEVuZE5vdGU+PENpdGU+PEF1dGhvcj5KaWE8L0F1dGhvcj48WWVhcj4yMDE5PC9ZZWFyPjxSZWNO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</w:fldData>
        </w:fldChar>
      </w:r>
      <w:r w:rsidR="00F1039D">
        <w:instrText xml:space="preserve"> ADDIN EN.CITE.DATA </w:instrText>
      </w:r>
      <w:r w:rsidR="00F1039D">
        <w:fldChar w:fldCharType="end"/>
      </w:r>
      <w:r w:rsidR="00F1039D">
        <w:fldChar w:fldCharType="separate"/>
      </w:r>
      <w:r w:rsidR="00F1039D">
        <w:rPr>
          <w:noProof/>
        </w:rPr>
        <w:t>(Jia et al., 2019)</w:t>
      </w:r>
      <w:r w:rsidR="00F1039D">
        <w:fldChar w:fldCharType="end"/>
      </w:r>
      <w:r w:rsidR="00EA31AF" w:rsidRPr="00C66C34">
        <w:t>.</w:t>
      </w:r>
      <w:r w:rsidR="00EA31AF">
        <w:t xml:space="preserve"> In a previous study of this efflux determinant</w:t>
      </w:r>
      <w:r w:rsidR="00DB069C">
        <w:t xml:space="preserve"> </w:t>
      </w:r>
      <w:r w:rsidR="0054784B">
        <w:fldChar w:fldCharType="begin">
          <w:fldData xml:space="preserve">PEVuZE5vdGU+PENpdGU+PEF1dGhvcj5NYXNzaXA8L0F1dGhvcj48WWVhcj4yMDE3PC9ZZWFyPjxS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</w:fldData>
        </w:fldChar>
      </w:r>
      <w:r w:rsidR="0054784B">
        <w:instrText xml:space="preserve"> ADDIN EN.CITE </w:instrText>
      </w:r>
      <w:r w:rsidR="0054784B">
        <w:fldChar w:fldCharType="begin">
          <w:fldData xml:space="preserve">PEVuZE5vdGU+PENpdGU+PEF1dGhvcj5NYXNzaXA8L0F1dGhvcj48WWVhcj4yMDE3PC9ZZWFyPjxS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</w:fldData>
        </w:fldChar>
      </w:r>
      <w:r w:rsidR="0054784B">
        <w:instrText xml:space="preserve"> ADDIN EN.CITE.DATA </w:instrText>
      </w:r>
      <w:r w:rsidR="0054784B">
        <w:fldChar w:fldCharType="end"/>
      </w:r>
      <w:r w:rsidR="0054784B">
        <w:fldChar w:fldCharType="separate"/>
      </w:r>
      <w:r w:rsidR="0054784B">
        <w:rPr>
          <w:noProof/>
        </w:rPr>
        <w:t>(Massip et al., 2017)</w:t>
      </w:r>
      <w:r w:rsidR="0054784B">
        <w:fldChar w:fldCharType="end"/>
      </w:r>
      <w:r w:rsidR="00EA31AF">
        <w:t xml:space="preserve"> m</w:t>
      </w:r>
      <w:r w:rsidR="00EA31AF" w:rsidRPr="00EA31AF">
        <w:t xml:space="preserve">utations in the upstream </w:t>
      </w:r>
      <w:r w:rsidR="00EA31AF" w:rsidRPr="00EA31AF">
        <w:lastRenderedPageBreak/>
        <w:t xml:space="preserve">sequence of </w:t>
      </w:r>
      <w:proofErr w:type="spellStart"/>
      <w:r w:rsidR="00EA31AF" w:rsidRPr="00EA31AF">
        <w:t>lpeAB</w:t>
      </w:r>
      <w:proofErr w:type="spellEnd"/>
      <w:r w:rsidR="00EA31AF" w:rsidRPr="00EA31AF">
        <w:t xml:space="preserve"> operon were associated with an increased protein expression</w:t>
      </w:r>
      <w:r w:rsidR="00EA31AF">
        <w:t>, however</w:t>
      </w:r>
      <w:r w:rsidR="00EA31AF" w:rsidRPr="00EA31AF">
        <w:t xml:space="preserve"> </w:t>
      </w:r>
      <w:r w:rsidR="00EA31AF">
        <w:t>i</w:t>
      </w:r>
      <w:r w:rsidR="00EA31AF" w:rsidRPr="00EA31AF">
        <w:t xml:space="preserve">ncreased expression was also observed under sub-inhibitory macrolide concentrations in strains with both </w:t>
      </w:r>
      <w:r w:rsidR="00EA31AF">
        <w:t>non-mutated</w:t>
      </w:r>
      <w:r w:rsidR="00EA31AF" w:rsidRPr="00EA31AF">
        <w:t xml:space="preserve"> promoting regions.</w:t>
      </w:r>
      <w:r w:rsidR="00EA31AF">
        <w:t xml:space="preserve"> Thus it is possible that increased expression of (as yet unidentified) resistance determinants in </w:t>
      </w:r>
      <w:r w:rsidR="00EA31AF" w:rsidRPr="001D2087">
        <w:rPr>
          <w:i/>
          <w:iCs/>
        </w:rPr>
        <w:t>S</w:t>
      </w:r>
      <w:r w:rsidR="00380500" w:rsidRPr="001D2087">
        <w:rPr>
          <w:i/>
          <w:iCs/>
        </w:rPr>
        <w:t>.</w:t>
      </w:r>
      <w:r w:rsidR="00EA31AF" w:rsidRPr="001D2087">
        <w:rPr>
          <w:i/>
          <w:iCs/>
        </w:rPr>
        <w:t xml:space="preserve"> pneumoniae</w:t>
      </w:r>
      <w:r w:rsidR="00EA31AF">
        <w:t xml:space="preserve"> might be promoted by exposure to azithromycin in the absence of mutations</w:t>
      </w:r>
      <w:r w:rsidR="00380500">
        <w:t>. B</w:t>
      </w:r>
      <w:r w:rsidR="00380500" w:rsidRPr="00380500">
        <w:t xml:space="preserve">acterial genes that change transcriptionally upon stress exposure </w:t>
      </w:r>
      <w:r w:rsidR="00380500">
        <w:t xml:space="preserve">have been investigated </w:t>
      </w:r>
      <w:r w:rsidR="00380500" w:rsidRPr="00380500">
        <w:t xml:space="preserve">as </w:t>
      </w:r>
      <w:r w:rsidR="00380500">
        <w:t xml:space="preserve">potential </w:t>
      </w:r>
      <w:r w:rsidR="00380500" w:rsidRPr="00380500">
        <w:t>diagnostics to predict antibiotic sensitivity</w:t>
      </w:r>
      <w:r w:rsidR="00380500">
        <w:t>, but are context dependent (</w:t>
      </w:r>
      <w:r w:rsidR="00DB069C">
        <w:t>i.e.</w:t>
      </w:r>
      <w:r w:rsidR="00380500">
        <w:t xml:space="preserve"> dependent on the bacterial species and the precise stressor). It would have been of interest to explore the transcriptome of the azithromycin-resistant isolates, but unfortunately I did not have time or funding to undertake this. </w:t>
      </w:r>
    </w:p>
    <w:p w14:paraId="66F9533D" w14:textId="19F3D2FE" w:rsidR="00E61E02" w:rsidRDefault="009472BE" w:rsidP="00B01D0D">
      <w:pPr>
        <w:spacing w:line="360" w:lineRule="auto"/>
      </w:pPr>
      <w:r>
        <w:t xml:space="preserve">The four </w:t>
      </w:r>
      <w:r w:rsidRPr="001D04B2">
        <w:rPr>
          <w:i/>
          <w:iCs/>
        </w:rPr>
        <w:t xml:space="preserve">S. </w:t>
      </w:r>
      <w:r w:rsidRPr="008C61AC">
        <w:rPr>
          <w:i/>
          <w:iCs/>
        </w:rPr>
        <w:t>pneumonia</w:t>
      </w:r>
      <w:r>
        <w:rPr>
          <w:i/>
          <w:iCs/>
        </w:rPr>
        <w:t xml:space="preserve">e </w:t>
      </w:r>
      <w:r>
        <w:t xml:space="preserve"> isolates that demonstrated high levels of azithromycin resistance were also </w:t>
      </w:r>
      <w:r w:rsidR="00E93C5E">
        <w:t xml:space="preserve">fully </w:t>
      </w:r>
      <w:r>
        <w:t xml:space="preserve">resistant to erythromycin. </w:t>
      </w:r>
      <w:r w:rsidR="008B0A92">
        <w:t xml:space="preserve">These exhibited known </w:t>
      </w:r>
      <w:r w:rsidR="00760FFB">
        <w:t xml:space="preserve">genes responsible for macrolide resistance, erm(B), </w:t>
      </w:r>
      <w:proofErr w:type="spellStart"/>
      <w:r w:rsidR="00760FFB">
        <w:t>mef</w:t>
      </w:r>
      <w:proofErr w:type="spellEnd"/>
      <w:r w:rsidR="00760FFB">
        <w:t xml:space="preserve">(A) and </w:t>
      </w:r>
      <w:proofErr w:type="spellStart"/>
      <w:r w:rsidR="00760FFB">
        <w:t>msr</w:t>
      </w:r>
      <w:proofErr w:type="spellEnd"/>
      <w:r w:rsidR="00760FFB">
        <w:t>(D) as described in section 1.</w:t>
      </w:r>
      <w:r w:rsidR="00ED1242">
        <w:t>3</w:t>
      </w:r>
      <w:r w:rsidR="00760FFB">
        <w:t xml:space="preserve">. </w:t>
      </w:r>
      <w:r w:rsidR="00751123">
        <w:t xml:space="preserve">The plasmid repUS43 was found in the 3 isolates with erm(B) genes. No further analysis was conducted on the plasmid to define the exact structure. The presence of plasmid rep36 in 2 isolates without any resistance genes identified is of unknown significance and </w:t>
      </w:r>
      <w:r w:rsidR="003B037C">
        <w:t xml:space="preserve">was not investigated further. </w:t>
      </w:r>
      <w:r w:rsidR="00760FFB">
        <w:t xml:space="preserve">A hypothetical protein was </w:t>
      </w:r>
      <w:r w:rsidR="00CB5BA1">
        <w:t xml:space="preserve">also identified in these 4 highly resistant isolates but not seen in any of the other isolates tested. This hypothetical protein, </w:t>
      </w:r>
      <w:r w:rsidR="00B21CFD" w:rsidRPr="001E215B">
        <w:t>SPN23F13170</w:t>
      </w:r>
      <w:r w:rsidR="00CB5BA1">
        <w:t xml:space="preserve"> </w:t>
      </w:r>
      <w:r w:rsidR="00B21CFD" w:rsidRPr="001E215B">
        <w:t xml:space="preserve">is largely unstudied. A single study investigating the regulation of the </w:t>
      </w:r>
      <w:r w:rsidR="00B21CFD" w:rsidRPr="001E215B">
        <w:rPr>
          <w:i/>
          <w:iCs/>
        </w:rPr>
        <w:t>S. pneumoniae</w:t>
      </w:r>
      <w:r w:rsidR="00B21CFD" w:rsidRPr="001E215B">
        <w:t xml:space="preserve"> virulence factor, cytolytic toxin </w:t>
      </w:r>
      <w:proofErr w:type="spellStart"/>
      <w:r w:rsidR="00B21CFD" w:rsidRPr="001E215B">
        <w:t>pneumolysin</w:t>
      </w:r>
      <w:proofErr w:type="spellEnd"/>
      <w:r w:rsidR="00B21CFD" w:rsidRPr="001E215B">
        <w:t xml:space="preserve"> (Ply) describe the location of SPN23F13170 on the mobile genetic element ICESp23FST81. Its position is at the end of the linear chromosomal form of ICESp23FST81 </w:t>
      </w:r>
      <w:r w:rsidR="00B21CFD" w:rsidRPr="001E215B">
        <w:fldChar w:fldCharType="begin"/>
      </w:r>
      <w:r w:rsidR="00EE22EB">
        <w:instrText xml:space="preserve"> ADDIN EN.CITE &lt;EndNote&gt;&lt;Cite&gt;&lt;Author&gt;Stevens&lt;/Author&gt;&lt;Year&gt;2020&lt;/Year&gt;&lt;RecNum&gt;429&lt;/RecNum&gt;&lt;DisplayText&gt;(Stevens et al., 2020)&lt;/DisplayText&gt;&lt;record&gt;&lt;rec-number&gt;429&lt;/rec-number&gt;&lt;foreign-keys&gt;&lt;key app="EN" db-id="pr9rwt2w8padxcerwx6prd0a9wtda2w5fw2t" timestamp="1648136906"&gt;429&lt;/key&gt;&lt;/foreign-keys&gt;&lt;ref-type name="Journal Article"&gt;17&lt;/ref-type&gt;&lt;contributors&gt;&lt;authors&gt;&lt;author&gt;Stevens, Emily&lt;/author&gt;&lt;author&gt;Morse, Daniel J.&lt;/author&gt;&lt;author&gt;Bonini, Dora&lt;/author&gt;&lt;author&gt;Duggan, Seána&lt;/author&gt;&lt;author&gt;Brignoli, Tarcisio&lt;/author&gt;&lt;author&gt;Recker, Mario&lt;/author&gt;&lt;author&gt;Lees, John A.&lt;/author&gt;&lt;author&gt;Croucher, Nicholas J.&lt;/author&gt;&lt;author&gt;Bentley, Stephen&lt;/author&gt;&lt;author&gt;Wilson, Daniel J.&lt;/author&gt;&lt;author&gt;Earle, Sarah G.&lt;/author&gt;&lt;author&gt;Dixon, Robert&lt;/author&gt;&lt;author&gt;Nobbs, Angela&lt;/author&gt;&lt;author&gt;Jenkinson, Howard&lt;/author&gt;&lt;author&gt;van Opijnen, Tim&lt;/author&gt;&lt;author&gt;Thibault, Derek&lt;/author&gt;&lt;author&gt;Wilkinson, Oliver J.&lt;/author&gt;&lt;author&gt;Dillingham, Mark S.&lt;/author&gt;&lt;author&gt;Massey, Ruth C.&lt;/author&gt;&lt;/authors&gt;&lt;/contributors&gt;&lt;titles&gt;&lt;title&gt;Targeted control of toxin production by a mobile genetic element in &amp;lt;em&amp;gt;Streptococcus pneumoniae&amp;lt;/em&amp;gt;&lt;/title&gt;&lt;secondary-title&gt;bioRxiv&lt;/secondary-title&gt;&lt;/titles&gt;&lt;periodical&gt;&lt;full-title&gt;bioRxiv&lt;/full-title&gt;&lt;/periodical&gt;&lt;pages&gt;2020.06.16.154153&lt;/pages&gt;&lt;dates&gt;&lt;year&gt;2020&lt;/year&gt;&lt;/dates&gt;&lt;urls&gt;&lt;related-urls&gt;&lt;url&gt;https://www.biorxiv.org/content/biorxiv/early/2020/06/16/2020.06.16.154153.full.pdf&lt;/url&gt;&lt;/related-urls&gt;&lt;/urls&gt;&lt;electronic-resource-num&gt;10.1101/2020.06.16.154153&lt;/electronic-resource-num&gt;&lt;/record&gt;&lt;/Cite&gt;&lt;/EndNote&gt;</w:instrText>
      </w:r>
      <w:r w:rsidR="00B21CFD" w:rsidRPr="001E215B">
        <w:fldChar w:fldCharType="separate"/>
      </w:r>
      <w:r w:rsidR="00EE22EB">
        <w:rPr>
          <w:noProof/>
        </w:rPr>
        <w:t>(Stevens et al., 2020)</w:t>
      </w:r>
      <w:r w:rsidR="00B21CFD" w:rsidRPr="001E215B">
        <w:fldChar w:fldCharType="end"/>
      </w:r>
      <w:r w:rsidR="00353473">
        <w:t xml:space="preserve"> however a functional effect cannot be interpreted from this</w:t>
      </w:r>
      <w:r w:rsidR="00B21CFD" w:rsidRPr="001E215B">
        <w:t xml:space="preserve">. </w:t>
      </w:r>
      <w:r w:rsidR="004B1702" w:rsidRPr="001E215B">
        <w:t>Integrated</w:t>
      </w:r>
      <w:r w:rsidR="00B21CFD" w:rsidRPr="001E215B">
        <w:t xml:space="preserve"> and conjugate elements (ICE) are thought to be important to the success of </w:t>
      </w:r>
      <w:r w:rsidR="00B21CFD" w:rsidRPr="001E215B">
        <w:rPr>
          <w:i/>
          <w:iCs/>
        </w:rPr>
        <w:t xml:space="preserve">S. pneumoniae </w:t>
      </w:r>
      <w:r w:rsidR="00B21CFD" w:rsidRPr="001E215B">
        <w:t xml:space="preserve">due to the antibiotic resistance capabilities they bring to the bacteria and are likely to contribute a significant proportion of the </w:t>
      </w:r>
      <w:r w:rsidR="00B21CFD" w:rsidRPr="001E215B">
        <w:rPr>
          <w:i/>
          <w:iCs/>
        </w:rPr>
        <w:t>S. pneumoniae</w:t>
      </w:r>
      <w:r w:rsidR="00B21CFD" w:rsidRPr="001E215B">
        <w:t xml:space="preserve"> pan-genome </w:t>
      </w:r>
      <w:r w:rsidR="00B21CFD" w:rsidRPr="001E215B">
        <w:fldChar w:fldCharType="begin">
          <w:fldData xml:space="preserve">PEVuZE5vdGU+PENpdGU+PEF1dGhvcj5Dcm91Y2hlcjwvQXV0aG9yPjxZZWFyPjIwMDk8L1llYXI+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</w:fldData>
        </w:fldChar>
      </w:r>
      <w:r w:rsidR="00EE22EB">
        <w:instrText xml:space="preserve"> ADDIN EN.CITE </w:instrText>
      </w:r>
      <w:r w:rsidR="00EE22EB">
        <w:fldChar w:fldCharType="begin">
          <w:fldData xml:space="preserve">PEVuZE5vdGU+PENpdGU+PEF1dGhvcj5Dcm91Y2hlcjwvQXV0aG9yPjxZZWFyPjIwMDk8L1llYXI+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</w:fldData>
        </w:fldChar>
      </w:r>
      <w:r w:rsidR="00EE22EB">
        <w:instrText xml:space="preserve"> ADDIN EN.CITE.DATA </w:instrText>
      </w:r>
      <w:r w:rsidR="00EE22EB">
        <w:fldChar w:fldCharType="end"/>
      </w:r>
      <w:r w:rsidR="00B21CFD" w:rsidRPr="001E215B">
        <w:fldChar w:fldCharType="separate"/>
      </w:r>
      <w:r w:rsidR="00EE22EB">
        <w:rPr>
          <w:noProof/>
        </w:rPr>
        <w:t>(Croucher et al., 2009)</w:t>
      </w:r>
      <w:r w:rsidR="00B21CFD" w:rsidRPr="001E215B">
        <w:fldChar w:fldCharType="end"/>
      </w:r>
      <w:r w:rsidR="00B21CFD" w:rsidRPr="001E215B">
        <w:t xml:space="preserve">.  The role </w:t>
      </w:r>
      <w:r w:rsidR="00CB5BA1">
        <w:t xml:space="preserve">and function </w:t>
      </w:r>
      <w:r w:rsidR="00B21CFD" w:rsidRPr="001E215B">
        <w:t xml:space="preserve">of this protein </w:t>
      </w:r>
      <w:r w:rsidR="00ED1242">
        <w:t xml:space="preserve">are </w:t>
      </w:r>
      <w:r w:rsidR="00B21CFD" w:rsidRPr="001E215B">
        <w:t>as yet unclear</w:t>
      </w:r>
      <w:r w:rsidR="00E93C5E">
        <w:t xml:space="preserve"> and further studies are likely to be needed to determine whether this finding is reproduced when other resistant isolates are examined</w:t>
      </w:r>
      <w:r w:rsidR="00B21CFD" w:rsidRPr="001E215B">
        <w:t>.</w:t>
      </w:r>
    </w:p>
    <w:p w14:paraId="1673E021" w14:textId="77777777" w:rsidR="00ED1242" w:rsidRPr="00C9276A" w:rsidRDefault="00ED1242" w:rsidP="00B01D0D">
      <w:pPr>
        <w:spacing w:line="360" w:lineRule="auto"/>
      </w:pPr>
    </w:p>
    <w:p w14:paraId="66DEDCE2" w14:textId="5B2609F7" w:rsidR="008F53FE" w:rsidRPr="008F33C8" w:rsidRDefault="00E82735" w:rsidP="00B01D0D">
      <w:pPr>
        <w:pStyle w:val="Heading3"/>
        <w:spacing w:before="0" w:line="360" w:lineRule="auto"/>
      </w:pPr>
      <w:bookmarkStart w:id="278" w:name="_Toc117766004"/>
      <w:r w:rsidRPr="008F33C8">
        <w:t xml:space="preserve">Limitations </w:t>
      </w:r>
      <w:r w:rsidR="003C4760">
        <w:t xml:space="preserve">of </w:t>
      </w:r>
      <w:r w:rsidR="000B01A7">
        <w:t>PBB studies</w:t>
      </w:r>
      <w:bookmarkEnd w:id="278"/>
    </w:p>
    <w:p w14:paraId="18127F99" w14:textId="193EF1BC" w:rsidR="008F53FE" w:rsidRPr="001D04B2" w:rsidRDefault="000B01A7" w:rsidP="0064056D">
      <w:pPr>
        <w:spacing w:after="160" w:line="360" w:lineRule="auto"/>
      </w:pPr>
      <w:r>
        <w:t>Due to the paucity of literature surrounding the use of long</w:t>
      </w:r>
      <w:r w:rsidR="0005668C">
        <w:t>-</w:t>
      </w:r>
      <w:r>
        <w:t>term azithromycin in PBB, a power calculation was not possible. The small number of participants recruited means the results need to be interpreted with caution. T</w:t>
      </w:r>
      <w:r w:rsidR="00E82735" w:rsidRPr="008F33C8">
        <w:t xml:space="preserve">rends of resistant organisms </w:t>
      </w:r>
      <w:r w:rsidR="00340665">
        <w:t xml:space="preserve">and antibiotic prescribing </w:t>
      </w:r>
      <w:r w:rsidR="00E82735" w:rsidRPr="008F33C8">
        <w:t xml:space="preserve">reported </w:t>
      </w:r>
      <w:r w:rsidR="00E82735" w:rsidRPr="008F33C8">
        <w:lastRenderedPageBreak/>
        <w:t xml:space="preserve">in this study may therefore not be representative of actual patterns within the cohort of children with PBB and may have occurred by chance. </w:t>
      </w:r>
      <w:r w:rsidR="00DB069C">
        <w:t xml:space="preserve">Our results could be used to power a larger study. </w:t>
      </w:r>
    </w:p>
    <w:p w14:paraId="31A2E4EF" w14:textId="2C584DC2" w:rsidR="004B1702" w:rsidRDefault="00D33B81" w:rsidP="0064056D">
      <w:pPr>
        <w:spacing w:after="160" w:line="360" w:lineRule="auto"/>
      </w:pPr>
      <w:r>
        <w:t xml:space="preserve">Participants in the azithromycin groups were </w:t>
      </w:r>
      <w:r w:rsidR="00E93C5E">
        <w:t xml:space="preserve">somewhat </w:t>
      </w:r>
      <w:r>
        <w:t>older than those in the comparison groups</w:t>
      </w:r>
      <w:r w:rsidR="004B1702">
        <w:t xml:space="preserve"> although this difference was not significant.</w:t>
      </w:r>
      <w:r>
        <w:t xml:space="preserve"> </w:t>
      </w:r>
      <w:r w:rsidR="0033179A" w:rsidRPr="008F33C8">
        <w:t>Nasopharyngeal colonisation varies with age</w:t>
      </w:r>
      <w:r w:rsidR="0005668C">
        <w:t>.</w:t>
      </w:r>
      <w:r w:rsidR="000B01A7">
        <w:t xml:space="preserve"> </w:t>
      </w:r>
      <w:r w:rsidR="0005668C">
        <w:t>W</w:t>
      </w:r>
      <w:r w:rsidR="000B01A7">
        <w:t xml:space="preserve">ith </w:t>
      </w:r>
      <w:r w:rsidR="0033179A" w:rsidRPr="008F33C8">
        <w:t xml:space="preserve">regards to </w:t>
      </w:r>
      <w:r w:rsidR="0033179A" w:rsidRPr="00241369">
        <w:rPr>
          <w:i/>
          <w:iCs/>
        </w:rPr>
        <w:t>S. pneumoniae</w:t>
      </w:r>
      <w:r w:rsidR="0033179A" w:rsidRPr="008F33C8">
        <w:t>, colonisation is inversely related to age</w:t>
      </w:r>
      <w:r w:rsidR="004C2468">
        <w:t xml:space="preserve"> and affected by </w:t>
      </w:r>
      <w:r w:rsidR="00FD5844">
        <w:t xml:space="preserve">numerous independent risk factors including ethnicity, day-care visits, family size, smoking, vaccinations and recent antibiotic use </w:t>
      </w:r>
      <w:r w:rsidR="00930AD0">
        <w:fldChar w:fldCharType="begin">
          <w:fldData xml:space="preserve">PEVuZE5vdGU+PENpdGU+PEF1dGhvcj5Cb2dhZXJ0PC9BdXRob3I+PFllYXI+MjAwNDwvWWVhcj48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</w:fldData>
        </w:fldChar>
      </w:r>
      <w:r w:rsidR="00CD2C33">
        <w:instrText xml:space="preserve"> ADDIN EN.CITE </w:instrText>
      </w:r>
      <w:r w:rsidR="00CD2C33">
        <w:fldChar w:fldCharType="begin">
          <w:fldData xml:space="preserve">PEVuZE5vdGU+PENpdGU+PEF1dGhvcj5Cb2dhZXJ0PC9BdXRob3I+PFllYXI+MjAwNDwvWWVhcj48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</w:fldData>
        </w:fldChar>
      </w:r>
      <w:r w:rsidR="00CD2C33">
        <w:instrText xml:space="preserve"> ADDIN EN.CITE.DATA </w:instrText>
      </w:r>
      <w:r w:rsidR="00CD2C33">
        <w:fldChar w:fldCharType="end"/>
      </w:r>
      <w:r w:rsidR="00930AD0">
        <w:fldChar w:fldCharType="separate"/>
      </w:r>
      <w:r w:rsidR="00CD2C33">
        <w:rPr>
          <w:noProof/>
        </w:rPr>
        <w:t>(Bogaert et al., 2004b; Rose et al., 2021)</w:t>
      </w:r>
      <w:r w:rsidR="00930AD0">
        <w:fldChar w:fldCharType="end"/>
      </w:r>
      <w:r w:rsidR="00FD5844">
        <w:t xml:space="preserve">. Colonisation rates increase over the few years of life, peak around 3 years and then decline with a stable prevalence observed after 10 years of age </w:t>
      </w:r>
      <w:r w:rsidR="00930AD0">
        <w:fldChar w:fldCharType="begin"/>
      </w:r>
      <w:r w:rsidR="00EE22EB">
        <w:instrText xml:space="preserve"> ADDIN EN.CITE &lt;EndNote&gt;&lt;Cite&gt;&lt;Author&gt;Bogaert&lt;/Author&gt;&lt;Year&gt;2004&lt;/Year&gt;&lt;RecNum&gt;112&lt;/RecNum&gt;&lt;DisplayText&gt;(Bogaert et al., 2004b)&lt;/DisplayText&gt;&lt;record&gt;&lt;rec-number&gt;112&lt;/rec-number&gt;&lt;foreign-keys&gt;&lt;key app="EN" db-id="pr9rwt2w8padxcerwx6prd0a9wtda2w5fw2t" timestamp="1620300113"&gt;112&lt;/key&gt;&lt;/foreign-keys&gt;&lt;ref-type name="Journal Article"&gt;17&lt;/ref-type&gt;&lt;contributors&gt;&lt;authors&gt;&lt;author&gt;Bogaert, D.&lt;/author&gt;&lt;author&gt;de Groot, R.&lt;/author&gt;&lt;author&gt;Hermans, P. W. M.&lt;/author&gt;&lt;/authors&gt;&lt;/contributors&gt;&lt;titles&gt;&lt;title&gt;Streptococcus pneumoniae colonisation: the key to pneumococcal disease&lt;/title&gt;&lt;secondary-title&gt;The Lancet Infectious Diseases&lt;/secondary-title&gt;&lt;/titles&gt;&lt;periodical&gt;&lt;full-title&gt;The Lancet Infectious Diseases&lt;/full-title&gt;&lt;/periodical&gt;&lt;pages&gt;144-154&lt;/pages&gt;&lt;volume&gt;4&lt;/volume&gt;&lt;number&gt;3&lt;/number&gt;&lt;dates&gt;&lt;year&gt;2004&lt;/year&gt;&lt;pub-dates&gt;&lt;date&gt;2004/03/01/&lt;/date&gt;&lt;/pub-dates&gt;&lt;/dates&gt;&lt;isbn&gt;1473-3099&lt;/isbn&gt;&lt;urls&gt;&lt;related-urls&gt;&lt;url&gt;https://www.sciencedirect.com/science/article/pii/S1473309904009387&lt;/url&gt;&lt;/related-urls&gt;&lt;/urls&gt;&lt;electronic-resource-num&gt;https://doi.org/10.1016/S1473-3099(04)00938-7&lt;/electronic-resource-num&gt;&lt;/record&gt;&lt;/Cite&gt;&lt;/EndNote&gt;</w:instrText>
      </w:r>
      <w:r w:rsidR="00930AD0">
        <w:fldChar w:fldCharType="separate"/>
      </w:r>
      <w:r w:rsidR="00EE22EB">
        <w:rPr>
          <w:noProof/>
        </w:rPr>
        <w:t>(Bogaert et al., 2004b)</w:t>
      </w:r>
      <w:r w:rsidR="00930AD0">
        <w:fldChar w:fldCharType="end"/>
      </w:r>
      <w:r w:rsidR="0016033D">
        <w:t>.</w:t>
      </w:r>
      <w:r w:rsidR="0033179A" w:rsidRPr="008F33C8">
        <w:t xml:space="preserve"> </w:t>
      </w:r>
      <w:r w:rsidR="00FD5844">
        <w:t>Up to 27-65% of children are carriers of S</w:t>
      </w:r>
      <w:r w:rsidR="00FD5844" w:rsidRPr="00FD5844">
        <w:rPr>
          <w:i/>
          <w:iCs/>
        </w:rPr>
        <w:t>. pneumoniae</w:t>
      </w:r>
      <w:r w:rsidR="0065039F">
        <w:t xml:space="preserve"> </w:t>
      </w:r>
      <w:r w:rsidR="00930AD0">
        <w:fldChar w:fldCharType="begin">
          <w:fldData xml:space="preserve">PEVuZE5vdGU+PENpdGU+PEF1dGhvcj5BYmR1bGxhaGk8L0F1dGhvcj48WWVhcj4yMDEyPC9ZZWFy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</w:fldData>
        </w:fldChar>
      </w:r>
      <w:r w:rsidR="00CD2C33">
        <w:instrText xml:space="preserve"> ADDIN EN.CITE </w:instrText>
      </w:r>
      <w:r w:rsidR="00CD2C33">
        <w:fldChar w:fldCharType="begin">
          <w:fldData xml:space="preserve">PEVuZE5vdGU+PENpdGU+PEF1dGhvcj5BYmR1bGxhaGk8L0F1dGhvcj48WWVhcj4yMDEyPC9ZZWFy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</w:fldData>
        </w:fldChar>
      </w:r>
      <w:r w:rsidR="00CD2C33">
        <w:instrText xml:space="preserve"> ADDIN EN.CITE.DATA </w:instrText>
      </w:r>
      <w:r w:rsidR="00CD2C33">
        <w:fldChar w:fldCharType="end"/>
      </w:r>
      <w:r w:rsidR="00930AD0">
        <w:fldChar w:fldCharType="separate"/>
      </w:r>
      <w:r w:rsidR="00CD2C33">
        <w:rPr>
          <w:noProof/>
        </w:rPr>
        <w:t>(Abdullahi et al., 2012; Yahiaoui et al., 2016)</w:t>
      </w:r>
      <w:r w:rsidR="00930AD0">
        <w:fldChar w:fldCharType="end"/>
      </w:r>
      <w:r w:rsidR="0065039F">
        <w:t>.</w:t>
      </w:r>
      <w:r w:rsidR="00FD5844">
        <w:t xml:space="preserve"> </w:t>
      </w:r>
      <w:r w:rsidR="0033179A" w:rsidRPr="008F33C8">
        <w:t>T</w:t>
      </w:r>
      <w:r w:rsidR="00E82735" w:rsidRPr="008F33C8">
        <w:t xml:space="preserve">hus the reduced carriage of nasopharyngeal bacteria in the </w:t>
      </w:r>
      <w:r w:rsidR="0033179A" w:rsidRPr="008F33C8">
        <w:t>azithromycin</w:t>
      </w:r>
      <w:r w:rsidR="00E82735" w:rsidRPr="008F33C8">
        <w:t xml:space="preserve"> </w:t>
      </w:r>
      <w:r w:rsidR="0033179A" w:rsidRPr="008F33C8">
        <w:t xml:space="preserve">group </w:t>
      </w:r>
      <w:r w:rsidR="00E82735" w:rsidRPr="008F33C8">
        <w:t xml:space="preserve">could </w:t>
      </w:r>
      <w:r w:rsidR="004B1702">
        <w:t xml:space="preserve">in part </w:t>
      </w:r>
      <w:r w:rsidR="00E82735" w:rsidRPr="008F33C8">
        <w:t>be attributable to the older age</w:t>
      </w:r>
      <w:r w:rsidR="0033179A" w:rsidRPr="008F33C8">
        <w:t xml:space="preserve"> of children within this cohort</w:t>
      </w:r>
      <w:r w:rsidR="00E82735" w:rsidRPr="008F33C8">
        <w:t xml:space="preserve">. The </w:t>
      </w:r>
      <w:r w:rsidR="00493FE7">
        <w:t xml:space="preserve">participants </w:t>
      </w:r>
      <w:r w:rsidR="000B01A7">
        <w:t>prescribed long</w:t>
      </w:r>
      <w:r w:rsidR="0005668C">
        <w:t>-</w:t>
      </w:r>
      <w:r w:rsidR="000B01A7">
        <w:t xml:space="preserve">term azithromycin were </w:t>
      </w:r>
      <w:r w:rsidR="00BF5F9C" w:rsidRPr="008F33C8">
        <w:t>likely</w:t>
      </w:r>
      <w:r w:rsidR="00E82735" w:rsidRPr="008F33C8">
        <w:t xml:space="preserve"> </w:t>
      </w:r>
      <w:r w:rsidR="000B01A7">
        <w:t xml:space="preserve">to </w:t>
      </w:r>
      <w:r w:rsidR="00E82735" w:rsidRPr="008F33C8">
        <w:t xml:space="preserve">have </w:t>
      </w:r>
      <w:r w:rsidR="000B01A7">
        <w:t xml:space="preserve">had </w:t>
      </w:r>
      <w:r w:rsidR="00E82735" w:rsidRPr="008F33C8">
        <w:t xml:space="preserve">more severe disease </w:t>
      </w:r>
      <w:r w:rsidR="00493FE7">
        <w:t xml:space="preserve">than those in the comparison group </w:t>
      </w:r>
      <w:r w:rsidR="001B02DF">
        <w:t>given the fact long</w:t>
      </w:r>
      <w:r w:rsidR="0005668C">
        <w:t>-</w:t>
      </w:r>
      <w:r w:rsidR="001B02DF">
        <w:t>term antibiotics were deemed necessary. They had also had more antibiotics prescribed at baseline although this difference was not significant when adjusting for the differences in age between the 2 groups</w:t>
      </w:r>
      <w:r w:rsidR="00E93C5E">
        <w:t>, again showing the potential for age differences to confound the study.</w:t>
      </w:r>
      <w:r w:rsidR="001B02DF">
        <w:t xml:space="preserve"> </w:t>
      </w:r>
    </w:p>
    <w:p w14:paraId="0C76E92E" w14:textId="6E40EBAF" w:rsidR="0002399E" w:rsidRDefault="0002399E" w:rsidP="0064056D">
      <w:pPr>
        <w:spacing w:after="160" w:line="360" w:lineRule="auto"/>
        <w:rPr>
          <w:iCs/>
        </w:rPr>
      </w:pPr>
      <w:r w:rsidRPr="008F33C8">
        <w:rPr>
          <w:iCs/>
        </w:rPr>
        <w:t>Th</w:t>
      </w:r>
      <w:r>
        <w:rPr>
          <w:iCs/>
        </w:rPr>
        <w:t>ese</w:t>
      </w:r>
      <w:r w:rsidRPr="008F33C8">
        <w:rPr>
          <w:iCs/>
        </w:rPr>
        <w:t xml:space="preserve"> </w:t>
      </w:r>
      <w:r w:rsidR="00DC5AF6">
        <w:rPr>
          <w:iCs/>
        </w:rPr>
        <w:t xml:space="preserve">two </w:t>
      </w:r>
      <w:r w:rsidRPr="008F33C8">
        <w:rPr>
          <w:iCs/>
        </w:rPr>
        <w:t>stud</w:t>
      </w:r>
      <w:r>
        <w:rPr>
          <w:iCs/>
        </w:rPr>
        <w:t>ies</w:t>
      </w:r>
      <w:r w:rsidRPr="008F33C8">
        <w:rPr>
          <w:iCs/>
        </w:rPr>
        <w:t xml:space="preserve"> </w:t>
      </w:r>
      <w:r w:rsidR="0028264B">
        <w:rPr>
          <w:iCs/>
        </w:rPr>
        <w:t>were</w:t>
      </w:r>
      <w:r w:rsidRPr="008F33C8">
        <w:rPr>
          <w:iCs/>
        </w:rPr>
        <w:t xml:space="preserve"> not designed to investigate the efficacy of azithromycin with regards to reducing exacerbations of PBB.</w:t>
      </w:r>
      <w:r>
        <w:rPr>
          <w:iCs/>
        </w:rPr>
        <w:t xml:space="preserve"> </w:t>
      </w:r>
      <w:r w:rsidR="00DC5AF6">
        <w:rPr>
          <w:iCs/>
        </w:rPr>
        <w:t>It was presumed that course</w:t>
      </w:r>
      <w:r w:rsidR="009A2ACE">
        <w:rPr>
          <w:iCs/>
        </w:rPr>
        <w:t>s</w:t>
      </w:r>
      <w:r w:rsidR="00DC5AF6">
        <w:rPr>
          <w:iCs/>
        </w:rPr>
        <w:t xml:space="preserve"> of antibiotics prescribed for 2 or more weeks would be to treat exacerbations of PBB. This was confirmed by reviewing hospital records in prescriptions </w:t>
      </w:r>
      <w:r w:rsidR="00BC6E76">
        <w:rPr>
          <w:iCs/>
        </w:rPr>
        <w:t xml:space="preserve">that were issued from the </w:t>
      </w:r>
      <w:r w:rsidR="009A2ACE">
        <w:rPr>
          <w:iCs/>
        </w:rPr>
        <w:t xml:space="preserve">Children’s </w:t>
      </w:r>
      <w:r w:rsidR="00BC6E76">
        <w:rPr>
          <w:iCs/>
        </w:rPr>
        <w:t xml:space="preserve">hospital. It was however not possible to confirm the diagnosis </w:t>
      </w:r>
      <w:r w:rsidR="00DC5AF6">
        <w:rPr>
          <w:iCs/>
        </w:rPr>
        <w:t>resulting in the prescription of a course of antibiotics for 2 or more weeks</w:t>
      </w:r>
      <w:r w:rsidR="00BC6E76">
        <w:rPr>
          <w:iCs/>
        </w:rPr>
        <w:t xml:space="preserve"> issued by a GP. E</w:t>
      </w:r>
      <w:r w:rsidR="0028264B">
        <w:rPr>
          <w:iCs/>
        </w:rPr>
        <w:t>thical approval was not sought to review</w:t>
      </w:r>
      <w:r w:rsidR="00E93C5E">
        <w:rPr>
          <w:iCs/>
        </w:rPr>
        <w:t xml:space="preserve"> full</w:t>
      </w:r>
      <w:r w:rsidR="0028264B">
        <w:rPr>
          <w:iCs/>
        </w:rPr>
        <w:t xml:space="preserve"> </w:t>
      </w:r>
      <w:r w:rsidR="00BC6E76">
        <w:rPr>
          <w:iCs/>
        </w:rPr>
        <w:t>GP records, only prescription records</w:t>
      </w:r>
      <w:r>
        <w:rPr>
          <w:iCs/>
        </w:rPr>
        <w:t>.</w:t>
      </w:r>
      <w:r w:rsidRPr="008F33C8">
        <w:rPr>
          <w:iCs/>
        </w:rPr>
        <w:t xml:space="preserve"> </w:t>
      </w:r>
      <w:r w:rsidR="001856B8">
        <w:rPr>
          <w:iCs/>
        </w:rPr>
        <w:t>Participant a</w:t>
      </w:r>
      <w:r>
        <w:rPr>
          <w:iCs/>
        </w:rPr>
        <w:t xml:space="preserve">ntibiotic records may </w:t>
      </w:r>
      <w:r w:rsidR="009A2ACE">
        <w:rPr>
          <w:iCs/>
        </w:rPr>
        <w:t xml:space="preserve">also </w:t>
      </w:r>
      <w:r>
        <w:rPr>
          <w:iCs/>
        </w:rPr>
        <w:t>not be complete as prescriptions could not be obtained from out of hours GP practices</w:t>
      </w:r>
      <w:r w:rsidR="009A2ACE">
        <w:rPr>
          <w:iCs/>
        </w:rPr>
        <w:t xml:space="preserve"> or </w:t>
      </w:r>
      <w:r>
        <w:rPr>
          <w:iCs/>
        </w:rPr>
        <w:t xml:space="preserve">emergency departments and hospital wards other than </w:t>
      </w:r>
      <w:r w:rsidR="001856B8">
        <w:rPr>
          <w:iCs/>
        </w:rPr>
        <w:t xml:space="preserve">at </w:t>
      </w:r>
      <w:r>
        <w:rPr>
          <w:iCs/>
        </w:rPr>
        <w:t xml:space="preserve">SCH. </w:t>
      </w:r>
      <w:r w:rsidRPr="008F33C8">
        <w:rPr>
          <w:iCs/>
        </w:rPr>
        <w:t xml:space="preserve">Poor recall of courses of antibiotics during the study period further compounds the reliability of this outcome. </w:t>
      </w:r>
      <w:r w:rsidR="00143AD3">
        <w:rPr>
          <w:iCs/>
        </w:rPr>
        <w:t xml:space="preserve">An intention to treat </w:t>
      </w:r>
      <w:r w:rsidR="009A7BE2">
        <w:rPr>
          <w:iCs/>
        </w:rPr>
        <w:t xml:space="preserve">(ITT) </w:t>
      </w:r>
      <w:r w:rsidR="00143AD3">
        <w:rPr>
          <w:iCs/>
        </w:rPr>
        <w:t>analysis</w:t>
      </w:r>
      <w:r w:rsidR="009A7BE2">
        <w:rPr>
          <w:iCs/>
        </w:rPr>
        <w:t xml:space="preserve"> (reviewed by </w:t>
      </w:r>
      <w:r w:rsidR="001719F1">
        <w:rPr>
          <w:iCs/>
        </w:rPr>
        <w:fldChar w:fldCharType="begin"/>
      </w:r>
      <w:r w:rsidR="001719F1">
        <w:rPr>
          <w:iCs/>
        </w:rPr>
        <w:instrText xml:space="preserve"> ADDIN EN.CITE &lt;EndNote&gt;&lt;Cite&gt;&lt;Author&gt;Gupta&lt;/Author&gt;&lt;Year&gt;2011&lt;/Year&gt;&lt;RecNum&gt;525&lt;/RecNum&gt;&lt;DisplayText&gt;(Gupta, 2011)&lt;/DisplayText&gt;&lt;record&gt;&lt;rec-number&gt;525&lt;/rec-number&gt;&lt;foreign-keys&gt;&lt;key app="EN" db-id="pr9rwt2w8padxcerwx6prd0a9wtda2w5fw2t" timestamp="1657012914"&gt;525&lt;/key&gt;&lt;/foreign-keys&gt;&lt;ref-type name="Journal Article"&gt;17&lt;/ref-type&gt;&lt;contributors&gt;&lt;authors&gt;&lt;author&gt;Gupta, S. K.&lt;/author&gt;&lt;/authors&gt;&lt;/contributors&gt;&lt;auth-address&gt;Clinical Pharmacologist, Gurgaon, India.&lt;/auth-address&gt;&lt;titles&gt;&lt;title&gt;Intention-to-treat concept: A review&lt;/title&gt;&lt;secondary-title&gt;Perspect Clin Res&lt;/secondary-title&gt;&lt;/titles&gt;&lt;periodical&gt;&lt;full-title&gt;Perspect Clin Res&lt;/full-title&gt;&lt;/periodical&gt;&lt;pages&gt;109-12&lt;/pages&gt;&lt;volume&gt;2&lt;/volume&gt;&lt;number&gt;3&lt;/number&gt;&lt;edition&gt;2011/09/08&lt;/edition&gt;&lt;keywords&gt;&lt;keyword&gt;Intention-to-treat analysis&lt;/keyword&gt;&lt;keyword&gt;per-protocol analysis&lt;/keyword&gt;&lt;keyword&gt;randomized controlled trials&lt;/keyword&gt;&lt;/keywords&gt;&lt;dates&gt;&lt;year&gt;2011&lt;/year&gt;&lt;pub-dates&gt;&lt;date&gt;Jul&lt;/date&gt;&lt;/pub-dates&gt;&lt;/dates&gt;&lt;isbn&gt;2229-3485 (Print)&amp;#xD;2229-3485&lt;/isbn&gt;&lt;accession-num&gt;21897887&lt;/accession-num&gt;&lt;urls&gt;&lt;/urls&gt;&lt;custom2&gt;PMC3159210&lt;/custom2&gt;&lt;electronic-resource-num&gt;10.4103/2229-3485.83221&lt;/electronic-resource-num&gt;&lt;remote-database-provider&gt;NLM&lt;/remote-database-provider&gt;&lt;language&gt;eng&lt;/language&gt;&lt;/record&gt;&lt;/Cite&gt;&lt;/EndNote&gt;</w:instrText>
      </w:r>
      <w:r w:rsidR="001719F1">
        <w:rPr>
          <w:iCs/>
        </w:rPr>
        <w:fldChar w:fldCharType="separate"/>
      </w:r>
      <w:r w:rsidR="001719F1">
        <w:rPr>
          <w:iCs/>
          <w:noProof/>
        </w:rPr>
        <w:t>(Gupta, 2011)</w:t>
      </w:r>
      <w:r w:rsidR="001719F1">
        <w:rPr>
          <w:iCs/>
        </w:rPr>
        <w:fldChar w:fldCharType="end"/>
      </w:r>
      <w:r w:rsidR="009D006E">
        <w:rPr>
          <w:iCs/>
        </w:rPr>
        <w:t>)</w:t>
      </w:r>
      <w:r w:rsidR="00143AD3">
        <w:rPr>
          <w:iCs/>
        </w:rPr>
        <w:t xml:space="preserve"> was used</w:t>
      </w:r>
      <w:r w:rsidR="0028264B">
        <w:rPr>
          <w:iCs/>
        </w:rPr>
        <w:t>.</w:t>
      </w:r>
      <w:r w:rsidR="009A7BE2">
        <w:rPr>
          <w:iCs/>
        </w:rPr>
        <w:t xml:space="preserve"> </w:t>
      </w:r>
      <w:r w:rsidR="00945363">
        <w:rPr>
          <w:iCs/>
        </w:rPr>
        <w:t xml:space="preserve"> </w:t>
      </w:r>
      <w:r w:rsidR="009A7BE2" w:rsidRPr="009A7BE2">
        <w:rPr>
          <w:iCs/>
        </w:rPr>
        <w:t>ITT analys</w:t>
      </w:r>
      <w:r w:rsidR="001D2087">
        <w:rPr>
          <w:iCs/>
        </w:rPr>
        <w:t>is</w:t>
      </w:r>
      <w:r w:rsidR="00B6220E">
        <w:rPr>
          <w:iCs/>
        </w:rPr>
        <w:t xml:space="preserve"> (“once randomised, always analysed”)</w:t>
      </w:r>
      <w:r w:rsidR="009A7BE2" w:rsidRPr="009A7BE2">
        <w:rPr>
          <w:iCs/>
        </w:rPr>
        <w:t xml:space="preserve"> reflects the practical clinical scenario </w:t>
      </w:r>
      <w:r w:rsidR="00B6220E">
        <w:rPr>
          <w:iCs/>
        </w:rPr>
        <w:t xml:space="preserve">as </w:t>
      </w:r>
      <w:r w:rsidR="009A7BE2" w:rsidRPr="009A7BE2">
        <w:rPr>
          <w:iCs/>
        </w:rPr>
        <w:t xml:space="preserve">it </w:t>
      </w:r>
      <w:r w:rsidR="009A7BE2">
        <w:rPr>
          <w:iCs/>
        </w:rPr>
        <w:t xml:space="preserve">allows analysis of </w:t>
      </w:r>
      <w:r w:rsidR="009A7BE2" w:rsidRPr="009A7BE2">
        <w:rPr>
          <w:iCs/>
        </w:rPr>
        <w:t>noncomplian</w:t>
      </w:r>
      <w:r w:rsidR="009A7BE2">
        <w:rPr>
          <w:iCs/>
        </w:rPr>
        <w:t>t patients and those with</w:t>
      </w:r>
      <w:r w:rsidR="009A7BE2" w:rsidRPr="009A7BE2">
        <w:rPr>
          <w:iCs/>
        </w:rPr>
        <w:t xml:space="preserve"> protocol deviations. ITT analysis gives an unbiased estimate of treatment effect</w:t>
      </w:r>
      <w:r w:rsidR="009A7BE2">
        <w:rPr>
          <w:iCs/>
        </w:rPr>
        <w:t>,</w:t>
      </w:r>
      <w:r w:rsidR="009A7BE2" w:rsidRPr="009A7BE2">
        <w:t xml:space="preserve"> </w:t>
      </w:r>
      <w:r w:rsidR="009A7BE2" w:rsidRPr="00D81399">
        <w:t>minimising</w:t>
      </w:r>
      <w:r w:rsidR="009A7BE2" w:rsidRPr="009A7BE2">
        <w:rPr>
          <w:iCs/>
        </w:rPr>
        <w:t xml:space="preserve"> type I error </w:t>
      </w:r>
      <w:r w:rsidR="009A7BE2">
        <w:rPr>
          <w:iCs/>
        </w:rPr>
        <w:t xml:space="preserve"> (false positive results) but it may increase the risk of type II (false negative) error. Because of the </w:t>
      </w:r>
      <w:r w:rsidR="009A7BE2">
        <w:rPr>
          <w:iCs/>
        </w:rPr>
        <w:lastRenderedPageBreak/>
        <w:t>small sample size I did not undertake additional per protocol (PP) analysis</w:t>
      </w:r>
      <w:r w:rsidR="00B6220E">
        <w:rPr>
          <w:iCs/>
        </w:rPr>
        <w:t xml:space="preserve"> (our protocol allowed starting antibiotics on clinical grounds after study </w:t>
      </w:r>
      <w:r w:rsidR="001D2087">
        <w:rPr>
          <w:iCs/>
        </w:rPr>
        <w:t>commencement</w:t>
      </w:r>
      <w:r w:rsidR="00B6220E">
        <w:rPr>
          <w:iCs/>
        </w:rPr>
        <w:t>)</w:t>
      </w:r>
      <w:r w:rsidR="009A7BE2">
        <w:rPr>
          <w:iCs/>
        </w:rPr>
        <w:t xml:space="preserve">. </w:t>
      </w:r>
      <w:r w:rsidR="00945363">
        <w:rPr>
          <w:iCs/>
        </w:rPr>
        <w:t xml:space="preserve">Two participants in the comparison group </w:t>
      </w:r>
      <w:r w:rsidR="00DB069C">
        <w:rPr>
          <w:iCs/>
        </w:rPr>
        <w:t xml:space="preserve">in PBB study 2 </w:t>
      </w:r>
      <w:r w:rsidR="00B6220E">
        <w:rPr>
          <w:iCs/>
        </w:rPr>
        <w:t>were started on</w:t>
      </w:r>
      <w:r w:rsidR="00945363">
        <w:rPr>
          <w:iCs/>
        </w:rPr>
        <w:t xml:space="preserve"> long</w:t>
      </w:r>
      <w:r w:rsidR="00D5719C">
        <w:rPr>
          <w:iCs/>
        </w:rPr>
        <w:t>-</w:t>
      </w:r>
      <w:r w:rsidR="00945363">
        <w:rPr>
          <w:iCs/>
        </w:rPr>
        <w:t>term antibiotics prophylaxis</w:t>
      </w:r>
      <w:r w:rsidR="00B6220E">
        <w:rPr>
          <w:iCs/>
        </w:rPr>
        <w:t xml:space="preserve"> due to frequent exacerbations. </w:t>
      </w:r>
      <w:r w:rsidR="00945363">
        <w:rPr>
          <w:iCs/>
        </w:rPr>
        <w:t xml:space="preserve">Azithromycin was used in one case and in the other co-trimoxazole as azithromycin was not tolerated. </w:t>
      </w:r>
      <w:r w:rsidR="00B6220E">
        <w:rPr>
          <w:iCs/>
        </w:rPr>
        <w:t>O</w:t>
      </w:r>
      <w:r w:rsidR="001312F2">
        <w:rPr>
          <w:iCs/>
        </w:rPr>
        <w:t xml:space="preserve">ne of these participants required the most number of acute courses of antibiotics </w:t>
      </w:r>
      <w:r w:rsidR="0028264B">
        <w:rPr>
          <w:iCs/>
        </w:rPr>
        <w:t xml:space="preserve">during the study </w:t>
      </w:r>
      <w:r w:rsidR="001312F2">
        <w:rPr>
          <w:iCs/>
        </w:rPr>
        <w:t>(five courses</w:t>
      </w:r>
      <w:r w:rsidR="00B6220E">
        <w:rPr>
          <w:iCs/>
        </w:rPr>
        <w:t>)</w:t>
      </w:r>
      <w:r w:rsidR="001312F2">
        <w:rPr>
          <w:iCs/>
        </w:rPr>
        <w:t>.</w:t>
      </w:r>
      <w:r w:rsidR="00B6220E">
        <w:rPr>
          <w:iCs/>
        </w:rPr>
        <w:t xml:space="preserve"> This patient was analysed as being in the comparison group and hence increased the number of additional antibiotics in this setting de</w:t>
      </w:r>
      <w:r w:rsidR="001D2087">
        <w:rPr>
          <w:iCs/>
        </w:rPr>
        <w:t>s</w:t>
      </w:r>
      <w:r w:rsidR="00B6220E">
        <w:rPr>
          <w:iCs/>
        </w:rPr>
        <w:t xml:space="preserve">pite taking prophylaxis (albeit not azithromycin) – since the number of ‘rescue’ antibiotics did not differ significantly between the 2 groups the ITT analysis is unlikely to have affected this outcome. </w:t>
      </w:r>
    </w:p>
    <w:p w14:paraId="0E31D1B6" w14:textId="3285A13A" w:rsidR="00D33B81" w:rsidRDefault="00E93C5E" w:rsidP="00752DA8">
      <w:pPr>
        <w:spacing w:after="160" w:line="360" w:lineRule="auto"/>
      </w:pPr>
      <w:r>
        <w:t xml:space="preserve">The </w:t>
      </w:r>
      <w:r w:rsidR="00B6220E">
        <w:t xml:space="preserve">initial </w:t>
      </w:r>
      <w:r>
        <w:t>decision to investigate isolates for azithromycin resistance only in PBB studies 1 and 2, was based on a focussed approach anticipating that</w:t>
      </w:r>
      <w:r w:rsidR="00DB069C">
        <w:t xml:space="preserve"> </w:t>
      </w:r>
      <w:r>
        <w:t>azithromycin</w:t>
      </w:r>
      <w:r w:rsidR="00DB069C">
        <w:t>-</w:t>
      </w:r>
      <w:r>
        <w:t xml:space="preserve">resistant bacteria would be present if exposed to long-term azithromycin. </w:t>
      </w:r>
      <w:r w:rsidR="00B6220E">
        <w:t xml:space="preserve">PBB study 1 </w:t>
      </w:r>
      <w:r>
        <w:t>was a pilot study with limited funding</w:t>
      </w:r>
      <w:r w:rsidR="00DB069C">
        <w:t xml:space="preserve"> and hence only 1 sensitivity test could be supported</w:t>
      </w:r>
      <w:r>
        <w:t>. We recognised</w:t>
      </w:r>
      <w:r w:rsidR="00B6220E">
        <w:t xml:space="preserve"> at the outset</w:t>
      </w:r>
      <w:r>
        <w:t xml:space="preserve"> however</w:t>
      </w:r>
      <w:r w:rsidR="00B6220E">
        <w:t>,</w:t>
      </w:r>
      <w:r>
        <w:t xml:space="preserve"> that this approach </w:t>
      </w:r>
      <w:r w:rsidR="001D2087">
        <w:t>imposed</w:t>
      </w:r>
      <w:r w:rsidR="00B6220E">
        <w:t xml:space="preserve"> a</w:t>
      </w:r>
      <w:r>
        <w:t xml:space="preserve"> limitation </w:t>
      </w:r>
      <w:r w:rsidR="00B6220E">
        <w:t>on</w:t>
      </w:r>
      <w:r>
        <w:t xml:space="preserve"> the studies. Participants were exposed to high numbers of acute antibiotics courses both before and during the study. The majority of these were beta</w:t>
      </w:r>
      <w:r w:rsidR="005D4602">
        <w:t>-</w:t>
      </w:r>
      <w:r>
        <w:t>lactams</w:t>
      </w:r>
      <w:r w:rsidR="00B6220E">
        <w:t>,</w:t>
      </w:r>
      <w:r>
        <w:t xml:space="preserve"> and as such could have contributed to the presence of non-macrolide antibiotic resistance. </w:t>
      </w:r>
      <w:r w:rsidR="00DB069C">
        <w:t>W</w:t>
      </w:r>
      <w:r>
        <w:t>e subsequently</w:t>
      </w:r>
      <w:r w:rsidR="005D4602">
        <w:t xml:space="preserve"> obtained</w:t>
      </w:r>
      <w:r w:rsidR="00DB069C">
        <w:t xml:space="preserve"> funding to</w:t>
      </w:r>
      <w:r>
        <w:t xml:space="preserve"> </w:t>
      </w:r>
      <w:r w:rsidR="00DB069C">
        <w:t xml:space="preserve">carry </w:t>
      </w:r>
      <w:r>
        <w:t xml:space="preserve">out extended phenotypic susceptibility testing to a broader range of antibiotics. The workflow for the processing of laboratory samples at STH was not optimal given that 6 samples did not have initial azithromycin susceptibility testing performed and 1 swab was lost. Some samples did not get stored </w:t>
      </w:r>
      <w:r w:rsidR="00DB069C">
        <w:t xml:space="preserve">as planned </w:t>
      </w:r>
      <w:r>
        <w:t xml:space="preserve">after initial testing. </w:t>
      </w:r>
      <w:r w:rsidR="00B6220E">
        <w:t xml:space="preserve">Part of the issue was that I was unable to access the laboratory to undertake the studies myself due to COVID restrictions on staff numbers within the laboratory space; this meant that a number of very busy staff with multiple other tasks undertook this work </w:t>
      </w:r>
      <w:r w:rsidR="00DB069C">
        <w:t xml:space="preserve">only </w:t>
      </w:r>
      <w:r w:rsidR="00B6220E">
        <w:t>when time permitted</w:t>
      </w:r>
      <w:r w:rsidR="00DB069C">
        <w:t>,</w:t>
      </w:r>
      <w:r w:rsidR="00B6220E">
        <w:t xml:space="preserve"> rather than a single dedicated individual. </w:t>
      </w:r>
      <w:r>
        <w:t xml:space="preserve">This highlights an area for future study protocols to be addressed in order to ensure the appropriate processing of all study samples. </w:t>
      </w:r>
    </w:p>
    <w:p w14:paraId="238DC161" w14:textId="7D3C95BF" w:rsidR="009648EB" w:rsidRDefault="00353473" w:rsidP="00752DA8">
      <w:pPr>
        <w:pStyle w:val="Heading3"/>
        <w:spacing w:after="160" w:line="360" w:lineRule="auto"/>
      </w:pPr>
      <w:bookmarkStart w:id="279" w:name="_Toc117766005"/>
      <w:r>
        <w:t>Impact of the COVID pandemic</w:t>
      </w:r>
      <w:bookmarkEnd w:id="279"/>
    </w:p>
    <w:p w14:paraId="14CC18F5" w14:textId="56D91136" w:rsidR="009648EB" w:rsidRDefault="00353473" w:rsidP="00752DA8">
      <w:pPr>
        <w:spacing w:after="160" w:line="360" w:lineRule="auto"/>
      </w:pPr>
      <w:r w:rsidRPr="00353473">
        <w:t xml:space="preserve">Due to the COVID pandemic, a number of unanticipated challenges arose, causing substantial disruption to the PBB study 2 design. Firstly, the planned number of nasopharyngeal swabs at </w:t>
      </w:r>
      <w:r w:rsidRPr="00353473">
        <w:lastRenderedPageBreak/>
        <w:t xml:space="preserve">specific time points could not be collected due to national lockdown restrictions. This resulted in a smaller number of DNPS being collected, and samples that were planned to have been taken whilst children were actively on long-term azithromycin could not be obtained. There were longer periods of time between contact with the participating families that meant family engagement with the study reduced and information regarding acute antibiotics, adherence to azithromycin and exacerbations of PBB was not as detailed. The lockdown restrictions, school and nursey closures, shielding requirements and general isolation of individual families resulted in less respiratory viruses and changes in the prescribing of both acute and long-term antibiotics (discussed in section 4.6.3) as well as potentially less transmission of nasopharyngeal bacteria to (and from) study participants. These factors may have also increased the differences between the 2 groups given those on long-term azithromycin were potentially seen as more vulnerable by parents and potentially had stricter isolation than those in the comparison group. This may reduce the generalisability of our results to children with PBB who are not subjected to periods of isolation. The STH laboratory had significant delays in processing the extended phenotypic culture results due to staff shortages with COVID as well as prioritising COVID related samples. Given the significant delays, there was insufficient time for me to perform PCRs for a range of antibiotic resistance genes, and the samples were instead sent for genome sequencing at </w:t>
      </w:r>
      <w:proofErr w:type="spellStart"/>
      <w:r w:rsidRPr="00353473">
        <w:t>MicrobesNG</w:t>
      </w:r>
      <w:proofErr w:type="spellEnd"/>
      <w:r w:rsidRPr="00353473">
        <w:t>. This did provide more data, however only the S. pneumoniae samples (a subset of these isolates) could be analysed due to the increased cost of sequencing.</w:t>
      </w:r>
    </w:p>
    <w:p w14:paraId="42AA3986" w14:textId="77777777" w:rsidR="00353473" w:rsidRDefault="00353473" w:rsidP="00353473">
      <w:pPr>
        <w:spacing w:line="360" w:lineRule="auto"/>
      </w:pPr>
      <w:r w:rsidRPr="008F33C8">
        <w:t xml:space="preserve">The ideal methodology to obtain definitive data would be to conduct an adequately powered </w:t>
      </w:r>
      <w:r>
        <w:t xml:space="preserve">randomised </w:t>
      </w:r>
      <w:r w:rsidRPr="008F33C8">
        <w:t>placebo</w:t>
      </w:r>
      <w:r>
        <w:t>-</w:t>
      </w:r>
      <w:r w:rsidRPr="008F33C8">
        <w:t>controlled trial to ensure homogeneity of the azithromycin and control group</w:t>
      </w:r>
      <w:r>
        <w:t>s</w:t>
      </w:r>
      <w:r w:rsidRPr="008F33C8">
        <w:t xml:space="preserve">. It was not thought that parents would accept a placebo and placebo medications are expensive to formulate. Informally, the majority of parents report they feel they have come to the end of all treatment options by the time prophylactic antibiotics are discussed and this would make it difficult to enrol patients into a trial of </w:t>
      </w:r>
      <w:r>
        <w:t>with a</w:t>
      </w:r>
      <w:r w:rsidRPr="008F33C8">
        <w:t xml:space="preserve"> placebo or no prophylactic therapy</w:t>
      </w:r>
      <w:r>
        <w:t xml:space="preserve"> arm</w:t>
      </w:r>
      <w:r w:rsidRPr="008F33C8">
        <w:t>. Data from</w:t>
      </w:r>
      <w:r>
        <w:t xml:space="preserve"> </w:t>
      </w:r>
      <w:r w:rsidRPr="008F33C8">
        <w:t>observational studies may however</w:t>
      </w:r>
      <w:r>
        <w:t xml:space="preserve"> inform future larger trials and multi-site trials might enable sufficient recruitment for a randomised study with a placebo group. </w:t>
      </w:r>
    </w:p>
    <w:p w14:paraId="16ABCBAA" w14:textId="57B0EA96" w:rsidR="00DB069C" w:rsidRDefault="00DB069C" w:rsidP="00241369">
      <w:pPr>
        <w:spacing w:line="360" w:lineRule="auto"/>
      </w:pPr>
    </w:p>
    <w:p w14:paraId="39244E51" w14:textId="6E73AE50" w:rsidR="00DB069C" w:rsidRDefault="00DB069C" w:rsidP="00241369">
      <w:pPr>
        <w:spacing w:line="360" w:lineRule="auto"/>
      </w:pPr>
    </w:p>
    <w:p w14:paraId="249F070C" w14:textId="77777777" w:rsidR="00DB069C" w:rsidRPr="00241369" w:rsidRDefault="00DB069C" w:rsidP="00241369">
      <w:pPr>
        <w:spacing w:line="360" w:lineRule="auto"/>
      </w:pPr>
    </w:p>
    <w:p w14:paraId="30AD350E" w14:textId="77FA7167" w:rsidR="00E82735" w:rsidRPr="00FC43D8" w:rsidRDefault="008C61AC" w:rsidP="001D04B2">
      <w:pPr>
        <w:pStyle w:val="Heading1"/>
        <w:rPr>
          <w:b/>
          <w:bCs/>
        </w:rPr>
      </w:pPr>
      <w:bookmarkStart w:id="280" w:name="_Toc117766006"/>
      <w:r w:rsidRPr="00FC43D8">
        <w:rPr>
          <w:b/>
          <w:bCs/>
        </w:rPr>
        <w:lastRenderedPageBreak/>
        <w:t>Chapter 5</w:t>
      </w:r>
      <w:r w:rsidR="00FC43D8" w:rsidRPr="00FC43D8">
        <w:rPr>
          <w:b/>
          <w:bCs/>
        </w:rPr>
        <w:t>.</w:t>
      </w:r>
      <w:r w:rsidRPr="00FC43D8">
        <w:rPr>
          <w:b/>
          <w:bCs/>
        </w:rPr>
        <w:t xml:space="preserve"> </w:t>
      </w:r>
      <w:r w:rsidR="00C715AC" w:rsidRPr="00FC43D8">
        <w:rPr>
          <w:b/>
          <w:bCs/>
        </w:rPr>
        <w:t>Azithromycin and the nasopharyngeal microbio</w:t>
      </w:r>
      <w:r w:rsidR="00E864B6" w:rsidRPr="00FC43D8">
        <w:rPr>
          <w:b/>
          <w:bCs/>
        </w:rPr>
        <w:t>me</w:t>
      </w:r>
      <w:bookmarkEnd w:id="280"/>
    </w:p>
    <w:p w14:paraId="76A0301F" w14:textId="42010C9B" w:rsidR="00F1548D" w:rsidRPr="00DD46F9" w:rsidRDefault="00F1548D" w:rsidP="00F1548D"/>
    <w:p w14:paraId="2D84A096" w14:textId="75F96D96" w:rsidR="00691EFE" w:rsidRPr="00E8072D" w:rsidRDefault="00E92008" w:rsidP="00752DA8">
      <w:pPr>
        <w:pStyle w:val="Heading2"/>
      </w:pPr>
      <w:bookmarkStart w:id="281" w:name="_Toc117766007"/>
      <w:r w:rsidRPr="00E8072D">
        <w:t>Introduction</w:t>
      </w:r>
      <w:bookmarkEnd w:id="281"/>
    </w:p>
    <w:p w14:paraId="6CCEACC5" w14:textId="6D5DFFBE" w:rsidR="00D37F53" w:rsidRDefault="009648EB" w:rsidP="005D4602">
      <w:pPr>
        <w:spacing w:after="160" w:line="360" w:lineRule="auto"/>
      </w:pPr>
      <w:r>
        <w:t>L</w:t>
      </w:r>
      <w:r w:rsidR="00BD01F6">
        <w:t>ong</w:t>
      </w:r>
      <w:r w:rsidR="006F09D7">
        <w:t>-</w:t>
      </w:r>
      <w:r w:rsidR="00BD01F6">
        <w:t>term azithromycin</w:t>
      </w:r>
      <w:r>
        <w:t xml:space="preserve"> prophylaxis</w:t>
      </w:r>
      <w:r w:rsidR="00BD01F6">
        <w:t xml:space="preserve"> </w:t>
      </w:r>
      <w:r>
        <w:t xml:space="preserve">has been used for many years </w:t>
      </w:r>
      <w:r w:rsidR="003D2EBA">
        <w:t>to reduce pulmonary exacerbation</w:t>
      </w:r>
      <w:r w:rsidR="00D37F53">
        <w:t>s</w:t>
      </w:r>
      <w:r w:rsidR="003D2EBA">
        <w:t xml:space="preserve"> in cystic fibrosis</w:t>
      </w:r>
      <w:r w:rsidR="004E18D1">
        <w:t xml:space="preserve"> and</w:t>
      </w:r>
      <w:r w:rsidR="003D2EBA">
        <w:t xml:space="preserve"> non-cystic fibrosis bronchiectasis</w:t>
      </w:r>
      <w:r w:rsidR="004E18D1">
        <w:t xml:space="preserve"> (section 1.</w:t>
      </w:r>
      <w:r w:rsidR="006F09D7">
        <w:t>5</w:t>
      </w:r>
      <w:r w:rsidR="004E18D1">
        <w:t>)</w:t>
      </w:r>
      <w:r w:rsidR="00D05832">
        <w:t>. There is increasing interest in the use of long</w:t>
      </w:r>
      <w:r w:rsidR="006F09D7">
        <w:t>-</w:t>
      </w:r>
      <w:r w:rsidR="00D05832">
        <w:t>term azithromycin</w:t>
      </w:r>
      <w:r>
        <w:t xml:space="preserve"> as an immunomodulatory as well as antimicrobial agent,</w:t>
      </w:r>
      <w:r w:rsidR="00D05832">
        <w:t xml:space="preserve"> and more recent tr</w:t>
      </w:r>
      <w:r>
        <w:t>ia</w:t>
      </w:r>
      <w:r w:rsidR="00D05832">
        <w:t>ls have reviewed its efficacy in primary ciliary dyskinesi</w:t>
      </w:r>
      <w:r>
        <w:t>a</w:t>
      </w:r>
      <w:r w:rsidR="00D05832">
        <w:t>, primary immune deficiencies, asthma, HIV and non-respiratory indications such as nephrotic syndrome and inflammatory bowel diseases with varying results</w:t>
      </w:r>
      <w:r w:rsidR="00772173">
        <w:t xml:space="preserve"> </w:t>
      </w:r>
      <w:r w:rsidR="00772173">
        <w:fldChar w:fldCharType="begin">
          <w:fldData xml:space="preserve">PEVuZE5vdGU+PENpdGU+PEF1dGhvcj5Lb2JiZXJuYWdlbDwvQXV0aG9yPjxZZWFyPjIwMjA8L1ll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</w:fldData>
        </w:fldChar>
      </w:r>
      <w:r w:rsidR="00CD2C33">
        <w:instrText xml:space="preserve"> ADDIN EN.CITE </w:instrText>
      </w:r>
      <w:r w:rsidR="00CD2C33">
        <w:fldChar w:fldCharType="begin">
          <w:fldData xml:space="preserve">PEVuZE5vdGU+PENpdGU+PEF1dGhvcj5Lb2JiZXJuYWdlbDwvQXV0aG9yPjxZZWFyPjIwMjA8L1ll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</w:fldData>
        </w:fldChar>
      </w:r>
      <w:r w:rsidR="00CD2C33">
        <w:instrText xml:space="preserve"> ADDIN EN.CITE.DATA </w:instrText>
      </w:r>
      <w:r w:rsidR="00CD2C33">
        <w:fldChar w:fldCharType="end"/>
      </w:r>
      <w:r w:rsidR="00772173">
        <w:fldChar w:fldCharType="separate"/>
      </w:r>
      <w:r w:rsidR="00CD2C33">
        <w:rPr>
          <w:noProof/>
        </w:rPr>
        <w:t>(Ferrand et al., 2020; Gibson et al., 2019; Kobbernagel et al., 2020; Levine et al., 2019; Sawires et al., 2019)</w:t>
      </w:r>
      <w:r w:rsidR="00772173">
        <w:fldChar w:fldCharType="end"/>
      </w:r>
      <w:r w:rsidR="00D05832">
        <w:t xml:space="preserve">. </w:t>
      </w:r>
      <w:r w:rsidR="00D37F53">
        <w:t>A current RCT</w:t>
      </w:r>
      <w:r w:rsidR="00577066">
        <w:t xml:space="preserve"> (the PARROT study)</w:t>
      </w:r>
      <w:r w:rsidR="00D37F53">
        <w:t xml:space="preserve"> is investigating the use of long term azithromycin</w:t>
      </w:r>
      <w:r w:rsidR="00577066">
        <w:t xml:space="preserve"> (1 year)</w:t>
      </w:r>
      <w:r w:rsidR="00D37F53">
        <w:t xml:space="preserve"> in children with neurological impairment to reduce hospital admissions with chest infections. In PBB there is little evidence </w:t>
      </w:r>
      <w:r w:rsidR="00577066">
        <w:t>to date to support its</w:t>
      </w:r>
      <w:r w:rsidR="00D37F53">
        <w:t xml:space="preserve"> use. </w:t>
      </w:r>
    </w:p>
    <w:p w14:paraId="5FC3091A" w14:textId="076D8106" w:rsidR="00D35E73" w:rsidRDefault="00D37F53" w:rsidP="00D05832">
      <w:pPr>
        <w:spacing w:line="360" w:lineRule="auto"/>
      </w:pPr>
      <w:r>
        <w:t>Previous studies have reported on the development of macrolide resistance</w:t>
      </w:r>
      <w:r w:rsidR="00BF457B">
        <w:t xml:space="preserve"> </w:t>
      </w:r>
      <w:r>
        <w:t xml:space="preserve"> following long</w:t>
      </w:r>
      <w:r w:rsidR="009B7634">
        <w:t>-</w:t>
      </w:r>
      <w:r>
        <w:t xml:space="preserve">term macrolide exposure </w:t>
      </w:r>
      <w:r w:rsidR="00BF457B">
        <w:fldChar w:fldCharType="begin"/>
      </w:r>
      <w:r w:rsidR="00533B35">
        <w:instrText xml:space="preserve"> ADDIN EN.CITE &lt;EndNote&gt;&lt;Cite&gt;&lt;Author&gt;Abotsi&lt;/Author&gt;&lt;Year&gt;2022&lt;/Year&gt;&lt;RecNum&gt;464&lt;/RecNum&gt;&lt;DisplayText&gt;(Abotsi et al., 2022)&lt;/DisplayText&gt;&lt;record&gt;&lt;rec-number&gt;464&lt;/rec-number&gt;&lt;foreign-keys&gt;&lt;key app="EN" db-id="pr9rwt2w8padxcerwx6prd0a9wtda2w5fw2t" timestamp="1649765911"&gt;464&lt;/key&gt;&lt;/foreign-keys&gt;&lt;ref-type name="Journal Article"&gt;17&lt;/ref-type&gt;&lt;contributors&gt;&lt;authors&gt;&lt;author&gt;Abotsi, Regina E.&lt;/author&gt;&lt;author&gt;Nicol, Mark P.&lt;/author&gt;&lt;author&gt;McHugh, Grace&lt;/author&gt;&lt;author&gt;Simms, Victoria&lt;/author&gt;&lt;author&gt;et al.&lt;/author&gt;&lt;/authors&gt;&lt;/contributors&gt;&lt;titles&gt;&lt;title&gt;The impact of long-term azithromycin on antibiotic resistance in HIV-associated chronic lung disease&lt;/title&gt;&lt;secondary-title&gt;ERJ Open Research&lt;/secondary-title&gt;&lt;/titles&gt;&lt;periodical&gt;&lt;full-title&gt;ERJ Open Research&lt;/full-title&gt;&lt;/periodical&gt;&lt;pages&gt;00491-2021&lt;/pages&gt;&lt;volume&gt;8&lt;/volume&gt;&lt;number&gt;1&lt;/number&gt;&lt;dates&gt;&lt;year&gt;2022&lt;/year&gt;&lt;/dates&gt;&lt;urls&gt;&lt;related-urls&gt;&lt;url&gt;https://openres.ersjournals.com/content/erjor/8/1/00491-2021.full.pdf&lt;/url&gt;&lt;/related-urls&gt;&lt;/urls&gt;&lt;electronic-resource-num&gt;10.1183/23120541.00491-2021&lt;/electronic-resource-num&gt;&lt;/record&gt;&lt;/Cite&gt;&lt;/EndNote&gt;</w:instrText>
      </w:r>
      <w:r w:rsidR="00BF457B">
        <w:fldChar w:fldCharType="separate"/>
      </w:r>
      <w:r w:rsidR="00533B35">
        <w:rPr>
          <w:noProof/>
        </w:rPr>
        <w:t>(Abotsi et al., 2022)</w:t>
      </w:r>
      <w:r w:rsidR="00BF457B">
        <w:fldChar w:fldCharType="end"/>
      </w:r>
      <w:r w:rsidR="00577066">
        <w:t>,</w:t>
      </w:r>
      <w:r w:rsidR="00BF457B">
        <w:t xml:space="preserve"> </w:t>
      </w:r>
      <w:r>
        <w:t xml:space="preserve">yet few have reported the effects on the </w:t>
      </w:r>
      <w:r w:rsidR="00ED32B1">
        <w:t xml:space="preserve">respiratory </w:t>
      </w:r>
      <w:r>
        <w:t>microbiota</w:t>
      </w:r>
      <w:r w:rsidR="007712D9">
        <w:t>.</w:t>
      </w:r>
      <w:r w:rsidR="00647D46">
        <w:t xml:space="preserve"> Adult studies have reported alterations in the composition of airway microbiota in asthma and non-cystic fibrosis bronchiectasis</w:t>
      </w:r>
      <w:r w:rsidR="003D58DF">
        <w:t xml:space="preserve"> </w:t>
      </w:r>
      <w:r w:rsidR="00BF457B">
        <w:t>following long</w:t>
      </w:r>
      <w:r w:rsidR="009B7634">
        <w:t>-</w:t>
      </w:r>
      <w:r w:rsidR="00BF457B">
        <w:t xml:space="preserve">term macrolide exposure </w:t>
      </w:r>
      <w:r w:rsidR="003D58DF">
        <w:fldChar w:fldCharType="begin">
          <w:fldData xml:space="preserve">PEVuZE5vdGU+PENpdGU+PEF1dGhvcj5Sb2dlcnM8L0F1dGhvcj48WWVhcj4yMDE0PC9ZZWFyPjxS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==
</w:fldData>
        </w:fldChar>
      </w:r>
      <w:r w:rsidR="00CD2C33">
        <w:instrText xml:space="preserve"> ADDIN EN.CITE </w:instrText>
      </w:r>
      <w:r w:rsidR="00CD2C33">
        <w:fldChar w:fldCharType="begin">
          <w:fldData xml:space="preserve">PEVuZE5vdGU+PENpdGU+PEF1dGhvcj5Sb2dlcnM8L0F1dGhvcj48WWVhcj4yMDE0PC9ZZWFyPjxS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==
</w:fldData>
        </w:fldChar>
      </w:r>
      <w:r w:rsidR="00CD2C33">
        <w:instrText xml:space="preserve"> ADDIN EN.CITE.DATA </w:instrText>
      </w:r>
      <w:r w:rsidR="00CD2C33">
        <w:fldChar w:fldCharType="end"/>
      </w:r>
      <w:r w:rsidR="003D58DF">
        <w:fldChar w:fldCharType="separate"/>
      </w:r>
      <w:r w:rsidR="00CD2C33">
        <w:rPr>
          <w:noProof/>
        </w:rPr>
        <w:t>(Rogers et al., 2014; Slater et al., 2014)</w:t>
      </w:r>
      <w:r w:rsidR="003D58DF">
        <w:fldChar w:fldCharType="end"/>
      </w:r>
      <w:r w:rsidR="00647D46">
        <w:t xml:space="preserve">. The airway microbiota in children </w:t>
      </w:r>
      <w:r w:rsidR="003D58DF">
        <w:t xml:space="preserve">and adults with the same </w:t>
      </w:r>
      <w:r w:rsidR="006B0B4C">
        <w:t>respiratory</w:t>
      </w:r>
      <w:r w:rsidR="003D58DF">
        <w:t xml:space="preserve"> disease </w:t>
      </w:r>
      <w:r w:rsidR="00BF457B">
        <w:t xml:space="preserve">however </w:t>
      </w:r>
      <w:r w:rsidR="003D58DF">
        <w:t>differ</w:t>
      </w:r>
      <w:r w:rsidR="00D35E73">
        <w:t xml:space="preserve"> </w:t>
      </w:r>
      <w:r w:rsidR="006B0B4C">
        <w:fldChar w:fldCharType="begin">
          <w:fldData xml:space="preserve">PEVuZE5vdGU+PENpdGU+PEF1dGhvcj52YW4gZGVyIEdhc3Q8L0F1dGhvcj48WWVhcj4yMDE0PC9Z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==
</w:fldData>
        </w:fldChar>
      </w:r>
      <w:r w:rsidR="00EE22EB">
        <w:instrText xml:space="preserve"> ADDIN EN.CITE </w:instrText>
      </w:r>
      <w:r w:rsidR="00EE22EB">
        <w:fldChar w:fldCharType="begin">
          <w:fldData xml:space="preserve">PEVuZE5vdGU+PENpdGU+PEF1dGhvcj52YW4gZGVyIEdhc3Q8L0F1dGhvcj48WWVhcj4yMDE0PC9Z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==
</w:fldData>
        </w:fldChar>
      </w:r>
      <w:r w:rsidR="00EE22EB">
        <w:instrText xml:space="preserve"> ADDIN EN.CITE.DATA </w:instrText>
      </w:r>
      <w:r w:rsidR="00EE22EB">
        <w:fldChar w:fldCharType="end"/>
      </w:r>
      <w:r w:rsidR="006B0B4C">
        <w:fldChar w:fldCharType="separate"/>
      </w:r>
      <w:r w:rsidR="00EE22EB">
        <w:rPr>
          <w:noProof/>
        </w:rPr>
        <w:t>(van der Gast et al., 2014)</w:t>
      </w:r>
      <w:r w:rsidR="006B0B4C">
        <w:fldChar w:fldCharType="end"/>
      </w:r>
      <w:r w:rsidR="00D35E73">
        <w:t xml:space="preserve">. It is therefore imperative that research into the paediatric microbiota is carried out. </w:t>
      </w:r>
      <w:r w:rsidR="00893886">
        <w:t>This is particularly important during periods where the microbiota is developing such as in preschool children.</w:t>
      </w:r>
    </w:p>
    <w:p w14:paraId="40054D8F" w14:textId="58946DF9" w:rsidR="004E18D1" w:rsidRDefault="002A38A9" w:rsidP="009342D7">
      <w:pPr>
        <w:spacing w:line="360" w:lineRule="auto"/>
      </w:pPr>
      <w:r>
        <w:t xml:space="preserve">Pertinent questions that </w:t>
      </w:r>
      <w:r w:rsidR="00AF2126">
        <w:t>might be considered</w:t>
      </w:r>
      <w:r>
        <w:t xml:space="preserve"> </w:t>
      </w:r>
      <w:r w:rsidR="005A3A3F">
        <w:t xml:space="preserve">include whether baseline microbiota composition can identify those that will respond best to azithromycin </w:t>
      </w:r>
      <w:r w:rsidR="00F65547">
        <w:t>in order to</w:t>
      </w:r>
      <w:r w:rsidR="005A3A3F">
        <w:t xml:space="preserve"> personalise treatment</w:t>
      </w:r>
      <w:r w:rsidR="003E3673">
        <w:t xml:space="preserve"> and</w:t>
      </w:r>
      <w:r w:rsidR="00893886">
        <w:t xml:space="preserve"> whether</w:t>
      </w:r>
      <w:r w:rsidR="004E18D1">
        <w:t xml:space="preserve"> potential</w:t>
      </w:r>
      <w:r w:rsidR="00893886">
        <w:t xml:space="preserve"> alterations within the respiratory microbiota influence future exacerbations </w:t>
      </w:r>
      <w:r w:rsidR="003E3673">
        <w:t>whilst taking long term</w:t>
      </w:r>
      <w:r w:rsidR="00893886">
        <w:t xml:space="preserve"> azithromycin </w:t>
      </w:r>
      <w:r w:rsidR="004E18D1">
        <w:t xml:space="preserve">or </w:t>
      </w:r>
      <w:r w:rsidR="00893886">
        <w:t>on cessation</w:t>
      </w:r>
      <w:r w:rsidR="00A64993">
        <w:t xml:space="preserve"> </w:t>
      </w:r>
      <w:r w:rsidR="00B9334B">
        <w:fldChar w:fldCharType="begin"/>
      </w:r>
      <w:r w:rsidR="00B9334B">
        <w:instrText xml:space="preserve"> ADDIN EN.CITE &lt;EndNote&gt;&lt;Cite&gt;&lt;Author&gt;Acosta&lt;/Author&gt;&lt;Year&gt;2021&lt;/Year&gt;&lt;RecNum&gt;380&lt;/RecNum&gt;&lt;DisplayText&gt;(Acosta et al., 2021)&lt;/DisplayText&gt;&lt;record&gt;&lt;rec-number&gt;380&lt;/rec-number&gt;&lt;foreign-keys&gt;&lt;key app="EN" db-id="pr9rwt2w8padxcerwx6prd0a9wtda2w5fw2t" timestamp="1629980069"&gt;380&lt;/key&gt;&lt;/foreign-keys&gt;&lt;ref-type name="Journal Article"&gt;17&lt;/ref-type&gt;&lt;contributors&gt;&lt;authors&gt;&lt;author&gt;Acosta, Nicole&lt;/author&gt;&lt;author&gt;Thornton, Christina S.&lt;/author&gt;&lt;author&gt;Surette, Michael G.&lt;/author&gt;&lt;author&gt;Somayaji, Ranjani&lt;/author&gt;&lt;author&gt;et al.&lt;/author&gt;&lt;/authors&gt;&lt;/contributors&gt;&lt;titles&gt;&lt;title&gt;Azithromycin and the microbiota of cystic fibrosis sputum&lt;/title&gt;&lt;secondary-title&gt;BMC Microbiology&lt;/secondary-title&gt;&lt;/titles&gt;&lt;periodical&gt;&lt;full-title&gt;BMC Microbiology&lt;/full-title&gt;&lt;/periodical&gt;&lt;pages&gt;96&lt;/pages&gt;&lt;volume&gt;21&lt;/volume&gt;&lt;number&gt;1&lt;/number&gt;&lt;dates&gt;&lt;year&gt;2021&lt;/year&gt;&lt;pub-dates&gt;&lt;date&gt;2021/03/30&lt;/date&gt;&lt;/pub-dates&gt;&lt;/dates&gt;&lt;isbn&gt;1471-2180&lt;/isbn&gt;&lt;urls&gt;&lt;related-urls&gt;&lt;url&gt;https://doi.org/10.1186/s12866-021-02159-5&lt;/url&gt;&lt;/related-urls&gt;&lt;/urls&gt;&lt;electronic-resource-num&gt;10.1186/s12866-021-02159-5&lt;/electronic-resource-num&gt;&lt;/record&gt;&lt;/Cite&gt;&lt;/EndNote&gt;</w:instrText>
      </w:r>
      <w:r w:rsidR="00B9334B">
        <w:fldChar w:fldCharType="separate"/>
      </w:r>
      <w:r w:rsidR="00B9334B">
        <w:rPr>
          <w:noProof/>
        </w:rPr>
        <w:t>(Acosta et al., 2021)</w:t>
      </w:r>
      <w:r w:rsidR="00B9334B">
        <w:fldChar w:fldCharType="end"/>
      </w:r>
      <w:r w:rsidR="00893886">
        <w:t xml:space="preserve">. </w:t>
      </w:r>
      <w:r w:rsidR="004E18D1">
        <w:t xml:space="preserve">The impact on other microbiota such as the gut would be important to consider yet outside the remit of this thesis. </w:t>
      </w:r>
    </w:p>
    <w:p w14:paraId="4A9F9872" w14:textId="3D39B1FB" w:rsidR="00E92008" w:rsidRDefault="00E92008" w:rsidP="009342D7">
      <w:pPr>
        <w:spacing w:line="360" w:lineRule="auto"/>
      </w:pPr>
      <w:r>
        <w:t>The results presented from PBB studies 1 and 2 so far have focussed on the effects of long</w:t>
      </w:r>
      <w:r w:rsidR="009B7634">
        <w:t>-</w:t>
      </w:r>
      <w:r>
        <w:t xml:space="preserve">term azithromycin on antibiotic resistance. PBB study 1 was a feasibility study and the resulting samples were not retained for microbiome analysis. </w:t>
      </w:r>
      <w:r w:rsidR="005C3C68">
        <w:t xml:space="preserve">To assess the broader impact of long-term azithromycin use in PBB, we also aimed to investigate the effects of prophylaxis on the nasopharyngeal microbiota. </w:t>
      </w:r>
    </w:p>
    <w:p w14:paraId="338D5388" w14:textId="32AE5D3C" w:rsidR="00B53C9B" w:rsidRDefault="00DB069C" w:rsidP="005D4602">
      <w:pPr>
        <w:spacing w:after="160" w:line="360" w:lineRule="auto"/>
      </w:pPr>
      <w:r>
        <w:lastRenderedPageBreak/>
        <w:t xml:space="preserve">I </w:t>
      </w:r>
      <w:r w:rsidR="00E92008">
        <w:t>hypothesised that the diversity of bacteria residing within the nasopharynxes of children exposed to long</w:t>
      </w:r>
      <w:r w:rsidR="009B7634">
        <w:t>-</w:t>
      </w:r>
      <w:r w:rsidR="00E92008">
        <w:t>term azithromycin would be reduced compared to a comparison group not exposed to long</w:t>
      </w:r>
      <w:r w:rsidR="009B7634">
        <w:t>-</w:t>
      </w:r>
      <w:r w:rsidR="00E92008">
        <w:t xml:space="preserve">term antibiotics.  </w:t>
      </w:r>
    </w:p>
    <w:p w14:paraId="7BBBEBFE" w14:textId="580950BA" w:rsidR="00FB2FDA" w:rsidRPr="00C024F6" w:rsidRDefault="00D82DAF" w:rsidP="00B53C9B">
      <w:pPr>
        <w:spacing w:line="360" w:lineRule="auto"/>
      </w:pPr>
      <w:r w:rsidRPr="00C024F6">
        <w:t>The primary objectives for the study were:</w:t>
      </w:r>
    </w:p>
    <w:p w14:paraId="163BEEE0" w14:textId="77777777" w:rsidR="00012C41" w:rsidRPr="00C024F6" w:rsidRDefault="00063B4F" w:rsidP="00752DA8">
      <w:pPr>
        <w:pStyle w:val="ListParagraph"/>
        <w:numPr>
          <w:ilvl w:val="0"/>
          <w:numId w:val="46"/>
        </w:numPr>
        <w:spacing w:line="360" w:lineRule="auto"/>
        <w:ind w:left="714" w:hanging="357"/>
        <w:rPr>
          <w:rFonts w:ascii="Times New Roman" w:hAnsi="Times New Roman" w:cs="Times New Roman"/>
          <w:sz w:val="24"/>
          <w:szCs w:val="24"/>
        </w:rPr>
      </w:pPr>
      <w:r w:rsidRPr="00C024F6">
        <w:rPr>
          <w:rFonts w:ascii="Times New Roman" w:hAnsi="Times New Roman" w:cs="Times New Roman"/>
          <w:sz w:val="24"/>
          <w:szCs w:val="24"/>
        </w:rPr>
        <w:t xml:space="preserve">To </w:t>
      </w:r>
      <w:r w:rsidR="00012C41" w:rsidRPr="00C024F6">
        <w:rPr>
          <w:rFonts w:ascii="Times New Roman" w:hAnsi="Times New Roman" w:cs="Times New Roman"/>
          <w:sz w:val="24"/>
          <w:szCs w:val="24"/>
        </w:rPr>
        <w:t>compare the nasopharyngeal microbiota composition of children with PBB taking long-term prophylactic azithromycin with an unexposed comparison group of children with PBB, through the use of 16s rRNA analysis.</w:t>
      </w:r>
    </w:p>
    <w:p w14:paraId="22A37700" w14:textId="2424C609" w:rsidR="00B53C9B" w:rsidRPr="00F114E8" w:rsidRDefault="00C024F6" w:rsidP="00F114E8">
      <w:pPr>
        <w:pStyle w:val="ListParagraph"/>
        <w:numPr>
          <w:ilvl w:val="0"/>
          <w:numId w:val="46"/>
        </w:numPr>
        <w:spacing w:before="100" w:beforeAutospacing="1" w:line="360" w:lineRule="auto"/>
        <w:ind w:left="714" w:hanging="357"/>
        <w:rPr>
          <w:rFonts w:ascii="Times New Roman" w:eastAsia="Times New Roman" w:hAnsi="Times New Roman" w:cs="Times New Roman"/>
          <w:sz w:val="24"/>
          <w:szCs w:val="24"/>
          <w:lang w:eastAsia="en-GB"/>
        </w:rPr>
      </w:pPr>
      <w:r w:rsidRPr="00752DA8">
        <w:rPr>
          <w:rFonts w:ascii="Times New Roman" w:eastAsia="Times New Roman" w:hAnsi="Times New Roman" w:cs="Times New Roman"/>
          <w:sz w:val="24"/>
          <w:szCs w:val="24"/>
          <w:lang w:eastAsia="en-GB"/>
        </w:rPr>
        <w:t>To investigate differences between the nasopharyngeal composition at the beginning and end of exacerbations of PBB</w:t>
      </w:r>
    </w:p>
    <w:p w14:paraId="57D9DDA1" w14:textId="6D2F088F" w:rsidR="00D833C5" w:rsidRDefault="00D833C5" w:rsidP="00752DA8">
      <w:pPr>
        <w:pStyle w:val="Heading2"/>
      </w:pPr>
      <w:bookmarkStart w:id="282" w:name="_Toc117766008"/>
      <w:r w:rsidRPr="00DD46F9">
        <w:t>Microbi</w:t>
      </w:r>
      <w:r w:rsidR="00E864B6" w:rsidRPr="00DD46F9">
        <w:t>ome</w:t>
      </w:r>
      <w:r w:rsidRPr="00DD46F9">
        <w:t xml:space="preserve"> results</w:t>
      </w:r>
      <w:bookmarkEnd w:id="282"/>
    </w:p>
    <w:p w14:paraId="08D61CF4" w14:textId="13497222" w:rsidR="00A310FE" w:rsidRDefault="00A310FE" w:rsidP="00A310FE">
      <w:pPr>
        <w:spacing w:line="360" w:lineRule="auto"/>
      </w:pPr>
      <w:r>
        <w:t>A total of</w:t>
      </w:r>
      <w:r w:rsidRPr="001F39FF">
        <w:t xml:space="preserve"> 100 DNPS </w:t>
      </w:r>
      <w:r>
        <w:t xml:space="preserve">were </w:t>
      </w:r>
      <w:r w:rsidRPr="001F39FF">
        <w:t>collected in PBB study 2, 54 from participants in the comparison group and 46 from participants in the azithromycin group. O</w:t>
      </w:r>
      <w:r>
        <w:t xml:space="preserve">f </w:t>
      </w:r>
      <w:r w:rsidRPr="001F39FF">
        <w:t>these</w:t>
      </w:r>
      <w:r>
        <w:t>,</w:t>
      </w:r>
      <w:r w:rsidRPr="001F39FF">
        <w:t xml:space="preserve"> 7 </w:t>
      </w:r>
      <w:r w:rsidRPr="00EB111D">
        <w:t>were</w:t>
      </w:r>
      <w:r w:rsidRPr="001F39FF">
        <w:t xml:space="preserve"> taken around the times of pulmonary exacerbations</w:t>
      </w:r>
      <w:r>
        <w:t xml:space="preserve"> and the others at regular intervals over the study period (although disruption due to COVID-19 restrictions affected the timing of samples and duration of prophylaxis). All the DNPS were frozen following bacterial culture. At the end of the sample collection, all the swabs were transported on dry ice to Professor Bogaert’s laboratory in Edinburgh, where DNA was extracted</w:t>
      </w:r>
      <w:r w:rsidR="00DB069C">
        <w:t>.</w:t>
      </w:r>
      <w:r>
        <w:t xml:space="preserve">  Generation of a pooled PCR amplicon library was created through amplification of the V4 hypervariable region of the 16S rRNA gene</w:t>
      </w:r>
      <w:r w:rsidRPr="00A310FE">
        <w:t xml:space="preserve"> </w:t>
      </w:r>
      <w:r>
        <w:t>by Professor Bogaert’s team. Sequencing was then performed at the Edinburgh genomics facility in order to characterise the nasopharyngeal microbiota. I undertook the following analyses</w:t>
      </w:r>
      <w:r w:rsidR="00DD0516">
        <w:t xml:space="preserve"> with support from Professor Bogaert’s group</w:t>
      </w:r>
      <w:r>
        <w:t>.</w:t>
      </w:r>
    </w:p>
    <w:p w14:paraId="3E030C2D" w14:textId="77777777" w:rsidR="00A310FE" w:rsidRPr="00A310FE" w:rsidRDefault="00A310FE" w:rsidP="00F412D2"/>
    <w:p w14:paraId="51B77627" w14:textId="290AFBE1" w:rsidR="00F145C7" w:rsidRDefault="00D82DAF" w:rsidP="00752DA8">
      <w:pPr>
        <w:pStyle w:val="Heading3"/>
      </w:pPr>
      <w:bookmarkStart w:id="283" w:name="_Toc117766009"/>
      <w:r>
        <w:t>Quality control</w:t>
      </w:r>
      <w:r w:rsidR="00625D44">
        <w:t xml:space="preserve"> of 16S rRNA sequencing data</w:t>
      </w:r>
      <w:r w:rsidR="00FB2FDA">
        <w:t xml:space="preserve"> using ‘</w:t>
      </w:r>
      <w:proofErr w:type="spellStart"/>
      <w:r w:rsidR="00FB2FDA">
        <w:t>decontam</w:t>
      </w:r>
      <w:proofErr w:type="spellEnd"/>
      <w:r w:rsidR="00FB2FDA">
        <w:t>’ in R</w:t>
      </w:r>
      <w:bookmarkEnd w:id="283"/>
    </w:p>
    <w:p w14:paraId="18F420BB" w14:textId="1F897824" w:rsidR="00625D44" w:rsidRPr="001D04B2" w:rsidRDefault="00625D44" w:rsidP="005D4602">
      <w:pPr>
        <w:spacing w:after="160" w:line="360" w:lineRule="auto"/>
      </w:pPr>
      <w:r w:rsidRPr="001D04B2">
        <w:t>The ‘</w:t>
      </w:r>
      <w:proofErr w:type="spellStart"/>
      <w:r>
        <w:t>phyloseq</w:t>
      </w:r>
      <w:proofErr w:type="spellEnd"/>
      <w:r w:rsidRPr="001D04B2">
        <w:t xml:space="preserve">’ package in R was used to </w:t>
      </w:r>
      <w:r w:rsidR="00F145C7">
        <w:t>visualise</w:t>
      </w:r>
      <w:r w:rsidRPr="001D04B2">
        <w:t xml:space="preserve"> </w:t>
      </w:r>
      <w:r w:rsidRPr="00625D44">
        <w:t>the bacterial composition of the positive and negative control samples</w:t>
      </w:r>
      <w:r w:rsidR="005A030B">
        <w:t xml:space="preserve"> (</w:t>
      </w:r>
      <w:r w:rsidR="005A030B" w:rsidRPr="005A030B">
        <w:t xml:space="preserve">2 positive mock community samples and 16 negative controls </w:t>
      </w:r>
      <w:r w:rsidR="005A030B">
        <w:t xml:space="preserve">- </w:t>
      </w:r>
      <w:r w:rsidR="005A030B" w:rsidRPr="005A030B">
        <w:t>2 PCR blanks, 4 transport medium samples and 10 blanks containing</w:t>
      </w:r>
      <w:r w:rsidR="005A030B">
        <w:t xml:space="preserve"> relevant</w:t>
      </w:r>
      <w:r w:rsidR="005A030B" w:rsidRPr="005A030B">
        <w:t xml:space="preserve"> reagents</w:t>
      </w:r>
      <w:r w:rsidR="005A030B">
        <w:t>)</w:t>
      </w:r>
      <w:r w:rsidRPr="00625D44">
        <w:t xml:space="preserve">. </w:t>
      </w:r>
      <w:r w:rsidR="0043669A">
        <w:t xml:space="preserve">The mock community was produced by </w:t>
      </w:r>
      <w:r w:rsidR="00796FA2">
        <w:t xml:space="preserve">technicians at the University of Utrecht, Netherlands (collaborators with Professor Bogaert’s group). Selected bacteria are grown, DNA isolated and then pooled in </w:t>
      </w:r>
      <w:r w:rsidR="00D35C0A">
        <w:t>specific</w:t>
      </w:r>
      <w:r w:rsidR="00796FA2">
        <w:t xml:space="preserve"> proportions. </w:t>
      </w:r>
      <w:r w:rsidRPr="00625D44">
        <w:t xml:space="preserve">The two PCR blanks were removed (see appendix </w:t>
      </w:r>
      <w:r w:rsidR="00800891">
        <w:t>10</w:t>
      </w:r>
      <w:r w:rsidRPr="00625D44">
        <w:t xml:space="preserve"> for bacterial</w:t>
      </w:r>
      <w:r>
        <w:t xml:space="preserve"> composition details</w:t>
      </w:r>
      <w:r w:rsidR="00915EC7">
        <w:t xml:space="preserve"> of control samples</w:t>
      </w:r>
      <w:r>
        <w:t xml:space="preserve">). One PCR blank contained </w:t>
      </w:r>
      <w:r w:rsidRPr="00093D7F">
        <w:rPr>
          <w:i/>
          <w:iCs/>
        </w:rPr>
        <w:t>Haemophilus</w:t>
      </w:r>
      <w:r w:rsidR="007E0FA9">
        <w:rPr>
          <w:i/>
          <w:iCs/>
        </w:rPr>
        <w:t xml:space="preserve"> </w:t>
      </w:r>
      <w:proofErr w:type="spellStart"/>
      <w:r w:rsidR="007E0FA9">
        <w:rPr>
          <w:i/>
          <w:iCs/>
        </w:rPr>
        <w:t>spp</w:t>
      </w:r>
      <w:proofErr w:type="spellEnd"/>
      <w:r w:rsidR="00E75ABD">
        <w:rPr>
          <w:i/>
          <w:iCs/>
        </w:rPr>
        <w:t xml:space="preserve"> </w:t>
      </w:r>
      <w:r w:rsidR="00E75ABD">
        <w:t xml:space="preserve">and </w:t>
      </w:r>
      <w:r>
        <w:t xml:space="preserve">was removed </w:t>
      </w:r>
      <w:r w:rsidR="00E75ABD">
        <w:t>(</w:t>
      </w:r>
      <w:r>
        <w:t>to ensure that a</w:t>
      </w:r>
      <w:r w:rsidR="00E75ABD">
        <w:t xml:space="preserve">n important </w:t>
      </w:r>
      <w:r>
        <w:t>respiratory bacteria</w:t>
      </w:r>
      <w:r w:rsidR="00E75ABD">
        <w:t>l species</w:t>
      </w:r>
      <w:r>
        <w:t xml:space="preserve"> was not</w:t>
      </w:r>
      <w:r w:rsidR="00E75ABD">
        <w:t xml:space="preserve"> </w:t>
      </w:r>
      <w:r w:rsidR="00DB069C">
        <w:t xml:space="preserve">subsequently </w:t>
      </w:r>
      <w:r w:rsidR="00DB069C">
        <w:lastRenderedPageBreak/>
        <w:t>interpreted</w:t>
      </w:r>
      <w:r>
        <w:t xml:space="preserve"> as a contaminant during the subsequent steps </w:t>
      </w:r>
      <w:r w:rsidR="00DB069C">
        <w:t>designating</w:t>
      </w:r>
      <w:r>
        <w:t xml:space="preserve"> contaminant sequences</w:t>
      </w:r>
      <w:r w:rsidR="00E75ABD">
        <w:t>)</w:t>
      </w:r>
      <w:r>
        <w:t xml:space="preserve">. In total </w:t>
      </w:r>
      <w:r w:rsidR="00093D7F">
        <w:t>7</w:t>
      </w:r>
      <w:r>
        <w:t xml:space="preserve"> samples </w:t>
      </w:r>
      <w:r w:rsidR="005A5319">
        <w:t xml:space="preserve">and 4 control samples </w:t>
      </w:r>
      <w:r>
        <w:t>were removed prior to running ‘</w:t>
      </w:r>
      <w:proofErr w:type="spellStart"/>
      <w:r>
        <w:t>decontam</w:t>
      </w:r>
      <w:proofErr w:type="spellEnd"/>
      <w:r>
        <w:t xml:space="preserve">’: </w:t>
      </w:r>
      <w:r w:rsidR="005A5319">
        <w:t xml:space="preserve">4 samples had insufficient DNA to proceed with further processing, 1 sample failed the </w:t>
      </w:r>
      <w:r w:rsidR="009342D7">
        <w:t>‘</w:t>
      </w:r>
      <w:r w:rsidR="005A5319">
        <w:t>DADA2</w:t>
      </w:r>
      <w:r w:rsidR="009342D7">
        <w:t>’</w:t>
      </w:r>
      <w:r w:rsidR="005A5319">
        <w:t xml:space="preserve"> quality control</w:t>
      </w:r>
      <w:r w:rsidR="007547CA">
        <w:t xml:space="preserve"> (which </w:t>
      </w:r>
      <w:r w:rsidR="007547CA" w:rsidRPr="007547CA">
        <w:t>models and corrects Illumina-sequenced amplicon errors</w:t>
      </w:r>
      <w:r w:rsidR="007547CA">
        <w:t>)</w:t>
      </w:r>
      <w:r w:rsidR="005A5319">
        <w:t>, 1 duplicate sample and 1 sample with a low read count of 243</w:t>
      </w:r>
      <w:r w:rsidR="003C24DD">
        <w:t xml:space="preserve"> which was not thought to be able to reliably inform on the microbiota composition. </w:t>
      </w:r>
      <w:r w:rsidR="00E03A63">
        <w:t xml:space="preserve"> </w:t>
      </w:r>
      <w:r w:rsidR="003C24DD">
        <w:t xml:space="preserve">Of the 4 controls samples removed, </w:t>
      </w:r>
      <w:r w:rsidR="00E03A63">
        <w:t>2</w:t>
      </w:r>
      <w:r>
        <w:t xml:space="preserve"> </w:t>
      </w:r>
      <w:r w:rsidR="003C24DD">
        <w:t xml:space="preserve">were </w:t>
      </w:r>
      <w:r>
        <w:t>positive mock communities</w:t>
      </w:r>
      <w:r w:rsidR="00E03A63">
        <w:t xml:space="preserve"> and 2 </w:t>
      </w:r>
      <w:r w:rsidR="003C24DD">
        <w:t xml:space="preserve">were </w:t>
      </w:r>
      <w:r w:rsidR="00E03A63">
        <w:t>PCR blanks.</w:t>
      </w:r>
    </w:p>
    <w:p w14:paraId="1D460D57" w14:textId="529B3FA5" w:rsidR="00F145C7" w:rsidRDefault="007A2BD7" w:rsidP="004500C6">
      <w:pPr>
        <w:shd w:val="clear" w:color="auto" w:fill="FFFFFF" w:themeFill="background1"/>
        <w:spacing w:after="160" w:line="360" w:lineRule="auto"/>
      </w:pPr>
      <w:r w:rsidRPr="007A2BD7">
        <w:fldChar w:fldCharType="begin"/>
      </w:r>
      <w:r w:rsidRPr="007A2BD7">
        <w:instrText xml:space="preserve"> REF _Ref105510300 \h  \* MERGEFORMAT </w:instrText>
      </w:r>
      <w:r w:rsidRPr="007A2BD7">
        <w:fldChar w:fldCharType="separate"/>
      </w:r>
      <w:r w:rsidRPr="007A2BD7">
        <w:rPr>
          <w:color w:val="000000" w:themeColor="text1"/>
        </w:rPr>
        <w:t xml:space="preserve">Figure </w:t>
      </w:r>
      <w:r w:rsidRPr="007A2BD7">
        <w:rPr>
          <w:noProof/>
          <w:color w:val="000000" w:themeColor="text1"/>
        </w:rPr>
        <w:t>5</w:t>
      </w:r>
      <w:r w:rsidRPr="007A2BD7">
        <w:rPr>
          <w:color w:val="000000" w:themeColor="text1"/>
        </w:rPr>
        <w:noBreakHyphen/>
      </w:r>
      <w:r w:rsidRPr="007A2BD7">
        <w:rPr>
          <w:noProof/>
          <w:color w:val="000000" w:themeColor="text1"/>
        </w:rPr>
        <w:t>1</w:t>
      </w:r>
      <w:r w:rsidRPr="007A2BD7">
        <w:fldChar w:fldCharType="end"/>
      </w:r>
      <w:r>
        <w:t xml:space="preserve"> </w:t>
      </w:r>
      <w:r w:rsidR="00625D44" w:rsidRPr="007A2BD7">
        <w:t>shows</w:t>
      </w:r>
      <w:r w:rsidR="00625D44">
        <w:t xml:space="preserve"> a flow chart of the</w:t>
      </w:r>
      <w:r w:rsidR="005A030B">
        <w:t xml:space="preserve"> quality control process with the</w:t>
      </w:r>
      <w:r w:rsidR="00625D44">
        <w:t xml:space="preserve"> number of nasopharyngeal samples that were initially processed </w:t>
      </w:r>
      <w:r w:rsidR="005A030B">
        <w:t xml:space="preserve">through to </w:t>
      </w:r>
      <w:r w:rsidR="00625D44">
        <w:t>the number of samples and taxa used in the final analysis.</w:t>
      </w:r>
    </w:p>
    <w:p w14:paraId="73EB8F58" w14:textId="77777777" w:rsidR="004500C6" w:rsidRDefault="004500C6" w:rsidP="004500C6">
      <w:pPr>
        <w:shd w:val="clear" w:color="auto" w:fill="FFFFFF" w:themeFill="background1"/>
        <w:spacing w:after="160" w:line="360" w:lineRule="auto"/>
      </w:pPr>
      <w:r>
        <w:t>‘</w:t>
      </w:r>
      <w:proofErr w:type="spellStart"/>
      <w:r>
        <w:t>Decontam</w:t>
      </w:r>
      <w:proofErr w:type="spellEnd"/>
      <w:r>
        <w:t xml:space="preserve">’ was executed using the “combined” function in order to identify potential contaminants. This function uses the principle that contaminant sequences are likely to have a higher prevalence in negative controls than true samples and the fact that the frequency of contaminant sequences is expected to be inversely proportional to the DNA concentration (contaminating DNA will make up a larger fraction of the total DNA in samples with very little DNA). The generated list of contaminants was compared to a list of known potential contaminating genera </w:t>
      </w:r>
      <w:r>
        <w:fldChar w:fldCharType="begin"/>
      </w:r>
      <w:r>
        <w:instrText xml:space="preserve"> ADDIN EN.CITE &lt;EndNote&gt;&lt;Cite&gt;&lt;Author&gt;Salter&lt;/Author&gt;&lt;Year&gt;2014&lt;/Year&gt;&lt;RecNum&gt;397&lt;/RecNum&gt;&lt;DisplayText&gt;(Salter et al., 2014)&lt;/DisplayText&gt;&lt;record&gt;&lt;rec-number&gt;397&lt;/rec-number&gt;&lt;foreign-keys&gt;&lt;key app="EN" db-id="pr9rwt2w8padxcerwx6prd0a9wtda2w5fw2t" timestamp="1641911659"&gt;397&lt;/key&gt;&lt;/foreign-keys&gt;&lt;ref-type name="Journal Article"&gt;17&lt;/ref-type&gt;&lt;contributors&gt;&lt;authors&gt;&lt;author&gt;Salter, Susannah J.&lt;/author&gt;&lt;author&gt;Cox, Michael J.&lt;/author&gt;&lt;author&gt;Turek, Elena M.&lt;/author&gt;&lt;author&gt;Calus, Szymon T.&lt;/author&gt;&lt;author&gt;Cookson, William O.&lt;/author&gt;&lt;author&gt;Moffatt, Miriam F.&lt;/author&gt;&lt;author&gt;Turner, Paul&lt;/author&gt;&lt;author&gt;Parkhill, Julian&lt;/author&gt;&lt;author&gt;Loman, Nicholas J.&lt;/author&gt;&lt;author&gt;Walker, Alan W.&lt;/author&gt;&lt;/authors&gt;&lt;/contributors&gt;&lt;titles&gt;&lt;title&gt;Reagent and laboratory contamination can critically impact sequence-based microbiome analyses&lt;/title&gt;&lt;secondary-title&gt;BMC Biology&lt;/secondary-title&gt;&lt;/titles&gt;&lt;periodical&gt;&lt;full-title&gt;BMC Biology&lt;/full-title&gt;&lt;/periodical&gt;&lt;pages&gt;87&lt;/pages&gt;&lt;volume&gt;12&lt;/volume&gt;&lt;number&gt;1&lt;/number&gt;&lt;dates&gt;&lt;year&gt;2014&lt;/year&gt;&lt;pub-dates&gt;&lt;date&gt;2014/11/12&lt;/date&gt;&lt;/pub-dates&gt;&lt;/dates&gt;&lt;isbn&gt;1741-7007&lt;/isbn&gt;&lt;urls&gt;&lt;related-urls&gt;&lt;url&gt;https://doi.org/10.1186/s12915-014-0087-z&lt;/url&gt;&lt;/related-urls&gt;&lt;/urls&gt;&lt;electronic-resource-num&gt;10.1186/s12915-014-0087-z&lt;/electronic-resource-num&gt;&lt;/record&gt;&lt;/Cite&gt;&lt;/EndNote&gt;</w:instrText>
      </w:r>
      <w:r>
        <w:fldChar w:fldCharType="separate"/>
      </w:r>
      <w:r>
        <w:rPr>
          <w:noProof/>
        </w:rPr>
        <w:t>(Salter et al., 2014)</w:t>
      </w:r>
      <w:r>
        <w:fldChar w:fldCharType="end"/>
      </w:r>
      <w:r>
        <w:t>. A selection of sequences were visualised to ensure the plots correlated to contaminants or true samples (</w:t>
      </w:r>
      <w:r w:rsidRPr="007A2BD7">
        <w:rPr>
          <w:highlight w:val="green"/>
        </w:rPr>
        <w:fldChar w:fldCharType="begin"/>
      </w:r>
      <w:r w:rsidRPr="007A2BD7">
        <w:instrText xml:space="preserve"> REF _Ref105510356 \h </w:instrText>
      </w:r>
      <w:r w:rsidRPr="007A2BD7">
        <w:rPr>
          <w:highlight w:val="green"/>
        </w:rPr>
        <w:instrText xml:space="preserve"> \* MERGEFORMAT </w:instrText>
      </w:r>
      <w:r w:rsidRPr="007A2BD7">
        <w:rPr>
          <w:highlight w:val="green"/>
        </w:rPr>
      </w:r>
      <w:r w:rsidRPr="007A2BD7">
        <w:rPr>
          <w:highlight w:val="green"/>
        </w:rPr>
        <w:fldChar w:fldCharType="separate"/>
      </w:r>
      <w:r w:rsidRPr="007A2BD7">
        <w:rPr>
          <w:color w:val="000000" w:themeColor="text1"/>
        </w:rPr>
        <w:t xml:space="preserve">Figure </w:t>
      </w:r>
      <w:r w:rsidRPr="007A2BD7">
        <w:rPr>
          <w:noProof/>
          <w:color w:val="000000" w:themeColor="text1"/>
        </w:rPr>
        <w:t>5</w:t>
      </w:r>
      <w:r w:rsidRPr="007A2BD7">
        <w:rPr>
          <w:color w:val="000000" w:themeColor="text1"/>
        </w:rPr>
        <w:noBreakHyphen/>
      </w:r>
      <w:r w:rsidRPr="007A2BD7">
        <w:rPr>
          <w:noProof/>
          <w:color w:val="000000" w:themeColor="text1"/>
        </w:rPr>
        <w:t>2</w:t>
      </w:r>
      <w:r w:rsidRPr="007A2BD7">
        <w:rPr>
          <w:highlight w:val="green"/>
        </w:rPr>
        <w:fldChar w:fldCharType="end"/>
      </w:r>
      <w:r w:rsidRPr="007A2BD7">
        <w:t>)</w:t>
      </w:r>
      <w:r>
        <w:t xml:space="preserve">. Following these 2 steps, the listed contaminants were removed from the samples set. </w:t>
      </w:r>
    </w:p>
    <w:p w14:paraId="64C73FCF" w14:textId="2B172F99" w:rsidR="004500C6" w:rsidRDefault="004500C6" w:rsidP="004500C6">
      <w:pPr>
        <w:shd w:val="clear" w:color="auto" w:fill="FFFFFF" w:themeFill="background1"/>
        <w:spacing w:line="360" w:lineRule="auto"/>
      </w:pPr>
      <w:r>
        <w:t xml:space="preserve">Finally, ultra-rare taxa that may only have been represented by a few reads in a couple of samples were removed as they are not thought to represent biologically meaningful bacteria. Only ASVs with a relative abundance of at least 0.1% in at least 2 samples were kept as suggested by Subramanian et al </w:t>
      </w:r>
      <w:r>
        <w:fldChar w:fldCharType="begin"/>
      </w:r>
      <w:r>
        <w:instrText xml:space="preserve"> ADDIN EN.CITE &lt;EndNote&gt;&lt;Cite&gt;&lt;Author&gt;Subramanian&lt;/Author&gt;&lt;Year&gt;2014&lt;/Year&gt;&lt;RecNum&gt;408&lt;/RecNum&gt;&lt;DisplayText&gt;(Subramanian et al., 2014)&lt;/DisplayText&gt;&lt;record&gt;&lt;rec-number&gt;408&lt;/rec-number&gt;&lt;foreign-keys&gt;&lt;key app="EN" db-id="pr9rwt2w8padxcerwx6prd0a9wtda2w5fw2t" timestamp="1643724962"&gt;408&lt;/key&gt;&lt;/foreign-keys&gt;&lt;ref-type name="Journal Article"&gt;17&lt;/ref-type&gt;&lt;contributors&gt;&lt;authors&gt;&lt;author&gt;Subramanian, Sathish&lt;/author&gt;&lt;author&gt;Huq, Sayeeda&lt;/author&gt;&lt;author&gt;Yatsunenko, Tanya&lt;/author&gt;&lt;author&gt;Haque, Rashidul&lt;/author&gt;&lt;author&gt;Mahfuz, Mustafa&lt;/author&gt;&lt;author&gt;Alam, Mohammed A.&lt;/author&gt;&lt;author&gt;Benezra, Amber&lt;/author&gt;&lt;author&gt;DeStefano, Joseph&lt;/author&gt;&lt;author&gt;Meier, Martin F.&lt;/author&gt;&lt;author&gt;Muegge, Brian D.&lt;/author&gt;&lt;author&gt;Barratt, Michael J.&lt;/author&gt;&lt;author&gt;VanArendonk, Laura G.&lt;/author&gt;&lt;author&gt;Zhang, Qunyuan&lt;/author&gt;&lt;author&gt;Province, Michael A.&lt;/author&gt;&lt;author&gt;Petri Jr, William A.&lt;/author&gt;&lt;author&gt;Ahmed, Tahmeed&lt;/author&gt;&lt;author&gt;Gordon, Jeffrey I.&lt;/author&gt;&lt;/authors&gt;&lt;/contributors&gt;&lt;titles&gt;&lt;title&gt;Persistent gut microbiota immaturity in malnourished Bangladeshi children&lt;/title&gt;&lt;secondary-title&gt;Nature&lt;/secondary-title&gt;&lt;/titles&gt;&lt;periodical&gt;&lt;full-title&gt;Nature&lt;/full-title&gt;&lt;abbr-1&gt;Nature&lt;/abbr-1&gt;&lt;/periodical&gt;&lt;pages&gt;417-421&lt;/pages&gt;&lt;volume&gt;510&lt;/volume&gt;&lt;number&gt;7505&lt;/number&gt;&lt;dates&gt;&lt;year&gt;2014&lt;/year&gt;&lt;pub-dates&gt;&lt;date&gt;2014/06/01&lt;/date&gt;&lt;/pub-dates&gt;&lt;/dates&gt;&lt;isbn&gt;1476-4687&lt;/isbn&gt;&lt;urls&gt;&lt;related-urls&gt;&lt;url&gt;https://doi.org/10.1038/nature13421&lt;/url&gt;&lt;/related-urls&gt;&lt;/urls&gt;&lt;electronic-resource-num&gt;10.1038/nature13421&lt;/electronic-resource-num&gt;&lt;/record&gt;&lt;/Cite&gt;&lt;/EndNote&gt;</w:instrText>
      </w:r>
      <w:r>
        <w:fldChar w:fldCharType="separate"/>
      </w:r>
      <w:r>
        <w:rPr>
          <w:noProof/>
        </w:rPr>
        <w:t>(Subramanian et al., 2014)</w:t>
      </w:r>
      <w:r>
        <w:fldChar w:fldCharType="end"/>
      </w:r>
      <w:r>
        <w:t>. A total of 2807 taxa were removed leaving 299 taxa to be used for the subsequent analysis. Given the total number of swabs obtained, the time interval between swab collection and the number of participants involved</w:t>
      </w:r>
      <w:r w:rsidR="00565A6B">
        <w:t>,</w:t>
      </w:r>
      <w:r>
        <w:t xml:space="preserve"> the removal of 2807 out of 3106  taxa would is in keeping with a project of this size (Personal communication from PhD student, Justyna </w:t>
      </w:r>
      <w:proofErr w:type="spellStart"/>
      <w:r>
        <w:t>Binkowska</w:t>
      </w:r>
      <w:proofErr w:type="spellEnd"/>
      <w:r>
        <w:t xml:space="preserve"> and her team at the Centre for inflammation Research, University of Edinburgh).</w:t>
      </w:r>
      <w:r w:rsidR="00D51B76">
        <w:t xml:space="preserve"> The filtering of rare taxa, that have a low contribution to the signal, can remove more than 70% of taxa thus reducing the complexity of microbiome data but retaining their integrity in downstream analysis</w:t>
      </w:r>
      <w:r w:rsidR="0055667E">
        <w:t xml:space="preserve"> </w:t>
      </w:r>
      <w:r w:rsidR="0055667E">
        <w:fldChar w:fldCharType="begin"/>
      </w:r>
      <w:r w:rsidR="0055667E">
        <w:instrText xml:space="preserve"> ADDIN EN.CITE &lt;EndNote&gt;&lt;Cite&gt;&lt;Author&gt;Cao&lt;/Author&gt;&lt;Year&gt;2021&lt;/Year&gt;&lt;RecNum&gt;540&lt;/RecNum&gt;&lt;DisplayText&gt;(Cao et al., 2021)&lt;/DisplayText&gt;&lt;record&gt;&lt;rec-number&gt;540&lt;/rec-number&gt;&lt;foreign-keys&gt;&lt;key app="EN" db-id="pr9rwt2w8padxcerwx6prd0a9wtda2w5fw2t" timestamp="1666884164"&gt;540&lt;/key&gt;&lt;/foreign-keys&gt;&lt;ref-type name="Journal Article"&gt;17&lt;/ref-type&gt;&lt;contributors&gt;&lt;authors&gt;&lt;author&gt;Cao,Quy&lt;/author&gt;&lt;author&gt;Sun,Xinxin&lt;/author&gt;&lt;author&gt;Rajesh,Karun&lt;/author&gt;&lt;author&gt;Chalasani,Naga&lt;/author&gt;&lt;author&gt;Gelow,Kayla&lt;/author&gt;&lt;author&gt;Katz,Barry&lt;/author&gt;&lt;author&gt;Shah,Vijay H.&lt;/author&gt;&lt;author&gt;Sanyal,Arun J.&lt;/author&gt;&lt;author&gt;Smirnova,Ekaterina&lt;/author&gt;&lt;/authors&gt;&lt;/contributors&gt;&lt;titles&gt;&lt;title&gt;Effects of Rare Microbiome Taxa Filtering on Statistical Analysis&lt;/title&gt;&lt;secondary-title&gt;Frontiers in Microbiology&lt;/secondary-title&gt;&lt;short-title&gt;Filtering Effect&lt;/short-title&gt;&lt;/titles&gt;&lt;periodical&gt;&lt;full-title&gt;Frontiers in Microbiology&lt;/full-title&gt;&lt;/periodical&gt;&lt;volume&gt;11&lt;/volume&gt;&lt;keywords&gt;&lt;keyword&gt;filtering,Fast permutation test,Quality control,microbiome,contaminants&lt;/keyword&gt;&lt;/keywords&gt;&lt;dates&gt;&lt;year&gt;2021&lt;/year&gt;&lt;pub-dates&gt;&lt;date&gt;2021-January-12&lt;/date&gt;&lt;/pub-dates&gt;&lt;/dates&gt;&lt;isbn&gt;1664-302X&lt;/isbn&gt;&lt;work-type&gt;Original Research&lt;/work-type&gt;&lt;urls&gt;&lt;related-urls&gt;&lt;url&gt;https://www.frontiersin.org/articles/10.3389/fmicb.2020.607325&lt;/url&gt;&lt;/related-urls&gt;&lt;/urls&gt;&lt;electronic-resource-num&gt;10.3389/fmicb.2020.607325&lt;/electronic-resource-num&gt;&lt;language&gt;English&lt;/language&gt;&lt;/record&gt;&lt;/Cite&gt;&lt;/EndNote&gt;</w:instrText>
      </w:r>
      <w:r w:rsidR="0055667E">
        <w:fldChar w:fldCharType="separate"/>
      </w:r>
      <w:r w:rsidR="0055667E">
        <w:rPr>
          <w:noProof/>
        </w:rPr>
        <w:t>(Cao et al., 2021)</w:t>
      </w:r>
      <w:r w:rsidR="0055667E">
        <w:fldChar w:fldCharType="end"/>
      </w:r>
      <w:r w:rsidR="00D51B76">
        <w:t>.</w:t>
      </w:r>
    </w:p>
    <w:p w14:paraId="36F5CAF7" w14:textId="77777777" w:rsidR="00625D44" w:rsidRDefault="00625D44" w:rsidP="00625D44">
      <w:pPr>
        <w:shd w:val="clear" w:color="auto" w:fill="FFFFFF" w:themeFill="background1"/>
        <w:spacing w:line="360" w:lineRule="auto"/>
      </w:pPr>
    </w:p>
    <w:p w14:paraId="3143601B" w14:textId="77777777" w:rsidR="00625D44" w:rsidRDefault="00625D44" w:rsidP="00625D44">
      <w:pPr>
        <w:keepNext/>
        <w:shd w:val="clear" w:color="auto" w:fill="FFFFFF" w:themeFill="background1"/>
        <w:spacing w:line="360" w:lineRule="auto"/>
      </w:pPr>
      <w:r>
        <w:rPr>
          <w:noProof/>
        </w:rPr>
        <w:drawing>
          <wp:inline distT="0" distB="0" distL="0" distR="0" wp14:anchorId="2A02CBA9" wp14:editId="1AB54F36">
            <wp:extent cx="6743700" cy="6343650"/>
            <wp:effectExtent l="38100" t="19050" r="19050" b="38100"/>
            <wp:docPr id="549" name="Diagram 5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1997E748" w14:textId="647A9795" w:rsidR="007A2BD7" w:rsidRDefault="00625D44" w:rsidP="00625D44">
      <w:pPr>
        <w:shd w:val="clear" w:color="auto" w:fill="FFFFFF" w:themeFill="background1"/>
        <w:spacing w:line="360" w:lineRule="auto"/>
        <w:rPr>
          <w:color w:val="000000" w:themeColor="text1"/>
        </w:rPr>
      </w:pPr>
      <w:bookmarkStart w:id="284" w:name="_Ref105510300"/>
      <w:bookmarkStart w:id="285" w:name="_Toc117780232"/>
      <w:r w:rsidRPr="007A2BD7">
        <w:rPr>
          <w:b/>
          <w:bCs/>
          <w:color w:val="000000" w:themeColor="text1"/>
        </w:rPr>
        <w:t xml:space="preserve">Figure </w:t>
      </w:r>
      <w:r w:rsidR="00F42C6F">
        <w:rPr>
          <w:b/>
          <w:bCs/>
          <w:color w:val="000000" w:themeColor="text1"/>
        </w:rPr>
        <w:fldChar w:fldCharType="begin"/>
      </w:r>
      <w:r w:rsidR="00F42C6F">
        <w:rPr>
          <w:b/>
          <w:bCs/>
          <w:color w:val="000000" w:themeColor="text1"/>
        </w:rPr>
        <w:instrText xml:space="preserve"> STYLEREF 1 \s </w:instrText>
      </w:r>
      <w:r w:rsidR="00F42C6F">
        <w:rPr>
          <w:b/>
          <w:bCs/>
          <w:color w:val="000000" w:themeColor="text1"/>
        </w:rPr>
        <w:fldChar w:fldCharType="separate"/>
      </w:r>
      <w:r w:rsidR="00F42C6F">
        <w:rPr>
          <w:b/>
          <w:bCs/>
          <w:noProof/>
          <w:color w:val="000000" w:themeColor="text1"/>
        </w:rPr>
        <w:t>5</w:t>
      </w:r>
      <w:r w:rsidR="00F42C6F">
        <w:rPr>
          <w:b/>
          <w:bCs/>
          <w:color w:val="000000" w:themeColor="text1"/>
        </w:rPr>
        <w:fldChar w:fldCharType="end"/>
      </w:r>
      <w:r w:rsidR="00F42C6F">
        <w:rPr>
          <w:b/>
          <w:bCs/>
          <w:color w:val="000000" w:themeColor="text1"/>
        </w:rPr>
        <w:noBreakHyphen/>
      </w:r>
      <w:r w:rsidR="00F42C6F">
        <w:rPr>
          <w:b/>
          <w:bCs/>
          <w:color w:val="000000" w:themeColor="text1"/>
        </w:rPr>
        <w:fldChar w:fldCharType="begin"/>
      </w:r>
      <w:r w:rsidR="00F42C6F">
        <w:rPr>
          <w:b/>
          <w:bCs/>
          <w:color w:val="000000" w:themeColor="text1"/>
        </w:rPr>
        <w:instrText xml:space="preserve"> SEQ Figure \* ARABIC \s 1 </w:instrText>
      </w:r>
      <w:r w:rsidR="00F42C6F">
        <w:rPr>
          <w:b/>
          <w:bCs/>
          <w:color w:val="000000" w:themeColor="text1"/>
        </w:rPr>
        <w:fldChar w:fldCharType="separate"/>
      </w:r>
      <w:r w:rsidR="00F42C6F">
        <w:rPr>
          <w:b/>
          <w:bCs/>
          <w:noProof/>
          <w:color w:val="000000" w:themeColor="text1"/>
        </w:rPr>
        <w:t>1</w:t>
      </w:r>
      <w:r w:rsidR="00F42C6F">
        <w:rPr>
          <w:b/>
          <w:bCs/>
          <w:color w:val="000000" w:themeColor="text1"/>
        </w:rPr>
        <w:fldChar w:fldCharType="end"/>
      </w:r>
      <w:bookmarkEnd w:id="284"/>
      <w:r w:rsidRPr="007A2BD7">
        <w:rPr>
          <w:b/>
          <w:bCs/>
          <w:color w:val="000000" w:themeColor="text1"/>
        </w:rPr>
        <w:t>:</w:t>
      </w:r>
      <w:r w:rsidRPr="007A2BD7">
        <w:rPr>
          <w:color w:val="000000" w:themeColor="text1"/>
        </w:rPr>
        <w:t xml:space="preserve"> </w:t>
      </w:r>
      <w:r w:rsidR="007A2BD7">
        <w:rPr>
          <w:color w:val="000000" w:themeColor="text1"/>
        </w:rPr>
        <w:t>Sample processing pathway</w:t>
      </w:r>
      <w:bookmarkEnd w:id="285"/>
    </w:p>
    <w:p w14:paraId="00CAC9C6" w14:textId="59E74D93" w:rsidR="00625D44" w:rsidRPr="007A2BD7" w:rsidRDefault="00625D44" w:rsidP="005D4602">
      <w:pPr>
        <w:shd w:val="clear" w:color="auto" w:fill="FFFFFF" w:themeFill="background1"/>
        <w:spacing w:line="276" w:lineRule="auto"/>
        <w:rPr>
          <w:i/>
          <w:iCs/>
          <w:color w:val="000000" w:themeColor="text1"/>
        </w:rPr>
      </w:pPr>
      <w:r w:rsidRPr="007A2BD7">
        <w:rPr>
          <w:i/>
          <w:iCs/>
          <w:color w:val="000000" w:themeColor="text1"/>
        </w:rPr>
        <w:t>A flow chart showing the number of samples initially processed and the number removed during the quality control process</w:t>
      </w:r>
    </w:p>
    <w:p w14:paraId="7EAB5BDC" w14:textId="77777777" w:rsidR="00625D44" w:rsidRPr="007A2BD7" w:rsidRDefault="00625D44" w:rsidP="005D4602">
      <w:pPr>
        <w:pStyle w:val="ListParagraph"/>
        <w:spacing w:after="0" w:line="276" w:lineRule="auto"/>
        <w:rPr>
          <w:rFonts w:eastAsia="Times New Roman" w:cstheme="minorHAnsi"/>
          <w:i/>
          <w:iCs/>
          <w:sz w:val="24"/>
          <w:szCs w:val="24"/>
          <w:lang w:eastAsia="en-GB"/>
        </w:rPr>
      </w:pPr>
      <w:r w:rsidRPr="007A2BD7">
        <w:rPr>
          <w:rFonts w:eastAsia="Times New Roman" w:cstheme="minorHAnsi"/>
          <w:i/>
          <w:iCs/>
          <w:sz w:val="24"/>
          <w:szCs w:val="24"/>
          <w:lang w:eastAsia="en-GB"/>
        </w:rPr>
        <w:t xml:space="preserve">*2 positive mock community samples and 16 negative controls (2 PCR blanks, 4 transport medium samples and 10 </w:t>
      </w:r>
      <w:proofErr w:type="spellStart"/>
      <w:r w:rsidRPr="007A2BD7">
        <w:rPr>
          <w:rFonts w:eastAsia="Times New Roman" w:cstheme="minorHAnsi"/>
          <w:i/>
          <w:iCs/>
          <w:sz w:val="24"/>
          <w:szCs w:val="24"/>
          <w:lang w:eastAsia="en-GB"/>
        </w:rPr>
        <w:t>ISO_blanks</w:t>
      </w:r>
      <w:proofErr w:type="spellEnd"/>
      <w:r w:rsidRPr="007A2BD7">
        <w:rPr>
          <w:rFonts w:eastAsia="Times New Roman" w:cstheme="minorHAnsi"/>
          <w:i/>
          <w:iCs/>
          <w:sz w:val="24"/>
          <w:szCs w:val="24"/>
          <w:lang w:eastAsia="en-GB"/>
        </w:rPr>
        <w:t xml:space="preserve"> containing reagents)</w:t>
      </w:r>
    </w:p>
    <w:p w14:paraId="0EF00A33" w14:textId="77777777" w:rsidR="00625D44" w:rsidRDefault="00625D44" w:rsidP="00625D44">
      <w:pPr>
        <w:shd w:val="clear" w:color="auto" w:fill="FFFFFF" w:themeFill="background1"/>
        <w:spacing w:line="360" w:lineRule="auto"/>
      </w:pPr>
    </w:p>
    <w:p w14:paraId="6362EAB3" w14:textId="77777777" w:rsidR="00625D44" w:rsidRDefault="00625D44" w:rsidP="00625D44">
      <w:pPr>
        <w:keepNext/>
        <w:shd w:val="clear" w:color="auto" w:fill="FFFFFF" w:themeFill="background1"/>
        <w:spacing w:line="360" w:lineRule="auto"/>
      </w:pPr>
      <w:r>
        <w:rPr>
          <w:noProof/>
        </w:rPr>
        <w:lastRenderedPageBreak/>
        <w:drawing>
          <wp:inline distT="0" distB="0" distL="0" distR="0" wp14:anchorId="20E10BEF" wp14:editId="7493816D">
            <wp:extent cx="5943600" cy="3959860"/>
            <wp:effectExtent l="0" t="0" r="0" b="2540"/>
            <wp:docPr id="552" name="Picture 5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Chart, scatter chart&#10;&#10;Description automatically generated"/>
                    <pic:cNvPicPr/>
                  </pic:nvPicPr>
                  <pic:blipFill>
                    <a:blip r:embed="rId66"/>
                    <a:stretch>
                      <a:fillRect/>
                    </a:stretch>
                  </pic:blipFill>
                  <pic:spPr>
                    <a:xfrm>
                      <a:off x="0" y="0"/>
                      <a:ext cx="5943600" cy="3959860"/>
                    </a:xfrm>
                    <a:prstGeom prst="rect">
                      <a:avLst/>
                    </a:prstGeom>
                  </pic:spPr>
                </pic:pic>
              </a:graphicData>
            </a:graphic>
          </wp:inline>
        </w:drawing>
      </w:r>
    </w:p>
    <w:p w14:paraId="03B0539F" w14:textId="2E6D035E" w:rsidR="00625D44" w:rsidRDefault="00625D44" w:rsidP="00B751E5">
      <w:pPr>
        <w:pStyle w:val="Caption"/>
      </w:pPr>
      <w:bookmarkStart w:id="286" w:name="_Ref105510356"/>
      <w:bookmarkStart w:id="287" w:name="_Toc117780233"/>
      <w:r w:rsidRPr="007A2BD7">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2</w:t>
      </w:r>
      <w:r w:rsidR="00F42C6F">
        <w:rPr>
          <w:b/>
          <w:bCs/>
          <w:i w:val="0"/>
          <w:iCs w:val="0"/>
          <w:color w:val="000000" w:themeColor="text1"/>
          <w:sz w:val="24"/>
          <w:szCs w:val="24"/>
        </w:rPr>
        <w:fldChar w:fldCharType="end"/>
      </w:r>
      <w:bookmarkEnd w:id="286"/>
      <w:r w:rsidRPr="007A2BD7">
        <w:rPr>
          <w:b/>
          <w:bCs/>
          <w:i w:val="0"/>
          <w:iCs w:val="0"/>
          <w:color w:val="000000" w:themeColor="text1"/>
          <w:sz w:val="24"/>
          <w:szCs w:val="24"/>
        </w:rPr>
        <w:t>:</w:t>
      </w:r>
      <w:r w:rsidRPr="007A2BD7">
        <w:rPr>
          <w:i w:val="0"/>
          <w:iCs w:val="0"/>
          <w:color w:val="000000" w:themeColor="text1"/>
          <w:sz w:val="24"/>
          <w:szCs w:val="24"/>
        </w:rPr>
        <w:t xml:space="preserve"> ‘</w:t>
      </w:r>
      <w:proofErr w:type="spellStart"/>
      <w:r w:rsidRPr="007A2BD7">
        <w:rPr>
          <w:i w:val="0"/>
          <w:iCs w:val="0"/>
          <w:color w:val="000000" w:themeColor="text1"/>
          <w:sz w:val="24"/>
          <w:szCs w:val="24"/>
        </w:rPr>
        <w:t>decontam</w:t>
      </w:r>
      <w:proofErr w:type="spellEnd"/>
      <w:r w:rsidRPr="007A2BD7">
        <w:rPr>
          <w:i w:val="0"/>
          <w:iCs w:val="0"/>
          <w:color w:val="000000" w:themeColor="text1"/>
          <w:sz w:val="24"/>
          <w:szCs w:val="24"/>
        </w:rPr>
        <w:t>’</w:t>
      </w:r>
      <w:r w:rsidRPr="0040235E">
        <w:rPr>
          <w:i w:val="0"/>
          <w:iCs w:val="0"/>
          <w:color w:val="000000" w:themeColor="text1"/>
          <w:sz w:val="24"/>
          <w:szCs w:val="24"/>
        </w:rPr>
        <w:t xml:space="preserve"> output to visualise non-contaminant sequences and contaminant</w:t>
      </w:r>
      <w:r>
        <w:rPr>
          <w:i w:val="0"/>
          <w:iCs w:val="0"/>
          <w:color w:val="000000" w:themeColor="text1"/>
          <w:sz w:val="24"/>
          <w:szCs w:val="24"/>
        </w:rPr>
        <w:t xml:space="preserve"> </w:t>
      </w:r>
      <w:r w:rsidRPr="0040235E">
        <w:rPr>
          <w:i w:val="0"/>
          <w:iCs w:val="0"/>
          <w:color w:val="000000" w:themeColor="text1"/>
          <w:sz w:val="24"/>
          <w:szCs w:val="24"/>
        </w:rPr>
        <w:t>sequences</w:t>
      </w:r>
      <w:bookmarkEnd w:id="287"/>
    </w:p>
    <w:p w14:paraId="1E84C04C" w14:textId="0D8D0D24" w:rsidR="00625D44" w:rsidRPr="00D701A6" w:rsidRDefault="00625D44" w:rsidP="004500C6">
      <w:pPr>
        <w:shd w:val="clear" w:color="auto" w:fill="FFFFFF" w:themeFill="background1"/>
        <w:spacing w:line="360" w:lineRule="auto"/>
        <w:rPr>
          <w:i/>
          <w:iCs/>
        </w:rPr>
      </w:pPr>
      <w:r w:rsidRPr="00D701A6">
        <w:rPr>
          <w:i/>
          <w:iCs/>
        </w:rPr>
        <w:t>Frequency of 9 A</w:t>
      </w:r>
      <w:r w:rsidR="005A030B">
        <w:rPr>
          <w:i/>
          <w:iCs/>
        </w:rPr>
        <w:t xml:space="preserve">mplicon </w:t>
      </w:r>
      <w:r w:rsidRPr="00D701A6">
        <w:rPr>
          <w:i/>
          <w:iCs/>
        </w:rPr>
        <w:t>S</w:t>
      </w:r>
      <w:r w:rsidR="00045C5A">
        <w:rPr>
          <w:i/>
          <w:iCs/>
        </w:rPr>
        <w:t xml:space="preserve">equence </w:t>
      </w:r>
      <w:r w:rsidRPr="00D701A6">
        <w:rPr>
          <w:i/>
          <w:iCs/>
        </w:rPr>
        <w:t>V</w:t>
      </w:r>
      <w:r w:rsidR="00045C5A">
        <w:rPr>
          <w:i/>
          <w:iCs/>
        </w:rPr>
        <w:t>ariant</w:t>
      </w:r>
      <w:r w:rsidRPr="00D701A6">
        <w:rPr>
          <w:i/>
          <w:iCs/>
        </w:rPr>
        <w:t>s</w:t>
      </w:r>
      <w:r w:rsidR="00045C5A">
        <w:rPr>
          <w:i/>
          <w:iCs/>
        </w:rPr>
        <w:t xml:space="preserve"> (ASVs)</w:t>
      </w:r>
      <w:r w:rsidRPr="00D701A6">
        <w:rPr>
          <w:i/>
          <w:iCs/>
        </w:rPr>
        <w:t xml:space="preserve"> in relationship to the DNA concentration of the samples. The 9 ASVs have been chosen in order to demonstrate the difference between contaminant ASVs and non-contaminant ASVs. The dashed black line shows the model of a noncontaminant sequence for which frequency is expected to be independent of the input DNA concentration. The red lines represent the model of a contaminant sequence for which the frequency is expected to be inversely proportional to the input DNA concentration. Caulobacter_38, Curvibacter_16, Pseudomonas_31 and Thermus_36 are all inversely proportional to the DNA concentration and identified as contaminants. The other ASVs are not contaminants as they are not inversely proportional to the DNA concentration. </w:t>
      </w:r>
    </w:p>
    <w:p w14:paraId="6D5E3B8C" w14:textId="77777777" w:rsidR="0082220D" w:rsidRDefault="0082220D" w:rsidP="00625D44">
      <w:pPr>
        <w:shd w:val="clear" w:color="auto" w:fill="FFFFFF" w:themeFill="background1"/>
        <w:spacing w:line="360" w:lineRule="auto"/>
      </w:pPr>
    </w:p>
    <w:p w14:paraId="605DBBB8" w14:textId="304E33F8" w:rsidR="00E92008" w:rsidRPr="007171B1" w:rsidRDefault="00E92008" w:rsidP="00752DA8">
      <w:pPr>
        <w:pStyle w:val="Heading3"/>
      </w:pPr>
      <w:bookmarkStart w:id="288" w:name="_Toc117766010"/>
      <w:r>
        <w:t>Microbial composition of nasopharyngeal microbiota</w:t>
      </w:r>
      <w:bookmarkEnd w:id="288"/>
    </w:p>
    <w:p w14:paraId="09AA2181" w14:textId="479E373F" w:rsidR="002034B2" w:rsidRDefault="002034B2" w:rsidP="005D4602">
      <w:pPr>
        <w:spacing w:after="160" w:line="360" w:lineRule="auto"/>
        <w:rPr>
          <w:rFonts w:cstheme="minorHAnsi"/>
        </w:rPr>
      </w:pPr>
      <w:r w:rsidRPr="001D04B2">
        <w:t xml:space="preserve">There are different ways to determine the origin of a sequence following </w:t>
      </w:r>
      <w:r w:rsidR="00283662" w:rsidRPr="001D04B2">
        <w:t xml:space="preserve">16s rRNA </w:t>
      </w:r>
      <w:r w:rsidRPr="001D04B2">
        <w:t>targeted microbiome sequencing</w:t>
      </w:r>
      <w:r w:rsidR="00283662" w:rsidRPr="001D04B2">
        <w:t>. Operational Taxonomic Unit (O</w:t>
      </w:r>
      <w:r w:rsidR="00DB069C">
        <w:t>TU</w:t>
      </w:r>
      <w:r w:rsidR="00283662" w:rsidRPr="001D04B2">
        <w:t xml:space="preserve">) clustering </w:t>
      </w:r>
      <w:r w:rsidRPr="001D04B2">
        <w:t>i</w:t>
      </w:r>
      <w:r w:rsidR="00283662" w:rsidRPr="001D04B2">
        <w:rPr>
          <w:rFonts w:cstheme="minorHAnsi"/>
        </w:rPr>
        <w:t xml:space="preserve">s </w:t>
      </w:r>
      <w:r w:rsidR="00283662">
        <w:rPr>
          <w:rFonts w:cstheme="minorHAnsi"/>
        </w:rPr>
        <w:t xml:space="preserve">one </w:t>
      </w:r>
      <w:r w:rsidR="00283662" w:rsidRPr="001D04B2">
        <w:rPr>
          <w:rFonts w:cstheme="minorHAnsi"/>
        </w:rPr>
        <w:t xml:space="preserve">metagenomic analysis approach that categorises bacteria based on sequence similarity, whereby each cluster </w:t>
      </w:r>
      <w:r w:rsidR="00283662" w:rsidRPr="001D04B2">
        <w:rPr>
          <w:rFonts w:cstheme="minorHAnsi"/>
        </w:rPr>
        <w:lastRenderedPageBreak/>
        <w:t xml:space="preserve">represents a taxonomic unit of species or genus. </w:t>
      </w:r>
      <w:r w:rsidR="00283662">
        <w:rPr>
          <w:rFonts w:cstheme="minorHAnsi"/>
        </w:rPr>
        <w:t xml:space="preserve">ASV analysis is a more recent approach </w:t>
      </w:r>
      <w:r w:rsidRPr="001D04B2">
        <w:rPr>
          <w:rFonts w:cstheme="minorHAnsi"/>
        </w:rPr>
        <w:t>that determines the exact sequences recovered from high throughput gene marker (such as 16s rRNA). Rather than clustering, an error model is used to determine the probability of sequence errors. ASVs infer true biological origin as opposed to a clustering approach</w:t>
      </w:r>
      <w:r w:rsidR="00283662">
        <w:rPr>
          <w:rFonts w:cstheme="minorHAnsi"/>
        </w:rPr>
        <w:t xml:space="preserve"> and is the method we have used in this study. </w:t>
      </w:r>
    </w:p>
    <w:p w14:paraId="06F77DC7" w14:textId="25A7FC94" w:rsidR="00E92008" w:rsidRPr="007225F0" w:rsidRDefault="00283662" w:rsidP="005D4602">
      <w:pPr>
        <w:spacing w:after="160" w:line="360" w:lineRule="auto"/>
        <w:rPr>
          <w:rFonts w:cstheme="minorHAnsi"/>
        </w:rPr>
      </w:pPr>
      <w:r w:rsidRPr="00183F86">
        <w:t>A descriptive overview of the microbial composition of all the DNPS can be seen in the stacked bar charts in</w:t>
      </w:r>
      <w:r w:rsidR="00D701A6">
        <w:t xml:space="preserve"> </w:t>
      </w:r>
      <w:r w:rsidR="00D701A6" w:rsidRPr="00D701A6">
        <w:fldChar w:fldCharType="begin"/>
      </w:r>
      <w:r w:rsidR="00D701A6" w:rsidRPr="00D701A6">
        <w:instrText xml:space="preserve"> REF _Ref105510497 \h  \* MERGEFORMAT </w:instrText>
      </w:r>
      <w:r w:rsidR="00D701A6" w:rsidRPr="00D701A6">
        <w:fldChar w:fldCharType="separate"/>
      </w:r>
      <w:r w:rsidR="00D701A6" w:rsidRPr="00D701A6">
        <w:rPr>
          <w:color w:val="000000" w:themeColor="text1"/>
        </w:rPr>
        <w:t xml:space="preserve">Figure </w:t>
      </w:r>
      <w:r w:rsidR="00D701A6" w:rsidRPr="00D701A6">
        <w:rPr>
          <w:noProof/>
          <w:color w:val="000000" w:themeColor="text1"/>
        </w:rPr>
        <w:t>5</w:t>
      </w:r>
      <w:r w:rsidR="00D701A6" w:rsidRPr="00D701A6">
        <w:rPr>
          <w:color w:val="000000" w:themeColor="text1"/>
        </w:rPr>
        <w:noBreakHyphen/>
      </w:r>
      <w:r w:rsidR="00D701A6" w:rsidRPr="00D701A6">
        <w:rPr>
          <w:noProof/>
          <w:color w:val="000000" w:themeColor="text1"/>
        </w:rPr>
        <w:t>3</w:t>
      </w:r>
      <w:r w:rsidR="00D701A6" w:rsidRPr="00D701A6">
        <w:fldChar w:fldCharType="end"/>
      </w:r>
      <w:r w:rsidR="00D701A6" w:rsidRPr="00D701A6">
        <w:t xml:space="preserve"> and </w:t>
      </w:r>
      <w:r w:rsidR="00D701A6" w:rsidRPr="00D701A6">
        <w:fldChar w:fldCharType="begin"/>
      </w:r>
      <w:r w:rsidR="00D701A6" w:rsidRPr="00D701A6">
        <w:instrText xml:space="preserve"> REF _Ref105510500 \h  \* MERGEFORMAT </w:instrText>
      </w:r>
      <w:r w:rsidR="00D701A6" w:rsidRPr="00D701A6">
        <w:fldChar w:fldCharType="separate"/>
      </w:r>
      <w:r w:rsidR="00D701A6" w:rsidRPr="00D701A6">
        <w:rPr>
          <w:color w:val="000000" w:themeColor="text1"/>
        </w:rPr>
        <w:t xml:space="preserve">Figure </w:t>
      </w:r>
      <w:r w:rsidR="00D701A6" w:rsidRPr="00D701A6">
        <w:rPr>
          <w:noProof/>
          <w:color w:val="000000" w:themeColor="text1"/>
        </w:rPr>
        <w:t>5</w:t>
      </w:r>
      <w:r w:rsidR="00D701A6" w:rsidRPr="00D701A6">
        <w:rPr>
          <w:color w:val="000000" w:themeColor="text1"/>
        </w:rPr>
        <w:noBreakHyphen/>
      </w:r>
      <w:r w:rsidR="00D701A6" w:rsidRPr="00D701A6">
        <w:rPr>
          <w:noProof/>
          <w:color w:val="000000" w:themeColor="text1"/>
        </w:rPr>
        <w:t>4</w:t>
      </w:r>
      <w:r w:rsidR="00D701A6" w:rsidRPr="00D701A6">
        <w:fldChar w:fldCharType="end"/>
      </w:r>
      <w:r w:rsidRPr="00183F86">
        <w:t>. The 15 most abundant Amplicon Sequence Variants (ASVs) in each selection of samples are presented.</w:t>
      </w:r>
      <w:r>
        <w:rPr>
          <w:rFonts w:cstheme="minorHAnsi"/>
        </w:rPr>
        <w:t xml:space="preserve"> </w:t>
      </w:r>
      <w:r w:rsidR="00E92008">
        <w:t xml:space="preserve">The naming system of the ASVs indicates firstly the genus or species if this was able to be identified, </w:t>
      </w:r>
      <w:r w:rsidR="00C47244">
        <w:t>i.e.</w:t>
      </w:r>
      <w:r w:rsidR="00E92008">
        <w:t xml:space="preserve"> </w:t>
      </w:r>
      <w:r w:rsidR="005D4602">
        <w:t>Moraxella</w:t>
      </w:r>
      <w:r w:rsidR="00E92008">
        <w:t xml:space="preserve"> _catarrhalis, or Moraxella (species) when the species could not be matched.  Secondly, there is a numerical value following the taxonomy level. This reports how abundant that particular genus/species is across all the study samples. </w:t>
      </w:r>
    </w:p>
    <w:p w14:paraId="2F52C180" w14:textId="335A4001" w:rsidR="00E92008" w:rsidRPr="007848A5" w:rsidRDefault="00E92008" w:rsidP="0082220D">
      <w:pPr>
        <w:spacing w:after="160" w:line="259" w:lineRule="auto"/>
      </w:pPr>
    </w:p>
    <w:tbl>
      <w:tblPr>
        <w:tblStyle w:val="TableGrid"/>
        <w:tblpPr w:leftFromText="180" w:rightFromText="180" w:vertAnchor="text" w:horzAnchor="page" w:tblpX="1158" w:tblpY="7377"/>
        <w:tblW w:w="11028" w:type="dxa"/>
        <w:tblLook w:val="04A0" w:firstRow="1" w:lastRow="0" w:firstColumn="1" w:lastColumn="0" w:noHBand="0" w:noVBand="1"/>
      </w:tblPr>
      <w:tblGrid>
        <w:gridCol w:w="935"/>
        <w:gridCol w:w="673"/>
        <w:gridCol w:w="656"/>
        <w:gridCol w:w="708"/>
        <w:gridCol w:w="656"/>
        <w:gridCol w:w="673"/>
        <w:gridCol w:w="673"/>
        <w:gridCol w:w="755"/>
        <w:gridCol w:w="656"/>
        <w:gridCol w:w="673"/>
        <w:gridCol w:w="673"/>
        <w:gridCol w:w="656"/>
        <w:gridCol w:w="656"/>
        <w:gridCol w:w="656"/>
        <w:gridCol w:w="673"/>
        <w:gridCol w:w="656"/>
      </w:tblGrid>
      <w:tr w:rsidR="00213FFE" w:rsidRPr="00D7040F" w14:paraId="47946052" w14:textId="77777777" w:rsidTr="005D4602">
        <w:tc>
          <w:tcPr>
            <w:tcW w:w="935" w:type="dxa"/>
            <w:shd w:val="clear" w:color="auto" w:fill="9CC2E5" w:themeFill="accent1" w:themeFillTint="99"/>
          </w:tcPr>
          <w:p w14:paraId="6E9D994E" w14:textId="73C30D42" w:rsidR="00E92008" w:rsidRPr="00D7040F" w:rsidRDefault="00E92008" w:rsidP="00213FFE">
            <w:pPr>
              <w:rPr>
                <w:rFonts w:ascii="Calibri" w:eastAsia="Calibri" w:hAnsi="Calibri"/>
                <w:sz w:val="20"/>
                <w:szCs w:val="20"/>
              </w:rPr>
            </w:pPr>
            <w:r w:rsidRPr="00D7040F">
              <w:rPr>
                <w:rFonts w:ascii="Calibri" w:eastAsia="Calibri" w:hAnsi="Calibri"/>
                <w:sz w:val="20"/>
                <w:szCs w:val="20"/>
              </w:rPr>
              <w:lastRenderedPageBreak/>
              <w:t>Time between swabs</w:t>
            </w:r>
          </w:p>
        </w:tc>
        <w:tc>
          <w:tcPr>
            <w:tcW w:w="673" w:type="dxa"/>
            <w:shd w:val="clear" w:color="auto" w:fill="9CC2E5" w:themeFill="accent1" w:themeFillTint="99"/>
          </w:tcPr>
          <w:p w14:paraId="2F0F2937"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w:t>
            </w:r>
          </w:p>
        </w:tc>
        <w:tc>
          <w:tcPr>
            <w:tcW w:w="656" w:type="dxa"/>
            <w:shd w:val="clear" w:color="auto" w:fill="9CC2E5" w:themeFill="accent1" w:themeFillTint="99"/>
          </w:tcPr>
          <w:p w14:paraId="73AD01C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C2</w:t>
            </w:r>
          </w:p>
        </w:tc>
        <w:tc>
          <w:tcPr>
            <w:tcW w:w="708" w:type="dxa"/>
            <w:shd w:val="clear" w:color="auto" w:fill="9CC2E5" w:themeFill="accent1" w:themeFillTint="99"/>
          </w:tcPr>
          <w:p w14:paraId="4F298D6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C3</w:t>
            </w:r>
          </w:p>
        </w:tc>
        <w:tc>
          <w:tcPr>
            <w:tcW w:w="656" w:type="dxa"/>
            <w:shd w:val="clear" w:color="auto" w:fill="9CC2E5" w:themeFill="accent1" w:themeFillTint="99"/>
          </w:tcPr>
          <w:p w14:paraId="0823648B"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C4</w:t>
            </w:r>
          </w:p>
        </w:tc>
        <w:tc>
          <w:tcPr>
            <w:tcW w:w="673" w:type="dxa"/>
            <w:shd w:val="clear" w:color="auto" w:fill="9CC2E5" w:themeFill="accent1" w:themeFillTint="99"/>
          </w:tcPr>
          <w:p w14:paraId="50D4E915"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C5</w:t>
            </w:r>
          </w:p>
        </w:tc>
        <w:tc>
          <w:tcPr>
            <w:tcW w:w="673" w:type="dxa"/>
            <w:shd w:val="clear" w:color="auto" w:fill="9CC2E5" w:themeFill="accent1" w:themeFillTint="99"/>
          </w:tcPr>
          <w:p w14:paraId="12FEBA80"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C6</w:t>
            </w:r>
          </w:p>
        </w:tc>
        <w:tc>
          <w:tcPr>
            <w:tcW w:w="755" w:type="dxa"/>
            <w:shd w:val="clear" w:color="auto" w:fill="92D050"/>
          </w:tcPr>
          <w:p w14:paraId="51457B3E"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C7</w:t>
            </w:r>
          </w:p>
        </w:tc>
        <w:tc>
          <w:tcPr>
            <w:tcW w:w="656" w:type="dxa"/>
            <w:shd w:val="clear" w:color="auto" w:fill="9CC2E5" w:themeFill="accent1" w:themeFillTint="99"/>
          </w:tcPr>
          <w:p w14:paraId="7195E2F2"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C8</w:t>
            </w:r>
          </w:p>
        </w:tc>
        <w:tc>
          <w:tcPr>
            <w:tcW w:w="673" w:type="dxa"/>
            <w:shd w:val="clear" w:color="auto" w:fill="9CC2E5" w:themeFill="accent1" w:themeFillTint="99"/>
          </w:tcPr>
          <w:p w14:paraId="1E304D8F"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C9</w:t>
            </w:r>
          </w:p>
        </w:tc>
        <w:tc>
          <w:tcPr>
            <w:tcW w:w="673" w:type="dxa"/>
            <w:shd w:val="clear" w:color="auto" w:fill="92D050"/>
          </w:tcPr>
          <w:p w14:paraId="3E1C334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C10</w:t>
            </w:r>
          </w:p>
        </w:tc>
        <w:tc>
          <w:tcPr>
            <w:tcW w:w="656" w:type="dxa"/>
            <w:shd w:val="clear" w:color="auto" w:fill="9CC2E5" w:themeFill="accent1" w:themeFillTint="99"/>
          </w:tcPr>
          <w:p w14:paraId="5AE8EE55"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C11</w:t>
            </w:r>
          </w:p>
        </w:tc>
        <w:tc>
          <w:tcPr>
            <w:tcW w:w="656" w:type="dxa"/>
            <w:shd w:val="clear" w:color="auto" w:fill="9CC2E5" w:themeFill="accent1" w:themeFillTint="99"/>
          </w:tcPr>
          <w:p w14:paraId="350C1928"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C12</w:t>
            </w:r>
          </w:p>
        </w:tc>
        <w:tc>
          <w:tcPr>
            <w:tcW w:w="656" w:type="dxa"/>
            <w:shd w:val="clear" w:color="auto" w:fill="9CC2E5" w:themeFill="accent1" w:themeFillTint="99"/>
          </w:tcPr>
          <w:p w14:paraId="2C2DEB0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C13</w:t>
            </w:r>
          </w:p>
        </w:tc>
        <w:tc>
          <w:tcPr>
            <w:tcW w:w="673" w:type="dxa"/>
            <w:shd w:val="clear" w:color="auto" w:fill="9CC2E5" w:themeFill="accent1" w:themeFillTint="99"/>
          </w:tcPr>
          <w:p w14:paraId="789F0B31"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C14</w:t>
            </w:r>
          </w:p>
        </w:tc>
        <w:tc>
          <w:tcPr>
            <w:tcW w:w="656" w:type="dxa"/>
            <w:shd w:val="clear" w:color="auto" w:fill="9CC2E5" w:themeFill="accent1" w:themeFillTint="99"/>
          </w:tcPr>
          <w:p w14:paraId="087D3CDB"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C15</w:t>
            </w:r>
          </w:p>
        </w:tc>
      </w:tr>
      <w:tr w:rsidR="00E92008" w:rsidRPr="00D7040F" w14:paraId="6E04EDFE" w14:textId="77777777" w:rsidTr="005D4602">
        <w:tc>
          <w:tcPr>
            <w:tcW w:w="935" w:type="dxa"/>
          </w:tcPr>
          <w:p w14:paraId="223FFD90"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1</w:t>
            </w:r>
            <w:r w:rsidRPr="00D7040F">
              <w:rPr>
                <w:rFonts w:ascii="Calibri" w:eastAsia="Calibri" w:hAnsi="Calibri"/>
                <w:sz w:val="20"/>
                <w:szCs w:val="20"/>
                <w:vertAlign w:val="superscript"/>
              </w:rPr>
              <w:t>st</w:t>
            </w:r>
            <w:r w:rsidRPr="00D7040F">
              <w:rPr>
                <w:rFonts w:ascii="Calibri" w:eastAsia="Calibri" w:hAnsi="Calibri"/>
                <w:sz w:val="20"/>
                <w:szCs w:val="20"/>
              </w:rPr>
              <w:t>-2nd</w:t>
            </w:r>
          </w:p>
        </w:tc>
        <w:tc>
          <w:tcPr>
            <w:tcW w:w="673" w:type="dxa"/>
          </w:tcPr>
          <w:p w14:paraId="0BEF33A4" w14:textId="57CA8F43"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1w</w:t>
            </w:r>
          </w:p>
        </w:tc>
        <w:tc>
          <w:tcPr>
            <w:tcW w:w="656" w:type="dxa"/>
          </w:tcPr>
          <w:p w14:paraId="729CC22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tc>
        <w:tc>
          <w:tcPr>
            <w:tcW w:w="708" w:type="dxa"/>
          </w:tcPr>
          <w:p w14:paraId="02D0B55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p w14:paraId="1BC8E754" w14:textId="10E6ED5D"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4W</w:t>
            </w:r>
          </w:p>
          <w:p w14:paraId="055F4183" w14:textId="062CB692"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4W</w:t>
            </w:r>
          </w:p>
        </w:tc>
        <w:tc>
          <w:tcPr>
            <w:tcW w:w="656" w:type="dxa"/>
          </w:tcPr>
          <w:p w14:paraId="3260E75A"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p w14:paraId="4A983A57"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P10d</w:t>
            </w:r>
          </w:p>
        </w:tc>
        <w:tc>
          <w:tcPr>
            <w:tcW w:w="673" w:type="dxa"/>
          </w:tcPr>
          <w:p w14:paraId="4D0302DB" w14:textId="28E04257"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2w</w:t>
            </w:r>
          </w:p>
          <w:p w14:paraId="079170F1"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tc>
        <w:tc>
          <w:tcPr>
            <w:tcW w:w="673" w:type="dxa"/>
          </w:tcPr>
          <w:p w14:paraId="71A677CF" w14:textId="3CB27193"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2w</w:t>
            </w:r>
          </w:p>
        </w:tc>
        <w:tc>
          <w:tcPr>
            <w:tcW w:w="755" w:type="dxa"/>
            <w:shd w:val="clear" w:color="auto" w:fill="92D050"/>
          </w:tcPr>
          <w:p w14:paraId="1A4F2B20" w14:textId="77777777" w:rsidR="00E92008" w:rsidRPr="00D7040F" w:rsidRDefault="00E92008" w:rsidP="00213FFE">
            <w:pPr>
              <w:rPr>
                <w:rFonts w:ascii="Calibri" w:eastAsia="Calibri" w:hAnsi="Calibri"/>
                <w:sz w:val="20"/>
                <w:szCs w:val="20"/>
              </w:rPr>
            </w:pPr>
            <w:r>
              <w:rPr>
                <w:rFonts w:ascii="Calibri" w:eastAsia="Calibri" w:hAnsi="Calibri"/>
                <w:sz w:val="20"/>
                <w:szCs w:val="20"/>
              </w:rPr>
              <w:t>N</w:t>
            </w:r>
            <w:r w:rsidRPr="00D7040F">
              <w:rPr>
                <w:rFonts w:ascii="Calibri" w:eastAsia="Calibri" w:hAnsi="Calibri"/>
                <w:sz w:val="20"/>
                <w:szCs w:val="20"/>
              </w:rPr>
              <w:t>o</w:t>
            </w:r>
          </w:p>
        </w:tc>
        <w:tc>
          <w:tcPr>
            <w:tcW w:w="656" w:type="dxa"/>
          </w:tcPr>
          <w:p w14:paraId="6A3625E4"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tc>
        <w:tc>
          <w:tcPr>
            <w:tcW w:w="673" w:type="dxa"/>
          </w:tcPr>
          <w:p w14:paraId="3A588FAB"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p w14:paraId="728C65EA" w14:textId="442DCD1D"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4w</w:t>
            </w:r>
          </w:p>
        </w:tc>
        <w:tc>
          <w:tcPr>
            <w:tcW w:w="673" w:type="dxa"/>
            <w:shd w:val="clear" w:color="auto" w:fill="92D050"/>
          </w:tcPr>
          <w:p w14:paraId="0F2EB733" w14:textId="2C22BCD6"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6w</w:t>
            </w:r>
          </w:p>
          <w:p w14:paraId="0E36D64E"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Az1d</w:t>
            </w:r>
          </w:p>
          <w:p w14:paraId="68C81958" w14:textId="77777777" w:rsidR="00E92008" w:rsidRPr="00D7040F" w:rsidRDefault="00E92008" w:rsidP="00213FFE">
            <w:pPr>
              <w:rPr>
                <w:rFonts w:ascii="Calibri" w:eastAsia="Calibri" w:hAnsi="Calibri"/>
                <w:sz w:val="20"/>
                <w:szCs w:val="20"/>
              </w:rPr>
            </w:pPr>
            <w:proofErr w:type="spellStart"/>
            <w:r w:rsidRPr="00D7040F">
              <w:rPr>
                <w:rFonts w:ascii="Calibri" w:eastAsia="Calibri" w:hAnsi="Calibri"/>
                <w:sz w:val="20"/>
                <w:szCs w:val="20"/>
              </w:rPr>
              <w:t>CoPx</w:t>
            </w:r>
            <w:proofErr w:type="spellEnd"/>
          </w:p>
        </w:tc>
        <w:tc>
          <w:tcPr>
            <w:tcW w:w="656" w:type="dxa"/>
          </w:tcPr>
          <w:p w14:paraId="5F8128D9"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tcPr>
          <w:p w14:paraId="7908EB8A"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Az2w</w:t>
            </w:r>
          </w:p>
        </w:tc>
        <w:tc>
          <w:tcPr>
            <w:tcW w:w="656" w:type="dxa"/>
          </w:tcPr>
          <w:p w14:paraId="6640FDBF"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tcPr>
          <w:p w14:paraId="665388E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A1w</w:t>
            </w:r>
          </w:p>
        </w:tc>
        <w:tc>
          <w:tcPr>
            <w:tcW w:w="656" w:type="dxa"/>
          </w:tcPr>
          <w:p w14:paraId="2DB75A0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T1w</w:t>
            </w:r>
          </w:p>
        </w:tc>
      </w:tr>
      <w:tr w:rsidR="00213FFE" w:rsidRPr="00D7040F" w14:paraId="5BE7E160" w14:textId="77777777" w:rsidTr="005D4602">
        <w:tc>
          <w:tcPr>
            <w:tcW w:w="935" w:type="dxa"/>
            <w:shd w:val="clear" w:color="auto" w:fill="DEEAF6" w:themeFill="accent1" w:themeFillTint="33"/>
          </w:tcPr>
          <w:p w14:paraId="4E2B1F5C"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2</w:t>
            </w:r>
            <w:r w:rsidRPr="00D7040F">
              <w:rPr>
                <w:rFonts w:ascii="Calibri" w:eastAsia="Calibri" w:hAnsi="Calibri"/>
                <w:sz w:val="20"/>
                <w:szCs w:val="20"/>
                <w:vertAlign w:val="superscript"/>
              </w:rPr>
              <w:t>nd</w:t>
            </w:r>
            <w:r w:rsidRPr="00D7040F">
              <w:rPr>
                <w:rFonts w:ascii="Calibri" w:eastAsia="Calibri" w:hAnsi="Calibri"/>
                <w:sz w:val="20"/>
                <w:szCs w:val="20"/>
              </w:rPr>
              <w:t>-3</w:t>
            </w:r>
            <w:r w:rsidRPr="00D7040F">
              <w:rPr>
                <w:rFonts w:ascii="Calibri" w:eastAsia="Calibri" w:hAnsi="Calibri"/>
                <w:sz w:val="20"/>
                <w:szCs w:val="20"/>
                <w:vertAlign w:val="superscript"/>
              </w:rPr>
              <w:t>rd</w:t>
            </w:r>
          </w:p>
        </w:tc>
        <w:tc>
          <w:tcPr>
            <w:tcW w:w="673" w:type="dxa"/>
            <w:shd w:val="clear" w:color="auto" w:fill="DEEAF6" w:themeFill="accent1" w:themeFillTint="33"/>
          </w:tcPr>
          <w:p w14:paraId="675EF07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w:t>
            </w:r>
            <w:r>
              <w:rPr>
                <w:rFonts w:ascii="Calibri" w:eastAsia="Calibri" w:hAnsi="Calibri"/>
                <w:sz w:val="20"/>
                <w:szCs w:val="20"/>
              </w:rPr>
              <w:t>one</w:t>
            </w:r>
          </w:p>
        </w:tc>
        <w:tc>
          <w:tcPr>
            <w:tcW w:w="656" w:type="dxa"/>
            <w:shd w:val="clear" w:color="auto" w:fill="DEEAF6" w:themeFill="accent1" w:themeFillTint="33"/>
          </w:tcPr>
          <w:p w14:paraId="403B586C"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708" w:type="dxa"/>
            <w:shd w:val="clear" w:color="auto" w:fill="DEEAF6" w:themeFill="accent1" w:themeFillTint="33"/>
          </w:tcPr>
          <w:p w14:paraId="3FBC0F9C" w14:textId="7C64B1D6"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2W</w:t>
            </w:r>
          </w:p>
        </w:tc>
        <w:tc>
          <w:tcPr>
            <w:tcW w:w="656" w:type="dxa"/>
            <w:shd w:val="clear" w:color="auto" w:fill="DEEAF6" w:themeFill="accent1" w:themeFillTint="33"/>
          </w:tcPr>
          <w:p w14:paraId="2CAFAE7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shd w:val="clear" w:color="auto" w:fill="DEEAF6" w:themeFill="accent1" w:themeFillTint="33"/>
          </w:tcPr>
          <w:p w14:paraId="6AC5AA94"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shd w:val="clear" w:color="auto" w:fill="DEEAF6" w:themeFill="accent1" w:themeFillTint="33"/>
          </w:tcPr>
          <w:p w14:paraId="3C2DE04F" w14:textId="24BBE63A"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2w</w:t>
            </w:r>
          </w:p>
        </w:tc>
        <w:tc>
          <w:tcPr>
            <w:tcW w:w="755" w:type="dxa"/>
            <w:shd w:val="clear" w:color="auto" w:fill="92D050"/>
          </w:tcPr>
          <w:p w14:paraId="470309F2" w14:textId="4B1A1F41"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1w</w:t>
            </w:r>
          </w:p>
          <w:p w14:paraId="5AA15B2F"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Az3m</w:t>
            </w:r>
          </w:p>
        </w:tc>
        <w:tc>
          <w:tcPr>
            <w:tcW w:w="656" w:type="dxa"/>
            <w:shd w:val="clear" w:color="auto" w:fill="DEEAF6" w:themeFill="accent1" w:themeFillTint="33"/>
          </w:tcPr>
          <w:p w14:paraId="7B3404D8"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shd w:val="clear" w:color="auto" w:fill="DEEAF6" w:themeFill="accent1" w:themeFillTint="33"/>
          </w:tcPr>
          <w:p w14:paraId="15AACC74" w14:textId="77777777" w:rsidR="00E92008" w:rsidRPr="00D7040F" w:rsidRDefault="00E92008" w:rsidP="00213FFE">
            <w:pPr>
              <w:rPr>
                <w:rFonts w:ascii="Calibri" w:eastAsia="Calibri" w:hAnsi="Calibri"/>
                <w:sz w:val="20"/>
                <w:szCs w:val="20"/>
              </w:rPr>
            </w:pPr>
            <w:proofErr w:type="spellStart"/>
            <w:r w:rsidRPr="00D7040F">
              <w:rPr>
                <w:rFonts w:ascii="Calibri" w:eastAsia="Calibri" w:hAnsi="Calibri"/>
                <w:sz w:val="20"/>
                <w:szCs w:val="20"/>
              </w:rPr>
              <w:t>Azm</w:t>
            </w:r>
            <w:proofErr w:type="spellEnd"/>
          </w:p>
          <w:p w14:paraId="54724CE4"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Left study</w:t>
            </w:r>
          </w:p>
        </w:tc>
        <w:tc>
          <w:tcPr>
            <w:tcW w:w="673" w:type="dxa"/>
            <w:shd w:val="clear" w:color="auto" w:fill="92D050"/>
          </w:tcPr>
          <w:p w14:paraId="3FFC9CFF" w14:textId="77777777" w:rsidR="00E92008" w:rsidRPr="00D7040F" w:rsidRDefault="00E92008" w:rsidP="00213FFE">
            <w:pPr>
              <w:rPr>
                <w:rFonts w:ascii="Calibri" w:eastAsia="Calibri" w:hAnsi="Calibri"/>
                <w:sz w:val="20"/>
                <w:szCs w:val="20"/>
              </w:rPr>
            </w:pPr>
            <w:proofErr w:type="spellStart"/>
            <w:r w:rsidRPr="00D7040F">
              <w:rPr>
                <w:rFonts w:ascii="Calibri" w:eastAsia="Calibri" w:hAnsi="Calibri"/>
                <w:sz w:val="20"/>
                <w:szCs w:val="20"/>
              </w:rPr>
              <w:t>CoPx</w:t>
            </w:r>
            <w:proofErr w:type="spellEnd"/>
          </w:p>
        </w:tc>
        <w:tc>
          <w:tcPr>
            <w:tcW w:w="656" w:type="dxa"/>
            <w:shd w:val="clear" w:color="auto" w:fill="DEEAF6" w:themeFill="accent1" w:themeFillTint="33"/>
          </w:tcPr>
          <w:p w14:paraId="591FB821"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shd w:val="clear" w:color="auto" w:fill="DEEAF6" w:themeFill="accent1" w:themeFillTint="33"/>
          </w:tcPr>
          <w:p w14:paraId="30E7AD7F" w14:textId="77777777" w:rsidR="00E92008" w:rsidRPr="00D7040F" w:rsidRDefault="00E92008" w:rsidP="00213FFE">
            <w:pPr>
              <w:rPr>
                <w:rFonts w:ascii="Calibri" w:eastAsia="Calibri" w:hAnsi="Calibri"/>
                <w:sz w:val="20"/>
                <w:szCs w:val="20"/>
              </w:rPr>
            </w:pPr>
            <w:r>
              <w:rPr>
                <w:rFonts w:ascii="Calibri" w:eastAsia="Calibri" w:hAnsi="Calibri"/>
                <w:sz w:val="20"/>
                <w:szCs w:val="20"/>
              </w:rPr>
              <w:t>N</w:t>
            </w:r>
            <w:r w:rsidRPr="00D7040F">
              <w:rPr>
                <w:rFonts w:ascii="Calibri" w:eastAsia="Calibri" w:hAnsi="Calibri"/>
                <w:sz w:val="20"/>
                <w:szCs w:val="20"/>
              </w:rPr>
              <w:t>o</w:t>
            </w:r>
            <w:r>
              <w:rPr>
                <w:rFonts w:ascii="Calibri" w:eastAsia="Calibri" w:hAnsi="Calibri"/>
                <w:sz w:val="20"/>
                <w:szCs w:val="20"/>
              </w:rPr>
              <w:t>ne</w:t>
            </w:r>
          </w:p>
        </w:tc>
        <w:tc>
          <w:tcPr>
            <w:tcW w:w="656" w:type="dxa"/>
            <w:shd w:val="clear" w:color="auto" w:fill="DEEAF6" w:themeFill="accent1" w:themeFillTint="33"/>
          </w:tcPr>
          <w:p w14:paraId="42F79D01"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shd w:val="clear" w:color="auto" w:fill="DEEAF6" w:themeFill="accent1" w:themeFillTint="33"/>
          </w:tcPr>
          <w:p w14:paraId="304F0E39" w14:textId="4BB3156A"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1w</w:t>
            </w:r>
          </w:p>
        </w:tc>
        <w:tc>
          <w:tcPr>
            <w:tcW w:w="656" w:type="dxa"/>
            <w:shd w:val="clear" w:color="auto" w:fill="DEEAF6" w:themeFill="accent1" w:themeFillTint="33"/>
          </w:tcPr>
          <w:p w14:paraId="63E178E5"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r>
      <w:tr w:rsidR="00E92008" w:rsidRPr="00D7040F" w14:paraId="64F11F34" w14:textId="77777777" w:rsidTr="005D4602">
        <w:tc>
          <w:tcPr>
            <w:tcW w:w="935" w:type="dxa"/>
          </w:tcPr>
          <w:p w14:paraId="69BE073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3</w:t>
            </w:r>
            <w:r w:rsidRPr="00D7040F">
              <w:rPr>
                <w:rFonts w:ascii="Calibri" w:eastAsia="Calibri" w:hAnsi="Calibri"/>
                <w:sz w:val="20"/>
                <w:szCs w:val="20"/>
                <w:vertAlign w:val="superscript"/>
              </w:rPr>
              <w:t>rd</w:t>
            </w:r>
            <w:r w:rsidRPr="00D7040F">
              <w:rPr>
                <w:rFonts w:ascii="Calibri" w:eastAsia="Calibri" w:hAnsi="Calibri"/>
                <w:sz w:val="20"/>
                <w:szCs w:val="20"/>
              </w:rPr>
              <w:t>-4</w:t>
            </w:r>
            <w:r w:rsidRPr="00D7040F">
              <w:rPr>
                <w:rFonts w:ascii="Calibri" w:eastAsia="Calibri" w:hAnsi="Calibri"/>
                <w:sz w:val="20"/>
                <w:szCs w:val="20"/>
                <w:vertAlign w:val="superscript"/>
              </w:rPr>
              <w:t>th</w:t>
            </w:r>
          </w:p>
        </w:tc>
        <w:tc>
          <w:tcPr>
            <w:tcW w:w="673" w:type="dxa"/>
          </w:tcPr>
          <w:p w14:paraId="3A271BE0"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shd w:val="clear" w:color="auto" w:fill="auto"/>
          </w:tcPr>
          <w:p w14:paraId="09652CE1"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F1w</w:t>
            </w:r>
          </w:p>
        </w:tc>
        <w:tc>
          <w:tcPr>
            <w:tcW w:w="708" w:type="dxa"/>
          </w:tcPr>
          <w:p w14:paraId="097778A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tcPr>
          <w:p w14:paraId="475D3C85" w14:textId="77777777" w:rsidR="00E92008" w:rsidRPr="00D7040F" w:rsidRDefault="00E92008" w:rsidP="00213FFE">
            <w:pPr>
              <w:rPr>
                <w:rFonts w:ascii="Calibri" w:eastAsia="Calibri" w:hAnsi="Calibri"/>
                <w:sz w:val="20"/>
                <w:szCs w:val="20"/>
              </w:rPr>
            </w:pPr>
            <w:r>
              <w:rPr>
                <w:rFonts w:ascii="Calibri" w:eastAsia="Calibri" w:hAnsi="Calibri"/>
                <w:sz w:val="20"/>
                <w:szCs w:val="20"/>
              </w:rPr>
              <w:t>None</w:t>
            </w:r>
          </w:p>
        </w:tc>
        <w:tc>
          <w:tcPr>
            <w:tcW w:w="673" w:type="dxa"/>
          </w:tcPr>
          <w:p w14:paraId="5EE79295"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tcPr>
          <w:p w14:paraId="74EF36EB" w14:textId="577C0008" w:rsidR="00E92008" w:rsidRPr="00D7040F" w:rsidRDefault="00E92008" w:rsidP="00213FFE">
            <w:pPr>
              <w:rPr>
                <w:rFonts w:ascii="Calibri" w:eastAsia="Calibri" w:hAnsi="Calibri"/>
                <w:sz w:val="20"/>
                <w:szCs w:val="20"/>
              </w:rPr>
            </w:pPr>
            <w:r w:rsidRPr="00D7040F">
              <w:rPr>
                <w:rFonts w:ascii="Calibri" w:eastAsia="Calibri" w:hAnsi="Calibri"/>
                <w:sz w:val="20"/>
                <w:szCs w:val="20"/>
              </w:rPr>
              <w:t>C</w:t>
            </w:r>
            <w:r w:rsidR="00E0049A">
              <w:rPr>
                <w:rFonts w:ascii="Calibri" w:eastAsia="Calibri" w:hAnsi="Calibri"/>
                <w:sz w:val="20"/>
                <w:szCs w:val="20"/>
              </w:rPr>
              <w:t>o</w:t>
            </w:r>
            <w:r w:rsidRPr="00D7040F">
              <w:rPr>
                <w:rFonts w:ascii="Calibri" w:eastAsia="Calibri" w:hAnsi="Calibri"/>
                <w:sz w:val="20"/>
                <w:szCs w:val="20"/>
              </w:rPr>
              <w:t>2w</w:t>
            </w:r>
          </w:p>
        </w:tc>
        <w:tc>
          <w:tcPr>
            <w:tcW w:w="755" w:type="dxa"/>
            <w:shd w:val="clear" w:color="auto" w:fill="92D050"/>
          </w:tcPr>
          <w:p w14:paraId="181AB894"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C1w</w:t>
            </w:r>
            <w:r>
              <w:rPr>
                <w:rFonts w:ascii="Calibri" w:eastAsia="Calibri" w:hAnsi="Calibri"/>
                <w:sz w:val="20"/>
                <w:szCs w:val="20"/>
              </w:rPr>
              <w:t>x4</w:t>
            </w:r>
          </w:p>
          <w:p w14:paraId="5427CC1F"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Az1m</w:t>
            </w:r>
          </w:p>
        </w:tc>
        <w:tc>
          <w:tcPr>
            <w:tcW w:w="656" w:type="dxa"/>
          </w:tcPr>
          <w:p w14:paraId="15CEB09C"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shd w:val="clear" w:color="auto" w:fill="auto"/>
          </w:tcPr>
          <w:p w14:paraId="355A0100"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Left study</w:t>
            </w:r>
          </w:p>
        </w:tc>
        <w:tc>
          <w:tcPr>
            <w:tcW w:w="673" w:type="dxa"/>
            <w:shd w:val="clear" w:color="auto" w:fill="92D050"/>
          </w:tcPr>
          <w:p w14:paraId="58E53CE8" w14:textId="77777777" w:rsidR="00E92008" w:rsidRPr="00D7040F" w:rsidRDefault="00E92008" w:rsidP="00213FFE">
            <w:pPr>
              <w:rPr>
                <w:rFonts w:ascii="Calibri" w:eastAsia="Calibri" w:hAnsi="Calibri"/>
                <w:sz w:val="20"/>
                <w:szCs w:val="20"/>
              </w:rPr>
            </w:pPr>
            <w:proofErr w:type="spellStart"/>
            <w:r w:rsidRPr="00D7040F">
              <w:rPr>
                <w:rFonts w:ascii="Calibri" w:eastAsia="Calibri" w:hAnsi="Calibri"/>
                <w:sz w:val="20"/>
                <w:szCs w:val="20"/>
              </w:rPr>
              <w:t>CoPx</w:t>
            </w:r>
            <w:proofErr w:type="spellEnd"/>
          </w:p>
        </w:tc>
        <w:tc>
          <w:tcPr>
            <w:tcW w:w="656" w:type="dxa"/>
          </w:tcPr>
          <w:p w14:paraId="6D5E7D4D"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tcPr>
          <w:p w14:paraId="5CF9D7D3"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Cl2w</w:t>
            </w:r>
          </w:p>
          <w:p w14:paraId="77D9A65F"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Co3d</w:t>
            </w:r>
          </w:p>
        </w:tc>
        <w:tc>
          <w:tcPr>
            <w:tcW w:w="656" w:type="dxa"/>
          </w:tcPr>
          <w:p w14:paraId="73D079DA"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73" w:type="dxa"/>
          </w:tcPr>
          <w:p w14:paraId="1FDF9D67"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c>
          <w:tcPr>
            <w:tcW w:w="656" w:type="dxa"/>
          </w:tcPr>
          <w:p w14:paraId="60A63FF9" w14:textId="77777777" w:rsidR="00E92008" w:rsidRPr="00D7040F" w:rsidRDefault="00E92008" w:rsidP="00213FFE">
            <w:pPr>
              <w:rPr>
                <w:rFonts w:ascii="Calibri" w:eastAsia="Calibri" w:hAnsi="Calibri"/>
                <w:sz w:val="20"/>
                <w:szCs w:val="20"/>
              </w:rPr>
            </w:pPr>
            <w:r w:rsidRPr="00D7040F">
              <w:rPr>
                <w:rFonts w:ascii="Calibri" w:eastAsia="Calibri" w:hAnsi="Calibri"/>
                <w:sz w:val="20"/>
                <w:szCs w:val="20"/>
              </w:rPr>
              <w:t>No</w:t>
            </w:r>
            <w:r>
              <w:rPr>
                <w:rFonts w:ascii="Calibri" w:eastAsia="Calibri" w:hAnsi="Calibri"/>
                <w:sz w:val="20"/>
                <w:szCs w:val="20"/>
              </w:rPr>
              <w:t>ne</w:t>
            </w:r>
          </w:p>
        </w:tc>
      </w:tr>
    </w:tbl>
    <w:p w14:paraId="6959F569" w14:textId="6650E18F" w:rsidR="007848A5" w:rsidRDefault="003D48AD" w:rsidP="007235B2">
      <w:pPr>
        <w:keepNext/>
        <w:rPr>
          <w:rFonts w:ascii="Calibri" w:eastAsia="Calibri" w:hAnsi="Calibri"/>
          <w:noProof/>
        </w:rPr>
      </w:pPr>
      <w:r>
        <w:rPr>
          <w:noProof/>
        </w:rPr>
        <mc:AlternateContent>
          <mc:Choice Requires="wps">
            <w:drawing>
              <wp:anchor distT="45720" distB="45720" distL="114300" distR="114300" simplePos="0" relativeHeight="251980288" behindDoc="0" locked="0" layoutInCell="1" allowOverlap="1" wp14:anchorId="3FC807F6" wp14:editId="19055803">
                <wp:simplePos x="0" y="0"/>
                <wp:positionH relativeFrom="column">
                  <wp:posOffset>1276350</wp:posOffset>
                </wp:positionH>
                <wp:positionV relativeFrom="paragraph">
                  <wp:posOffset>3408680</wp:posOffset>
                </wp:positionV>
                <wp:extent cx="466725" cy="352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solidFill>
                          <a:srgbClr val="FFFFFF"/>
                        </a:solidFill>
                        <a:ln w="9525">
                          <a:noFill/>
                          <a:miter lim="800000"/>
                          <a:headEnd/>
                          <a:tailEnd/>
                        </a:ln>
                      </wps:spPr>
                      <wps:txbx>
                        <w:txbxContent>
                          <w:p w14:paraId="2E777707" w14:textId="3157DA3B" w:rsidR="00146BF1" w:rsidRPr="00146BF1" w:rsidRDefault="00146BF1">
                            <w:pPr>
                              <w:rPr>
                                <w:b/>
                                <w:bCs/>
                              </w:rPr>
                            </w:pPr>
                            <w:r w:rsidRPr="00146BF1">
                              <w:rPr>
                                <w:b/>
                                <w:bCs/>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807F6" id="Text Box 2" o:spid="_x0000_s1065" type="#_x0000_t202" style="position:absolute;margin-left:100.5pt;margin-top:268.4pt;width:36.75pt;height:27.75pt;z-index:25198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" stroked="f">
                <v:textbox>
                  <w:txbxContent>
                    <w:p w14:paraId="2E777707" w14:textId="3157DA3B" w:rsidR="00146BF1" w:rsidRPr="00146BF1" w:rsidRDefault="00146BF1">
                      <w:pPr>
                        <w:rPr>
                          <w:b/>
                          <w:bCs/>
                        </w:rPr>
                      </w:pPr>
                      <w:r w:rsidRPr="00146BF1">
                        <w:rPr>
                          <w:b/>
                          <w:bCs/>
                        </w:rPr>
                        <w:t>Key</w:t>
                      </w:r>
                    </w:p>
                  </w:txbxContent>
                </v:textbox>
                <w10:wrap type="square"/>
              </v:shape>
            </w:pict>
          </mc:Fallback>
        </mc:AlternateContent>
      </w:r>
      <w:r w:rsidR="007848A5" w:rsidRPr="00D7040F">
        <w:rPr>
          <w:rFonts w:ascii="Calibri" w:eastAsia="Calibri" w:hAnsi="Calibri"/>
          <w:noProof/>
        </w:rPr>
        <w:drawing>
          <wp:anchor distT="0" distB="0" distL="114300" distR="114300" simplePos="0" relativeHeight="251978240" behindDoc="0" locked="0" layoutInCell="1" allowOverlap="1" wp14:anchorId="6B78719C" wp14:editId="60E5B1CF">
            <wp:simplePos x="0" y="0"/>
            <wp:positionH relativeFrom="column">
              <wp:posOffset>-76200</wp:posOffset>
            </wp:positionH>
            <wp:positionV relativeFrom="paragraph">
              <wp:posOffset>209550</wp:posOffset>
            </wp:positionV>
            <wp:extent cx="6835172" cy="4221126"/>
            <wp:effectExtent l="0" t="0" r="6350" b="6985"/>
            <wp:wrapThrough wrapText="bothSides">
              <wp:wrapPolygon edited="0">
                <wp:start x="0" y="0"/>
                <wp:lineTo x="0" y="21512"/>
                <wp:lineTo x="21552" y="21512"/>
                <wp:lineTo x="21552" y="0"/>
                <wp:lineTo x="0" y="0"/>
              </wp:wrapPolygon>
            </wp:wrapThrough>
            <wp:docPr id="9" name="Picture 9" descr="A picture containing text, screenshot,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cabine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6835172" cy="4221126"/>
                    </a:xfrm>
                    <a:prstGeom prst="rect">
                      <a:avLst/>
                    </a:prstGeom>
                  </pic:spPr>
                </pic:pic>
              </a:graphicData>
            </a:graphic>
            <wp14:sizeRelH relativeFrom="page">
              <wp14:pctWidth>0</wp14:pctWidth>
            </wp14:sizeRelH>
            <wp14:sizeRelV relativeFrom="page">
              <wp14:pctHeight>0</wp14:pctHeight>
            </wp14:sizeRelV>
          </wp:anchor>
        </w:drawing>
      </w:r>
    </w:p>
    <w:p w14:paraId="38E40CE1" w14:textId="375B8410" w:rsidR="00E92008" w:rsidRPr="007235B2" w:rsidRDefault="00E92008" w:rsidP="005D4602"/>
    <w:tbl>
      <w:tblPr>
        <w:tblStyle w:val="TableGrid"/>
        <w:tblW w:w="9350" w:type="dxa"/>
        <w:tblInd w:w="525" w:type="dxa"/>
        <w:tblLook w:val="04A0" w:firstRow="1" w:lastRow="0" w:firstColumn="1" w:lastColumn="0" w:noHBand="0" w:noVBand="1"/>
      </w:tblPr>
      <w:tblGrid>
        <w:gridCol w:w="1577"/>
        <w:gridCol w:w="3364"/>
        <w:gridCol w:w="2205"/>
        <w:gridCol w:w="2204"/>
      </w:tblGrid>
      <w:tr w:rsidR="00E92008" w14:paraId="6A732942" w14:textId="77777777" w:rsidTr="00703D08">
        <w:tc>
          <w:tcPr>
            <w:tcW w:w="1517" w:type="dxa"/>
            <w:shd w:val="clear" w:color="auto" w:fill="9CC2E5" w:themeFill="accent1" w:themeFillTint="99"/>
          </w:tcPr>
          <w:p w14:paraId="3B28BE8C" w14:textId="77777777" w:rsidR="00E92008" w:rsidRPr="00DD0DD3" w:rsidRDefault="00E92008" w:rsidP="00703D08">
            <w:pPr>
              <w:rPr>
                <w:b/>
                <w:bCs/>
              </w:rPr>
            </w:pPr>
            <w:r w:rsidRPr="00DD0DD3">
              <w:rPr>
                <w:b/>
                <w:bCs/>
              </w:rPr>
              <w:t>Abbreviation</w:t>
            </w:r>
          </w:p>
        </w:tc>
        <w:tc>
          <w:tcPr>
            <w:tcW w:w="3400" w:type="dxa"/>
            <w:shd w:val="clear" w:color="auto" w:fill="9CC2E5" w:themeFill="accent1" w:themeFillTint="99"/>
          </w:tcPr>
          <w:p w14:paraId="2522CEF0" w14:textId="77777777" w:rsidR="00E92008" w:rsidRPr="00DD0DD3" w:rsidRDefault="00E92008" w:rsidP="00703D08">
            <w:pPr>
              <w:rPr>
                <w:b/>
                <w:bCs/>
              </w:rPr>
            </w:pPr>
            <w:r w:rsidRPr="00DD0DD3">
              <w:rPr>
                <w:b/>
                <w:bCs/>
              </w:rPr>
              <w:t>Name of antibiotic</w:t>
            </w:r>
          </w:p>
        </w:tc>
        <w:tc>
          <w:tcPr>
            <w:tcW w:w="2217" w:type="dxa"/>
            <w:shd w:val="clear" w:color="auto" w:fill="9CC2E5" w:themeFill="accent1" w:themeFillTint="99"/>
          </w:tcPr>
          <w:p w14:paraId="43698B01" w14:textId="77777777" w:rsidR="00E92008" w:rsidRPr="00DD0DD3" w:rsidRDefault="00E92008" w:rsidP="00703D08">
            <w:pPr>
              <w:rPr>
                <w:b/>
                <w:bCs/>
              </w:rPr>
            </w:pPr>
            <w:r w:rsidRPr="00DD0DD3">
              <w:rPr>
                <w:b/>
                <w:bCs/>
              </w:rPr>
              <w:t>Abbreviation</w:t>
            </w:r>
          </w:p>
        </w:tc>
        <w:tc>
          <w:tcPr>
            <w:tcW w:w="2216" w:type="dxa"/>
            <w:shd w:val="clear" w:color="auto" w:fill="9CC2E5" w:themeFill="accent1" w:themeFillTint="99"/>
          </w:tcPr>
          <w:p w14:paraId="43067995" w14:textId="77777777" w:rsidR="00E92008" w:rsidRPr="00DD0DD3" w:rsidRDefault="00E92008" w:rsidP="00703D08">
            <w:pPr>
              <w:rPr>
                <w:b/>
                <w:bCs/>
              </w:rPr>
            </w:pPr>
            <w:r w:rsidRPr="00DD0DD3">
              <w:rPr>
                <w:b/>
                <w:bCs/>
              </w:rPr>
              <w:t>Name of antibiotic</w:t>
            </w:r>
          </w:p>
        </w:tc>
      </w:tr>
      <w:tr w:rsidR="00E92008" w14:paraId="75BF68BD" w14:textId="77777777" w:rsidTr="00703D08">
        <w:tc>
          <w:tcPr>
            <w:tcW w:w="1517" w:type="dxa"/>
          </w:tcPr>
          <w:p w14:paraId="5F02CAE7" w14:textId="77777777" w:rsidR="00E92008" w:rsidRPr="00DD0DD3" w:rsidRDefault="00E92008" w:rsidP="00703D08">
            <w:r>
              <w:t>A</w:t>
            </w:r>
          </w:p>
        </w:tc>
        <w:tc>
          <w:tcPr>
            <w:tcW w:w="3400" w:type="dxa"/>
          </w:tcPr>
          <w:p w14:paraId="092ED869" w14:textId="77777777" w:rsidR="00E92008" w:rsidRPr="00DD0DD3" w:rsidRDefault="00E92008" w:rsidP="00703D08">
            <w:r>
              <w:t>Amoxicillin</w:t>
            </w:r>
          </w:p>
        </w:tc>
        <w:tc>
          <w:tcPr>
            <w:tcW w:w="2217" w:type="dxa"/>
          </w:tcPr>
          <w:p w14:paraId="6530FB79" w14:textId="77777777" w:rsidR="00E92008" w:rsidRPr="00DD0DD3" w:rsidRDefault="00E92008" w:rsidP="00703D08">
            <w:r>
              <w:t>P</w:t>
            </w:r>
          </w:p>
        </w:tc>
        <w:tc>
          <w:tcPr>
            <w:tcW w:w="2216" w:type="dxa"/>
          </w:tcPr>
          <w:p w14:paraId="232C4E2A" w14:textId="51ADC2C5" w:rsidR="00E92008" w:rsidRPr="00DD0DD3" w:rsidRDefault="00E92008" w:rsidP="00703D08">
            <w:r>
              <w:t>Penicillin</w:t>
            </w:r>
            <w:r w:rsidR="00DB069C">
              <w:t xml:space="preserve"> V</w:t>
            </w:r>
          </w:p>
        </w:tc>
      </w:tr>
      <w:tr w:rsidR="00E92008" w14:paraId="3B738F46" w14:textId="77777777" w:rsidTr="00703D08">
        <w:tc>
          <w:tcPr>
            <w:tcW w:w="1517" w:type="dxa"/>
            <w:shd w:val="clear" w:color="auto" w:fill="92D050"/>
          </w:tcPr>
          <w:p w14:paraId="4B21FF70" w14:textId="77777777" w:rsidR="00E92008" w:rsidRDefault="00E92008" w:rsidP="00703D08">
            <w:r>
              <w:t>Az</w:t>
            </w:r>
          </w:p>
        </w:tc>
        <w:tc>
          <w:tcPr>
            <w:tcW w:w="3400" w:type="dxa"/>
            <w:shd w:val="clear" w:color="auto" w:fill="DEEAF6" w:themeFill="accent1" w:themeFillTint="33"/>
          </w:tcPr>
          <w:p w14:paraId="7251515D" w14:textId="77777777" w:rsidR="00E92008" w:rsidRDefault="00E92008" w:rsidP="00703D08">
            <w:r>
              <w:t>Azithromycin</w:t>
            </w:r>
          </w:p>
        </w:tc>
        <w:tc>
          <w:tcPr>
            <w:tcW w:w="2217" w:type="dxa"/>
            <w:shd w:val="clear" w:color="auto" w:fill="DEEAF6" w:themeFill="accent1" w:themeFillTint="33"/>
          </w:tcPr>
          <w:p w14:paraId="34AB4948" w14:textId="77777777" w:rsidR="00E92008" w:rsidRDefault="00E92008" w:rsidP="00703D08">
            <w:r>
              <w:t>T</w:t>
            </w:r>
          </w:p>
        </w:tc>
        <w:tc>
          <w:tcPr>
            <w:tcW w:w="2216" w:type="dxa"/>
            <w:shd w:val="clear" w:color="auto" w:fill="DEEAF6" w:themeFill="accent1" w:themeFillTint="33"/>
          </w:tcPr>
          <w:p w14:paraId="2A272999" w14:textId="77777777" w:rsidR="00E92008" w:rsidRDefault="00E92008" w:rsidP="00703D08">
            <w:r>
              <w:t>Trimethoprim</w:t>
            </w:r>
          </w:p>
        </w:tc>
      </w:tr>
      <w:tr w:rsidR="00E92008" w14:paraId="74163A61" w14:textId="77777777" w:rsidTr="00703D08">
        <w:tc>
          <w:tcPr>
            <w:tcW w:w="1517" w:type="dxa"/>
            <w:shd w:val="clear" w:color="auto" w:fill="auto"/>
          </w:tcPr>
          <w:p w14:paraId="5B4C4F36" w14:textId="77777777" w:rsidR="00E92008" w:rsidRPr="00DD0DD3" w:rsidRDefault="00E92008" w:rsidP="00703D08">
            <w:r>
              <w:t>Co</w:t>
            </w:r>
          </w:p>
        </w:tc>
        <w:tc>
          <w:tcPr>
            <w:tcW w:w="3400" w:type="dxa"/>
            <w:shd w:val="clear" w:color="auto" w:fill="auto"/>
          </w:tcPr>
          <w:p w14:paraId="1987C235" w14:textId="77777777" w:rsidR="00E92008" w:rsidRPr="00DD0DD3" w:rsidRDefault="00E92008" w:rsidP="00703D08">
            <w:r>
              <w:t>Co-amoxiclav</w:t>
            </w:r>
          </w:p>
        </w:tc>
        <w:tc>
          <w:tcPr>
            <w:tcW w:w="2217" w:type="dxa"/>
            <w:shd w:val="clear" w:color="auto" w:fill="auto"/>
          </w:tcPr>
          <w:p w14:paraId="08321AD6" w14:textId="77777777" w:rsidR="00E92008" w:rsidRPr="00DD0DD3" w:rsidRDefault="00E92008" w:rsidP="00703D08">
            <w:r>
              <w:t>3d</w:t>
            </w:r>
          </w:p>
        </w:tc>
        <w:tc>
          <w:tcPr>
            <w:tcW w:w="2216" w:type="dxa"/>
            <w:shd w:val="clear" w:color="auto" w:fill="auto"/>
          </w:tcPr>
          <w:p w14:paraId="053C4456" w14:textId="77777777" w:rsidR="00E92008" w:rsidRPr="00DD0DD3" w:rsidRDefault="00E92008" w:rsidP="00703D08">
            <w:r>
              <w:t>3 days duration</w:t>
            </w:r>
          </w:p>
        </w:tc>
      </w:tr>
      <w:tr w:rsidR="00E92008" w14:paraId="0ED947D3" w14:textId="77777777" w:rsidTr="00703D08">
        <w:tc>
          <w:tcPr>
            <w:tcW w:w="1517" w:type="dxa"/>
            <w:shd w:val="clear" w:color="auto" w:fill="DEEAF6" w:themeFill="accent1" w:themeFillTint="33"/>
          </w:tcPr>
          <w:p w14:paraId="13CAA2B6" w14:textId="77777777" w:rsidR="00E92008" w:rsidRPr="00DD0DD3" w:rsidRDefault="00E92008" w:rsidP="00703D08">
            <w:proofErr w:type="spellStart"/>
            <w:r w:rsidRPr="00DD0DD3">
              <w:t>CoPx</w:t>
            </w:r>
            <w:proofErr w:type="spellEnd"/>
          </w:p>
        </w:tc>
        <w:tc>
          <w:tcPr>
            <w:tcW w:w="3400" w:type="dxa"/>
            <w:shd w:val="clear" w:color="auto" w:fill="DEEAF6" w:themeFill="accent1" w:themeFillTint="33"/>
          </w:tcPr>
          <w:p w14:paraId="5FD0E32D" w14:textId="77777777" w:rsidR="00E92008" w:rsidRPr="00DD0DD3" w:rsidRDefault="00E92008" w:rsidP="00703D08">
            <w:r w:rsidRPr="00DD0DD3">
              <w:t>Co-amoxiclav prophylaxis</w:t>
            </w:r>
          </w:p>
        </w:tc>
        <w:tc>
          <w:tcPr>
            <w:tcW w:w="2217" w:type="dxa"/>
            <w:shd w:val="clear" w:color="auto" w:fill="DEEAF6" w:themeFill="accent1" w:themeFillTint="33"/>
          </w:tcPr>
          <w:p w14:paraId="6BA824FD" w14:textId="77777777" w:rsidR="00E92008" w:rsidRPr="00DD0DD3" w:rsidRDefault="00E92008" w:rsidP="00703D08">
            <w:r w:rsidRPr="00DD0DD3">
              <w:t>1w</w:t>
            </w:r>
          </w:p>
        </w:tc>
        <w:tc>
          <w:tcPr>
            <w:tcW w:w="2216" w:type="dxa"/>
            <w:shd w:val="clear" w:color="auto" w:fill="DEEAF6" w:themeFill="accent1" w:themeFillTint="33"/>
          </w:tcPr>
          <w:p w14:paraId="2C9FF07A" w14:textId="77777777" w:rsidR="00E92008" w:rsidRPr="00DD0DD3" w:rsidRDefault="00E92008" w:rsidP="00703D08">
            <w:r w:rsidRPr="00DD0DD3">
              <w:t>1-week duration</w:t>
            </w:r>
          </w:p>
        </w:tc>
      </w:tr>
      <w:tr w:rsidR="00E92008" w14:paraId="6EA10FDF" w14:textId="77777777" w:rsidTr="00703D08">
        <w:tc>
          <w:tcPr>
            <w:tcW w:w="1517" w:type="dxa"/>
            <w:shd w:val="clear" w:color="auto" w:fill="auto"/>
          </w:tcPr>
          <w:p w14:paraId="40A5126A" w14:textId="77777777" w:rsidR="00E92008" w:rsidRPr="00DD0DD3" w:rsidRDefault="00E92008" w:rsidP="00703D08">
            <w:r>
              <w:t>F</w:t>
            </w:r>
          </w:p>
        </w:tc>
        <w:tc>
          <w:tcPr>
            <w:tcW w:w="3400" w:type="dxa"/>
            <w:shd w:val="clear" w:color="auto" w:fill="auto"/>
          </w:tcPr>
          <w:p w14:paraId="17C03F28" w14:textId="49D6032C" w:rsidR="00E92008" w:rsidRPr="00DD0DD3" w:rsidRDefault="00E92008" w:rsidP="00703D08">
            <w:r>
              <w:t>Flucloxacillin</w:t>
            </w:r>
          </w:p>
        </w:tc>
        <w:tc>
          <w:tcPr>
            <w:tcW w:w="2217" w:type="dxa"/>
            <w:shd w:val="clear" w:color="auto" w:fill="auto"/>
          </w:tcPr>
          <w:p w14:paraId="4543A26B" w14:textId="77777777" w:rsidR="00E92008" w:rsidRPr="00DD0DD3" w:rsidRDefault="00E92008" w:rsidP="00703D08">
            <w:r w:rsidRPr="00DD0DD3">
              <w:t>1m</w:t>
            </w:r>
          </w:p>
        </w:tc>
        <w:tc>
          <w:tcPr>
            <w:tcW w:w="2216" w:type="dxa"/>
            <w:shd w:val="clear" w:color="auto" w:fill="auto"/>
          </w:tcPr>
          <w:p w14:paraId="4EBAC840" w14:textId="77777777" w:rsidR="00E92008" w:rsidRPr="00DD0DD3" w:rsidRDefault="00E92008" w:rsidP="00703D08">
            <w:r w:rsidRPr="00DD0DD3">
              <w:t>1-month duration</w:t>
            </w:r>
          </w:p>
        </w:tc>
      </w:tr>
    </w:tbl>
    <w:p w14:paraId="33EAC8EF" w14:textId="3084D28C" w:rsidR="00E92008" w:rsidRDefault="00E92008" w:rsidP="00E92008">
      <w:pPr>
        <w:pStyle w:val="Caption"/>
      </w:pPr>
    </w:p>
    <w:p w14:paraId="512B5A74" w14:textId="1684E932" w:rsidR="00E92008" w:rsidRPr="00DE35D3" w:rsidRDefault="00E92008" w:rsidP="00E92008">
      <w:pPr>
        <w:pStyle w:val="Caption"/>
        <w:rPr>
          <w:i w:val="0"/>
          <w:iCs w:val="0"/>
          <w:color w:val="000000" w:themeColor="text1"/>
          <w:sz w:val="24"/>
          <w:szCs w:val="24"/>
        </w:rPr>
      </w:pPr>
      <w:bookmarkStart w:id="289" w:name="_Ref105510497"/>
      <w:bookmarkStart w:id="290" w:name="_Toc117780234"/>
      <w:r w:rsidRPr="000B467F">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3</w:t>
      </w:r>
      <w:r w:rsidR="00F42C6F">
        <w:rPr>
          <w:b/>
          <w:bCs/>
          <w:i w:val="0"/>
          <w:iCs w:val="0"/>
          <w:color w:val="000000" w:themeColor="text1"/>
          <w:sz w:val="24"/>
          <w:szCs w:val="24"/>
        </w:rPr>
        <w:fldChar w:fldCharType="end"/>
      </w:r>
      <w:bookmarkEnd w:id="289"/>
      <w:r>
        <w:rPr>
          <w:i w:val="0"/>
          <w:iCs w:val="0"/>
          <w:color w:val="000000" w:themeColor="text1"/>
          <w:sz w:val="24"/>
          <w:szCs w:val="24"/>
        </w:rPr>
        <w:t>:</w:t>
      </w:r>
      <w:r w:rsidRPr="000B467F">
        <w:rPr>
          <w:i w:val="0"/>
          <w:iCs w:val="0"/>
          <w:color w:val="000000" w:themeColor="text1"/>
          <w:sz w:val="24"/>
          <w:szCs w:val="24"/>
        </w:rPr>
        <w:t xml:space="preserve"> Microbial composition of </w:t>
      </w:r>
      <w:r>
        <w:rPr>
          <w:i w:val="0"/>
          <w:iCs w:val="0"/>
          <w:color w:val="000000" w:themeColor="text1"/>
          <w:sz w:val="24"/>
          <w:szCs w:val="24"/>
        </w:rPr>
        <w:t xml:space="preserve">DNPS </w:t>
      </w:r>
      <w:r w:rsidRPr="000B467F">
        <w:rPr>
          <w:i w:val="0"/>
          <w:iCs w:val="0"/>
          <w:color w:val="000000" w:themeColor="text1"/>
          <w:sz w:val="24"/>
          <w:szCs w:val="24"/>
        </w:rPr>
        <w:t>from the comparison group.</w:t>
      </w:r>
      <w:bookmarkEnd w:id="290"/>
      <w:r w:rsidRPr="000B467F">
        <w:rPr>
          <w:i w:val="0"/>
          <w:iCs w:val="0"/>
          <w:color w:val="000000" w:themeColor="text1"/>
          <w:sz w:val="24"/>
          <w:szCs w:val="24"/>
        </w:rPr>
        <w:t xml:space="preserve"> </w:t>
      </w:r>
    </w:p>
    <w:p w14:paraId="073A07FC" w14:textId="22E5D433" w:rsidR="00E92008" w:rsidRPr="00D701A6" w:rsidRDefault="00E92008" w:rsidP="00B74255">
      <w:pPr>
        <w:spacing w:line="360" w:lineRule="auto"/>
        <w:rPr>
          <w:b/>
          <w:bCs/>
          <w:i/>
          <w:iCs/>
        </w:rPr>
      </w:pPr>
      <w:r w:rsidRPr="00D701A6">
        <w:rPr>
          <w:rFonts w:ascii="Calibri" w:eastAsia="Calibri" w:hAnsi="Calibri"/>
          <w:i/>
          <w:iCs/>
        </w:rPr>
        <w:lastRenderedPageBreak/>
        <w:t xml:space="preserve">The microbial composition of the top 15 most abundant taxa in the nasopharyngeal swabs collected from children in the comparison group. Baseline swabs are denoted by “first”. The 3 subsequent swabs taken over the study period are presented underneath in columns for each participant. Blank cells are present as some swabs were unable to be collected during the COVID-19 pandemic and 3 baseline swabs did not pass the quality control for 16s rRNA analysis. Swabs taken around exacerbations have been excluded. </w:t>
      </w:r>
    </w:p>
    <w:p w14:paraId="5850FAFA" w14:textId="4F92488E" w:rsidR="00E92008" w:rsidRPr="00D701A6" w:rsidRDefault="00E92008" w:rsidP="00B74255">
      <w:pPr>
        <w:spacing w:line="360" w:lineRule="auto"/>
        <w:rPr>
          <w:rFonts w:ascii="Calibri" w:eastAsia="Calibri" w:hAnsi="Calibri"/>
          <w:i/>
          <w:iCs/>
        </w:rPr>
      </w:pPr>
      <w:r w:rsidRPr="00D701A6">
        <w:rPr>
          <w:rFonts w:ascii="Calibri" w:eastAsia="Calibri" w:hAnsi="Calibri"/>
          <w:i/>
          <w:iCs/>
        </w:rPr>
        <w:t xml:space="preserve">The table below figure </w:t>
      </w:r>
      <w:r w:rsidR="00D701A6">
        <w:rPr>
          <w:rFonts w:ascii="Calibri" w:eastAsia="Calibri" w:hAnsi="Calibri"/>
          <w:i/>
          <w:iCs/>
        </w:rPr>
        <w:t>5-3</w:t>
      </w:r>
      <w:r w:rsidRPr="00D701A6">
        <w:rPr>
          <w:rFonts w:ascii="Calibri" w:eastAsia="Calibri" w:hAnsi="Calibri"/>
          <w:i/>
          <w:iCs/>
        </w:rPr>
        <w:t xml:space="preserve"> shows the antibiotic exposure for each participant during the study period. C7 was started on long</w:t>
      </w:r>
      <w:r w:rsidR="007235B2">
        <w:rPr>
          <w:rFonts w:ascii="Calibri" w:eastAsia="Calibri" w:hAnsi="Calibri"/>
          <w:i/>
          <w:iCs/>
        </w:rPr>
        <w:t>-</w:t>
      </w:r>
      <w:r w:rsidRPr="00D701A6">
        <w:rPr>
          <w:rFonts w:ascii="Calibri" w:eastAsia="Calibri" w:hAnsi="Calibri"/>
          <w:i/>
          <w:iCs/>
        </w:rPr>
        <w:t xml:space="preserve">term azithromycin. C10 commenced long term azithromycin but was unable to tolerate the taste and hence changed to co-trimoxazole after 1 dose. C9 started long term azithromycin however left the study before any additional swabs were taken. </w:t>
      </w:r>
    </w:p>
    <w:p w14:paraId="164382A9" w14:textId="7D4CCB43" w:rsidR="00E92008" w:rsidRPr="00F32010" w:rsidRDefault="00E92008" w:rsidP="00B74255">
      <w:pPr>
        <w:spacing w:line="360" w:lineRule="auto"/>
        <w:rPr>
          <w:rFonts w:ascii="Calibri" w:eastAsia="Calibri" w:hAnsi="Calibri"/>
        </w:rPr>
      </w:pPr>
      <w:r>
        <w:rPr>
          <w:rFonts w:ascii="Calibri" w:eastAsia="Calibri" w:hAnsi="Calibri"/>
        </w:rPr>
        <w:br w:type="page"/>
      </w:r>
    </w:p>
    <w:p w14:paraId="0EDDB264" w14:textId="30515E48" w:rsidR="00E92008" w:rsidRDefault="002E11B9" w:rsidP="009B1AFA">
      <w:pPr>
        <w:keepNext/>
        <w:jc w:val="both"/>
      </w:pPr>
      <w:r>
        <w:rPr>
          <w:noProof/>
        </w:rPr>
        <w:lastRenderedPageBreak/>
        <w:drawing>
          <wp:inline distT="0" distB="0" distL="0" distR="0" wp14:anchorId="258EE930" wp14:editId="595D0762">
            <wp:extent cx="6795026" cy="39528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13182" cy="3963437"/>
                    </a:xfrm>
                    <a:prstGeom prst="rect">
                      <a:avLst/>
                    </a:prstGeom>
                    <a:noFill/>
                    <a:ln>
                      <a:noFill/>
                    </a:ln>
                  </pic:spPr>
                </pic:pic>
              </a:graphicData>
            </a:graphic>
          </wp:inline>
        </w:drawing>
      </w:r>
    </w:p>
    <w:tbl>
      <w:tblPr>
        <w:tblStyle w:val="TableGrid"/>
        <w:tblpPr w:leftFromText="180" w:rightFromText="180" w:vertAnchor="text" w:horzAnchor="margin" w:tblpXSpec="center" w:tblpY="444"/>
        <w:tblW w:w="10485" w:type="dxa"/>
        <w:tblLayout w:type="fixed"/>
        <w:tblLook w:val="04A0" w:firstRow="1" w:lastRow="0" w:firstColumn="1" w:lastColumn="0" w:noHBand="0" w:noVBand="1"/>
      </w:tblPr>
      <w:tblGrid>
        <w:gridCol w:w="639"/>
        <w:gridCol w:w="656"/>
        <w:gridCol w:w="656"/>
        <w:gridCol w:w="434"/>
        <w:gridCol w:w="656"/>
        <w:gridCol w:w="667"/>
        <w:gridCol w:w="656"/>
        <w:gridCol w:w="673"/>
        <w:gridCol w:w="656"/>
        <w:gridCol w:w="656"/>
        <w:gridCol w:w="673"/>
        <w:gridCol w:w="733"/>
        <w:gridCol w:w="656"/>
        <w:gridCol w:w="656"/>
        <w:gridCol w:w="673"/>
        <w:gridCol w:w="745"/>
      </w:tblGrid>
      <w:tr w:rsidR="00BB486A" w:rsidRPr="00F32010" w14:paraId="62935E8E" w14:textId="77777777" w:rsidTr="009B1AFA">
        <w:tc>
          <w:tcPr>
            <w:tcW w:w="639" w:type="dxa"/>
            <w:shd w:val="clear" w:color="auto" w:fill="9CC2E5" w:themeFill="accent1" w:themeFillTint="99"/>
          </w:tcPr>
          <w:p w14:paraId="1291F74F" w14:textId="77777777" w:rsidR="00BB486A" w:rsidRPr="00BB486A" w:rsidRDefault="00BB486A" w:rsidP="009B1AFA">
            <w:pPr>
              <w:rPr>
                <w:rFonts w:eastAsia="Calibri"/>
                <w:sz w:val="20"/>
                <w:szCs w:val="20"/>
              </w:rPr>
            </w:pPr>
            <w:r w:rsidRPr="00BB486A">
              <w:rPr>
                <w:rFonts w:eastAsia="Calibri"/>
                <w:sz w:val="20"/>
                <w:szCs w:val="20"/>
              </w:rPr>
              <w:t>Time of swab</w:t>
            </w:r>
          </w:p>
        </w:tc>
        <w:tc>
          <w:tcPr>
            <w:tcW w:w="656" w:type="dxa"/>
            <w:shd w:val="clear" w:color="auto" w:fill="9CC2E5" w:themeFill="accent1" w:themeFillTint="99"/>
          </w:tcPr>
          <w:p w14:paraId="04C945C7" w14:textId="77777777" w:rsidR="00BB486A" w:rsidRPr="00BB486A" w:rsidRDefault="00BB486A" w:rsidP="009B1AFA">
            <w:pPr>
              <w:rPr>
                <w:rFonts w:eastAsia="Calibri"/>
                <w:sz w:val="20"/>
                <w:szCs w:val="20"/>
              </w:rPr>
            </w:pPr>
            <w:r w:rsidRPr="00BB486A">
              <w:rPr>
                <w:rFonts w:eastAsia="Calibri"/>
                <w:sz w:val="20"/>
                <w:szCs w:val="20"/>
              </w:rPr>
              <w:t>A1</w:t>
            </w:r>
          </w:p>
        </w:tc>
        <w:tc>
          <w:tcPr>
            <w:tcW w:w="656" w:type="dxa"/>
            <w:shd w:val="clear" w:color="auto" w:fill="9CC2E5" w:themeFill="accent1" w:themeFillTint="99"/>
          </w:tcPr>
          <w:p w14:paraId="38869FFC" w14:textId="77777777" w:rsidR="00BB486A" w:rsidRPr="00BB486A" w:rsidRDefault="00BB486A" w:rsidP="009B1AFA">
            <w:pPr>
              <w:rPr>
                <w:rFonts w:eastAsia="Calibri"/>
                <w:sz w:val="20"/>
                <w:szCs w:val="20"/>
              </w:rPr>
            </w:pPr>
            <w:r w:rsidRPr="00BB486A">
              <w:rPr>
                <w:rFonts w:eastAsia="Calibri"/>
                <w:sz w:val="20"/>
                <w:szCs w:val="20"/>
              </w:rPr>
              <w:t>A2</w:t>
            </w:r>
          </w:p>
        </w:tc>
        <w:tc>
          <w:tcPr>
            <w:tcW w:w="434" w:type="dxa"/>
            <w:shd w:val="clear" w:color="auto" w:fill="9CC2E5" w:themeFill="accent1" w:themeFillTint="99"/>
          </w:tcPr>
          <w:p w14:paraId="1FB46555" w14:textId="77777777" w:rsidR="00BB486A" w:rsidRPr="00BB486A" w:rsidRDefault="00BB486A" w:rsidP="009B1AFA">
            <w:pPr>
              <w:rPr>
                <w:rFonts w:eastAsia="Calibri"/>
                <w:sz w:val="20"/>
                <w:szCs w:val="20"/>
              </w:rPr>
            </w:pPr>
            <w:r w:rsidRPr="00BB486A">
              <w:rPr>
                <w:rFonts w:eastAsia="Calibri"/>
                <w:sz w:val="20"/>
                <w:szCs w:val="20"/>
              </w:rPr>
              <w:t>A3</w:t>
            </w:r>
          </w:p>
        </w:tc>
        <w:tc>
          <w:tcPr>
            <w:tcW w:w="656" w:type="dxa"/>
            <w:shd w:val="clear" w:color="auto" w:fill="9CC2E5" w:themeFill="accent1" w:themeFillTint="99"/>
          </w:tcPr>
          <w:p w14:paraId="66A03F19" w14:textId="77777777" w:rsidR="00BB486A" w:rsidRPr="00BB486A" w:rsidRDefault="00BB486A" w:rsidP="009B1AFA">
            <w:pPr>
              <w:rPr>
                <w:rFonts w:eastAsia="Calibri"/>
                <w:sz w:val="20"/>
                <w:szCs w:val="20"/>
              </w:rPr>
            </w:pPr>
            <w:r w:rsidRPr="00BB486A">
              <w:rPr>
                <w:rFonts w:eastAsia="Calibri"/>
                <w:sz w:val="20"/>
                <w:szCs w:val="20"/>
              </w:rPr>
              <w:t>A4</w:t>
            </w:r>
          </w:p>
        </w:tc>
        <w:tc>
          <w:tcPr>
            <w:tcW w:w="667" w:type="dxa"/>
            <w:shd w:val="clear" w:color="auto" w:fill="9CC2E5" w:themeFill="accent1" w:themeFillTint="99"/>
          </w:tcPr>
          <w:p w14:paraId="2CA19E64" w14:textId="77777777" w:rsidR="00BB486A" w:rsidRPr="00BB486A" w:rsidRDefault="00BB486A" w:rsidP="009B1AFA">
            <w:pPr>
              <w:rPr>
                <w:rFonts w:eastAsia="Calibri"/>
                <w:sz w:val="20"/>
                <w:szCs w:val="20"/>
              </w:rPr>
            </w:pPr>
            <w:r w:rsidRPr="00BB486A">
              <w:rPr>
                <w:rFonts w:eastAsia="Calibri"/>
                <w:sz w:val="20"/>
                <w:szCs w:val="20"/>
              </w:rPr>
              <w:t>A5</w:t>
            </w:r>
          </w:p>
        </w:tc>
        <w:tc>
          <w:tcPr>
            <w:tcW w:w="656" w:type="dxa"/>
            <w:shd w:val="clear" w:color="auto" w:fill="9CC2E5" w:themeFill="accent1" w:themeFillTint="99"/>
          </w:tcPr>
          <w:p w14:paraId="4F4622EA" w14:textId="77777777" w:rsidR="00BB486A" w:rsidRPr="00BB486A" w:rsidRDefault="00BB486A" w:rsidP="009B1AFA">
            <w:pPr>
              <w:rPr>
                <w:rFonts w:eastAsia="Calibri"/>
                <w:sz w:val="20"/>
                <w:szCs w:val="20"/>
              </w:rPr>
            </w:pPr>
            <w:r w:rsidRPr="00BB486A">
              <w:rPr>
                <w:rFonts w:eastAsia="Calibri"/>
                <w:sz w:val="20"/>
                <w:szCs w:val="20"/>
              </w:rPr>
              <w:t>A6</w:t>
            </w:r>
          </w:p>
        </w:tc>
        <w:tc>
          <w:tcPr>
            <w:tcW w:w="673" w:type="dxa"/>
            <w:shd w:val="clear" w:color="auto" w:fill="9CC2E5" w:themeFill="accent1" w:themeFillTint="99"/>
          </w:tcPr>
          <w:p w14:paraId="50B65AE0" w14:textId="77777777" w:rsidR="00BB486A" w:rsidRPr="00BB486A" w:rsidRDefault="00BB486A" w:rsidP="009B1AFA">
            <w:pPr>
              <w:rPr>
                <w:rFonts w:eastAsia="Calibri"/>
                <w:sz w:val="20"/>
                <w:szCs w:val="20"/>
              </w:rPr>
            </w:pPr>
            <w:r w:rsidRPr="00BB486A">
              <w:rPr>
                <w:rFonts w:eastAsia="Calibri"/>
                <w:sz w:val="20"/>
                <w:szCs w:val="20"/>
              </w:rPr>
              <w:t>A7</w:t>
            </w:r>
          </w:p>
        </w:tc>
        <w:tc>
          <w:tcPr>
            <w:tcW w:w="656" w:type="dxa"/>
            <w:shd w:val="clear" w:color="auto" w:fill="9CC2E5" w:themeFill="accent1" w:themeFillTint="99"/>
          </w:tcPr>
          <w:p w14:paraId="7EC9247B" w14:textId="77777777" w:rsidR="00BB486A" w:rsidRPr="00BB486A" w:rsidRDefault="00BB486A" w:rsidP="009B1AFA">
            <w:pPr>
              <w:rPr>
                <w:rFonts w:eastAsia="Calibri"/>
                <w:sz w:val="20"/>
                <w:szCs w:val="20"/>
              </w:rPr>
            </w:pPr>
            <w:r w:rsidRPr="00BB486A">
              <w:rPr>
                <w:rFonts w:eastAsia="Calibri"/>
                <w:sz w:val="20"/>
                <w:szCs w:val="20"/>
              </w:rPr>
              <w:t>A8</w:t>
            </w:r>
          </w:p>
        </w:tc>
        <w:tc>
          <w:tcPr>
            <w:tcW w:w="656" w:type="dxa"/>
            <w:shd w:val="clear" w:color="auto" w:fill="9CC2E5" w:themeFill="accent1" w:themeFillTint="99"/>
          </w:tcPr>
          <w:p w14:paraId="05896C1D" w14:textId="77777777" w:rsidR="00BB486A" w:rsidRPr="00BB486A" w:rsidRDefault="00BB486A" w:rsidP="009B1AFA">
            <w:pPr>
              <w:rPr>
                <w:rFonts w:eastAsia="Calibri"/>
                <w:sz w:val="20"/>
                <w:szCs w:val="20"/>
              </w:rPr>
            </w:pPr>
            <w:r w:rsidRPr="00BB486A">
              <w:rPr>
                <w:rFonts w:eastAsia="Calibri"/>
                <w:sz w:val="20"/>
                <w:szCs w:val="20"/>
              </w:rPr>
              <w:t>A9</w:t>
            </w:r>
          </w:p>
        </w:tc>
        <w:tc>
          <w:tcPr>
            <w:tcW w:w="673" w:type="dxa"/>
            <w:shd w:val="clear" w:color="auto" w:fill="9CC2E5" w:themeFill="accent1" w:themeFillTint="99"/>
          </w:tcPr>
          <w:p w14:paraId="04053788" w14:textId="77777777" w:rsidR="00BB486A" w:rsidRPr="00BB486A" w:rsidRDefault="00BB486A" w:rsidP="009B1AFA">
            <w:pPr>
              <w:rPr>
                <w:rFonts w:eastAsia="Calibri"/>
                <w:sz w:val="20"/>
                <w:szCs w:val="20"/>
              </w:rPr>
            </w:pPr>
            <w:r w:rsidRPr="00BB486A">
              <w:rPr>
                <w:rFonts w:eastAsia="Calibri"/>
                <w:sz w:val="20"/>
                <w:szCs w:val="20"/>
              </w:rPr>
              <w:t>A10</w:t>
            </w:r>
          </w:p>
        </w:tc>
        <w:tc>
          <w:tcPr>
            <w:tcW w:w="733" w:type="dxa"/>
            <w:shd w:val="clear" w:color="auto" w:fill="9CC2E5" w:themeFill="accent1" w:themeFillTint="99"/>
          </w:tcPr>
          <w:p w14:paraId="57300936" w14:textId="77777777" w:rsidR="00BB486A" w:rsidRPr="00BB486A" w:rsidRDefault="00BB486A" w:rsidP="009B1AFA">
            <w:pPr>
              <w:rPr>
                <w:rFonts w:eastAsia="Calibri"/>
                <w:sz w:val="20"/>
                <w:szCs w:val="20"/>
              </w:rPr>
            </w:pPr>
            <w:r w:rsidRPr="00BB486A">
              <w:rPr>
                <w:rFonts w:eastAsia="Calibri"/>
                <w:sz w:val="20"/>
                <w:szCs w:val="20"/>
              </w:rPr>
              <w:t>A11</w:t>
            </w:r>
          </w:p>
        </w:tc>
        <w:tc>
          <w:tcPr>
            <w:tcW w:w="656" w:type="dxa"/>
            <w:shd w:val="clear" w:color="auto" w:fill="9CC2E5" w:themeFill="accent1" w:themeFillTint="99"/>
          </w:tcPr>
          <w:p w14:paraId="68DE4E48" w14:textId="77777777" w:rsidR="00BB486A" w:rsidRPr="00BB486A" w:rsidRDefault="00BB486A" w:rsidP="009B1AFA">
            <w:pPr>
              <w:rPr>
                <w:rFonts w:eastAsia="Calibri"/>
                <w:sz w:val="20"/>
                <w:szCs w:val="20"/>
              </w:rPr>
            </w:pPr>
            <w:r w:rsidRPr="00BB486A">
              <w:rPr>
                <w:rFonts w:eastAsia="Calibri"/>
                <w:sz w:val="20"/>
                <w:szCs w:val="20"/>
              </w:rPr>
              <w:t>A12</w:t>
            </w:r>
          </w:p>
        </w:tc>
        <w:tc>
          <w:tcPr>
            <w:tcW w:w="656" w:type="dxa"/>
            <w:shd w:val="clear" w:color="auto" w:fill="9CC2E5" w:themeFill="accent1" w:themeFillTint="99"/>
          </w:tcPr>
          <w:p w14:paraId="336E0F0D" w14:textId="77777777" w:rsidR="00BB486A" w:rsidRPr="00BB486A" w:rsidRDefault="00BB486A" w:rsidP="009B1AFA">
            <w:pPr>
              <w:rPr>
                <w:rFonts w:eastAsia="Calibri"/>
                <w:sz w:val="20"/>
                <w:szCs w:val="20"/>
              </w:rPr>
            </w:pPr>
            <w:r w:rsidRPr="00BB486A">
              <w:rPr>
                <w:rFonts w:eastAsia="Calibri"/>
                <w:sz w:val="20"/>
                <w:szCs w:val="20"/>
              </w:rPr>
              <w:t>A13</w:t>
            </w:r>
          </w:p>
        </w:tc>
        <w:tc>
          <w:tcPr>
            <w:tcW w:w="673" w:type="dxa"/>
            <w:shd w:val="clear" w:color="auto" w:fill="9CC2E5" w:themeFill="accent1" w:themeFillTint="99"/>
          </w:tcPr>
          <w:p w14:paraId="204438F8" w14:textId="77777777" w:rsidR="00BB486A" w:rsidRPr="00BB486A" w:rsidRDefault="00BB486A" w:rsidP="009B1AFA">
            <w:pPr>
              <w:rPr>
                <w:rFonts w:eastAsia="Calibri"/>
                <w:sz w:val="20"/>
                <w:szCs w:val="20"/>
              </w:rPr>
            </w:pPr>
            <w:r w:rsidRPr="00BB486A">
              <w:rPr>
                <w:rFonts w:eastAsia="Calibri"/>
                <w:sz w:val="20"/>
                <w:szCs w:val="20"/>
              </w:rPr>
              <w:t>A14</w:t>
            </w:r>
          </w:p>
        </w:tc>
        <w:tc>
          <w:tcPr>
            <w:tcW w:w="745" w:type="dxa"/>
            <w:shd w:val="clear" w:color="auto" w:fill="9CC2E5" w:themeFill="accent1" w:themeFillTint="99"/>
          </w:tcPr>
          <w:p w14:paraId="744A545D" w14:textId="77777777" w:rsidR="00BB486A" w:rsidRPr="00BB486A" w:rsidRDefault="00BB486A" w:rsidP="009B1AFA">
            <w:pPr>
              <w:rPr>
                <w:rFonts w:eastAsia="Calibri"/>
                <w:sz w:val="20"/>
                <w:szCs w:val="20"/>
              </w:rPr>
            </w:pPr>
            <w:r w:rsidRPr="00BB486A">
              <w:rPr>
                <w:rFonts w:eastAsia="Calibri"/>
                <w:sz w:val="20"/>
                <w:szCs w:val="20"/>
              </w:rPr>
              <w:t>A15</w:t>
            </w:r>
          </w:p>
        </w:tc>
      </w:tr>
      <w:tr w:rsidR="00BB486A" w:rsidRPr="00F32010" w14:paraId="668BD22C" w14:textId="77777777" w:rsidTr="009B1AFA">
        <w:tc>
          <w:tcPr>
            <w:tcW w:w="639" w:type="dxa"/>
            <w:shd w:val="clear" w:color="auto" w:fill="auto"/>
          </w:tcPr>
          <w:p w14:paraId="4A9F67A5" w14:textId="77777777" w:rsidR="00BB486A" w:rsidRPr="00BB486A" w:rsidRDefault="00BB486A" w:rsidP="009B1AFA">
            <w:pPr>
              <w:rPr>
                <w:rFonts w:eastAsia="Calibri"/>
                <w:sz w:val="20"/>
                <w:szCs w:val="20"/>
              </w:rPr>
            </w:pPr>
            <w:r w:rsidRPr="00BB486A">
              <w:rPr>
                <w:rFonts w:eastAsia="Calibri"/>
                <w:sz w:val="20"/>
                <w:szCs w:val="20"/>
              </w:rPr>
              <w:t>1</w:t>
            </w:r>
            <w:r w:rsidRPr="00BB486A">
              <w:rPr>
                <w:rFonts w:eastAsia="Calibri"/>
                <w:sz w:val="20"/>
                <w:szCs w:val="20"/>
                <w:vertAlign w:val="superscript"/>
              </w:rPr>
              <w:t>st</w:t>
            </w:r>
            <w:r w:rsidRPr="00BB486A">
              <w:rPr>
                <w:rFonts w:eastAsia="Calibri"/>
                <w:sz w:val="20"/>
                <w:szCs w:val="20"/>
              </w:rPr>
              <w:t>-2</w:t>
            </w:r>
            <w:r w:rsidRPr="00BB486A">
              <w:rPr>
                <w:rFonts w:eastAsia="Calibri"/>
                <w:sz w:val="20"/>
                <w:szCs w:val="20"/>
                <w:vertAlign w:val="superscript"/>
              </w:rPr>
              <w:t>nd</w:t>
            </w:r>
          </w:p>
        </w:tc>
        <w:tc>
          <w:tcPr>
            <w:tcW w:w="656" w:type="dxa"/>
            <w:shd w:val="clear" w:color="auto" w:fill="auto"/>
          </w:tcPr>
          <w:p w14:paraId="6057FAA8"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auto"/>
          </w:tcPr>
          <w:p w14:paraId="2A37F771" w14:textId="77777777" w:rsidR="00BB486A" w:rsidRPr="00BB486A" w:rsidRDefault="00BB486A" w:rsidP="009B1AFA">
            <w:pPr>
              <w:rPr>
                <w:rFonts w:eastAsia="Calibri"/>
                <w:sz w:val="20"/>
                <w:szCs w:val="20"/>
              </w:rPr>
            </w:pPr>
            <w:r w:rsidRPr="00BB486A">
              <w:rPr>
                <w:rFonts w:eastAsia="Calibri"/>
                <w:sz w:val="20"/>
                <w:szCs w:val="20"/>
              </w:rPr>
              <w:t>None</w:t>
            </w:r>
          </w:p>
        </w:tc>
        <w:tc>
          <w:tcPr>
            <w:tcW w:w="434" w:type="dxa"/>
            <w:shd w:val="clear" w:color="auto" w:fill="auto"/>
          </w:tcPr>
          <w:p w14:paraId="401C7FEB" w14:textId="77777777" w:rsidR="00BB486A" w:rsidRPr="00BB486A" w:rsidRDefault="00BB486A" w:rsidP="009B1AFA">
            <w:pPr>
              <w:rPr>
                <w:rFonts w:eastAsia="Calibri"/>
                <w:sz w:val="20"/>
                <w:szCs w:val="20"/>
              </w:rPr>
            </w:pPr>
            <w:r w:rsidRPr="00BB486A">
              <w:rPr>
                <w:rFonts w:eastAsia="Calibri"/>
                <w:sz w:val="20"/>
                <w:szCs w:val="20"/>
              </w:rPr>
              <w:t>?</w:t>
            </w:r>
          </w:p>
        </w:tc>
        <w:tc>
          <w:tcPr>
            <w:tcW w:w="656" w:type="dxa"/>
            <w:shd w:val="clear" w:color="auto" w:fill="auto"/>
          </w:tcPr>
          <w:p w14:paraId="20643A5B" w14:textId="77777777" w:rsidR="00BB486A" w:rsidRPr="00BB486A" w:rsidRDefault="00BB486A" w:rsidP="009B1AFA">
            <w:pPr>
              <w:rPr>
                <w:rFonts w:eastAsia="Calibri"/>
                <w:sz w:val="20"/>
                <w:szCs w:val="20"/>
              </w:rPr>
            </w:pPr>
            <w:r w:rsidRPr="00BB486A">
              <w:rPr>
                <w:rFonts w:eastAsia="Calibri"/>
                <w:sz w:val="20"/>
                <w:szCs w:val="20"/>
              </w:rPr>
              <w:t>None</w:t>
            </w:r>
          </w:p>
        </w:tc>
        <w:tc>
          <w:tcPr>
            <w:tcW w:w="667" w:type="dxa"/>
            <w:shd w:val="clear" w:color="auto" w:fill="auto"/>
          </w:tcPr>
          <w:p w14:paraId="401F82AF" w14:textId="77777777" w:rsidR="00BB486A" w:rsidRPr="00BB486A" w:rsidRDefault="00BB486A" w:rsidP="009B1AFA">
            <w:pPr>
              <w:rPr>
                <w:rFonts w:eastAsia="Calibri"/>
                <w:sz w:val="20"/>
                <w:szCs w:val="20"/>
              </w:rPr>
            </w:pPr>
            <w:r w:rsidRPr="00BB486A">
              <w:rPr>
                <w:rFonts w:eastAsia="Calibri"/>
                <w:sz w:val="20"/>
                <w:szCs w:val="20"/>
              </w:rPr>
              <w:t>C0</w:t>
            </w:r>
          </w:p>
          <w:p w14:paraId="13E5544F" w14:textId="77777777" w:rsidR="00BB486A" w:rsidRPr="00BB486A" w:rsidRDefault="00BB486A" w:rsidP="009B1AFA">
            <w:pPr>
              <w:rPr>
                <w:rFonts w:eastAsia="Calibri"/>
                <w:sz w:val="20"/>
                <w:szCs w:val="20"/>
              </w:rPr>
            </w:pPr>
            <w:r w:rsidRPr="00BB486A">
              <w:rPr>
                <w:rFonts w:eastAsia="Calibri"/>
                <w:sz w:val="20"/>
                <w:szCs w:val="20"/>
              </w:rPr>
              <w:t>1w+</w:t>
            </w:r>
          </w:p>
          <w:p w14:paraId="5FE02148" w14:textId="77777777" w:rsidR="00BB486A" w:rsidRPr="00BB486A" w:rsidRDefault="00BB486A" w:rsidP="009B1AFA">
            <w:pPr>
              <w:rPr>
                <w:rFonts w:eastAsia="Calibri"/>
                <w:sz w:val="20"/>
                <w:szCs w:val="20"/>
              </w:rPr>
            </w:pPr>
            <w:r w:rsidRPr="00BB486A">
              <w:rPr>
                <w:rFonts w:eastAsia="Calibri"/>
                <w:sz w:val="20"/>
                <w:szCs w:val="20"/>
              </w:rPr>
              <w:t>IV</w:t>
            </w:r>
          </w:p>
        </w:tc>
        <w:tc>
          <w:tcPr>
            <w:tcW w:w="656" w:type="dxa"/>
            <w:shd w:val="clear" w:color="auto" w:fill="auto"/>
          </w:tcPr>
          <w:p w14:paraId="3469A50B" w14:textId="77777777" w:rsidR="00BB486A" w:rsidRPr="00BB486A" w:rsidRDefault="00BB486A" w:rsidP="009B1AFA">
            <w:pPr>
              <w:rPr>
                <w:rFonts w:eastAsia="Calibri"/>
                <w:sz w:val="20"/>
                <w:szCs w:val="20"/>
              </w:rPr>
            </w:pPr>
            <w:proofErr w:type="spellStart"/>
            <w:r w:rsidRPr="00BB486A">
              <w:rPr>
                <w:rFonts w:eastAsia="Calibri"/>
                <w:sz w:val="20"/>
                <w:szCs w:val="20"/>
              </w:rPr>
              <w:t>Clari</w:t>
            </w:r>
            <w:proofErr w:type="spellEnd"/>
          </w:p>
          <w:p w14:paraId="53ED6153" w14:textId="77777777" w:rsidR="00BB486A" w:rsidRPr="00BB486A" w:rsidRDefault="00BB486A" w:rsidP="009B1AFA">
            <w:pPr>
              <w:rPr>
                <w:rFonts w:eastAsia="Calibri"/>
                <w:sz w:val="20"/>
                <w:szCs w:val="20"/>
              </w:rPr>
            </w:pPr>
            <w:r w:rsidRPr="00BB486A">
              <w:rPr>
                <w:rFonts w:eastAsia="Calibri"/>
                <w:sz w:val="20"/>
                <w:szCs w:val="20"/>
              </w:rPr>
              <w:t>2w</w:t>
            </w:r>
          </w:p>
        </w:tc>
        <w:tc>
          <w:tcPr>
            <w:tcW w:w="673" w:type="dxa"/>
            <w:shd w:val="clear" w:color="auto" w:fill="auto"/>
          </w:tcPr>
          <w:p w14:paraId="54BB8E2F"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tcPr>
          <w:p w14:paraId="3A4A8388"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tcPr>
          <w:p w14:paraId="57A4C5CE"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tcPr>
          <w:p w14:paraId="67456206" w14:textId="77777777" w:rsidR="00BB486A" w:rsidRPr="00BB486A" w:rsidRDefault="00BB486A" w:rsidP="009B1AFA">
            <w:pPr>
              <w:rPr>
                <w:rFonts w:eastAsia="Calibri"/>
                <w:sz w:val="20"/>
                <w:szCs w:val="20"/>
              </w:rPr>
            </w:pPr>
            <w:r w:rsidRPr="00BB486A">
              <w:rPr>
                <w:rFonts w:eastAsia="Calibri"/>
                <w:sz w:val="20"/>
                <w:szCs w:val="20"/>
              </w:rPr>
              <w:t>None</w:t>
            </w:r>
          </w:p>
        </w:tc>
        <w:tc>
          <w:tcPr>
            <w:tcW w:w="733" w:type="dxa"/>
          </w:tcPr>
          <w:p w14:paraId="6BCE797C"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tcPr>
          <w:p w14:paraId="6B178D2B"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tcPr>
          <w:p w14:paraId="018FA608"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tcPr>
          <w:p w14:paraId="7EE13AAC" w14:textId="77777777" w:rsidR="00BB486A" w:rsidRPr="00BB486A" w:rsidRDefault="00BB486A" w:rsidP="009B1AFA">
            <w:pPr>
              <w:rPr>
                <w:rFonts w:eastAsia="Calibri"/>
                <w:sz w:val="20"/>
                <w:szCs w:val="20"/>
              </w:rPr>
            </w:pPr>
            <w:r w:rsidRPr="00BB486A">
              <w:rPr>
                <w:rFonts w:eastAsia="Calibri"/>
                <w:sz w:val="20"/>
                <w:szCs w:val="20"/>
              </w:rPr>
              <w:t>None</w:t>
            </w:r>
          </w:p>
        </w:tc>
        <w:tc>
          <w:tcPr>
            <w:tcW w:w="745" w:type="dxa"/>
          </w:tcPr>
          <w:p w14:paraId="2194DA6A" w14:textId="77777777" w:rsidR="00BB486A" w:rsidRPr="00BB486A" w:rsidRDefault="00BB486A" w:rsidP="009B1AFA">
            <w:pPr>
              <w:rPr>
                <w:rFonts w:eastAsia="Calibri"/>
                <w:sz w:val="20"/>
                <w:szCs w:val="20"/>
              </w:rPr>
            </w:pPr>
            <w:r w:rsidRPr="00BB486A">
              <w:rPr>
                <w:rFonts w:eastAsia="Calibri"/>
                <w:sz w:val="20"/>
                <w:szCs w:val="20"/>
              </w:rPr>
              <w:t>Co2w</w:t>
            </w:r>
          </w:p>
        </w:tc>
      </w:tr>
      <w:tr w:rsidR="00BB486A" w:rsidRPr="00F32010" w14:paraId="6A48D409" w14:textId="77777777" w:rsidTr="009B1AFA">
        <w:tc>
          <w:tcPr>
            <w:tcW w:w="639" w:type="dxa"/>
            <w:shd w:val="clear" w:color="auto" w:fill="DEEAF6" w:themeFill="accent1" w:themeFillTint="33"/>
          </w:tcPr>
          <w:p w14:paraId="1D0ACEA2" w14:textId="77777777" w:rsidR="00BB486A" w:rsidRPr="00BB486A" w:rsidRDefault="00BB486A" w:rsidP="009B1AFA">
            <w:pPr>
              <w:rPr>
                <w:rFonts w:eastAsia="Calibri"/>
                <w:sz w:val="20"/>
                <w:szCs w:val="20"/>
              </w:rPr>
            </w:pPr>
            <w:r w:rsidRPr="00BB486A">
              <w:rPr>
                <w:rFonts w:eastAsia="Calibri"/>
                <w:sz w:val="20"/>
                <w:szCs w:val="20"/>
              </w:rPr>
              <w:t>2</w:t>
            </w:r>
            <w:r w:rsidRPr="00BB486A">
              <w:rPr>
                <w:rFonts w:eastAsia="Calibri"/>
                <w:sz w:val="20"/>
                <w:szCs w:val="20"/>
                <w:vertAlign w:val="superscript"/>
              </w:rPr>
              <w:t>nd</w:t>
            </w:r>
            <w:r w:rsidRPr="00BB486A">
              <w:rPr>
                <w:rFonts w:eastAsia="Calibri"/>
                <w:sz w:val="20"/>
                <w:szCs w:val="20"/>
              </w:rPr>
              <w:t>-3</w:t>
            </w:r>
            <w:r w:rsidRPr="00BB486A">
              <w:rPr>
                <w:rFonts w:eastAsia="Calibri"/>
                <w:sz w:val="20"/>
                <w:szCs w:val="20"/>
                <w:vertAlign w:val="superscript"/>
              </w:rPr>
              <w:t>rd</w:t>
            </w:r>
          </w:p>
        </w:tc>
        <w:tc>
          <w:tcPr>
            <w:tcW w:w="656" w:type="dxa"/>
            <w:shd w:val="clear" w:color="auto" w:fill="DEEAF6" w:themeFill="accent1" w:themeFillTint="33"/>
          </w:tcPr>
          <w:p w14:paraId="42A5DEDD"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DEEAF6" w:themeFill="accent1" w:themeFillTint="33"/>
          </w:tcPr>
          <w:p w14:paraId="70639F18" w14:textId="77777777" w:rsidR="00BB486A" w:rsidRPr="00BB486A" w:rsidRDefault="00BB486A" w:rsidP="009B1AFA">
            <w:pPr>
              <w:rPr>
                <w:rFonts w:eastAsia="Calibri"/>
                <w:sz w:val="20"/>
                <w:szCs w:val="20"/>
              </w:rPr>
            </w:pPr>
            <w:r w:rsidRPr="00BB486A">
              <w:rPr>
                <w:rFonts w:eastAsia="Calibri"/>
                <w:sz w:val="20"/>
                <w:szCs w:val="20"/>
              </w:rPr>
              <w:t>None</w:t>
            </w:r>
          </w:p>
        </w:tc>
        <w:tc>
          <w:tcPr>
            <w:tcW w:w="434" w:type="dxa"/>
            <w:shd w:val="clear" w:color="auto" w:fill="DEEAF6" w:themeFill="accent1" w:themeFillTint="33"/>
          </w:tcPr>
          <w:p w14:paraId="38DB619E" w14:textId="77777777" w:rsidR="00BB486A" w:rsidRPr="00BB486A" w:rsidRDefault="00BB486A" w:rsidP="009B1AFA">
            <w:pPr>
              <w:rPr>
                <w:rFonts w:eastAsia="Calibri"/>
                <w:sz w:val="20"/>
                <w:szCs w:val="20"/>
              </w:rPr>
            </w:pPr>
            <w:r w:rsidRPr="00BB486A">
              <w:rPr>
                <w:rFonts w:eastAsia="Calibri"/>
                <w:sz w:val="20"/>
                <w:szCs w:val="20"/>
              </w:rPr>
              <w:t>LS</w:t>
            </w:r>
          </w:p>
        </w:tc>
        <w:tc>
          <w:tcPr>
            <w:tcW w:w="656" w:type="dxa"/>
            <w:shd w:val="clear" w:color="auto" w:fill="DEEAF6" w:themeFill="accent1" w:themeFillTint="33"/>
          </w:tcPr>
          <w:p w14:paraId="533CB4A7" w14:textId="77777777" w:rsidR="00BB486A" w:rsidRPr="00BB486A" w:rsidRDefault="00BB486A" w:rsidP="009B1AFA">
            <w:pPr>
              <w:rPr>
                <w:rFonts w:eastAsia="Calibri"/>
                <w:sz w:val="20"/>
                <w:szCs w:val="20"/>
              </w:rPr>
            </w:pPr>
            <w:r w:rsidRPr="00BB486A">
              <w:rPr>
                <w:rFonts w:eastAsia="Calibri"/>
                <w:sz w:val="20"/>
                <w:szCs w:val="20"/>
              </w:rPr>
              <w:t>None</w:t>
            </w:r>
          </w:p>
        </w:tc>
        <w:tc>
          <w:tcPr>
            <w:tcW w:w="667" w:type="dxa"/>
            <w:shd w:val="clear" w:color="auto" w:fill="DEEAF6" w:themeFill="accent1" w:themeFillTint="33"/>
          </w:tcPr>
          <w:p w14:paraId="5AEB44BB"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DEEAF6" w:themeFill="accent1" w:themeFillTint="33"/>
          </w:tcPr>
          <w:p w14:paraId="0EB8A084"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shd w:val="clear" w:color="auto" w:fill="DEEAF6" w:themeFill="accent1" w:themeFillTint="33"/>
          </w:tcPr>
          <w:p w14:paraId="5BF28E9D"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DEEAF6" w:themeFill="accent1" w:themeFillTint="33"/>
          </w:tcPr>
          <w:p w14:paraId="035612C0"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DEEAF6" w:themeFill="accent1" w:themeFillTint="33"/>
          </w:tcPr>
          <w:p w14:paraId="181A10F1"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shd w:val="clear" w:color="auto" w:fill="DEEAF6" w:themeFill="accent1" w:themeFillTint="33"/>
          </w:tcPr>
          <w:p w14:paraId="3B08A213" w14:textId="77777777" w:rsidR="00BB486A" w:rsidRPr="00BB486A" w:rsidRDefault="00BB486A" w:rsidP="009B1AFA">
            <w:pPr>
              <w:rPr>
                <w:rFonts w:eastAsia="Calibri"/>
                <w:sz w:val="20"/>
                <w:szCs w:val="20"/>
              </w:rPr>
            </w:pPr>
            <w:r w:rsidRPr="00BB486A">
              <w:rPr>
                <w:rFonts w:eastAsia="Calibri"/>
                <w:sz w:val="20"/>
                <w:szCs w:val="20"/>
              </w:rPr>
              <w:t>None</w:t>
            </w:r>
          </w:p>
        </w:tc>
        <w:tc>
          <w:tcPr>
            <w:tcW w:w="733" w:type="dxa"/>
            <w:shd w:val="clear" w:color="auto" w:fill="DEEAF6" w:themeFill="accent1" w:themeFillTint="33"/>
          </w:tcPr>
          <w:p w14:paraId="553E9967" w14:textId="77777777" w:rsidR="00BB486A" w:rsidRPr="00BB486A" w:rsidRDefault="00BB486A" w:rsidP="009B1AFA">
            <w:pPr>
              <w:rPr>
                <w:rFonts w:eastAsia="Calibri"/>
                <w:sz w:val="20"/>
                <w:szCs w:val="20"/>
              </w:rPr>
            </w:pPr>
            <w:r w:rsidRPr="00BB486A">
              <w:rPr>
                <w:rFonts w:eastAsia="Calibri"/>
                <w:sz w:val="20"/>
                <w:szCs w:val="20"/>
              </w:rPr>
              <w:t>A1w</w:t>
            </w:r>
          </w:p>
        </w:tc>
        <w:tc>
          <w:tcPr>
            <w:tcW w:w="656" w:type="dxa"/>
            <w:shd w:val="clear" w:color="auto" w:fill="DEEAF6" w:themeFill="accent1" w:themeFillTint="33"/>
          </w:tcPr>
          <w:p w14:paraId="5D8FF0D6" w14:textId="77777777" w:rsidR="00BB486A" w:rsidRPr="00BB486A" w:rsidRDefault="00BB486A" w:rsidP="009B1AFA">
            <w:pPr>
              <w:rPr>
                <w:rFonts w:eastAsia="Calibri"/>
                <w:sz w:val="20"/>
                <w:szCs w:val="20"/>
              </w:rPr>
            </w:pPr>
            <w:r w:rsidRPr="00BB486A">
              <w:rPr>
                <w:rFonts w:eastAsia="Calibri"/>
                <w:sz w:val="20"/>
                <w:szCs w:val="20"/>
              </w:rPr>
              <w:t>A1w</w:t>
            </w:r>
          </w:p>
        </w:tc>
        <w:tc>
          <w:tcPr>
            <w:tcW w:w="656" w:type="dxa"/>
            <w:shd w:val="clear" w:color="auto" w:fill="DEEAF6" w:themeFill="accent1" w:themeFillTint="33"/>
          </w:tcPr>
          <w:p w14:paraId="76173B93"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shd w:val="clear" w:color="auto" w:fill="DEEAF6" w:themeFill="accent1" w:themeFillTint="33"/>
          </w:tcPr>
          <w:p w14:paraId="74555D93" w14:textId="77777777" w:rsidR="00BB486A" w:rsidRPr="00BB486A" w:rsidRDefault="00BB486A" w:rsidP="009B1AFA">
            <w:pPr>
              <w:rPr>
                <w:rFonts w:eastAsia="Calibri"/>
                <w:sz w:val="20"/>
                <w:szCs w:val="20"/>
              </w:rPr>
            </w:pPr>
            <w:r w:rsidRPr="00BB486A">
              <w:rPr>
                <w:rFonts w:eastAsia="Calibri"/>
                <w:sz w:val="20"/>
                <w:szCs w:val="20"/>
              </w:rPr>
              <w:t>Co1w</w:t>
            </w:r>
          </w:p>
        </w:tc>
        <w:tc>
          <w:tcPr>
            <w:tcW w:w="745" w:type="dxa"/>
            <w:shd w:val="clear" w:color="auto" w:fill="DEEAF6" w:themeFill="accent1" w:themeFillTint="33"/>
          </w:tcPr>
          <w:p w14:paraId="09F3D541" w14:textId="77777777" w:rsidR="00BB486A" w:rsidRPr="00BB486A" w:rsidRDefault="00BB486A" w:rsidP="009B1AFA">
            <w:pPr>
              <w:rPr>
                <w:rFonts w:eastAsia="Calibri"/>
                <w:sz w:val="20"/>
                <w:szCs w:val="20"/>
              </w:rPr>
            </w:pPr>
            <w:r w:rsidRPr="00BB486A">
              <w:rPr>
                <w:rFonts w:eastAsia="Calibri"/>
                <w:sz w:val="20"/>
                <w:szCs w:val="20"/>
              </w:rPr>
              <w:t>None</w:t>
            </w:r>
          </w:p>
        </w:tc>
      </w:tr>
      <w:tr w:rsidR="00BB486A" w:rsidRPr="00F32010" w14:paraId="66A932C3" w14:textId="77777777" w:rsidTr="009B1AFA">
        <w:tc>
          <w:tcPr>
            <w:tcW w:w="639" w:type="dxa"/>
            <w:shd w:val="clear" w:color="auto" w:fill="auto"/>
          </w:tcPr>
          <w:p w14:paraId="06FB4AAB" w14:textId="77777777" w:rsidR="00BB486A" w:rsidRPr="00BB486A" w:rsidRDefault="00BB486A" w:rsidP="009B1AFA">
            <w:pPr>
              <w:rPr>
                <w:rFonts w:eastAsia="Calibri"/>
                <w:sz w:val="20"/>
                <w:szCs w:val="20"/>
              </w:rPr>
            </w:pPr>
            <w:r w:rsidRPr="00BB486A">
              <w:rPr>
                <w:rFonts w:eastAsia="Calibri"/>
                <w:sz w:val="20"/>
                <w:szCs w:val="20"/>
              </w:rPr>
              <w:t>3</w:t>
            </w:r>
            <w:r w:rsidRPr="00BB486A">
              <w:rPr>
                <w:rFonts w:eastAsia="Calibri"/>
                <w:sz w:val="20"/>
                <w:szCs w:val="20"/>
                <w:vertAlign w:val="superscript"/>
              </w:rPr>
              <w:t>rd</w:t>
            </w:r>
            <w:r w:rsidRPr="00BB486A">
              <w:rPr>
                <w:rFonts w:eastAsia="Calibri"/>
                <w:sz w:val="20"/>
                <w:szCs w:val="20"/>
              </w:rPr>
              <w:t>-final</w:t>
            </w:r>
          </w:p>
        </w:tc>
        <w:tc>
          <w:tcPr>
            <w:tcW w:w="656" w:type="dxa"/>
            <w:shd w:val="clear" w:color="auto" w:fill="auto"/>
          </w:tcPr>
          <w:p w14:paraId="716C3D16"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auto"/>
          </w:tcPr>
          <w:p w14:paraId="60707352" w14:textId="77777777" w:rsidR="00BB486A" w:rsidRPr="00BB486A" w:rsidRDefault="00BB486A" w:rsidP="009B1AFA">
            <w:pPr>
              <w:rPr>
                <w:rFonts w:eastAsia="Calibri"/>
                <w:sz w:val="20"/>
                <w:szCs w:val="20"/>
              </w:rPr>
            </w:pPr>
            <w:r w:rsidRPr="00BB486A">
              <w:rPr>
                <w:rFonts w:eastAsia="Calibri"/>
                <w:sz w:val="20"/>
                <w:szCs w:val="20"/>
              </w:rPr>
              <w:t>None</w:t>
            </w:r>
          </w:p>
        </w:tc>
        <w:tc>
          <w:tcPr>
            <w:tcW w:w="434" w:type="dxa"/>
            <w:shd w:val="clear" w:color="auto" w:fill="auto"/>
          </w:tcPr>
          <w:p w14:paraId="5504F438" w14:textId="77777777" w:rsidR="00BB486A" w:rsidRPr="00BB486A" w:rsidRDefault="00BB486A" w:rsidP="009B1AFA">
            <w:pPr>
              <w:rPr>
                <w:rFonts w:eastAsia="Calibri"/>
                <w:sz w:val="20"/>
                <w:szCs w:val="20"/>
              </w:rPr>
            </w:pPr>
            <w:r w:rsidRPr="00BB486A">
              <w:rPr>
                <w:rFonts w:eastAsia="Calibri"/>
                <w:sz w:val="20"/>
                <w:szCs w:val="20"/>
              </w:rPr>
              <w:t>LS</w:t>
            </w:r>
          </w:p>
        </w:tc>
        <w:tc>
          <w:tcPr>
            <w:tcW w:w="656" w:type="dxa"/>
            <w:shd w:val="clear" w:color="auto" w:fill="auto"/>
          </w:tcPr>
          <w:p w14:paraId="3A19E39B" w14:textId="77777777" w:rsidR="00BB486A" w:rsidRPr="00BB486A" w:rsidRDefault="00BB486A" w:rsidP="009B1AFA">
            <w:pPr>
              <w:rPr>
                <w:rFonts w:eastAsia="Calibri"/>
                <w:sz w:val="20"/>
                <w:szCs w:val="20"/>
              </w:rPr>
            </w:pPr>
            <w:r w:rsidRPr="00BB486A">
              <w:rPr>
                <w:rFonts w:eastAsia="Calibri"/>
                <w:sz w:val="20"/>
                <w:szCs w:val="20"/>
              </w:rPr>
              <w:t>A1w</w:t>
            </w:r>
          </w:p>
        </w:tc>
        <w:tc>
          <w:tcPr>
            <w:tcW w:w="667" w:type="dxa"/>
            <w:shd w:val="clear" w:color="auto" w:fill="auto"/>
          </w:tcPr>
          <w:p w14:paraId="0E3D944B"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shd w:val="clear" w:color="auto" w:fill="auto"/>
          </w:tcPr>
          <w:p w14:paraId="6B6EB2B2"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shd w:val="clear" w:color="auto" w:fill="auto"/>
          </w:tcPr>
          <w:p w14:paraId="10CA5260" w14:textId="77777777" w:rsidR="00BB486A" w:rsidRPr="00BB486A" w:rsidRDefault="00BB486A" w:rsidP="009B1AFA">
            <w:pPr>
              <w:rPr>
                <w:rFonts w:eastAsia="Calibri"/>
                <w:sz w:val="20"/>
                <w:szCs w:val="20"/>
              </w:rPr>
            </w:pPr>
            <w:r w:rsidRPr="00BB486A">
              <w:rPr>
                <w:rFonts w:eastAsia="Calibri"/>
                <w:sz w:val="20"/>
                <w:szCs w:val="20"/>
              </w:rPr>
              <w:t>Co2w</w:t>
            </w:r>
          </w:p>
          <w:p w14:paraId="3CC6DC28" w14:textId="77777777" w:rsidR="00BB486A" w:rsidRPr="00BB486A" w:rsidRDefault="00BB486A" w:rsidP="009B1AFA">
            <w:pPr>
              <w:rPr>
                <w:rFonts w:eastAsia="Calibri"/>
                <w:sz w:val="20"/>
                <w:szCs w:val="20"/>
              </w:rPr>
            </w:pPr>
            <w:r w:rsidRPr="00BB486A">
              <w:rPr>
                <w:rFonts w:eastAsia="Calibri"/>
                <w:sz w:val="20"/>
                <w:szCs w:val="20"/>
              </w:rPr>
              <w:t>Co2w</w:t>
            </w:r>
          </w:p>
        </w:tc>
        <w:tc>
          <w:tcPr>
            <w:tcW w:w="656" w:type="dxa"/>
          </w:tcPr>
          <w:p w14:paraId="33F8B59C" w14:textId="77777777" w:rsidR="00BB486A" w:rsidRPr="00BB486A" w:rsidRDefault="00BB486A" w:rsidP="009B1AFA">
            <w:pPr>
              <w:rPr>
                <w:rFonts w:eastAsia="Calibri"/>
                <w:sz w:val="20"/>
                <w:szCs w:val="20"/>
              </w:rPr>
            </w:pPr>
            <w:r w:rsidRPr="00BB486A">
              <w:rPr>
                <w:rFonts w:eastAsia="Calibri"/>
                <w:sz w:val="20"/>
                <w:szCs w:val="20"/>
              </w:rPr>
              <w:t>None</w:t>
            </w:r>
          </w:p>
        </w:tc>
        <w:tc>
          <w:tcPr>
            <w:tcW w:w="656" w:type="dxa"/>
          </w:tcPr>
          <w:p w14:paraId="675BFBA9" w14:textId="77777777" w:rsidR="00BB486A" w:rsidRPr="00BB486A" w:rsidRDefault="00BB486A" w:rsidP="009B1AFA">
            <w:pPr>
              <w:rPr>
                <w:rFonts w:eastAsia="Calibri"/>
                <w:sz w:val="20"/>
                <w:szCs w:val="20"/>
              </w:rPr>
            </w:pPr>
            <w:r w:rsidRPr="00BB486A">
              <w:rPr>
                <w:rFonts w:eastAsia="Calibri"/>
                <w:sz w:val="20"/>
                <w:szCs w:val="20"/>
              </w:rPr>
              <w:t>None</w:t>
            </w:r>
          </w:p>
        </w:tc>
        <w:tc>
          <w:tcPr>
            <w:tcW w:w="673" w:type="dxa"/>
          </w:tcPr>
          <w:p w14:paraId="4ED26201" w14:textId="77777777" w:rsidR="00BB486A" w:rsidRPr="00BB486A" w:rsidRDefault="00BB486A" w:rsidP="009B1AFA">
            <w:pPr>
              <w:rPr>
                <w:rFonts w:eastAsia="Calibri"/>
                <w:sz w:val="20"/>
                <w:szCs w:val="20"/>
              </w:rPr>
            </w:pPr>
            <w:r w:rsidRPr="00BB486A">
              <w:rPr>
                <w:rFonts w:eastAsia="Calibri"/>
                <w:sz w:val="20"/>
                <w:szCs w:val="20"/>
              </w:rPr>
              <w:t>Co2w</w:t>
            </w:r>
          </w:p>
        </w:tc>
        <w:tc>
          <w:tcPr>
            <w:tcW w:w="733" w:type="dxa"/>
          </w:tcPr>
          <w:p w14:paraId="78069182" w14:textId="77777777" w:rsidR="00BB486A" w:rsidRPr="00BB486A" w:rsidRDefault="00BB486A" w:rsidP="009B1AFA">
            <w:pPr>
              <w:rPr>
                <w:rFonts w:eastAsia="Calibri"/>
                <w:sz w:val="20"/>
                <w:szCs w:val="20"/>
              </w:rPr>
            </w:pPr>
            <w:r w:rsidRPr="00BB486A">
              <w:rPr>
                <w:rFonts w:eastAsia="Calibri"/>
                <w:sz w:val="20"/>
                <w:szCs w:val="20"/>
              </w:rPr>
              <w:t>A1w</w:t>
            </w:r>
          </w:p>
          <w:p w14:paraId="2F091D91" w14:textId="77777777" w:rsidR="00BB486A" w:rsidRPr="00BB486A" w:rsidRDefault="00BB486A" w:rsidP="009B1AFA">
            <w:pPr>
              <w:rPr>
                <w:rFonts w:eastAsia="Calibri"/>
                <w:sz w:val="20"/>
                <w:szCs w:val="20"/>
              </w:rPr>
            </w:pPr>
            <w:r w:rsidRPr="00BB486A">
              <w:rPr>
                <w:rFonts w:eastAsia="Calibri"/>
                <w:sz w:val="20"/>
                <w:szCs w:val="20"/>
              </w:rPr>
              <w:t>P10d</w:t>
            </w:r>
          </w:p>
        </w:tc>
        <w:tc>
          <w:tcPr>
            <w:tcW w:w="656" w:type="dxa"/>
          </w:tcPr>
          <w:p w14:paraId="0BC0088A" w14:textId="77777777" w:rsidR="00BB486A" w:rsidRPr="00BB486A" w:rsidRDefault="00BB486A" w:rsidP="009B1AFA">
            <w:pPr>
              <w:rPr>
                <w:rFonts w:eastAsia="Calibri"/>
                <w:sz w:val="20"/>
                <w:szCs w:val="20"/>
              </w:rPr>
            </w:pPr>
            <w:r w:rsidRPr="00BB486A">
              <w:rPr>
                <w:rFonts w:eastAsia="Calibri"/>
                <w:sz w:val="20"/>
                <w:szCs w:val="20"/>
              </w:rPr>
              <w:t>?</w:t>
            </w:r>
          </w:p>
        </w:tc>
        <w:tc>
          <w:tcPr>
            <w:tcW w:w="656" w:type="dxa"/>
          </w:tcPr>
          <w:p w14:paraId="611446D6" w14:textId="77777777" w:rsidR="00BB486A" w:rsidRPr="00BB486A" w:rsidRDefault="00BB486A" w:rsidP="009B1AFA">
            <w:pPr>
              <w:rPr>
                <w:rFonts w:eastAsia="Calibri"/>
                <w:sz w:val="20"/>
                <w:szCs w:val="20"/>
              </w:rPr>
            </w:pPr>
            <w:r w:rsidRPr="00BB486A">
              <w:rPr>
                <w:rFonts w:eastAsia="Calibri"/>
                <w:sz w:val="20"/>
                <w:szCs w:val="20"/>
              </w:rPr>
              <w:t>AZM 3d</w:t>
            </w:r>
          </w:p>
        </w:tc>
        <w:tc>
          <w:tcPr>
            <w:tcW w:w="673" w:type="dxa"/>
          </w:tcPr>
          <w:p w14:paraId="61EE5C21" w14:textId="77777777" w:rsidR="00BB486A" w:rsidRPr="00BB486A" w:rsidRDefault="00BB486A" w:rsidP="009B1AFA">
            <w:pPr>
              <w:rPr>
                <w:rFonts w:eastAsia="Calibri"/>
                <w:sz w:val="20"/>
                <w:szCs w:val="20"/>
              </w:rPr>
            </w:pPr>
            <w:r w:rsidRPr="00BB486A">
              <w:rPr>
                <w:rFonts w:eastAsia="Calibri"/>
                <w:sz w:val="20"/>
                <w:szCs w:val="20"/>
              </w:rPr>
              <w:t>Pen</w:t>
            </w:r>
          </w:p>
          <w:p w14:paraId="10513668" w14:textId="77777777" w:rsidR="00BB486A" w:rsidRPr="00BB486A" w:rsidRDefault="00BB486A" w:rsidP="009B1AFA">
            <w:pPr>
              <w:rPr>
                <w:rFonts w:eastAsia="Calibri"/>
                <w:sz w:val="20"/>
                <w:szCs w:val="20"/>
              </w:rPr>
            </w:pPr>
            <w:r w:rsidRPr="00BB486A">
              <w:rPr>
                <w:rFonts w:eastAsia="Calibri"/>
                <w:sz w:val="20"/>
                <w:szCs w:val="20"/>
              </w:rPr>
              <w:t>10d</w:t>
            </w:r>
          </w:p>
        </w:tc>
        <w:tc>
          <w:tcPr>
            <w:tcW w:w="745" w:type="dxa"/>
          </w:tcPr>
          <w:p w14:paraId="16A0F426" w14:textId="77777777" w:rsidR="00BB486A" w:rsidRPr="00BB486A" w:rsidRDefault="00BB486A" w:rsidP="009B1AFA">
            <w:pPr>
              <w:rPr>
                <w:rFonts w:eastAsia="Calibri"/>
                <w:sz w:val="20"/>
                <w:szCs w:val="20"/>
              </w:rPr>
            </w:pPr>
            <w:r w:rsidRPr="00BB486A">
              <w:rPr>
                <w:rFonts w:eastAsia="Calibri"/>
                <w:sz w:val="20"/>
                <w:szCs w:val="20"/>
              </w:rPr>
              <w:t>Co2w</w:t>
            </w:r>
          </w:p>
          <w:p w14:paraId="37C30A68" w14:textId="77777777" w:rsidR="00BB486A" w:rsidRPr="00BB486A" w:rsidRDefault="00BB486A" w:rsidP="009B1AFA">
            <w:pPr>
              <w:rPr>
                <w:rFonts w:eastAsia="Calibri"/>
                <w:sz w:val="20"/>
                <w:szCs w:val="20"/>
              </w:rPr>
            </w:pPr>
            <w:r w:rsidRPr="00BB486A">
              <w:rPr>
                <w:rFonts w:eastAsia="Calibri"/>
                <w:sz w:val="20"/>
                <w:szCs w:val="20"/>
              </w:rPr>
              <w:t>Co2w</w:t>
            </w:r>
          </w:p>
          <w:p w14:paraId="5072FEE3" w14:textId="77777777" w:rsidR="00BB486A" w:rsidRPr="00BB486A" w:rsidRDefault="00BB486A" w:rsidP="009B1AFA">
            <w:pPr>
              <w:rPr>
                <w:rFonts w:eastAsia="Calibri"/>
                <w:sz w:val="20"/>
                <w:szCs w:val="20"/>
              </w:rPr>
            </w:pPr>
            <w:r w:rsidRPr="00BB486A">
              <w:rPr>
                <w:rFonts w:eastAsia="Calibri"/>
                <w:sz w:val="20"/>
                <w:szCs w:val="20"/>
              </w:rPr>
              <w:t>Co4w</w:t>
            </w:r>
          </w:p>
        </w:tc>
      </w:tr>
    </w:tbl>
    <w:p w14:paraId="6A1157DA" w14:textId="3AFAC19D" w:rsidR="00E92008" w:rsidRDefault="00E92008" w:rsidP="00E92008">
      <w:pPr>
        <w:rPr>
          <w:b/>
          <w:bCs/>
        </w:rPr>
      </w:pPr>
    </w:p>
    <w:p w14:paraId="40E27149" w14:textId="77777777" w:rsidR="009B1AFA" w:rsidRDefault="009B1AFA" w:rsidP="00E92008">
      <w:pPr>
        <w:rPr>
          <w:b/>
          <w:bCs/>
        </w:rPr>
      </w:pPr>
    </w:p>
    <w:tbl>
      <w:tblPr>
        <w:tblStyle w:val="TableGrid"/>
        <w:tblW w:w="9350" w:type="dxa"/>
        <w:tblInd w:w="525" w:type="dxa"/>
        <w:tblLook w:val="04A0" w:firstRow="1" w:lastRow="0" w:firstColumn="1" w:lastColumn="0" w:noHBand="0" w:noVBand="1"/>
      </w:tblPr>
      <w:tblGrid>
        <w:gridCol w:w="1517"/>
        <w:gridCol w:w="3400"/>
        <w:gridCol w:w="2217"/>
        <w:gridCol w:w="2216"/>
      </w:tblGrid>
      <w:tr w:rsidR="00E92008" w14:paraId="4B009526" w14:textId="77777777" w:rsidTr="00703D08">
        <w:tc>
          <w:tcPr>
            <w:tcW w:w="1517" w:type="dxa"/>
            <w:shd w:val="clear" w:color="auto" w:fill="9CC2E5" w:themeFill="accent1" w:themeFillTint="99"/>
          </w:tcPr>
          <w:p w14:paraId="366448DF" w14:textId="4F9199E2" w:rsidR="00E92008" w:rsidRPr="00BB486A" w:rsidRDefault="00E92008" w:rsidP="00703D08">
            <w:pPr>
              <w:rPr>
                <w:b/>
                <w:bCs/>
                <w:sz w:val="22"/>
                <w:szCs w:val="22"/>
              </w:rPr>
            </w:pPr>
            <w:r w:rsidRPr="00BB486A">
              <w:rPr>
                <w:b/>
                <w:bCs/>
                <w:sz w:val="22"/>
                <w:szCs w:val="22"/>
              </w:rPr>
              <w:t>Abbreviation</w:t>
            </w:r>
          </w:p>
        </w:tc>
        <w:tc>
          <w:tcPr>
            <w:tcW w:w="3400" w:type="dxa"/>
            <w:shd w:val="clear" w:color="auto" w:fill="9CC2E5" w:themeFill="accent1" w:themeFillTint="99"/>
          </w:tcPr>
          <w:p w14:paraId="404C6476" w14:textId="5ACBE4B5" w:rsidR="00E92008" w:rsidRPr="00BB486A" w:rsidRDefault="00E92008" w:rsidP="00703D08">
            <w:pPr>
              <w:rPr>
                <w:b/>
                <w:bCs/>
                <w:sz w:val="22"/>
                <w:szCs w:val="22"/>
              </w:rPr>
            </w:pPr>
            <w:r w:rsidRPr="00BB486A">
              <w:rPr>
                <w:b/>
                <w:bCs/>
                <w:sz w:val="22"/>
                <w:szCs w:val="22"/>
              </w:rPr>
              <w:t>Name of antibiotic</w:t>
            </w:r>
          </w:p>
        </w:tc>
        <w:tc>
          <w:tcPr>
            <w:tcW w:w="2217" w:type="dxa"/>
            <w:shd w:val="clear" w:color="auto" w:fill="9CC2E5" w:themeFill="accent1" w:themeFillTint="99"/>
          </w:tcPr>
          <w:p w14:paraId="4DB6C75A" w14:textId="77777777" w:rsidR="00E92008" w:rsidRPr="00BB486A" w:rsidRDefault="00E92008" w:rsidP="00703D08">
            <w:pPr>
              <w:rPr>
                <w:b/>
                <w:bCs/>
                <w:sz w:val="22"/>
                <w:szCs w:val="22"/>
              </w:rPr>
            </w:pPr>
            <w:r w:rsidRPr="00BB486A">
              <w:rPr>
                <w:b/>
                <w:bCs/>
                <w:sz w:val="22"/>
                <w:szCs w:val="22"/>
              </w:rPr>
              <w:t>Abbreviation</w:t>
            </w:r>
          </w:p>
        </w:tc>
        <w:tc>
          <w:tcPr>
            <w:tcW w:w="2216" w:type="dxa"/>
            <w:shd w:val="clear" w:color="auto" w:fill="9CC2E5" w:themeFill="accent1" w:themeFillTint="99"/>
          </w:tcPr>
          <w:p w14:paraId="780AA248" w14:textId="77777777" w:rsidR="00E92008" w:rsidRPr="00BB486A" w:rsidRDefault="00E92008" w:rsidP="00703D08">
            <w:pPr>
              <w:rPr>
                <w:b/>
                <w:bCs/>
                <w:sz w:val="22"/>
                <w:szCs w:val="22"/>
              </w:rPr>
            </w:pPr>
            <w:r w:rsidRPr="00BB486A">
              <w:rPr>
                <w:b/>
                <w:bCs/>
                <w:sz w:val="22"/>
                <w:szCs w:val="22"/>
              </w:rPr>
              <w:t>Name of antibiotic</w:t>
            </w:r>
          </w:p>
        </w:tc>
      </w:tr>
      <w:tr w:rsidR="00E92008" w14:paraId="4BA5741A" w14:textId="77777777" w:rsidTr="00703D08">
        <w:tc>
          <w:tcPr>
            <w:tcW w:w="1517" w:type="dxa"/>
          </w:tcPr>
          <w:p w14:paraId="7066A958" w14:textId="08B88304" w:rsidR="00E92008" w:rsidRPr="00BB486A" w:rsidRDefault="00E92008" w:rsidP="00703D08">
            <w:pPr>
              <w:rPr>
                <w:sz w:val="22"/>
                <w:szCs w:val="22"/>
              </w:rPr>
            </w:pPr>
            <w:r w:rsidRPr="00BB486A">
              <w:rPr>
                <w:sz w:val="22"/>
                <w:szCs w:val="22"/>
              </w:rPr>
              <w:t>A</w:t>
            </w:r>
          </w:p>
        </w:tc>
        <w:tc>
          <w:tcPr>
            <w:tcW w:w="3400" w:type="dxa"/>
          </w:tcPr>
          <w:p w14:paraId="2D7B8D4E" w14:textId="2FEABE48" w:rsidR="00E92008" w:rsidRPr="00BB486A" w:rsidRDefault="00E92008" w:rsidP="00703D08">
            <w:pPr>
              <w:rPr>
                <w:sz w:val="22"/>
                <w:szCs w:val="22"/>
              </w:rPr>
            </w:pPr>
            <w:r w:rsidRPr="00BB486A">
              <w:rPr>
                <w:sz w:val="22"/>
                <w:szCs w:val="22"/>
              </w:rPr>
              <w:t>Amoxicillin</w:t>
            </w:r>
          </w:p>
        </w:tc>
        <w:tc>
          <w:tcPr>
            <w:tcW w:w="2217" w:type="dxa"/>
          </w:tcPr>
          <w:p w14:paraId="77E8B862" w14:textId="77777777" w:rsidR="00E92008" w:rsidRPr="00BB486A" w:rsidRDefault="00E92008" w:rsidP="00703D08">
            <w:pPr>
              <w:rPr>
                <w:sz w:val="22"/>
                <w:szCs w:val="22"/>
              </w:rPr>
            </w:pPr>
            <w:r w:rsidRPr="00BB486A">
              <w:rPr>
                <w:sz w:val="22"/>
                <w:szCs w:val="22"/>
              </w:rPr>
              <w:t>3d</w:t>
            </w:r>
          </w:p>
        </w:tc>
        <w:tc>
          <w:tcPr>
            <w:tcW w:w="2216" w:type="dxa"/>
          </w:tcPr>
          <w:p w14:paraId="35F679A5" w14:textId="77777777" w:rsidR="00E92008" w:rsidRPr="00BB486A" w:rsidRDefault="00E92008" w:rsidP="00703D08">
            <w:pPr>
              <w:rPr>
                <w:sz w:val="22"/>
                <w:szCs w:val="22"/>
              </w:rPr>
            </w:pPr>
            <w:r w:rsidRPr="00BB486A">
              <w:rPr>
                <w:sz w:val="22"/>
                <w:szCs w:val="22"/>
              </w:rPr>
              <w:t>3 days duration</w:t>
            </w:r>
          </w:p>
        </w:tc>
      </w:tr>
      <w:tr w:rsidR="00E92008" w14:paraId="27BE6AFD" w14:textId="77777777" w:rsidTr="00703D08">
        <w:tc>
          <w:tcPr>
            <w:tcW w:w="1517" w:type="dxa"/>
          </w:tcPr>
          <w:p w14:paraId="2563D606" w14:textId="6E19E3BF" w:rsidR="00E92008" w:rsidRPr="00BB486A" w:rsidRDefault="00E92008" w:rsidP="00703D08">
            <w:pPr>
              <w:rPr>
                <w:sz w:val="22"/>
                <w:szCs w:val="22"/>
              </w:rPr>
            </w:pPr>
            <w:r w:rsidRPr="00BB486A">
              <w:rPr>
                <w:sz w:val="22"/>
                <w:szCs w:val="22"/>
              </w:rPr>
              <w:t>Az</w:t>
            </w:r>
          </w:p>
        </w:tc>
        <w:tc>
          <w:tcPr>
            <w:tcW w:w="3400" w:type="dxa"/>
          </w:tcPr>
          <w:p w14:paraId="02167016" w14:textId="36D979CE" w:rsidR="00E92008" w:rsidRPr="00BB486A" w:rsidRDefault="00E92008" w:rsidP="00703D08">
            <w:pPr>
              <w:rPr>
                <w:sz w:val="22"/>
                <w:szCs w:val="22"/>
              </w:rPr>
            </w:pPr>
            <w:r w:rsidRPr="00BB486A">
              <w:rPr>
                <w:sz w:val="22"/>
                <w:szCs w:val="22"/>
              </w:rPr>
              <w:t>Azithromycin</w:t>
            </w:r>
          </w:p>
        </w:tc>
        <w:tc>
          <w:tcPr>
            <w:tcW w:w="2217" w:type="dxa"/>
          </w:tcPr>
          <w:p w14:paraId="31D6AF8B" w14:textId="77777777" w:rsidR="00E92008" w:rsidRPr="00BB486A" w:rsidRDefault="00E92008" w:rsidP="00703D08">
            <w:pPr>
              <w:rPr>
                <w:sz w:val="22"/>
                <w:szCs w:val="22"/>
              </w:rPr>
            </w:pPr>
            <w:r w:rsidRPr="00BB486A">
              <w:rPr>
                <w:sz w:val="22"/>
                <w:szCs w:val="22"/>
              </w:rPr>
              <w:t>1w</w:t>
            </w:r>
          </w:p>
        </w:tc>
        <w:tc>
          <w:tcPr>
            <w:tcW w:w="2216" w:type="dxa"/>
          </w:tcPr>
          <w:p w14:paraId="14194024" w14:textId="77777777" w:rsidR="00E92008" w:rsidRPr="00BB486A" w:rsidRDefault="00E92008" w:rsidP="00703D08">
            <w:pPr>
              <w:rPr>
                <w:sz w:val="22"/>
                <w:szCs w:val="22"/>
              </w:rPr>
            </w:pPr>
            <w:r w:rsidRPr="00BB486A">
              <w:rPr>
                <w:sz w:val="22"/>
                <w:szCs w:val="22"/>
              </w:rPr>
              <w:t>1 week duration</w:t>
            </w:r>
          </w:p>
        </w:tc>
      </w:tr>
      <w:tr w:rsidR="00E92008" w14:paraId="42648373" w14:textId="77777777" w:rsidTr="00213FFE">
        <w:tc>
          <w:tcPr>
            <w:tcW w:w="1517" w:type="dxa"/>
          </w:tcPr>
          <w:p w14:paraId="4F1B3171" w14:textId="6A4277DA" w:rsidR="00E92008" w:rsidRPr="00BB486A" w:rsidRDefault="00E92008" w:rsidP="00703D08">
            <w:pPr>
              <w:rPr>
                <w:sz w:val="22"/>
                <w:szCs w:val="22"/>
              </w:rPr>
            </w:pPr>
            <w:proofErr w:type="spellStart"/>
            <w:r w:rsidRPr="00BB486A">
              <w:rPr>
                <w:sz w:val="22"/>
                <w:szCs w:val="22"/>
              </w:rPr>
              <w:t>Clari</w:t>
            </w:r>
            <w:proofErr w:type="spellEnd"/>
          </w:p>
        </w:tc>
        <w:tc>
          <w:tcPr>
            <w:tcW w:w="3400" w:type="dxa"/>
          </w:tcPr>
          <w:p w14:paraId="6144AB78" w14:textId="77777777" w:rsidR="00E92008" w:rsidRPr="00BB486A" w:rsidRDefault="00E92008" w:rsidP="00703D08">
            <w:pPr>
              <w:rPr>
                <w:sz w:val="22"/>
                <w:szCs w:val="22"/>
              </w:rPr>
            </w:pPr>
            <w:r w:rsidRPr="00BB486A">
              <w:rPr>
                <w:sz w:val="22"/>
                <w:szCs w:val="22"/>
              </w:rPr>
              <w:t>Clarithromycin</w:t>
            </w:r>
          </w:p>
        </w:tc>
        <w:tc>
          <w:tcPr>
            <w:tcW w:w="2217" w:type="dxa"/>
            <w:shd w:val="clear" w:color="auto" w:fill="auto"/>
          </w:tcPr>
          <w:p w14:paraId="2272F842" w14:textId="77777777" w:rsidR="00E92008" w:rsidRPr="00BB486A" w:rsidRDefault="00E92008" w:rsidP="00703D08">
            <w:pPr>
              <w:rPr>
                <w:sz w:val="22"/>
                <w:szCs w:val="22"/>
              </w:rPr>
            </w:pPr>
            <w:r w:rsidRPr="00BB486A">
              <w:rPr>
                <w:sz w:val="22"/>
                <w:szCs w:val="22"/>
              </w:rPr>
              <w:t>1m</w:t>
            </w:r>
          </w:p>
        </w:tc>
        <w:tc>
          <w:tcPr>
            <w:tcW w:w="2216" w:type="dxa"/>
            <w:shd w:val="clear" w:color="auto" w:fill="auto"/>
          </w:tcPr>
          <w:p w14:paraId="2FAAB167" w14:textId="77777777" w:rsidR="00E92008" w:rsidRPr="00BB486A" w:rsidRDefault="00E92008" w:rsidP="00703D08">
            <w:pPr>
              <w:rPr>
                <w:sz w:val="22"/>
                <w:szCs w:val="22"/>
              </w:rPr>
            </w:pPr>
            <w:r w:rsidRPr="00BB486A">
              <w:rPr>
                <w:sz w:val="22"/>
                <w:szCs w:val="22"/>
              </w:rPr>
              <w:t>1-month duration</w:t>
            </w:r>
          </w:p>
        </w:tc>
      </w:tr>
      <w:tr w:rsidR="00E92008" w14:paraId="196ECE8A" w14:textId="77777777" w:rsidTr="00703D08">
        <w:tc>
          <w:tcPr>
            <w:tcW w:w="1517" w:type="dxa"/>
          </w:tcPr>
          <w:p w14:paraId="2513B41C" w14:textId="2068F39E" w:rsidR="00E92008" w:rsidRPr="00BB486A" w:rsidRDefault="00E92008" w:rsidP="00703D08">
            <w:pPr>
              <w:rPr>
                <w:sz w:val="22"/>
                <w:szCs w:val="22"/>
              </w:rPr>
            </w:pPr>
            <w:r w:rsidRPr="00BB486A">
              <w:rPr>
                <w:sz w:val="22"/>
                <w:szCs w:val="22"/>
              </w:rPr>
              <w:t>Co</w:t>
            </w:r>
          </w:p>
        </w:tc>
        <w:tc>
          <w:tcPr>
            <w:tcW w:w="3400" w:type="dxa"/>
          </w:tcPr>
          <w:p w14:paraId="7FF16E22" w14:textId="32C0798D" w:rsidR="00E92008" w:rsidRPr="00BB486A" w:rsidRDefault="00E92008" w:rsidP="00703D08">
            <w:pPr>
              <w:rPr>
                <w:sz w:val="22"/>
                <w:szCs w:val="22"/>
              </w:rPr>
            </w:pPr>
            <w:r w:rsidRPr="00BB486A">
              <w:rPr>
                <w:sz w:val="22"/>
                <w:szCs w:val="22"/>
              </w:rPr>
              <w:t>Co-amoxiclav</w:t>
            </w:r>
          </w:p>
        </w:tc>
        <w:tc>
          <w:tcPr>
            <w:tcW w:w="2217" w:type="dxa"/>
          </w:tcPr>
          <w:p w14:paraId="6C1B17FE" w14:textId="77777777" w:rsidR="00E92008" w:rsidRPr="00BB486A" w:rsidRDefault="00E92008" w:rsidP="00703D08">
            <w:pPr>
              <w:rPr>
                <w:sz w:val="22"/>
                <w:szCs w:val="22"/>
              </w:rPr>
            </w:pPr>
            <w:r w:rsidRPr="00BB486A">
              <w:rPr>
                <w:sz w:val="22"/>
                <w:szCs w:val="22"/>
              </w:rPr>
              <w:t>Ls</w:t>
            </w:r>
          </w:p>
        </w:tc>
        <w:tc>
          <w:tcPr>
            <w:tcW w:w="2216" w:type="dxa"/>
          </w:tcPr>
          <w:p w14:paraId="66745F09" w14:textId="77777777" w:rsidR="00E92008" w:rsidRPr="00BB486A" w:rsidRDefault="00E92008" w:rsidP="00703D08">
            <w:pPr>
              <w:rPr>
                <w:sz w:val="22"/>
                <w:szCs w:val="22"/>
              </w:rPr>
            </w:pPr>
            <w:r w:rsidRPr="00BB486A">
              <w:rPr>
                <w:sz w:val="22"/>
                <w:szCs w:val="22"/>
              </w:rPr>
              <w:t>Left study</w:t>
            </w:r>
          </w:p>
        </w:tc>
      </w:tr>
      <w:tr w:rsidR="00E92008" w14:paraId="4BD85080" w14:textId="77777777" w:rsidTr="00703D08">
        <w:tc>
          <w:tcPr>
            <w:tcW w:w="1517" w:type="dxa"/>
          </w:tcPr>
          <w:p w14:paraId="4AF637AF" w14:textId="77777777" w:rsidR="00E92008" w:rsidRPr="00BB486A" w:rsidRDefault="00E92008" w:rsidP="00703D08">
            <w:pPr>
              <w:rPr>
                <w:sz w:val="22"/>
                <w:szCs w:val="22"/>
              </w:rPr>
            </w:pPr>
            <w:r w:rsidRPr="00BB486A">
              <w:rPr>
                <w:sz w:val="22"/>
                <w:szCs w:val="22"/>
              </w:rPr>
              <w:t xml:space="preserve">P </w:t>
            </w:r>
          </w:p>
        </w:tc>
        <w:tc>
          <w:tcPr>
            <w:tcW w:w="3400" w:type="dxa"/>
          </w:tcPr>
          <w:p w14:paraId="62C30D36" w14:textId="77777777" w:rsidR="00E92008" w:rsidRPr="00BB486A" w:rsidRDefault="00E92008" w:rsidP="00703D08">
            <w:pPr>
              <w:rPr>
                <w:sz w:val="22"/>
                <w:szCs w:val="22"/>
              </w:rPr>
            </w:pPr>
            <w:r w:rsidRPr="00BB486A">
              <w:rPr>
                <w:sz w:val="22"/>
                <w:szCs w:val="22"/>
              </w:rPr>
              <w:t>Penicillin</w:t>
            </w:r>
          </w:p>
        </w:tc>
        <w:tc>
          <w:tcPr>
            <w:tcW w:w="2217" w:type="dxa"/>
          </w:tcPr>
          <w:p w14:paraId="6FDECC3F" w14:textId="77777777" w:rsidR="00E92008" w:rsidRPr="00BB486A" w:rsidRDefault="00E92008" w:rsidP="00703D08">
            <w:pPr>
              <w:rPr>
                <w:sz w:val="22"/>
                <w:szCs w:val="22"/>
              </w:rPr>
            </w:pPr>
            <w:r w:rsidRPr="00BB486A">
              <w:rPr>
                <w:sz w:val="22"/>
                <w:szCs w:val="22"/>
              </w:rPr>
              <w:t>?</w:t>
            </w:r>
          </w:p>
        </w:tc>
        <w:tc>
          <w:tcPr>
            <w:tcW w:w="2216" w:type="dxa"/>
          </w:tcPr>
          <w:p w14:paraId="514E81D9" w14:textId="77777777" w:rsidR="00E92008" w:rsidRPr="00BB486A" w:rsidRDefault="00E92008" w:rsidP="00703D08">
            <w:pPr>
              <w:rPr>
                <w:sz w:val="22"/>
                <w:szCs w:val="22"/>
              </w:rPr>
            </w:pPr>
            <w:r w:rsidRPr="00BB486A">
              <w:rPr>
                <w:sz w:val="22"/>
                <w:szCs w:val="22"/>
              </w:rPr>
              <w:t>Incomplete data</w:t>
            </w:r>
          </w:p>
        </w:tc>
      </w:tr>
    </w:tbl>
    <w:p w14:paraId="1962DD5F" w14:textId="2B69EA7A" w:rsidR="00DB069C" w:rsidRDefault="00DB069C" w:rsidP="00B751E5">
      <w:pPr>
        <w:rPr>
          <w:i/>
          <w:iCs/>
        </w:rPr>
      </w:pPr>
    </w:p>
    <w:p w14:paraId="19552702" w14:textId="72C645A6" w:rsidR="009B1AFA" w:rsidRDefault="009B1AFA" w:rsidP="00B751E5">
      <w:pPr>
        <w:rPr>
          <w:i/>
          <w:iCs/>
        </w:rPr>
      </w:pPr>
    </w:p>
    <w:p w14:paraId="3B6AEDE9" w14:textId="77777777" w:rsidR="009B1AFA" w:rsidRPr="005D4602" w:rsidRDefault="009B1AFA" w:rsidP="00B751E5">
      <w:pPr>
        <w:rPr>
          <w:i/>
          <w:iCs/>
        </w:rPr>
      </w:pPr>
    </w:p>
    <w:p w14:paraId="74F4FEBB" w14:textId="7540420C" w:rsidR="00213FFE" w:rsidRDefault="00E92008" w:rsidP="00B751E5">
      <w:pPr>
        <w:pStyle w:val="Caption"/>
      </w:pPr>
      <w:bookmarkStart w:id="291" w:name="_Ref105510500"/>
      <w:bookmarkStart w:id="292" w:name="_Toc117780235"/>
      <w:r w:rsidRPr="000B467F">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4</w:t>
      </w:r>
      <w:r w:rsidR="00F42C6F">
        <w:rPr>
          <w:b/>
          <w:bCs/>
          <w:i w:val="0"/>
          <w:iCs w:val="0"/>
          <w:color w:val="000000" w:themeColor="text1"/>
          <w:sz w:val="24"/>
          <w:szCs w:val="24"/>
        </w:rPr>
        <w:fldChar w:fldCharType="end"/>
      </w:r>
      <w:bookmarkEnd w:id="291"/>
      <w:r w:rsidRPr="000B467F">
        <w:rPr>
          <w:i w:val="0"/>
          <w:iCs w:val="0"/>
          <w:color w:val="000000" w:themeColor="text1"/>
          <w:sz w:val="24"/>
          <w:szCs w:val="24"/>
        </w:rPr>
        <w:t xml:space="preserve">: </w:t>
      </w:r>
      <w:r w:rsidRPr="000B467F">
        <w:rPr>
          <w:rFonts w:ascii="Calibri" w:eastAsia="Calibri" w:hAnsi="Calibri" w:cs="Times New Roman"/>
          <w:i w:val="0"/>
          <w:iCs w:val="0"/>
          <w:color w:val="000000" w:themeColor="text1"/>
          <w:sz w:val="24"/>
          <w:szCs w:val="24"/>
        </w:rPr>
        <w:t>Microbial composition</w:t>
      </w:r>
      <w:r>
        <w:rPr>
          <w:rFonts w:ascii="Calibri" w:eastAsia="Calibri" w:hAnsi="Calibri" w:cs="Times New Roman"/>
          <w:i w:val="0"/>
          <w:iCs w:val="0"/>
          <w:color w:val="000000" w:themeColor="text1"/>
          <w:sz w:val="24"/>
          <w:szCs w:val="24"/>
        </w:rPr>
        <w:t xml:space="preserve"> of DNPS from the azithromycin group</w:t>
      </w:r>
      <w:bookmarkEnd w:id="292"/>
      <w:r>
        <w:rPr>
          <w:rFonts w:ascii="Calibri" w:eastAsia="Calibri" w:hAnsi="Calibri" w:cs="Times New Roman"/>
          <w:i w:val="0"/>
          <w:iCs w:val="0"/>
          <w:color w:val="000000" w:themeColor="text1"/>
          <w:sz w:val="24"/>
          <w:szCs w:val="24"/>
        </w:rPr>
        <w:t xml:space="preserve"> </w:t>
      </w:r>
    </w:p>
    <w:p w14:paraId="713A344D" w14:textId="77777777" w:rsidR="009B1AFA" w:rsidRDefault="009B1AFA" w:rsidP="00E92008">
      <w:pPr>
        <w:rPr>
          <w:rFonts w:eastAsia="Calibri"/>
          <w:i/>
          <w:iCs/>
        </w:rPr>
      </w:pPr>
    </w:p>
    <w:p w14:paraId="314D0D80" w14:textId="60F55DC4" w:rsidR="007848A5" w:rsidRDefault="00E92008" w:rsidP="009B1AFA">
      <w:pPr>
        <w:spacing w:line="360" w:lineRule="auto"/>
        <w:rPr>
          <w:rFonts w:eastAsia="Calibri"/>
          <w:i/>
          <w:iCs/>
        </w:rPr>
      </w:pPr>
      <w:r w:rsidRPr="00BB486A">
        <w:rPr>
          <w:rFonts w:eastAsia="Calibri"/>
          <w:i/>
          <w:iCs/>
        </w:rPr>
        <w:lastRenderedPageBreak/>
        <w:t xml:space="preserve">The microbial composition of the top 15 most abundant taxa in the nasopharyngeal swabs collected from children in the azithromycin group. Baseline swabs are denoted by “first”. The 3 subsequent swabs taken over the study period are presented underneath in columns for each participant. Blank cells are present as some swabs were unable to be collected during the COVID-19 pandemic and 1 baseline swabs did not pass the quality control for 16s rRNA analysis. Swabs taken around exacerbations have been excluded. The table below figure </w:t>
      </w:r>
      <w:r w:rsidR="00D701A6" w:rsidRPr="00BB486A">
        <w:rPr>
          <w:rFonts w:eastAsia="Calibri"/>
          <w:i/>
          <w:iCs/>
        </w:rPr>
        <w:t>5-4</w:t>
      </w:r>
      <w:r w:rsidRPr="00BB486A">
        <w:rPr>
          <w:rFonts w:eastAsia="Calibri"/>
          <w:i/>
          <w:iCs/>
        </w:rPr>
        <w:t xml:space="preserve"> shows the antibiotic exposure for each participant during the study period. A3 left the study before their ethical approval was obtained to review the GP records and A12 did not consent to contacting the GP for medication records. </w:t>
      </w:r>
    </w:p>
    <w:p w14:paraId="401B0258" w14:textId="6735B126" w:rsidR="009B1AFA" w:rsidRDefault="009B1AFA" w:rsidP="00E92008">
      <w:pPr>
        <w:rPr>
          <w:rFonts w:eastAsia="Calibri"/>
          <w:i/>
          <w:iCs/>
        </w:rPr>
      </w:pPr>
    </w:p>
    <w:p w14:paraId="11D9EE14" w14:textId="708F1EA0" w:rsidR="009B1AFA" w:rsidRDefault="009B1AFA" w:rsidP="00E92008">
      <w:pPr>
        <w:rPr>
          <w:rFonts w:eastAsia="Calibri"/>
          <w:i/>
          <w:iCs/>
        </w:rPr>
      </w:pPr>
    </w:p>
    <w:p w14:paraId="3D96C428" w14:textId="77777777" w:rsidR="009B1AFA" w:rsidRDefault="009B1AFA" w:rsidP="00E92008">
      <w:pPr>
        <w:rPr>
          <w:rFonts w:eastAsia="Calibri"/>
          <w:i/>
          <w:iCs/>
        </w:rPr>
      </w:pPr>
    </w:p>
    <w:p w14:paraId="2384E1BD" w14:textId="7DD32EF5" w:rsidR="00B74255" w:rsidRPr="00B74255" w:rsidRDefault="00B74255" w:rsidP="00B74255">
      <w:pPr>
        <w:spacing w:line="360" w:lineRule="auto"/>
      </w:pPr>
      <w:r>
        <w:t xml:space="preserve">At baseline there was a mixed microbial composition within the comparison group however by the study end, there was a trend towards greater dominance of </w:t>
      </w:r>
      <w:r>
        <w:rPr>
          <w:i/>
          <w:iCs/>
        </w:rPr>
        <w:t>M</w:t>
      </w:r>
      <w:r w:rsidRPr="001F39FF">
        <w:rPr>
          <w:i/>
          <w:iCs/>
        </w:rPr>
        <w:t>oraxella</w:t>
      </w:r>
      <w:r>
        <w:t xml:space="preserve"> </w:t>
      </w:r>
      <w:r w:rsidRPr="001F39FF">
        <w:rPr>
          <w:i/>
          <w:iCs/>
        </w:rPr>
        <w:t>spp.</w:t>
      </w:r>
      <w:r>
        <w:t xml:space="preserve"> and </w:t>
      </w:r>
      <w:proofErr w:type="spellStart"/>
      <w:r>
        <w:rPr>
          <w:i/>
          <w:iCs/>
        </w:rPr>
        <w:t>D</w:t>
      </w:r>
      <w:r w:rsidRPr="001F39FF">
        <w:rPr>
          <w:i/>
          <w:iCs/>
        </w:rPr>
        <w:t>olsigranulum</w:t>
      </w:r>
      <w:proofErr w:type="spellEnd"/>
      <w:r w:rsidRPr="001F39FF">
        <w:rPr>
          <w:i/>
          <w:iCs/>
        </w:rPr>
        <w:t xml:space="preserve"> </w:t>
      </w:r>
      <w:proofErr w:type="spellStart"/>
      <w:r w:rsidRPr="001F39FF">
        <w:rPr>
          <w:i/>
          <w:iCs/>
        </w:rPr>
        <w:t>pignum</w:t>
      </w:r>
      <w:proofErr w:type="spellEnd"/>
      <w:r>
        <w:rPr>
          <w:i/>
          <w:iCs/>
        </w:rPr>
        <w:t>.</w:t>
      </w:r>
      <w:r>
        <w:t xml:space="preserve"> The noticeable outlier is participant C10, where a move to a </w:t>
      </w:r>
      <w:r w:rsidRPr="007E0FA9">
        <w:rPr>
          <w:i/>
          <w:iCs/>
        </w:rPr>
        <w:t>Staphylococcus</w:t>
      </w:r>
      <w:r>
        <w:t xml:space="preserve">-dominant pattern is seen; this participant was commenced on long-term co-trimoxazole </w:t>
      </w:r>
      <w:r w:rsidRPr="00583E3C">
        <w:t>shortly after the commencement of the study for recurrent PBB and intolerance of azithromycin. Pa</w:t>
      </w:r>
      <w:r>
        <w:t xml:space="preserve">rticipant C7 was commenced on long-term azithromycin after the second swab and had the highest number of acute courses of antibiotics prescribed. In this participant there is a move towards a </w:t>
      </w:r>
      <w:proofErr w:type="spellStart"/>
      <w:r>
        <w:rPr>
          <w:i/>
          <w:iCs/>
        </w:rPr>
        <w:t>D</w:t>
      </w:r>
      <w:r w:rsidRPr="001D04B2">
        <w:rPr>
          <w:i/>
          <w:iCs/>
        </w:rPr>
        <w:t>olsigranulum</w:t>
      </w:r>
      <w:proofErr w:type="spellEnd"/>
      <w:r w:rsidRPr="001D04B2">
        <w:rPr>
          <w:i/>
          <w:iCs/>
        </w:rPr>
        <w:t xml:space="preserve"> </w:t>
      </w:r>
      <w:proofErr w:type="spellStart"/>
      <w:r w:rsidRPr="001D04B2">
        <w:rPr>
          <w:i/>
          <w:iCs/>
        </w:rPr>
        <w:t>pignum</w:t>
      </w:r>
      <w:proofErr w:type="spellEnd"/>
      <w:r>
        <w:t xml:space="preserve"> dominant pattern seen. In the azithromycin group the composition was again relatively varied amongst participants at baseline, however by the second swab whilst on azithromycin there was a trend towards a predominance of </w:t>
      </w:r>
      <w:r>
        <w:rPr>
          <w:i/>
          <w:iCs/>
        </w:rPr>
        <w:t>C</w:t>
      </w:r>
      <w:r w:rsidRPr="001F39FF">
        <w:rPr>
          <w:i/>
          <w:iCs/>
        </w:rPr>
        <w:t>orynebacterium species</w:t>
      </w:r>
      <w:r>
        <w:t xml:space="preserve"> that persists to the study end. This is seen more clearly in </w:t>
      </w:r>
      <w:r w:rsidRPr="00F37E4E">
        <w:fldChar w:fldCharType="begin"/>
      </w:r>
      <w:r w:rsidRPr="00F37E4E">
        <w:instrText xml:space="preserve"> REF _Ref105510594 \h  \* MERGEFORMAT </w:instrText>
      </w:r>
      <w:r w:rsidRPr="00F37E4E">
        <w:fldChar w:fldCharType="separate"/>
      </w:r>
      <w:r w:rsidRPr="00F37E4E">
        <w:rPr>
          <w:color w:val="000000" w:themeColor="text1"/>
        </w:rPr>
        <w:t xml:space="preserve">Figure </w:t>
      </w:r>
      <w:r w:rsidRPr="00F37E4E">
        <w:rPr>
          <w:noProof/>
          <w:color w:val="000000" w:themeColor="text1"/>
        </w:rPr>
        <w:t>5</w:t>
      </w:r>
      <w:r w:rsidRPr="00F37E4E">
        <w:rPr>
          <w:color w:val="000000" w:themeColor="text1"/>
        </w:rPr>
        <w:noBreakHyphen/>
      </w:r>
      <w:r w:rsidRPr="00F37E4E">
        <w:rPr>
          <w:noProof/>
          <w:color w:val="000000" w:themeColor="text1"/>
        </w:rPr>
        <w:t>5</w:t>
      </w:r>
      <w:r w:rsidRPr="00F37E4E">
        <w:fldChar w:fldCharType="end"/>
      </w:r>
      <w:r>
        <w:t xml:space="preserve"> showing only swabs collected whilst children were taking azithromycin at that point in time. As discussed in section 4.3.3, the duration of azithromycin exposure varied amongst participants, see </w:t>
      </w:r>
      <w:r w:rsidRPr="00592CBF">
        <w:fldChar w:fldCharType="begin"/>
      </w:r>
      <w:r w:rsidRPr="00592CBF">
        <w:instrText xml:space="preserve"> REF _Ref107600165 \h  \* MERGEFORMAT </w:instrText>
      </w:r>
      <w:r w:rsidRPr="00592CBF">
        <w:fldChar w:fldCharType="separate"/>
      </w:r>
      <w:r w:rsidRPr="00592CBF">
        <w:rPr>
          <w:color w:val="000000" w:themeColor="text1"/>
        </w:rPr>
        <w:t xml:space="preserve">Table </w:t>
      </w:r>
      <w:r w:rsidRPr="00592CBF">
        <w:rPr>
          <w:noProof/>
          <w:color w:val="000000" w:themeColor="text1"/>
        </w:rPr>
        <w:t>34</w:t>
      </w:r>
      <w:r w:rsidRPr="00592CBF">
        <w:fldChar w:fldCharType="end"/>
      </w:r>
      <w:r>
        <w:t xml:space="preserve"> for details. The median duration of azithromycin exposure was 12 months (IQR 7.25-12 months), longer than the expected 6 month exposure over the winter months. Extending the study duration meant that the study period spanned 2 winters resulting in some participants having multiple exposures to long-term azithromycin. The time from cessation of azithromycin to the final swab also varied, median 0.9 months (IQR 0.1-6.4 months), again documented in more detail in </w:t>
      </w:r>
      <w:r w:rsidRPr="007848A5">
        <w:fldChar w:fldCharType="begin"/>
      </w:r>
      <w:r w:rsidRPr="007848A5">
        <w:instrText xml:space="preserve"> REF _Ref107600165 \h  \* MERGEFORMAT </w:instrText>
      </w:r>
      <w:r w:rsidRPr="007848A5">
        <w:fldChar w:fldCharType="separate"/>
      </w:r>
      <w:r w:rsidRPr="007848A5">
        <w:rPr>
          <w:color w:val="000000" w:themeColor="text1"/>
        </w:rPr>
        <w:t xml:space="preserve">Table </w:t>
      </w:r>
      <w:r w:rsidRPr="007848A5">
        <w:rPr>
          <w:noProof/>
          <w:color w:val="000000" w:themeColor="text1"/>
        </w:rPr>
        <w:t>34</w:t>
      </w:r>
      <w:r w:rsidRPr="007848A5">
        <w:fldChar w:fldCharType="end"/>
      </w:r>
      <w:r>
        <w:t>.</w:t>
      </w:r>
    </w:p>
    <w:p w14:paraId="7D5146FA" w14:textId="61C2F644" w:rsidR="00E92008" w:rsidRDefault="000904F8" w:rsidP="00E92008">
      <w:pPr>
        <w:contextualSpacing/>
        <w:rPr>
          <w:rFonts w:ascii="Calibri" w:eastAsia="Calibri" w:hAnsi="Calibri"/>
        </w:rPr>
      </w:pPr>
      <w:r>
        <w:rPr>
          <w:rFonts w:ascii="Calibri" w:eastAsia="Calibri" w:hAnsi="Calibri"/>
          <w:noProof/>
        </w:rPr>
        <w:lastRenderedPageBreak/>
        <w:drawing>
          <wp:inline distT="0" distB="0" distL="0" distR="0" wp14:anchorId="1EEA7AB6" wp14:editId="02D28848">
            <wp:extent cx="5886450" cy="3590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6450" cy="3590925"/>
                    </a:xfrm>
                    <a:prstGeom prst="rect">
                      <a:avLst/>
                    </a:prstGeom>
                    <a:noFill/>
                    <a:ln>
                      <a:noFill/>
                    </a:ln>
                  </pic:spPr>
                </pic:pic>
              </a:graphicData>
            </a:graphic>
          </wp:inline>
        </w:drawing>
      </w:r>
    </w:p>
    <w:p w14:paraId="065840E5" w14:textId="77777777" w:rsidR="007848A5" w:rsidRDefault="007848A5" w:rsidP="00E92008">
      <w:pPr>
        <w:keepNext/>
      </w:pPr>
    </w:p>
    <w:p w14:paraId="283B6391" w14:textId="69B9F622" w:rsidR="00E92008" w:rsidRPr="00EE780C" w:rsidRDefault="00E92008" w:rsidP="00BB486A">
      <w:pPr>
        <w:pStyle w:val="Caption"/>
        <w:spacing w:after="0" w:line="360" w:lineRule="auto"/>
        <w:rPr>
          <w:rFonts w:ascii="Calibri" w:eastAsia="Calibri" w:hAnsi="Calibri" w:cs="Times New Roman"/>
          <w:i w:val="0"/>
          <w:iCs w:val="0"/>
          <w:color w:val="000000" w:themeColor="text1"/>
          <w:sz w:val="24"/>
          <w:szCs w:val="24"/>
        </w:rPr>
      </w:pPr>
      <w:bookmarkStart w:id="293" w:name="_Ref105510594"/>
      <w:bookmarkStart w:id="294" w:name="_Toc117780236"/>
      <w:r w:rsidRPr="00EE780C">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bookmarkEnd w:id="293"/>
      <w:r w:rsidRPr="00EE780C">
        <w:rPr>
          <w:i w:val="0"/>
          <w:iCs w:val="0"/>
          <w:color w:val="000000" w:themeColor="text1"/>
          <w:sz w:val="24"/>
          <w:szCs w:val="24"/>
        </w:rPr>
        <w:t xml:space="preserve">: </w:t>
      </w:r>
      <w:r w:rsidRPr="00EE780C">
        <w:rPr>
          <w:rFonts w:ascii="Calibri" w:eastAsia="Calibri" w:hAnsi="Calibri" w:cs="Times New Roman"/>
          <w:i w:val="0"/>
          <w:iCs w:val="0"/>
          <w:color w:val="000000" w:themeColor="text1"/>
          <w:sz w:val="24"/>
          <w:szCs w:val="24"/>
        </w:rPr>
        <w:t>Microbial composition of the swab</w:t>
      </w:r>
      <w:r>
        <w:rPr>
          <w:rFonts w:ascii="Calibri" w:eastAsia="Calibri" w:hAnsi="Calibri" w:cs="Times New Roman"/>
          <w:i w:val="0"/>
          <w:iCs w:val="0"/>
          <w:color w:val="000000" w:themeColor="text1"/>
          <w:sz w:val="24"/>
          <w:szCs w:val="24"/>
        </w:rPr>
        <w:t>s</w:t>
      </w:r>
      <w:r w:rsidRPr="00EE780C">
        <w:rPr>
          <w:rFonts w:ascii="Calibri" w:eastAsia="Calibri" w:hAnsi="Calibri" w:cs="Times New Roman"/>
          <w:i w:val="0"/>
          <w:iCs w:val="0"/>
          <w:color w:val="000000" w:themeColor="text1"/>
          <w:sz w:val="24"/>
          <w:szCs w:val="24"/>
        </w:rPr>
        <w:t xml:space="preserve"> taken whilst on </w:t>
      </w:r>
      <w:r>
        <w:rPr>
          <w:rFonts w:ascii="Calibri" w:eastAsia="Calibri" w:hAnsi="Calibri" w:cs="Times New Roman"/>
          <w:i w:val="0"/>
          <w:iCs w:val="0"/>
          <w:color w:val="000000" w:themeColor="text1"/>
          <w:sz w:val="24"/>
          <w:szCs w:val="24"/>
        </w:rPr>
        <w:t>azithromycin</w:t>
      </w:r>
      <w:bookmarkEnd w:id="294"/>
    </w:p>
    <w:p w14:paraId="096783E0" w14:textId="52F274B9" w:rsidR="00E92008" w:rsidRPr="00F37E4E" w:rsidRDefault="00E92008" w:rsidP="00BB486A">
      <w:pPr>
        <w:spacing w:line="360" w:lineRule="auto"/>
        <w:rPr>
          <w:b/>
          <w:bCs/>
          <w:i/>
          <w:iCs/>
        </w:rPr>
      </w:pPr>
      <w:r w:rsidRPr="00F37E4E">
        <w:rPr>
          <w:rFonts w:ascii="Calibri" w:eastAsia="Calibri" w:hAnsi="Calibri"/>
          <w:i/>
          <w:iCs/>
        </w:rPr>
        <w:t xml:space="preserve">The microbial composition of the top 15 most abundant taxa in the nasopharyngeal swabs collected from children taking azithromycin at the time of swab collection. </w:t>
      </w:r>
      <w:r w:rsidR="001F7814">
        <w:rPr>
          <w:rFonts w:ascii="Calibri" w:eastAsia="Calibri" w:hAnsi="Calibri"/>
          <w:i/>
          <w:iCs/>
        </w:rPr>
        <w:t>All other cells are left blank</w:t>
      </w:r>
      <w:r w:rsidR="0049274B">
        <w:rPr>
          <w:rFonts w:ascii="Calibri" w:eastAsia="Calibri" w:hAnsi="Calibri"/>
          <w:i/>
          <w:iCs/>
        </w:rPr>
        <w:t xml:space="preserve">. </w:t>
      </w:r>
    </w:p>
    <w:p w14:paraId="69794160" w14:textId="468E3387" w:rsidR="00592CBF" w:rsidRDefault="00592CBF" w:rsidP="00BB486A">
      <w:pPr>
        <w:spacing w:line="360" w:lineRule="auto"/>
        <w:rPr>
          <w:rFonts w:ascii="Calibri" w:eastAsia="Calibri" w:hAnsi="Calibri"/>
        </w:rPr>
      </w:pPr>
    </w:p>
    <w:p w14:paraId="585B9D4E" w14:textId="4DAE9C51" w:rsidR="00BB486A" w:rsidRDefault="00BB486A" w:rsidP="00BB486A">
      <w:pPr>
        <w:spacing w:line="360" w:lineRule="auto"/>
        <w:rPr>
          <w:rFonts w:ascii="Calibri" w:eastAsia="Calibri" w:hAnsi="Calibri"/>
        </w:rPr>
      </w:pPr>
    </w:p>
    <w:p w14:paraId="3EAFA73E" w14:textId="25D8349B" w:rsidR="00BB486A" w:rsidRDefault="00BB486A" w:rsidP="00E92008">
      <w:pPr>
        <w:rPr>
          <w:rFonts w:ascii="Calibri" w:eastAsia="Calibri" w:hAnsi="Calibri"/>
        </w:rPr>
      </w:pPr>
    </w:p>
    <w:p w14:paraId="7266E3FD" w14:textId="5C325DBE" w:rsidR="00BB486A" w:rsidRDefault="00BB486A" w:rsidP="00E92008">
      <w:pPr>
        <w:rPr>
          <w:rFonts w:ascii="Calibri" w:eastAsia="Calibri" w:hAnsi="Calibri"/>
        </w:rPr>
      </w:pPr>
    </w:p>
    <w:p w14:paraId="13432B3A" w14:textId="1B84A87C" w:rsidR="00BB486A" w:rsidRDefault="00BB486A" w:rsidP="00E92008">
      <w:pPr>
        <w:rPr>
          <w:rFonts w:ascii="Calibri" w:eastAsia="Calibri" w:hAnsi="Calibri"/>
        </w:rPr>
      </w:pPr>
    </w:p>
    <w:p w14:paraId="4B406FC4" w14:textId="131822C7" w:rsidR="00BB486A" w:rsidRDefault="00BB486A" w:rsidP="00E92008">
      <w:pPr>
        <w:rPr>
          <w:rFonts w:ascii="Calibri" w:eastAsia="Calibri" w:hAnsi="Calibri"/>
        </w:rPr>
      </w:pPr>
    </w:p>
    <w:p w14:paraId="1FFADDF9" w14:textId="511CFDA8" w:rsidR="00BB486A" w:rsidRDefault="00BB486A" w:rsidP="00E92008">
      <w:pPr>
        <w:rPr>
          <w:rFonts w:ascii="Calibri" w:eastAsia="Calibri" w:hAnsi="Calibri"/>
        </w:rPr>
      </w:pPr>
    </w:p>
    <w:p w14:paraId="603BF08B" w14:textId="513AF4EE" w:rsidR="00BB486A" w:rsidRDefault="00BB486A" w:rsidP="00E92008">
      <w:pPr>
        <w:rPr>
          <w:rFonts w:ascii="Calibri" w:eastAsia="Calibri" w:hAnsi="Calibri"/>
        </w:rPr>
      </w:pPr>
    </w:p>
    <w:p w14:paraId="5DD32ED1" w14:textId="152F6EBF" w:rsidR="00BB486A" w:rsidRDefault="00BB486A" w:rsidP="00E92008">
      <w:pPr>
        <w:rPr>
          <w:rFonts w:ascii="Calibri" w:eastAsia="Calibri" w:hAnsi="Calibri"/>
        </w:rPr>
      </w:pPr>
    </w:p>
    <w:p w14:paraId="57B861BD" w14:textId="36D2533C" w:rsidR="00BB486A" w:rsidRDefault="00BB486A" w:rsidP="00E92008">
      <w:pPr>
        <w:rPr>
          <w:rFonts w:ascii="Calibri" w:eastAsia="Calibri" w:hAnsi="Calibri"/>
        </w:rPr>
      </w:pPr>
    </w:p>
    <w:p w14:paraId="3DD004A1" w14:textId="165E9D15" w:rsidR="00BB486A" w:rsidRDefault="00BB486A" w:rsidP="00E92008">
      <w:pPr>
        <w:rPr>
          <w:rFonts w:ascii="Calibri" w:eastAsia="Calibri" w:hAnsi="Calibri"/>
        </w:rPr>
      </w:pPr>
    </w:p>
    <w:p w14:paraId="46BCF42A" w14:textId="039B3F00" w:rsidR="00BB486A" w:rsidRDefault="00BB486A" w:rsidP="00E92008">
      <w:pPr>
        <w:rPr>
          <w:rFonts w:ascii="Calibri" w:eastAsia="Calibri" w:hAnsi="Calibri"/>
        </w:rPr>
      </w:pPr>
    </w:p>
    <w:p w14:paraId="75CC83AA" w14:textId="7B79B8F5" w:rsidR="00BB486A" w:rsidRDefault="00BB486A" w:rsidP="00E92008">
      <w:pPr>
        <w:rPr>
          <w:rFonts w:ascii="Calibri" w:eastAsia="Calibri" w:hAnsi="Calibri"/>
        </w:rPr>
      </w:pPr>
    </w:p>
    <w:p w14:paraId="07B97E93" w14:textId="0B764C84" w:rsidR="00BB486A" w:rsidRDefault="00BB486A" w:rsidP="00E92008">
      <w:pPr>
        <w:rPr>
          <w:rFonts w:ascii="Calibri" w:eastAsia="Calibri" w:hAnsi="Calibri"/>
        </w:rPr>
      </w:pPr>
    </w:p>
    <w:p w14:paraId="54621841" w14:textId="3A5712FB" w:rsidR="00BB486A" w:rsidRDefault="00BB486A" w:rsidP="00E92008">
      <w:pPr>
        <w:rPr>
          <w:rFonts w:ascii="Calibri" w:eastAsia="Calibri" w:hAnsi="Calibri"/>
        </w:rPr>
      </w:pPr>
    </w:p>
    <w:p w14:paraId="4F753A37" w14:textId="77777777" w:rsidR="00BB486A" w:rsidRDefault="00BB486A" w:rsidP="00E92008">
      <w:pPr>
        <w:rPr>
          <w:rFonts w:ascii="Calibri" w:eastAsia="Calibri" w:hAnsi="Calibri"/>
        </w:rPr>
      </w:pPr>
    </w:p>
    <w:p w14:paraId="0349F2E8" w14:textId="6E578A71" w:rsidR="00592CBF" w:rsidRPr="00592CBF" w:rsidRDefault="00592CBF" w:rsidP="00592CBF">
      <w:pPr>
        <w:pStyle w:val="Caption"/>
        <w:rPr>
          <w:rFonts w:ascii="Calibri" w:eastAsia="Calibri" w:hAnsi="Calibri" w:cs="Times New Roman"/>
          <w:i w:val="0"/>
          <w:iCs w:val="0"/>
          <w:color w:val="000000" w:themeColor="text1"/>
          <w:sz w:val="24"/>
          <w:szCs w:val="24"/>
        </w:rPr>
      </w:pPr>
      <w:bookmarkStart w:id="295" w:name="_Ref107600165"/>
      <w:bookmarkStart w:id="296" w:name="_Toc117780275"/>
      <w:bookmarkStart w:id="297" w:name="_Hlk107345785"/>
      <w:r w:rsidRPr="00592CBF">
        <w:rPr>
          <w:b/>
          <w:bCs/>
          <w:i w:val="0"/>
          <w:iCs w:val="0"/>
          <w:color w:val="000000" w:themeColor="text1"/>
          <w:sz w:val="24"/>
          <w:szCs w:val="24"/>
        </w:rPr>
        <w:lastRenderedPageBreak/>
        <w:t xml:space="preserve">Table </w:t>
      </w:r>
      <w:r w:rsidRPr="00592CBF">
        <w:rPr>
          <w:b/>
          <w:bCs/>
          <w:i w:val="0"/>
          <w:iCs w:val="0"/>
          <w:color w:val="000000" w:themeColor="text1"/>
          <w:sz w:val="24"/>
          <w:szCs w:val="24"/>
        </w:rPr>
        <w:fldChar w:fldCharType="begin"/>
      </w:r>
      <w:r w:rsidRPr="00592CBF">
        <w:rPr>
          <w:b/>
          <w:bCs/>
          <w:i w:val="0"/>
          <w:iCs w:val="0"/>
          <w:color w:val="000000" w:themeColor="text1"/>
          <w:sz w:val="24"/>
          <w:szCs w:val="24"/>
        </w:rPr>
        <w:instrText xml:space="preserve"> SEQ Table \* ARABIC </w:instrText>
      </w:r>
      <w:r w:rsidRPr="00592CBF">
        <w:rPr>
          <w:b/>
          <w:bCs/>
          <w:i w:val="0"/>
          <w:iCs w:val="0"/>
          <w:color w:val="000000" w:themeColor="text1"/>
          <w:sz w:val="24"/>
          <w:szCs w:val="24"/>
        </w:rPr>
        <w:fldChar w:fldCharType="separate"/>
      </w:r>
      <w:r w:rsidRPr="00592CBF">
        <w:rPr>
          <w:b/>
          <w:bCs/>
          <w:i w:val="0"/>
          <w:iCs w:val="0"/>
          <w:noProof/>
          <w:color w:val="000000" w:themeColor="text1"/>
          <w:sz w:val="24"/>
          <w:szCs w:val="24"/>
        </w:rPr>
        <w:t>34</w:t>
      </w:r>
      <w:r w:rsidRPr="00592CBF">
        <w:rPr>
          <w:b/>
          <w:bCs/>
          <w:i w:val="0"/>
          <w:iCs w:val="0"/>
          <w:color w:val="000000" w:themeColor="text1"/>
          <w:sz w:val="24"/>
          <w:szCs w:val="24"/>
        </w:rPr>
        <w:fldChar w:fldCharType="end"/>
      </w:r>
      <w:bookmarkEnd w:id="295"/>
      <w:r w:rsidRPr="00592CBF">
        <w:rPr>
          <w:b/>
          <w:bCs/>
          <w:i w:val="0"/>
          <w:iCs w:val="0"/>
          <w:color w:val="000000" w:themeColor="text1"/>
          <w:sz w:val="24"/>
          <w:szCs w:val="24"/>
        </w:rPr>
        <w:t>:</w:t>
      </w:r>
      <w:r w:rsidRPr="00592CBF">
        <w:rPr>
          <w:i w:val="0"/>
          <w:iCs w:val="0"/>
          <w:color w:val="000000" w:themeColor="text1"/>
          <w:sz w:val="24"/>
          <w:szCs w:val="24"/>
        </w:rPr>
        <w:t xml:space="preserve"> </w:t>
      </w:r>
      <w:r w:rsidRPr="00592CBF">
        <w:rPr>
          <w:rFonts w:ascii="Calibri" w:eastAsia="Calibri" w:hAnsi="Calibri" w:cs="Times New Roman"/>
          <w:i w:val="0"/>
          <w:iCs w:val="0"/>
          <w:color w:val="000000" w:themeColor="text1"/>
          <w:sz w:val="24"/>
          <w:szCs w:val="24"/>
        </w:rPr>
        <w:t xml:space="preserve">Details of azithromycin exposure and time to final swab following exposure in </w:t>
      </w:r>
      <w:r>
        <w:rPr>
          <w:rFonts w:ascii="Calibri" w:eastAsia="Calibri" w:hAnsi="Calibri" w:cs="Times New Roman"/>
          <w:i w:val="0"/>
          <w:iCs w:val="0"/>
          <w:color w:val="000000" w:themeColor="text1"/>
          <w:sz w:val="24"/>
          <w:szCs w:val="24"/>
        </w:rPr>
        <w:t>P</w:t>
      </w:r>
      <w:r w:rsidRPr="00592CBF">
        <w:rPr>
          <w:rFonts w:ascii="Calibri" w:eastAsia="Calibri" w:hAnsi="Calibri" w:cs="Times New Roman"/>
          <w:i w:val="0"/>
          <w:iCs w:val="0"/>
          <w:color w:val="000000" w:themeColor="text1"/>
          <w:sz w:val="24"/>
          <w:szCs w:val="24"/>
        </w:rPr>
        <w:t>BB study 2</w:t>
      </w:r>
      <w:bookmarkEnd w:id="296"/>
    </w:p>
    <w:tbl>
      <w:tblPr>
        <w:tblStyle w:val="TableGrid"/>
        <w:tblW w:w="0" w:type="auto"/>
        <w:tblLook w:val="04A0" w:firstRow="1" w:lastRow="0" w:firstColumn="1" w:lastColumn="0" w:noHBand="0" w:noVBand="1"/>
      </w:tblPr>
      <w:tblGrid>
        <w:gridCol w:w="2122"/>
        <w:gridCol w:w="1559"/>
        <w:gridCol w:w="2268"/>
        <w:gridCol w:w="3401"/>
      </w:tblGrid>
      <w:tr w:rsidR="00592CBF" w:rsidRPr="00592CBF" w14:paraId="382744B0" w14:textId="77777777" w:rsidTr="003363F6">
        <w:tc>
          <w:tcPr>
            <w:tcW w:w="2122" w:type="dxa"/>
            <w:shd w:val="clear" w:color="auto" w:fill="9CC2E5" w:themeFill="accent1" w:themeFillTint="99"/>
          </w:tcPr>
          <w:p w14:paraId="46F85C83"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Participant number in the azithromycin group</w:t>
            </w:r>
          </w:p>
        </w:tc>
        <w:tc>
          <w:tcPr>
            <w:tcW w:w="1559" w:type="dxa"/>
            <w:shd w:val="clear" w:color="auto" w:fill="9CC2E5" w:themeFill="accent1" w:themeFillTint="99"/>
          </w:tcPr>
          <w:p w14:paraId="4101EA34"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Number of episodes on azithromycin</w:t>
            </w:r>
          </w:p>
        </w:tc>
        <w:tc>
          <w:tcPr>
            <w:tcW w:w="2268" w:type="dxa"/>
            <w:shd w:val="clear" w:color="auto" w:fill="9CC2E5" w:themeFill="accent1" w:themeFillTint="99"/>
          </w:tcPr>
          <w:p w14:paraId="0182AADB"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Duration of episodes for each participant (months)</w:t>
            </w:r>
          </w:p>
        </w:tc>
        <w:tc>
          <w:tcPr>
            <w:tcW w:w="3401" w:type="dxa"/>
            <w:shd w:val="clear" w:color="auto" w:fill="9CC2E5" w:themeFill="accent1" w:themeFillTint="99"/>
          </w:tcPr>
          <w:p w14:paraId="0CE13E7F" w14:textId="2C2B588E" w:rsidR="00592CBF" w:rsidRPr="00592CBF" w:rsidRDefault="00B25FC2" w:rsidP="00592CBF">
            <w:pPr>
              <w:spacing w:after="160" w:line="259" w:lineRule="auto"/>
              <w:rPr>
                <w:rFonts w:ascii="Calibri" w:eastAsia="Calibri" w:hAnsi="Calibri"/>
              </w:rPr>
            </w:pPr>
            <w:r>
              <w:rPr>
                <w:rFonts w:ascii="Calibri" w:eastAsia="Calibri" w:hAnsi="Calibri"/>
              </w:rPr>
              <w:t>Time</w:t>
            </w:r>
            <w:r w:rsidR="00592CBF" w:rsidRPr="00592CBF">
              <w:rPr>
                <w:rFonts w:ascii="Calibri" w:eastAsia="Calibri" w:hAnsi="Calibri"/>
              </w:rPr>
              <w:t xml:space="preserve"> off azithromycin before </w:t>
            </w:r>
            <w:r>
              <w:rPr>
                <w:rFonts w:ascii="Calibri" w:eastAsia="Calibri" w:hAnsi="Calibri"/>
              </w:rPr>
              <w:t>collection of the</w:t>
            </w:r>
            <w:r w:rsidR="00592CBF" w:rsidRPr="00592CBF">
              <w:rPr>
                <w:rFonts w:ascii="Calibri" w:eastAsia="Calibri" w:hAnsi="Calibri"/>
              </w:rPr>
              <w:t xml:space="preserve"> final swab for each participant*</w:t>
            </w:r>
          </w:p>
        </w:tc>
      </w:tr>
      <w:tr w:rsidR="00592CBF" w:rsidRPr="00592CBF" w14:paraId="771101C1" w14:textId="77777777" w:rsidTr="003363F6">
        <w:tc>
          <w:tcPr>
            <w:tcW w:w="2122" w:type="dxa"/>
          </w:tcPr>
          <w:p w14:paraId="5582DBE8"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1, 2, 5</w:t>
            </w:r>
          </w:p>
        </w:tc>
        <w:tc>
          <w:tcPr>
            <w:tcW w:w="1559" w:type="dxa"/>
          </w:tcPr>
          <w:p w14:paraId="183B2BD9"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w:t>
            </w:r>
          </w:p>
        </w:tc>
        <w:tc>
          <w:tcPr>
            <w:tcW w:w="2268" w:type="dxa"/>
          </w:tcPr>
          <w:p w14:paraId="310DF222"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12, 12, 12</w:t>
            </w:r>
          </w:p>
        </w:tc>
        <w:tc>
          <w:tcPr>
            <w:tcW w:w="3401" w:type="dxa"/>
          </w:tcPr>
          <w:p w14:paraId="7F0ED512"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0, 0, 3 weeks</w:t>
            </w:r>
          </w:p>
        </w:tc>
      </w:tr>
      <w:tr w:rsidR="00592CBF" w:rsidRPr="00592CBF" w14:paraId="75E2F1AB" w14:textId="77777777" w:rsidTr="003363F6">
        <w:tc>
          <w:tcPr>
            <w:tcW w:w="2122" w:type="dxa"/>
            <w:shd w:val="clear" w:color="auto" w:fill="DEEAF6" w:themeFill="accent1" w:themeFillTint="33"/>
          </w:tcPr>
          <w:p w14:paraId="627D50CF"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4, 6, 10, 13</w:t>
            </w:r>
          </w:p>
        </w:tc>
        <w:tc>
          <w:tcPr>
            <w:tcW w:w="1559" w:type="dxa"/>
            <w:shd w:val="clear" w:color="auto" w:fill="DEEAF6" w:themeFill="accent1" w:themeFillTint="33"/>
          </w:tcPr>
          <w:p w14:paraId="7C91ED3D"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w:t>
            </w:r>
          </w:p>
        </w:tc>
        <w:tc>
          <w:tcPr>
            <w:tcW w:w="2268" w:type="dxa"/>
            <w:shd w:val="clear" w:color="auto" w:fill="DEEAF6" w:themeFill="accent1" w:themeFillTint="33"/>
          </w:tcPr>
          <w:p w14:paraId="0547276A"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5, 7.5, 7, 3</w:t>
            </w:r>
          </w:p>
        </w:tc>
        <w:tc>
          <w:tcPr>
            <w:tcW w:w="3401" w:type="dxa"/>
            <w:shd w:val="clear" w:color="auto" w:fill="DEEAF6" w:themeFill="accent1" w:themeFillTint="33"/>
          </w:tcPr>
          <w:p w14:paraId="15BFB081"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7m, 4.5m 8m, 14m</w:t>
            </w:r>
          </w:p>
        </w:tc>
      </w:tr>
      <w:tr w:rsidR="00592CBF" w:rsidRPr="00592CBF" w14:paraId="68BCCF13" w14:textId="77777777" w:rsidTr="003363F6">
        <w:tc>
          <w:tcPr>
            <w:tcW w:w="2122" w:type="dxa"/>
          </w:tcPr>
          <w:p w14:paraId="1E5E1ECA"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11</w:t>
            </w:r>
          </w:p>
        </w:tc>
        <w:tc>
          <w:tcPr>
            <w:tcW w:w="1559" w:type="dxa"/>
          </w:tcPr>
          <w:p w14:paraId="1BCFF3FE"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w:t>
            </w:r>
          </w:p>
        </w:tc>
        <w:tc>
          <w:tcPr>
            <w:tcW w:w="2268" w:type="dxa"/>
          </w:tcPr>
          <w:p w14:paraId="13D00B20"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17</w:t>
            </w:r>
          </w:p>
        </w:tc>
        <w:tc>
          <w:tcPr>
            <w:tcW w:w="3401" w:type="dxa"/>
          </w:tcPr>
          <w:p w14:paraId="2F4798C7"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0</w:t>
            </w:r>
          </w:p>
        </w:tc>
      </w:tr>
      <w:tr w:rsidR="00592CBF" w:rsidRPr="00592CBF" w14:paraId="44A0AFEC" w14:textId="77777777" w:rsidTr="003363F6">
        <w:tc>
          <w:tcPr>
            <w:tcW w:w="2122" w:type="dxa"/>
            <w:shd w:val="clear" w:color="auto" w:fill="DEEAF6" w:themeFill="accent1" w:themeFillTint="33"/>
          </w:tcPr>
          <w:p w14:paraId="2E61025E"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15</w:t>
            </w:r>
          </w:p>
        </w:tc>
        <w:tc>
          <w:tcPr>
            <w:tcW w:w="1559" w:type="dxa"/>
            <w:shd w:val="clear" w:color="auto" w:fill="DEEAF6" w:themeFill="accent1" w:themeFillTint="33"/>
          </w:tcPr>
          <w:p w14:paraId="5AA48A4B"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w:t>
            </w:r>
          </w:p>
        </w:tc>
        <w:tc>
          <w:tcPr>
            <w:tcW w:w="2268" w:type="dxa"/>
            <w:shd w:val="clear" w:color="auto" w:fill="DEEAF6" w:themeFill="accent1" w:themeFillTint="33"/>
          </w:tcPr>
          <w:p w14:paraId="755A3749"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2</w:t>
            </w:r>
          </w:p>
        </w:tc>
        <w:tc>
          <w:tcPr>
            <w:tcW w:w="3401" w:type="dxa"/>
            <w:shd w:val="clear" w:color="auto" w:fill="DEEAF6" w:themeFill="accent1" w:themeFillTint="33"/>
          </w:tcPr>
          <w:p w14:paraId="2107D5C5"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 xml:space="preserve">13m but on co-trimoxazole  </w:t>
            </w:r>
          </w:p>
        </w:tc>
      </w:tr>
      <w:tr w:rsidR="00592CBF" w:rsidRPr="00592CBF" w14:paraId="6A48F5DE" w14:textId="77777777" w:rsidTr="003363F6">
        <w:tc>
          <w:tcPr>
            <w:tcW w:w="2122" w:type="dxa"/>
          </w:tcPr>
          <w:p w14:paraId="6389C3E7"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7, 8, 9, 12</w:t>
            </w:r>
          </w:p>
        </w:tc>
        <w:tc>
          <w:tcPr>
            <w:tcW w:w="1559" w:type="dxa"/>
          </w:tcPr>
          <w:p w14:paraId="372D6696"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2</w:t>
            </w:r>
          </w:p>
        </w:tc>
        <w:tc>
          <w:tcPr>
            <w:tcW w:w="2268" w:type="dxa"/>
          </w:tcPr>
          <w:p w14:paraId="63C55105"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8+4, 6+6, 6+8, 8+8</w:t>
            </w:r>
          </w:p>
        </w:tc>
        <w:tc>
          <w:tcPr>
            <w:tcW w:w="3401" w:type="dxa"/>
          </w:tcPr>
          <w:p w14:paraId="23C2266D"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1w, 1m, 1m, 3w</w:t>
            </w:r>
          </w:p>
        </w:tc>
      </w:tr>
      <w:tr w:rsidR="00592CBF" w:rsidRPr="00592CBF" w14:paraId="7ED75002" w14:textId="77777777" w:rsidTr="003363F6">
        <w:tc>
          <w:tcPr>
            <w:tcW w:w="2122" w:type="dxa"/>
            <w:shd w:val="clear" w:color="auto" w:fill="DEEAF6" w:themeFill="accent1" w:themeFillTint="33"/>
          </w:tcPr>
          <w:p w14:paraId="0C0D306D"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14</w:t>
            </w:r>
          </w:p>
        </w:tc>
        <w:tc>
          <w:tcPr>
            <w:tcW w:w="1559" w:type="dxa"/>
            <w:shd w:val="clear" w:color="auto" w:fill="DEEAF6" w:themeFill="accent1" w:themeFillTint="33"/>
          </w:tcPr>
          <w:p w14:paraId="710772DA"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3</w:t>
            </w:r>
          </w:p>
        </w:tc>
        <w:tc>
          <w:tcPr>
            <w:tcW w:w="2268" w:type="dxa"/>
            <w:shd w:val="clear" w:color="auto" w:fill="DEEAF6" w:themeFill="accent1" w:themeFillTint="33"/>
          </w:tcPr>
          <w:p w14:paraId="45CE0A4F"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6+6+0.25</w:t>
            </w:r>
          </w:p>
        </w:tc>
        <w:tc>
          <w:tcPr>
            <w:tcW w:w="3401" w:type="dxa"/>
            <w:shd w:val="clear" w:color="auto" w:fill="DEEAF6" w:themeFill="accent1" w:themeFillTint="33"/>
          </w:tcPr>
          <w:p w14:paraId="0C6E4EF2" w14:textId="77777777" w:rsidR="00592CBF" w:rsidRPr="00592CBF" w:rsidRDefault="00592CBF" w:rsidP="00592CBF">
            <w:pPr>
              <w:spacing w:after="160" w:line="259" w:lineRule="auto"/>
              <w:rPr>
                <w:rFonts w:ascii="Calibri" w:eastAsia="Calibri" w:hAnsi="Calibri"/>
              </w:rPr>
            </w:pPr>
            <w:r w:rsidRPr="00592CBF">
              <w:rPr>
                <w:rFonts w:ascii="Calibri" w:eastAsia="Calibri" w:hAnsi="Calibri"/>
              </w:rPr>
              <w:t>0 - on AZM for 1 week pre swab</w:t>
            </w:r>
          </w:p>
        </w:tc>
      </w:tr>
    </w:tbl>
    <w:p w14:paraId="2525627A" w14:textId="77777777" w:rsidR="00592CBF" w:rsidRPr="00592CBF" w:rsidRDefault="00592CBF" w:rsidP="005D4602">
      <w:pPr>
        <w:spacing w:line="276" w:lineRule="auto"/>
        <w:rPr>
          <w:rFonts w:ascii="Calibri" w:eastAsia="Calibri" w:hAnsi="Calibri"/>
        </w:rPr>
      </w:pPr>
    </w:p>
    <w:p w14:paraId="263F9EA4" w14:textId="536E612F" w:rsidR="00592CBF" w:rsidRPr="005D4602" w:rsidRDefault="00592CBF" w:rsidP="005D4602">
      <w:pPr>
        <w:spacing w:line="276" w:lineRule="auto"/>
        <w:rPr>
          <w:rFonts w:ascii="Calibri" w:eastAsia="Calibri" w:hAnsi="Calibri"/>
          <w:i/>
          <w:iCs/>
        </w:rPr>
      </w:pPr>
      <w:r w:rsidRPr="005D4602">
        <w:rPr>
          <w:rFonts w:ascii="Calibri" w:eastAsia="Calibri" w:hAnsi="Calibri"/>
          <w:i/>
          <w:iCs/>
        </w:rPr>
        <w:t>* 0 = swab taken whilst still on azithromycin, w= weeks, m = months</w:t>
      </w:r>
      <w:r w:rsidR="00B25FC2" w:rsidRPr="005D4602">
        <w:rPr>
          <w:rFonts w:ascii="Calibri" w:eastAsia="Calibri" w:hAnsi="Calibri"/>
          <w:i/>
          <w:iCs/>
        </w:rPr>
        <w:t>, 8+4 = 8 months with a break then 4 months</w:t>
      </w:r>
      <w:r w:rsidRPr="005D4602">
        <w:rPr>
          <w:rFonts w:ascii="Calibri" w:eastAsia="Calibri" w:hAnsi="Calibri"/>
          <w:i/>
          <w:iCs/>
        </w:rPr>
        <w:t xml:space="preserve"> </w:t>
      </w:r>
    </w:p>
    <w:p w14:paraId="53447FD7" w14:textId="2116405A" w:rsidR="00F37E4E" w:rsidRPr="005D4602" w:rsidRDefault="00592CBF" w:rsidP="005D4602">
      <w:pPr>
        <w:spacing w:line="276" w:lineRule="auto"/>
        <w:rPr>
          <w:rFonts w:ascii="Calibri" w:eastAsia="Calibri" w:hAnsi="Calibri"/>
          <w:i/>
          <w:iCs/>
        </w:rPr>
      </w:pPr>
      <w:r w:rsidRPr="005D4602">
        <w:rPr>
          <w:rFonts w:ascii="Calibri" w:eastAsia="Calibri" w:hAnsi="Calibri"/>
          <w:i/>
          <w:iCs/>
        </w:rPr>
        <w:t>(</w:t>
      </w:r>
      <w:r w:rsidR="001F7814" w:rsidRPr="005D4602">
        <w:rPr>
          <w:rFonts w:ascii="Calibri" w:eastAsia="Calibri" w:hAnsi="Calibri"/>
          <w:i/>
          <w:iCs/>
        </w:rPr>
        <w:t>Participant</w:t>
      </w:r>
      <w:r w:rsidRPr="005D4602">
        <w:rPr>
          <w:rFonts w:ascii="Calibri" w:eastAsia="Calibri" w:hAnsi="Calibri"/>
          <w:i/>
          <w:iCs/>
        </w:rPr>
        <w:t xml:space="preserve"> 3 = lost to follow up)</w:t>
      </w:r>
      <w:bookmarkEnd w:id="297"/>
    </w:p>
    <w:p w14:paraId="3EFE2C0F" w14:textId="77777777" w:rsidR="00F37E4E" w:rsidRPr="005D4602" w:rsidRDefault="00F37E4E" w:rsidP="00E92008">
      <w:pPr>
        <w:rPr>
          <w:rFonts w:ascii="Calibri" w:eastAsia="Calibri" w:hAnsi="Calibri"/>
          <w:i/>
          <w:iCs/>
        </w:rPr>
      </w:pPr>
    </w:p>
    <w:p w14:paraId="4B5A09AD" w14:textId="21D81366" w:rsidR="00AD7317" w:rsidRPr="00FC43B2" w:rsidRDefault="00AD7317" w:rsidP="00752DA8">
      <w:pPr>
        <w:pStyle w:val="Heading3"/>
      </w:pPr>
      <w:bookmarkStart w:id="298" w:name="_Toc117766011"/>
      <w:r w:rsidRPr="001D04B2">
        <w:t>Differential abundance testing</w:t>
      </w:r>
      <w:bookmarkEnd w:id="298"/>
    </w:p>
    <w:p w14:paraId="16C22286" w14:textId="663D0885" w:rsidR="00800EB4" w:rsidRDefault="00AD7317">
      <w:pPr>
        <w:spacing w:line="360" w:lineRule="auto"/>
        <w:rPr>
          <w:rFonts w:eastAsia="Calibri" w:cstheme="minorHAnsi"/>
        </w:rPr>
      </w:pPr>
      <w:r w:rsidRPr="001D04B2">
        <w:rPr>
          <w:rFonts w:eastAsia="Calibri" w:cstheme="minorHAnsi"/>
        </w:rPr>
        <w:t xml:space="preserve">Differential abundance </w:t>
      </w:r>
      <w:r w:rsidR="00800EB4" w:rsidRPr="001D04B2">
        <w:rPr>
          <w:rFonts w:eastAsia="Calibri" w:cstheme="minorHAnsi"/>
        </w:rPr>
        <w:t xml:space="preserve">testing, using the </w:t>
      </w:r>
      <w:r w:rsidR="00A578B3" w:rsidRPr="001D04B2">
        <w:rPr>
          <w:rFonts w:eastAsia="Calibri" w:cstheme="minorHAnsi"/>
        </w:rPr>
        <w:t>“</w:t>
      </w:r>
      <w:proofErr w:type="spellStart"/>
      <w:r w:rsidR="00800EB4" w:rsidRPr="001D04B2">
        <w:rPr>
          <w:rFonts w:eastAsia="Calibri" w:cstheme="minorHAnsi"/>
        </w:rPr>
        <w:t>metagenomeseq</w:t>
      </w:r>
      <w:proofErr w:type="spellEnd"/>
      <w:r w:rsidR="00A578B3" w:rsidRPr="001D04B2">
        <w:rPr>
          <w:rFonts w:eastAsia="Calibri" w:cstheme="minorHAnsi"/>
        </w:rPr>
        <w:t>”</w:t>
      </w:r>
      <w:r w:rsidR="00800EB4" w:rsidRPr="001D04B2">
        <w:rPr>
          <w:rFonts w:eastAsia="Calibri" w:cstheme="minorHAnsi"/>
        </w:rPr>
        <w:t xml:space="preserve"> model enables comparison of </w:t>
      </w:r>
      <w:r w:rsidR="00C54BD9">
        <w:rPr>
          <w:rFonts w:eastAsia="Calibri" w:cstheme="minorHAnsi"/>
        </w:rPr>
        <w:t>defined groups</w:t>
      </w:r>
      <w:r w:rsidR="00800EB4" w:rsidRPr="001D04B2">
        <w:rPr>
          <w:rFonts w:eastAsia="Calibri" w:cstheme="minorHAnsi"/>
        </w:rPr>
        <w:t xml:space="preserve"> to see if differences </w:t>
      </w:r>
      <w:r w:rsidR="00C54BD9">
        <w:rPr>
          <w:rFonts w:eastAsia="Calibri" w:cstheme="minorHAnsi"/>
        </w:rPr>
        <w:t>in ASV relative abundance</w:t>
      </w:r>
      <w:r w:rsidR="006C0B1A" w:rsidRPr="001D04B2">
        <w:rPr>
          <w:rFonts w:eastAsia="Calibri" w:cstheme="minorHAnsi"/>
        </w:rPr>
        <w:t xml:space="preserve"> </w:t>
      </w:r>
      <w:r w:rsidR="00C54BD9">
        <w:rPr>
          <w:rFonts w:eastAsia="Calibri" w:cstheme="minorHAnsi"/>
        </w:rPr>
        <w:t xml:space="preserve">are </w:t>
      </w:r>
      <w:r w:rsidR="00800EB4" w:rsidRPr="00C54BD9">
        <w:rPr>
          <w:rFonts w:eastAsia="Calibri" w:cstheme="minorHAnsi"/>
        </w:rPr>
        <w:t>significant</w:t>
      </w:r>
      <w:r w:rsidR="008D6DD7" w:rsidRPr="00C54BD9">
        <w:rPr>
          <w:rFonts w:eastAsia="Calibri" w:cstheme="minorHAnsi"/>
        </w:rPr>
        <w:t>.</w:t>
      </w:r>
      <w:r w:rsidR="00077B26" w:rsidRPr="00C54BD9">
        <w:rPr>
          <w:rFonts w:eastAsia="Calibri" w:cstheme="minorHAnsi"/>
        </w:rPr>
        <w:t xml:space="preserve"> </w:t>
      </w:r>
      <w:r w:rsidR="00800EB4" w:rsidRPr="00C54BD9">
        <w:rPr>
          <w:rFonts w:eastAsia="Calibri" w:cstheme="minorHAnsi"/>
        </w:rPr>
        <w:t>On analysis</w:t>
      </w:r>
      <w:r w:rsidR="00800EB4" w:rsidRPr="001D04B2">
        <w:rPr>
          <w:rFonts w:eastAsia="Calibri" w:cstheme="minorHAnsi"/>
        </w:rPr>
        <w:t xml:space="preserve"> of the baseline swabs, </w:t>
      </w:r>
      <w:r w:rsidR="00A578B3" w:rsidRPr="00242D64">
        <w:rPr>
          <w:rFonts w:eastAsia="Calibri" w:cstheme="minorHAnsi"/>
          <w:i/>
          <w:iCs/>
        </w:rPr>
        <w:t>Moraxella_lincolnii</w:t>
      </w:r>
      <w:r w:rsidR="00A578B3" w:rsidRPr="001D04B2">
        <w:rPr>
          <w:rFonts w:eastAsia="Calibri" w:cstheme="minorHAnsi"/>
        </w:rPr>
        <w:t xml:space="preserve">_19 was in lower abundance in the azithromycin group compared to the comparison group whereas </w:t>
      </w:r>
      <w:r w:rsidR="00A578B3" w:rsidRPr="00242D64">
        <w:rPr>
          <w:rFonts w:eastAsia="Calibri" w:cstheme="minorHAnsi"/>
          <w:i/>
          <w:iCs/>
        </w:rPr>
        <w:t>Moraxella_</w:t>
      </w:r>
      <w:r w:rsidR="00A578B3" w:rsidRPr="001D04B2">
        <w:rPr>
          <w:rFonts w:eastAsia="Calibri" w:cstheme="minorHAnsi"/>
        </w:rPr>
        <w:t xml:space="preserve">23 </w:t>
      </w:r>
      <w:r w:rsidR="00E31143">
        <w:rPr>
          <w:rFonts w:eastAsia="Calibri" w:cstheme="minorHAnsi"/>
        </w:rPr>
        <w:t>(</w:t>
      </w:r>
      <w:r w:rsidR="00E31143" w:rsidRPr="00E31143">
        <w:rPr>
          <w:rFonts w:eastAsia="Calibri" w:cstheme="minorHAnsi"/>
          <w:i/>
          <w:iCs/>
        </w:rPr>
        <w:t>Moraxella</w:t>
      </w:r>
      <w:r w:rsidR="00E31143">
        <w:rPr>
          <w:rFonts w:eastAsia="Calibri" w:cstheme="minorHAnsi"/>
        </w:rPr>
        <w:t xml:space="preserve"> genus identified but not the species) </w:t>
      </w:r>
      <w:r w:rsidR="00A578B3" w:rsidRPr="001D04B2">
        <w:rPr>
          <w:rFonts w:eastAsia="Calibri" w:cstheme="minorHAnsi"/>
        </w:rPr>
        <w:t>was in higher abundance in the azithromycin group (</w:t>
      </w:r>
      <w:r w:rsidR="00141B68" w:rsidRPr="00396A7B">
        <w:rPr>
          <w:rFonts w:eastAsia="Calibri" w:cstheme="minorHAnsi"/>
        </w:rPr>
        <w:fldChar w:fldCharType="begin"/>
      </w:r>
      <w:r w:rsidR="00141B68" w:rsidRPr="00396A7B">
        <w:rPr>
          <w:rFonts w:eastAsia="Calibri" w:cstheme="minorHAnsi"/>
        </w:rPr>
        <w:instrText xml:space="preserve"> REF _Ref105513017 \h </w:instrText>
      </w:r>
      <w:r w:rsidR="00396A7B" w:rsidRPr="00396A7B">
        <w:rPr>
          <w:rFonts w:eastAsia="Calibri" w:cstheme="minorHAnsi"/>
        </w:rPr>
        <w:instrText xml:space="preserve"> \* MERGEFORMAT </w:instrText>
      </w:r>
      <w:r w:rsidR="00141B68" w:rsidRPr="00396A7B">
        <w:rPr>
          <w:rFonts w:eastAsia="Calibri" w:cstheme="minorHAnsi"/>
        </w:rPr>
      </w:r>
      <w:r w:rsidR="00000000">
        <w:rPr>
          <w:rFonts w:eastAsia="Calibri" w:cstheme="minorHAnsi"/>
        </w:rPr>
        <w:fldChar w:fldCharType="separate"/>
      </w:r>
      <w:r w:rsidR="00141B68" w:rsidRPr="00396A7B">
        <w:rPr>
          <w:rFonts w:eastAsia="Calibri" w:cstheme="minorHAnsi"/>
        </w:rPr>
        <w:fldChar w:fldCharType="end"/>
      </w:r>
      <w:r w:rsidR="00141B68" w:rsidRPr="00396A7B">
        <w:rPr>
          <w:rFonts w:eastAsia="Calibri" w:cstheme="minorHAnsi"/>
        </w:rPr>
        <w:fldChar w:fldCharType="begin"/>
      </w:r>
      <w:r w:rsidR="00141B68" w:rsidRPr="00396A7B">
        <w:rPr>
          <w:rFonts w:eastAsia="Calibri" w:cstheme="minorHAnsi"/>
        </w:rPr>
        <w:instrText xml:space="preserve"> REF _Ref105700355 \h </w:instrText>
      </w:r>
      <w:r w:rsidR="00396A7B" w:rsidRPr="00396A7B">
        <w:rPr>
          <w:rFonts w:eastAsia="Calibri" w:cstheme="minorHAnsi"/>
        </w:rPr>
        <w:instrText xml:space="preserve"> \* MERGEFORMAT </w:instrText>
      </w:r>
      <w:r w:rsidR="00141B68" w:rsidRPr="00396A7B">
        <w:rPr>
          <w:rFonts w:eastAsia="Calibri" w:cstheme="minorHAnsi"/>
        </w:rPr>
      </w:r>
      <w:r w:rsidR="00141B68" w:rsidRPr="00396A7B">
        <w:rPr>
          <w:rFonts w:eastAsia="Calibri" w:cstheme="minorHAnsi"/>
        </w:rPr>
        <w:fldChar w:fldCharType="separate"/>
      </w:r>
      <w:r w:rsidR="00141B68" w:rsidRPr="00396A7B">
        <w:rPr>
          <w:color w:val="000000" w:themeColor="text1"/>
        </w:rPr>
        <w:t xml:space="preserve">Table </w:t>
      </w:r>
      <w:r w:rsidR="00141B68" w:rsidRPr="00396A7B">
        <w:rPr>
          <w:noProof/>
          <w:color w:val="000000" w:themeColor="text1"/>
        </w:rPr>
        <w:t>35</w:t>
      </w:r>
      <w:r w:rsidR="00141B68" w:rsidRPr="00396A7B">
        <w:rPr>
          <w:rFonts w:eastAsia="Calibri" w:cstheme="minorHAnsi"/>
        </w:rPr>
        <w:fldChar w:fldCharType="end"/>
      </w:r>
      <w:r w:rsidR="00141B68">
        <w:rPr>
          <w:rFonts w:eastAsia="Calibri" w:cstheme="minorHAnsi"/>
        </w:rPr>
        <w:t xml:space="preserve"> - A</w:t>
      </w:r>
      <w:r w:rsidR="00A578B3" w:rsidRPr="00D67FE8">
        <w:rPr>
          <w:rFonts w:eastAsia="Calibri" w:cstheme="minorHAnsi"/>
        </w:rPr>
        <w:t>)</w:t>
      </w:r>
    </w:p>
    <w:p w14:paraId="2D70514D" w14:textId="3322FBD4" w:rsidR="00046707" w:rsidRPr="001D04B2" w:rsidRDefault="001E7CF8" w:rsidP="005D4602">
      <w:pPr>
        <w:spacing w:after="160" w:line="360" w:lineRule="auto"/>
        <w:rPr>
          <w:rFonts w:eastAsia="Calibri" w:cstheme="minorHAnsi"/>
        </w:rPr>
      </w:pPr>
      <w:r w:rsidRPr="001E7CF8">
        <w:rPr>
          <w:rFonts w:eastAsia="Calibri" w:cstheme="minorHAnsi"/>
        </w:rPr>
        <w:t>For the second set of swabs</w:t>
      </w:r>
      <w:r>
        <w:rPr>
          <w:rFonts w:eastAsia="Calibri" w:cstheme="minorHAnsi"/>
        </w:rPr>
        <w:t xml:space="preserve"> that were collected </w:t>
      </w:r>
      <w:r w:rsidRPr="001E7CF8">
        <w:rPr>
          <w:rFonts w:eastAsia="Calibri" w:cstheme="minorHAnsi"/>
        </w:rPr>
        <w:t xml:space="preserve">when </w:t>
      </w:r>
      <w:r w:rsidR="00F50281">
        <w:rPr>
          <w:rFonts w:eastAsia="Calibri" w:cstheme="minorHAnsi"/>
        </w:rPr>
        <w:t xml:space="preserve">children </w:t>
      </w:r>
      <w:r>
        <w:rPr>
          <w:rFonts w:eastAsia="Calibri" w:cstheme="minorHAnsi"/>
        </w:rPr>
        <w:t xml:space="preserve">were still actively taking azithromycin, there was a significantly lower abundance of 4 ASVs </w:t>
      </w:r>
      <w:r w:rsidR="00242D64">
        <w:rPr>
          <w:rFonts w:eastAsia="Calibri" w:cstheme="minorHAnsi"/>
        </w:rPr>
        <w:t xml:space="preserve">seen in the azithromycin group that </w:t>
      </w:r>
      <w:r>
        <w:rPr>
          <w:rFonts w:eastAsia="Calibri" w:cstheme="minorHAnsi"/>
        </w:rPr>
        <w:t>includ</w:t>
      </w:r>
      <w:r w:rsidR="00242D64">
        <w:rPr>
          <w:rFonts w:eastAsia="Calibri" w:cstheme="minorHAnsi"/>
        </w:rPr>
        <w:t xml:space="preserve">ed </w:t>
      </w:r>
      <w:r w:rsidRPr="00242D64">
        <w:rPr>
          <w:rFonts w:eastAsia="Calibri" w:cstheme="minorHAnsi"/>
          <w:i/>
          <w:iCs/>
        </w:rPr>
        <w:t>Moraxella</w:t>
      </w:r>
      <w:r>
        <w:rPr>
          <w:rFonts w:eastAsia="Calibri" w:cstheme="minorHAnsi"/>
        </w:rPr>
        <w:t>_12</w:t>
      </w:r>
      <w:r w:rsidR="00242D64">
        <w:rPr>
          <w:rFonts w:eastAsia="Calibri" w:cstheme="minorHAnsi"/>
        </w:rPr>
        <w:t xml:space="preserve"> (See </w:t>
      </w:r>
      <w:r w:rsidR="00242D64" w:rsidRPr="00396A7B">
        <w:rPr>
          <w:rFonts w:eastAsia="Calibri" w:cstheme="minorHAnsi"/>
        </w:rPr>
        <w:fldChar w:fldCharType="begin"/>
      </w:r>
      <w:r w:rsidR="00242D64" w:rsidRPr="00396A7B">
        <w:rPr>
          <w:rFonts w:eastAsia="Calibri" w:cstheme="minorHAnsi"/>
        </w:rPr>
        <w:instrText xml:space="preserve"> REF _Ref105700355 \h  \* MERGEFORMAT </w:instrText>
      </w:r>
      <w:r w:rsidR="00242D64" w:rsidRPr="00396A7B">
        <w:rPr>
          <w:rFonts w:eastAsia="Calibri" w:cstheme="minorHAnsi"/>
        </w:rPr>
      </w:r>
      <w:r w:rsidR="00000000">
        <w:rPr>
          <w:rFonts w:eastAsia="Calibri" w:cstheme="minorHAnsi"/>
        </w:rPr>
        <w:fldChar w:fldCharType="separate"/>
      </w:r>
      <w:r w:rsidR="00242D64" w:rsidRPr="00396A7B">
        <w:rPr>
          <w:rFonts w:eastAsia="Calibri" w:cstheme="minorHAnsi"/>
        </w:rPr>
        <w:fldChar w:fldCharType="end"/>
      </w:r>
      <w:r w:rsidR="00141B68" w:rsidRPr="00396A7B">
        <w:rPr>
          <w:rFonts w:eastAsia="Calibri" w:cstheme="minorHAnsi"/>
        </w:rPr>
        <w:fldChar w:fldCharType="begin"/>
      </w:r>
      <w:r w:rsidR="00141B68" w:rsidRPr="00396A7B">
        <w:rPr>
          <w:rFonts w:eastAsia="Calibri" w:cstheme="minorHAnsi"/>
        </w:rPr>
        <w:instrText xml:space="preserve"> REF _Ref105700355 \h </w:instrText>
      </w:r>
      <w:r w:rsidR="00396A7B" w:rsidRPr="00396A7B">
        <w:rPr>
          <w:rFonts w:eastAsia="Calibri" w:cstheme="minorHAnsi"/>
        </w:rPr>
        <w:instrText xml:space="preserve"> \* MERGEFORMAT </w:instrText>
      </w:r>
      <w:r w:rsidR="00141B68" w:rsidRPr="00396A7B">
        <w:rPr>
          <w:rFonts w:eastAsia="Calibri" w:cstheme="minorHAnsi"/>
        </w:rPr>
      </w:r>
      <w:r w:rsidR="00141B68" w:rsidRPr="00396A7B">
        <w:rPr>
          <w:rFonts w:eastAsia="Calibri" w:cstheme="minorHAnsi"/>
        </w:rPr>
        <w:fldChar w:fldCharType="separate"/>
      </w:r>
      <w:r w:rsidR="00141B68" w:rsidRPr="00396A7B">
        <w:rPr>
          <w:color w:val="000000" w:themeColor="text1"/>
        </w:rPr>
        <w:t xml:space="preserve">Table </w:t>
      </w:r>
      <w:r w:rsidR="00141B68" w:rsidRPr="00396A7B">
        <w:rPr>
          <w:noProof/>
          <w:color w:val="000000" w:themeColor="text1"/>
        </w:rPr>
        <w:t>35</w:t>
      </w:r>
      <w:r w:rsidR="00141B68" w:rsidRPr="00396A7B">
        <w:rPr>
          <w:rFonts w:eastAsia="Calibri" w:cstheme="minorHAnsi"/>
        </w:rPr>
        <w:fldChar w:fldCharType="end"/>
      </w:r>
      <w:r w:rsidR="00141B68">
        <w:rPr>
          <w:rFonts w:eastAsia="Calibri" w:cstheme="minorHAnsi"/>
        </w:rPr>
        <w:t xml:space="preserve"> - B</w:t>
      </w:r>
      <w:r w:rsidR="00242D64">
        <w:rPr>
          <w:rFonts w:eastAsia="Calibri" w:cstheme="minorHAnsi"/>
        </w:rPr>
        <w:t>).</w:t>
      </w:r>
      <w:r w:rsidR="00F50281">
        <w:rPr>
          <w:rFonts w:eastAsia="Calibri" w:cstheme="minorHAnsi"/>
        </w:rPr>
        <w:t xml:space="preserve"> </w:t>
      </w:r>
    </w:p>
    <w:p w14:paraId="3BA93172" w14:textId="2E2CD631" w:rsidR="00DB069C" w:rsidRPr="001D04B2" w:rsidRDefault="00A578B3" w:rsidP="001D04B2">
      <w:pPr>
        <w:spacing w:line="360" w:lineRule="auto"/>
        <w:rPr>
          <w:rFonts w:eastAsia="Calibri" w:cstheme="minorHAnsi"/>
        </w:rPr>
      </w:pPr>
      <w:r w:rsidRPr="001D04B2">
        <w:rPr>
          <w:rFonts w:eastAsia="Calibri" w:cstheme="minorHAnsi"/>
        </w:rPr>
        <w:t xml:space="preserve">On analysis of the final swabs, the largest logarithmic, statistically significant changes in ASV abundance seen in the azithromycin group compared to the comparison group, were a lower abundance of </w:t>
      </w:r>
      <w:r w:rsidRPr="00242D64">
        <w:rPr>
          <w:rFonts w:eastAsia="Calibri" w:cstheme="minorHAnsi"/>
          <w:i/>
          <w:iCs/>
        </w:rPr>
        <w:t>Moraxella</w:t>
      </w:r>
      <w:r w:rsidRPr="001D04B2">
        <w:rPr>
          <w:rFonts w:eastAsia="Calibri" w:cstheme="minorHAnsi"/>
        </w:rPr>
        <w:t xml:space="preserve">_1 and a higher abundance of </w:t>
      </w:r>
      <w:r w:rsidRPr="00242D64">
        <w:rPr>
          <w:rFonts w:eastAsia="Calibri" w:cstheme="minorHAnsi"/>
          <w:i/>
          <w:iCs/>
        </w:rPr>
        <w:t>Corynebacterium</w:t>
      </w:r>
      <w:r w:rsidRPr="001D04B2">
        <w:rPr>
          <w:rFonts w:eastAsia="Calibri" w:cstheme="minorHAnsi"/>
        </w:rPr>
        <w:t>_18</w:t>
      </w:r>
      <w:r w:rsidRPr="00396A7B">
        <w:rPr>
          <w:rFonts w:eastAsia="Calibri" w:cstheme="minorHAnsi"/>
        </w:rPr>
        <w:t xml:space="preserve">. </w:t>
      </w:r>
      <w:r w:rsidR="00141B68" w:rsidRPr="00396A7B">
        <w:rPr>
          <w:rFonts w:eastAsia="Calibri" w:cstheme="minorHAnsi"/>
        </w:rPr>
        <w:fldChar w:fldCharType="begin"/>
      </w:r>
      <w:r w:rsidR="00141B68" w:rsidRPr="00396A7B">
        <w:rPr>
          <w:rFonts w:eastAsia="Calibri" w:cstheme="minorHAnsi"/>
        </w:rPr>
        <w:instrText xml:space="preserve"> REF _Ref105700355 \h </w:instrText>
      </w:r>
      <w:r w:rsidR="00396A7B" w:rsidRPr="00396A7B">
        <w:rPr>
          <w:rFonts w:eastAsia="Calibri" w:cstheme="minorHAnsi"/>
        </w:rPr>
        <w:instrText xml:space="preserve"> \* MERGEFORMAT </w:instrText>
      </w:r>
      <w:r w:rsidR="00141B68" w:rsidRPr="00396A7B">
        <w:rPr>
          <w:rFonts w:eastAsia="Calibri" w:cstheme="minorHAnsi"/>
        </w:rPr>
      </w:r>
      <w:r w:rsidR="00141B68" w:rsidRPr="00396A7B">
        <w:rPr>
          <w:rFonts w:eastAsia="Calibri" w:cstheme="minorHAnsi"/>
        </w:rPr>
        <w:fldChar w:fldCharType="separate"/>
      </w:r>
      <w:r w:rsidR="00141B68" w:rsidRPr="00396A7B">
        <w:rPr>
          <w:color w:val="000000" w:themeColor="text1"/>
        </w:rPr>
        <w:t xml:space="preserve">Table </w:t>
      </w:r>
      <w:r w:rsidR="00141B68" w:rsidRPr="00396A7B">
        <w:rPr>
          <w:noProof/>
          <w:color w:val="000000" w:themeColor="text1"/>
        </w:rPr>
        <w:t>35</w:t>
      </w:r>
      <w:r w:rsidR="00141B68" w:rsidRPr="00396A7B">
        <w:rPr>
          <w:rFonts w:eastAsia="Calibri" w:cstheme="minorHAnsi"/>
        </w:rPr>
        <w:fldChar w:fldCharType="end"/>
      </w:r>
      <w:r w:rsidR="00141B68">
        <w:rPr>
          <w:rFonts w:eastAsia="Calibri" w:cstheme="minorHAnsi"/>
        </w:rPr>
        <w:t xml:space="preserve"> - C, </w:t>
      </w:r>
      <w:r w:rsidRPr="00D67FE8">
        <w:rPr>
          <w:rFonts w:eastAsia="Calibri" w:cstheme="minorHAnsi"/>
        </w:rPr>
        <w:t>s</w:t>
      </w:r>
      <w:r w:rsidRPr="001D04B2">
        <w:rPr>
          <w:rFonts w:eastAsia="Calibri" w:cstheme="minorHAnsi"/>
        </w:rPr>
        <w:t xml:space="preserve">hows the three ASVs that were of a lower abundance in the azithromycin group and the 4 ASVs, with the largest logarithmic change that were of a higher abundance in the azithromycin group compared to the comparison group.  </w:t>
      </w:r>
    </w:p>
    <w:p w14:paraId="54995ED5" w14:textId="3B8A9556" w:rsidR="00925933" w:rsidRPr="00925933" w:rsidRDefault="00925933" w:rsidP="00925933">
      <w:pPr>
        <w:pStyle w:val="Caption"/>
        <w:keepNext/>
        <w:rPr>
          <w:i w:val="0"/>
          <w:iCs w:val="0"/>
          <w:color w:val="000000" w:themeColor="text1"/>
          <w:sz w:val="24"/>
          <w:szCs w:val="24"/>
        </w:rPr>
      </w:pPr>
      <w:bookmarkStart w:id="299" w:name="_Ref105700355"/>
      <w:bookmarkStart w:id="300" w:name="_Toc117780276"/>
      <w:bookmarkStart w:id="301" w:name="_Hlk104277155"/>
      <w:r w:rsidRPr="00925933">
        <w:rPr>
          <w:b/>
          <w:bCs/>
          <w:i w:val="0"/>
          <w:iCs w:val="0"/>
          <w:color w:val="000000" w:themeColor="text1"/>
          <w:sz w:val="24"/>
          <w:szCs w:val="24"/>
        </w:rPr>
        <w:lastRenderedPageBreak/>
        <w:t xml:space="preserve">Table </w:t>
      </w:r>
      <w:r w:rsidRPr="00925933">
        <w:rPr>
          <w:b/>
          <w:bCs/>
          <w:i w:val="0"/>
          <w:iCs w:val="0"/>
          <w:color w:val="000000" w:themeColor="text1"/>
          <w:sz w:val="24"/>
          <w:szCs w:val="24"/>
        </w:rPr>
        <w:fldChar w:fldCharType="begin"/>
      </w:r>
      <w:r w:rsidRPr="00925933">
        <w:rPr>
          <w:b/>
          <w:bCs/>
          <w:i w:val="0"/>
          <w:iCs w:val="0"/>
          <w:color w:val="000000" w:themeColor="text1"/>
          <w:sz w:val="24"/>
          <w:szCs w:val="24"/>
        </w:rPr>
        <w:instrText xml:space="preserve"> SEQ Table \* ARABIC </w:instrText>
      </w:r>
      <w:r w:rsidRPr="00925933">
        <w:rPr>
          <w:b/>
          <w:bCs/>
          <w:i w:val="0"/>
          <w:iCs w:val="0"/>
          <w:color w:val="000000" w:themeColor="text1"/>
          <w:sz w:val="24"/>
          <w:szCs w:val="24"/>
        </w:rPr>
        <w:fldChar w:fldCharType="separate"/>
      </w:r>
      <w:r w:rsidR="00592CBF">
        <w:rPr>
          <w:b/>
          <w:bCs/>
          <w:i w:val="0"/>
          <w:iCs w:val="0"/>
          <w:noProof/>
          <w:color w:val="000000" w:themeColor="text1"/>
          <w:sz w:val="24"/>
          <w:szCs w:val="24"/>
        </w:rPr>
        <w:t>35</w:t>
      </w:r>
      <w:r w:rsidRPr="00925933">
        <w:rPr>
          <w:b/>
          <w:bCs/>
          <w:i w:val="0"/>
          <w:iCs w:val="0"/>
          <w:color w:val="000000" w:themeColor="text1"/>
          <w:sz w:val="24"/>
          <w:szCs w:val="24"/>
        </w:rPr>
        <w:fldChar w:fldCharType="end"/>
      </w:r>
      <w:bookmarkEnd w:id="299"/>
      <w:r w:rsidRPr="00925933">
        <w:rPr>
          <w:i w:val="0"/>
          <w:iCs w:val="0"/>
          <w:color w:val="000000" w:themeColor="text1"/>
          <w:sz w:val="24"/>
          <w:szCs w:val="24"/>
        </w:rPr>
        <w:t xml:space="preserve">: Differential abundance testing between active and comparison groups at </w:t>
      </w:r>
      <w:r w:rsidR="00C72A85">
        <w:rPr>
          <w:i w:val="0"/>
          <w:iCs w:val="0"/>
          <w:color w:val="000000" w:themeColor="text1"/>
          <w:sz w:val="24"/>
          <w:szCs w:val="24"/>
        </w:rPr>
        <w:t>baseline, second and final sets of swabs</w:t>
      </w:r>
      <w:bookmarkEnd w:id="300"/>
    </w:p>
    <w:tbl>
      <w:tblPr>
        <w:tblStyle w:val="TableGrid"/>
        <w:tblW w:w="9776" w:type="dxa"/>
        <w:tblLook w:val="04A0" w:firstRow="1" w:lastRow="0" w:firstColumn="1" w:lastColumn="0" w:noHBand="0" w:noVBand="1"/>
      </w:tblPr>
      <w:tblGrid>
        <w:gridCol w:w="2972"/>
        <w:gridCol w:w="3686"/>
        <w:gridCol w:w="3118"/>
      </w:tblGrid>
      <w:tr w:rsidR="00CB23E3" w:rsidRPr="00BD4E25" w14:paraId="6E3FEBE9" w14:textId="77777777" w:rsidTr="001D04B2">
        <w:tc>
          <w:tcPr>
            <w:tcW w:w="2972" w:type="dxa"/>
          </w:tcPr>
          <w:p w14:paraId="43D9F924" w14:textId="1527400D" w:rsidR="00CB23E3" w:rsidRPr="001D04B2" w:rsidRDefault="00CB23E3" w:rsidP="001D04B2">
            <w:pPr>
              <w:spacing w:line="360" w:lineRule="auto"/>
              <w:rPr>
                <w:rFonts w:eastAsia="Calibri" w:cstheme="minorHAnsi"/>
              </w:rPr>
            </w:pPr>
            <w:r w:rsidRPr="001D04B2">
              <w:rPr>
                <w:rFonts w:eastAsia="Calibri" w:cstheme="minorHAnsi"/>
              </w:rPr>
              <w:t>ASV</w:t>
            </w:r>
          </w:p>
        </w:tc>
        <w:tc>
          <w:tcPr>
            <w:tcW w:w="3686" w:type="dxa"/>
          </w:tcPr>
          <w:p w14:paraId="1C37C095" w14:textId="4D52F6AC" w:rsidR="00CB23E3" w:rsidRPr="001D04B2" w:rsidRDefault="00CB23E3" w:rsidP="001D04B2">
            <w:pPr>
              <w:spacing w:line="360" w:lineRule="auto"/>
              <w:rPr>
                <w:rFonts w:eastAsia="Calibri" w:cstheme="minorHAnsi"/>
              </w:rPr>
            </w:pPr>
            <w:r w:rsidRPr="001D04B2">
              <w:rPr>
                <w:rFonts w:eastAsia="Calibri" w:cstheme="minorHAnsi"/>
              </w:rPr>
              <w:t>Logarithm of fold change</w:t>
            </w:r>
          </w:p>
        </w:tc>
        <w:tc>
          <w:tcPr>
            <w:tcW w:w="3118" w:type="dxa"/>
          </w:tcPr>
          <w:p w14:paraId="21E3DA30" w14:textId="41F78605" w:rsidR="00CB23E3" w:rsidRPr="001D04B2" w:rsidRDefault="00CB23E3" w:rsidP="001D04B2">
            <w:pPr>
              <w:spacing w:line="360" w:lineRule="auto"/>
              <w:rPr>
                <w:rFonts w:eastAsia="Calibri" w:cstheme="minorHAnsi"/>
              </w:rPr>
            </w:pPr>
            <w:r w:rsidRPr="001D04B2">
              <w:rPr>
                <w:rFonts w:eastAsia="Calibri" w:cstheme="minorHAnsi"/>
              </w:rPr>
              <w:t xml:space="preserve">Adjusted p </w:t>
            </w:r>
            <w:r w:rsidR="009737DB" w:rsidRPr="001D04B2">
              <w:rPr>
                <w:rFonts w:eastAsia="Calibri" w:cstheme="minorHAnsi"/>
              </w:rPr>
              <w:t>value</w:t>
            </w:r>
          </w:p>
        </w:tc>
      </w:tr>
      <w:tr w:rsidR="00CB23E3" w:rsidRPr="00BD4E25" w14:paraId="0752CC23" w14:textId="77777777" w:rsidTr="001D04B2">
        <w:tc>
          <w:tcPr>
            <w:tcW w:w="2972" w:type="dxa"/>
            <w:shd w:val="clear" w:color="auto" w:fill="DEEAF6" w:themeFill="accent1" w:themeFillTint="33"/>
          </w:tcPr>
          <w:p w14:paraId="254A44C1" w14:textId="3FAC6258" w:rsidR="00CB23E3" w:rsidRPr="001D04B2" w:rsidRDefault="00465F2D" w:rsidP="001D04B2">
            <w:pPr>
              <w:spacing w:line="360" w:lineRule="auto"/>
              <w:rPr>
                <w:rFonts w:eastAsia="Calibri" w:cstheme="minorHAnsi"/>
              </w:rPr>
            </w:pPr>
            <w:r w:rsidRPr="001E7CF8">
              <w:rPr>
                <w:rFonts w:eastAsia="Calibri" w:cstheme="minorHAnsi"/>
                <w:i/>
                <w:iCs/>
              </w:rPr>
              <w:t>Moraxella_lincolnii</w:t>
            </w:r>
            <w:r w:rsidRPr="001D04B2">
              <w:rPr>
                <w:rFonts w:eastAsia="Calibri" w:cstheme="minorHAnsi"/>
              </w:rPr>
              <w:t>_19</w:t>
            </w:r>
          </w:p>
        </w:tc>
        <w:tc>
          <w:tcPr>
            <w:tcW w:w="3686" w:type="dxa"/>
            <w:shd w:val="clear" w:color="auto" w:fill="DEEAF6" w:themeFill="accent1" w:themeFillTint="33"/>
          </w:tcPr>
          <w:p w14:paraId="2D3C6460" w14:textId="522BCEB7" w:rsidR="00CB23E3" w:rsidRPr="001D04B2" w:rsidRDefault="00465F2D" w:rsidP="001D04B2">
            <w:pPr>
              <w:spacing w:line="360" w:lineRule="auto"/>
              <w:rPr>
                <w:rFonts w:eastAsia="Calibri" w:cstheme="minorHAnsi"/>
              </w:rPr>
            </w:pPr>
            <w:r w:rsidRPr="001D04B2">
              <w:rPr>
                <w:rFonts w:eastAsia="Calibri" w:cstheme="minorHAnsi"/>
              </w:rPr>
              <w:t>-8.412139</w:t>
            </w:r>
          </w:p>
        </w:tc>
        <w:tc>
          <w:tcPr>
            <w:tcW w:w="3118" w:type="dxa"/>
            <w:shd w:val="clear" w:color="auto" w:fill="DEEAF6" w:themeFill="accent1" w:themeFillTint="33"/>
          </w:tcPr>
          <w:p w14:paraId="00E37C90" w14:textId="3C7248F0" w:rsidR="00CB23E3" w:rsidRPr="001D04B2" w:rsidRDefault="002F02BC" w:rsidP="001D04B2">
            <w:pPr>
              <w:spacing w:line="360" w:lineRule="auto"/>
              <w:rPr>
                <w:rFonts w:eastAsia="Calibri" w:cstheme="minorHAnsi"/>
              </w:rPr>
            </w:pPr>
            <w:r w:rsidRPr="001D04B2">
              <w:rPr>
                <w:rFonts w:eastAsia="Calibri" w:cstheme="minorHAnsi"/>
              </w:rPr>
              <w:t>0.001</w:t>
            </w:r>
          </w:p>
        </w:tc>
      </w:tr>
      <w:tr w:rsidR="00CB23E3" w:rsidRPr="00BD4E25" w14:paraId="7E74234E" w14:textId="77777777" w:rsidTr="001D04B2">
        <w:tc>
          <w:tcPr>
            <w:tcW w:w="2972" w:type="dxa"/>
            <w:shd w:val="clear" w:color="auto" w:fill="DEEAF6" w:themeFill="accent1" w:themeFillTint="33"/>
          </w:tcPr>
          <w:p w14:paraId="0E6E0308" w14:textId="5462D085" w:rsidR="00CB23E3" w:rsidRPr="001D04B2" w:rsidRDefault="00465F2D" w:rsidP="001D04B2">
            <w:pPr>
              <w:spacing w:line="360" w:lineRule="auto"/>
              <w:rPr>
                <w:rFonts w:eastAsia="Calibri" w:cstheme="minorHAnsi"/>
              </w:rPr>
            </w:pPr>
            <w:r w:rsidRPr="001E7CF8">
              <w:rPr>
                <w:rFonts w:eastAsia="Calibri" w:cstheme="minorHAnsi"/>
                <w:i/>
                <w:iCs/>
              </w:rPr>
              <w:t>Stenotrophomonas</w:t>
            </w:r>
            <w:r w:rsidRPr="001D04B2">
              <w:rPr>
                <w:rFonts w:eastAsia="Calibri" w:cstheme="minorHAnsi"/>
              </w:rPr>
              <w:t>_47</w:t>
            </w:r>
          </w:p>
        </w:tc>
        <w:tc>
          <w:tcPr>
            <w:tcW w:w="3686" w:type="dxa"/>
            <w:shd w:val="clear" w:color="auto" w:fill="DEEAF6" w:themeFill="accent1" w:themeFillTint="33"/>
          </w:tcPr>
          <w:p w14:paraId="2D76F2BE" w14:textId="179A571A" w:rsidR="00CB23E3" w:rsidRPr="001D04B2" w:rsidRDefault="00465F2D" w:rsidP="001D04B2">
            <w:pPr>
              <w:spacing w:line="360" w:lineRule="auto"/>
              <w:rPr>
                <w:rFonts w:eastAsia="Calibri" w:cstheme="minorHAnsi"/>
              </w:rPr>
            </w:pPr>
            <w:r w:rsidRPr="001D04B2">
              <w:rPr>
                <w:rFonts w:eastAsia="Calibri" w:cstheme="minorHAnsi"/>
              </w:rPr>
              <w:t>-7.294903</w:t>
            </w:r>
          </w:p>
        </w:tc>
        <w:tc>
          <w:tcPr>
            <w:tcW w:w="3118" w:type="dxa"/>
            <w:shd w:val="clear" w:color="auto" w:fill="DEEAF6" w:themeFill="accent1" w:themeFillTint="33"/>
          </w:tcPr>
          <w:p w14:paraId="474B3CA3" w14:textId="7E823970" w:rsidR="00CB23E3" w:rsidRPr="001D04B2" w:rsidRDefault="002F02BC" w:rsidP="001D04B2">
            <w:pPr>
              <w:spacing w:line="360" w:lineRule="auto"/>
              <w:rPr>
                <w:rFonts w:eastAsia="Calibri" w:cstheme="minorHAnsi"/>
              </w:rPr>
            </w:pPr>
            <w:r w:rsidRPr="001D04B2">
              <w:rPr>
                <w:rFonts w:eastAsia="Calibri" w:cstheme="minorHAnsi"/>
              </w:rPr>
              <w:t>&lt;0.001</w:t>
            </w:r>
          </w:p>
        </w:tc>
      </w:tr>
      <w:tr w:rsidR="00CB23E3" w:rsidRPr="00BD4E25" w14:paraId="36A9DF29" w14:textId="77777777" w:rsidTr="001D04B2">
        <w:tc>
          <w:tcPr>
            <w:tcW w:w="2972" w:type="dxa"/>
            <w:shd w:val="clear" w:color="auto" w:fill="DEEAF6" w:themeFill="accent1" w:themeFillTint="33"/>
          </w:tcPr>
          <w:p w14:paraId="487B6404" w14:textId="04F40B60" w:rsidR="00CB23E3" w:rsidRPr="001D04B2" w:rsidRDefault="00465F2D" w:rsidP="001D04B2">
            <w:pPr>
              <w:spacing w:line="360" w:lineRule="auto"/>
              <w:rPr>
                <w:rFonts w:eastAsia="Calibri" w:cstheme="minorHAnsi"/>
              </w:rPr>
            </w:pPr>
            <w:r w:rsidRPr="001E7CF8">
              <w:rPr>
                <w:rFonts w:eastAsia="Calibri" w:cstheme="minorHAnsi"/>
                <w:i/>
                <w:iCs/>
              </w:rPr>
              <w:t>Moraxella</w:t>
            </w:r>
            <w:r w:rsidRPr="001D04B2">
              <w:rPr>
                <w:rFonts w:eastAsia="Calibri" w:cstheme="minorHAnsi"/>
              </w:rPr>
              <w:t>_52</w:t>
            </w:r>
          </w:p>
        </w:tc>
        <w:tc>
          <w:tcPr>
            <w:tcW w:w="3686" w:type="dxa"/>
            <w:shd w:val="clear" w:color="auto" w:fill="DEEAF6" w:themeFill="accent1" w:themeFillTint="33"/>
          </w:tcPr>
          <w:p w14:paraId="40B8D0E2" w14:textId="601887C4" w:rsidR="00CB23E3" w:rsidRPr="001D04B2" w:rsidRDefault="00465F2D" w:rsidP="001D04B2">
            <w:pPr>
              <w:spacing w:line="360" w:lineRule="auto"/>
              <w:rPr>
                <w:rFonts w:eastAsia="Calibri" w:cstheme="minorHAnsi"/>
              </w:rPr>
            </w:pPr>
            <w:r w:rsidRPr="001D04B2">
              <w:rPr>
                <w:rFonts w:eastAsia="Calibri" w:cstheme="minorHAnsi"/>
              </w:rPr>
              <w:t>-6.850686</w:t>
            </w:r>
          </w:p>
        </w:tc>
        <w:tc>
          <w:tcPr>
            <w:tcW w:w="3118" w:type="dxa"/>
            <w:shd w:val="clear" w:color="auto" w:fill="DEEAF6" w:themeFill="accent1" w:themeFillTint="33"/>
          </w:tcPr>
          <w:p w14:paraId="0D32495E" w14:textId="2BBDA807" w:rsidR="00CB23E3" w:rsidRPr="001D04B2" w:rsidRDefault="002F02BC" w:rsidP="001D04B2">
            <w:pPr>
              <w:spacing w:line="360" w:lineRule="auto"/>
              <w:rPr>
                <w:rFonts w:eastAsia="Calibri" w:cstheme="minorHAnsi"/>
              </w:rPr>
            </w:pPr>
            <w:r w:rsidRPr="001D04B2">
              <w:rPr>
                <w:rFonts w:eastAsia="Calibri" w:cstheme="minorHAnsi"/>
              </w:rPr>
              <w:t>&lt;0.001</w:t>
            </w:r>
          </w:p>
        </w:tc>
      </w:tr>
      <w:tr w:rsidR="00CB23E3" w:rsidRPr="00BD4E25" w14:paraId="163EC039" w14:textId="77777777" w:rsidTr="001D04B2">
        <w:tc>
          <w:tcPr>
            <w:tcW w:w="2972" w:type="dxa"/>
            <w:shd w:val="clear" w:color="auto" w:fill="FFF2CC" w:themeFill="accent4" w:themeFillTint="33"/>
          </w:tcPr>
          <w:p w14:paraId="67742ACC" w14:textId="7C00CDAC" w:rsidR="00CB23E3" w:rsidRPr="001D04B2" w:rsidRDefault="002F02BC" w:rsidP="001D04B2">
            <w:pPr>
              <w:spacing w:line="360" w:lineRule="auto"/>
              <w:rPr>
                <w:rFonts w:eastAsia="Calibri" w:cstheme="minorHAnsi"/>
              </w:rPr>
            </w:pPr>
            <w:r w:rsidRPr="001E7CF8">
              <w:rPr>
                <w:rFonts w:eastAsia="Calibri" w:cstheme="minorHAnsi"/>
                <w:i/>
                <w:iCs/>
              </w:rPr>
              <w:t>Massilia</w:t>
            </w:r>
            <w:r w:rsidRPr="001D04B2">
              <w:rPr>
                <w:rFonts w:eastAsia="Calibri" w:cstheme="minorHAnsi"/>
              </w:rPr>
              <w:t>_144</w:t>
            </w:r>
          </w:p>
        </w:tc>
        <w:tc>
          <w:tcPr>
            <w:tcW w:w="3686" w:type="dxa"/>
            <w:shd w:val="clear" w:color="auto" w:fill="FFF2CC" w:themeFill="accent4" w:themeFillTint="33"/>
          </w:tcPr>
          <w:p w14:paraId="6E9AD535" w14:textId="029F7927" w:rsidR="00CB23E3" w:rsidRPr="001D04B2" w:rsidRDefault="002F02BC" w:rsidP="001D04B2">
            <w:pPr>
              <w:spacing w:line="360" w:lineRule="auto"/>
              <w:rPr>
                <w:rFonts w:eastAsia="Calibri" w:cstheme="minorHAnsi"/>
              </w:rPr>
            </w:pPr>
            <w:r w:rsidRPr="001D04B2">
              <w:rPr>
                <w:rFonts w:eastAsia="Calibri" w:cstheme="minorHAnsi"/>
              </w:rPr>
              <w:t>8.523</w:t>
            </w:r>
          </w:p>
        </w:tc>
        <w:tc>
          <w:tcPr>
            <w:tcW w:w="3118" w:type="dxa"/>
            <w:shd w:val="clear" w:color="auto" w:fill="FFF2CC" w:themeFill="accent4" w:themeFillTint="33"/>
          </w:tcPr>
          <w:p w14:paraId="44F2512F" w14:textId="3311F170" w:rsidR="00CB23E3" w:rsidRPr="001D04B2" w:rsidRDefault="002F02BC" w:rsidP="001D04B2">
            <w:pPr>
              <w:spacing w:line="360" w:lineRule="auto"/>
              <w:rPr>
                <w:rFonts w:eastAsia="Calibri" w:cstheme="minorHAnsi"/>
              </w:rPr>
            </w:pPr>
            <w:r w:rsidRPr="001D04B2">
              <w:rPr>
                <w:rFonts w:eastAsia="Calibri" w:cstheme="minorHAnsi"/>
              </w:rPr>
              <w:t>&lt;0.001</w:t>
            </w:r>
          </w:p>
        </w:tc>
      </w:tr>
      <w:tr w:rsidR="00CB23E3" w:rsidRPr="00BD4E25" w14:paraId="2D1DB254" w14:textId="77777777" w:rsidTr="001D04B2">
        <w:tc>
          <w:tcPr>
            <w:tcW w:w="2972" w:type="dxa"/>
            <w:shd w:val="clear" w:color="auto" w:fill="FFF2CC" w:themeFill="accent4" w:themeFillTint="33"/>
          </w:tcPr>
          <w:p w14:paraId="0061065B" w14:textId="10D668B2" w:rsidR="00CB23E3" w:rsidRPr="001D04B2" w:rsidRDefault="002F02BC" w:rsidP="001D04B2">
            <w:pPr>
              <w:spacing w:line="360" w:lineRule="auto"/>
              <w:rPr>
                <w:rFonts w:eastAsia="Calibri" w:cstheme="minorHAnsi"/>
              </w:rPr>
            </w:pPr>
            <w:r w:rsidRPr="001E7CF8">
              <w:rPr>
                <w:rFonts w:eastAsia="Calibri" w:cstheme="minorHAnsi"/>
                <w:i/>
                <w:iCs/>
              </w:rPr>
              <w:t>Haemophilus</w:t>
            </w:r>
            <w:r w:rsidRPr="001D04B2">
              <w:rPr>
                <w:rFonts w:eastAsia="Calibri" w:cstheme="minorHAnsi"/>
              </w:rPr>
              <w:t>_8</w:t>
            </w:r>
          </w:p>
        </w:tc>
        <w:tc>
          <w:tcPr>
            <w:tcW w:w="3686" w:type="dxa"/>
            <w:shd w:val="clear" w:color="auto" w:fill="FFF2CC" w:themeFill="accent4" w:themeFillTint="33"/>
          </w:tcPr>
          <w:p w14:paraId="253D74A7" w14:textId="64A890AB" w:rsidR="00CB23E3" w:rsidRPr="001D04B2" w:rsidRDefault="002F02BC" w:rsidP="001D04B2">
            <w:pPr>
              <w:spacing w:line="360" w:lineRule="auto"/>
              <w:rPr>
                <w:rFonts w:eastAsia="Calibri" w:cstheme="minorHAnsi"/>
              </w:rPr>
            </w:pPr>
            <w:r w:rsidRPr="001D04B2">
              <w:rPr>
                <w:rFonts w:eastAsia="Calibri" w:cstheme="minorHAnsi"/>
              </w:rPr>
              <w:t>9.105</w:t>
            </w:r>
          </w:p>
        </w:tc>
        <w:tc>
          <w:tcPr>
            <w:tcW w:w="3118" w:type="dxa"/>
            <w:shd w:val="clear" w:color="auto" w:fill="FFF2CC" w:themeFill="accent4" w:themeFillTint="33"/>
          </w:tcPr>
          <w:p w14:paraId="41B0E8DC" w14:textId="01002843" w:rsidR="00CB23E3" w:rsidRPr="001D04B2" w:rsidRDefault="002F02BC" w:rsidP="001D04B2">
            <w:pPr>
              <w:spacing w:line="360" w:lineRule="auto"/>
              <w:rPr>
                <w:rFonts w:eastAsia="Calibri" w:cstheme="minorHAnsi"/>
              </w:rPr>
            </w:pPr>
            <w:r w:rsidRPr="001D04B2">
              <w:rPr>
                <w:rFonts w:eastAsia="Calibri" w:cstheme="minorHAnsi"/>
              </w:rPr>
              <w:t>&lt;0.001</w:t>
            </w:r>
          </w:p>
        </w:tc>
      </w:tr>
      <w:tr w:rsidR="00CB23E3" w:rsidRPr="00BD4E25" w14:paraId="772B55E8" w14:textId="77777777" w:rsidTr="001D04B2">
        <w:tc>
          <w:tcPr>
            <w:tcW w:w="2972" w:type="dxa"/>
            <w:shd w:val="clear" w:color="auto" w:fill="FFF2CC" w:themeFill="accent4" w:themeFillTint="33"/>
          </w:tcPr>
          <w:p w14:paraId="674F029A" w14:textId="060993F3" w:rsidR="00CB23E3" w:rsidRPr="001D04B2" w:rsidRDefault="00361638" w:rsidP="001D04B2">
            <w:pPr>
              <w:spacing w:line="360" w:lineRule="auto"/>
              <w:rPr>
                <w:rFonts w:eastAsia="Calibri" w:cstheme="minorHAnsi"/>
              </w:rPr>
            </w:pPr>
            <w:r w:rsidRPr="001E7CF8">
              <w:rPr>
                <w:rFonts w:eastAsia="Calibri" w:cstheme="minorHAnsi"/>
                <w:i/>
                <w:iCs/>
              </w:rPr>
              <w:t>Moraxella</w:t>
            </w:r>
            <w:r w:rsidRPr="001D04B2">
              <w:rPr>
                <w:rFonts w:eastAsia="Calibri" w:cstheme="minorHAnsi"/>
              </w:rPr>
              <w:t>_23</w:t>
            </w:r>
          </w:p>
        </w:tc>
        <w:tc>
          <w:tcPr>
            <w:tcW w:w="3686" w:type="dxa"/>
            <w:shd w:val="clear" w:color="auto" w:fill="FFF2CC" w:themeFill="accent4" w:themeFillTint="33"/>
          </w:tcPr>
          <w:p w14:paraId="5D23AFBA" w14:textId="28D12BC1" w:rsidR="00CB23E3" w:rsidRPr="001D04B2" w:rsidRDefault="00361638" w:rsidP="001D04B2">
            <w:pPr>
              <w:spacing w:line="360" w:lineRule="auto"/>
              <w:rPr>
                <w:rFonts w:eastAsia="Calibri" w:cstheme="minorHAnsi"/>
              </w:rPr>
            </w:pPr>
            <w:r w:rsidRPr="001D04B2">
              <w:rPr>
                <w:rFonts w:eastAsia="Calibri" w:cstheme="minorHAnsi"/>
              </w:rPr>
              <w:t>11.946</w:t>
            </w:r>
          </w:p>
        </w:tc>
        <w:tc>
          <w:tcPr>
            <w:tcW w:w="3118" w:type="dxa"/>
            <w:shd w:val="clear" w:color="auto" w:fill="FFF2CC" w:themeFill="accent4" w:themeFillTint="33"/>
          </w:tcPr>
          <w:p w14:paraId="3D194DFC" w14:textId="42012389" w:rsidR="00CB23E3" w:rsidRPr="001D04B2" w:rsidRDefault="00361638" w:rsidP="001D04B2">
            <w:pPr>
              <w:spacing w:line="360" w:lineRule="auto"/>
              <w:rPr>
                <w:rFonts w:eastAsia="Calibri" w:cstheme="minorHAnsi"/>
              </w:rPr>
            </w:pPr>
            <w:r w:rsidRPr="001D04B2">
              <w:rPr>
                <w:rFonts w:eastAsia="Calibri" w:cstheme="minorHAnsi"/>
              </w:rPr>
              <w:t>0.001</w:t>
            </w:r>
          </w:p>
        </w:tc>
      </w:tr>
    </w:tbl>
    <w:p w14:paraId="1015AE1A" w14:textId="4B788DF3" w:rsidR="00D5322C" w:rsidRPr="005D4602" w:rsidRDefault="00C72A85">
      <w:pPr>
        <w:pStyle w:val="ListParagraph"/>
        <w:numPr>
          <w:ilvl w:val="0"/>
          <w:numId w:val="59"/>
        </w:numPr>
        <w:spacing w:line="360" w:lineRule="auto"/>
        <w:rPr>
          <w:rFonts w:eastAsia="Calibri" w:cstheme="minorHAnsi"/>
        </w:rPr>
      </w:pPr>
      <w:r w:rsidRPr="005219DA">
        <w:rPr>
          <w:rFonts w:eastAsia="Calibri" w:cstheme="minorHAnsi"/>
          <w:sz w:val="24"/>
          <w:szCs w:val="24"/>
          <w:u w:val="single"/>
        </w:rPr>
        <w:t>Baseline swab</w:t>
      </w:r>
      <w:bookmarkStart w:id="302" w:name="_Hlk104277425"/>
      <w:bookmarkEnd w:id="301"/>
    </w:p>
    <w:tbl>
      <w:tblPr>
        <w:tblStyle w:val="TableGrid"/>
        <w:tblpPr w:leftFromText="180" w:rightFromText="180" w:vertAnchor="text" w:horzAnchor="margin" w:tblpY="32"/>
        <w:tblW w:w="9776" w:type="dxa"/>
        <w:tblLook w:val="04A0" w:firstRow="1" w:lastRow="0" w:firstColumn="1" w:lastColumn="0" w:noHBand="0" w:noVBand="1"/>
      </w:tblPr>
      <w:tblGrid>
        <w:gridCol w:w="2972"/>
        <w:gridCol w:w="3686"/>
        <w:gridCol w:w="3118"/>
      </w:tblGrid>
      <w:tr w:rsidR="00E34432" w:rsidRPr="00783204" w14:paraId="59CA3B6C" w14:textId="77777777" w:rsidTr="00E34432">
        <w:tc>
          <w:tcPr>
            <w:tcW w:w="2972" w:type="dxa"/>
          </w:tcPr>
          <w:p w14:paraId="2EA47718" w14:textId="77777777" w:rsidR="00E34432" w:rsidRPr="00783204" w:rsidRDefault="00E34432" w:rsidP="00E34432">
            <w:pPr>
              <w:spacing w:line="360" w:lineRule="auto"/>
              <w:rPr>
                <w:rFonts w:eastAsia="Calibri" w:cstheme="minorHAnsi"/>
              </w:rPr>
            </w:pPr>
            <w:r w:rsidRPr="00783204">
              <w:rPr>
                <w:rFonts w:eastAsia="Calibri" w:cstheme="minorHAnsi"/>
              </w:rPr>
              <w:t>ASV</w:t>
            </w:r>
          </w:p>
        </w:tc>
        <w:tc>
          <w:tcPr>
            <w:tcW w:w="3686" w:type="dxa"/>
          </w:tcPr>
          <w:p w14:paraId="7679A95C" w14:textId="77777777" w:rsidR="00E34432" w:rsidRPr="00783204" w:rsidRDefault="00E34432" w:rsidP="00E34432">
            <w:pPr>
              <w:spacing w:line="360" w:lineRule="auto"/>
              <w:rPr>
                <w:rFonts w:eastAsia="Calibri" w:cstheme="minorHAnsi"/>
              </w:rPr>
            </w:pPr>
            <w:r w:rsidRPr="00783204">
              <w:rPr>
                <w:rFonts w:eastAsia="Calibri" w:cstheme="minorHAnsi"/>
              </w:rPr>
              <w:t>Logarithm of fold change</w:t>
            </w:r>
          </w:p>
        </w:tc>
        <w:tc>
          <w:tcPr>
            <w:tcW w:w="3118" w:type="dxa"/>
          </w:tcPr>
          <w:p w14:paraId="34631FDD" w14:textId="77777777" w:rsidR="00E34432" w:rsidRPr="00783204" w:rsidRDefault="00E34432" w:rsidP="00E34432">
            <w:pPr>
              <w:spacing w:line="360" w:lineRule="auto"/>
              <w:rPr>
                <w:rFonts w:eastAsia="Calibri" w:cstheme="minorHAnsi"/>
              </w:rPr>
            </w:pPr>
            <w:r w:rsidRPr="00783204">
              <w:rPr>
                <w:rFonts w:eastAsia="Calibri" w:cstheme="minorHAnsi"/>
              </w:rPr>
              <w:t>Adjusted p value</w:t>
            </w:r>
          </w:p>
        </w:tc>
      </w:tr>
      <w:tr w:rsidR="00E34432" w:rsidRPr="00783204" w14:paraId="5ABBD14C" w14:textId="77777777" w:rsidTr="00E34432">
        <w:tc>
          <w:tcPr>
            <w:tcW w:w="2972" w:type="dxa"/>
            <w:shd w:val="clear" w:color="auto" w:fill="DEEAF6" w:themeFill="accent1" w:themeFillTint="33"/>
          </w:tcPr>
          <w:p w14:paraId="3E568BC8" w14:textId="77777777" w:rsidR="00E34432" w:rsidRPr="00783204" w:rsidRDefault="00E34432" w:rsidP="00E34432">
            <w:pPr>
              <w:spacing w:line="360" w:lineRule="auto"/>
              <w:rPr>
                <w:rFonts w:eastAsia="Calibri" w:cstheme="minorHAnsi"/>
              </w:rPr>
            </w:pPr>
            <w:r w:rsidRPr="001E7CF8">
              <w:rPr>
                <w:rFonts w:eastAsia="Calibri" w:cstheme="minorHAnsi"/>
                <w:i/>
                <w:iCs/>
              </w:rPr>
              <w:t>Enterococcus</w:t>
            </w:r>
            <w:r>
              <w:rPr>
                <w:rFonts w:eastAsia="Calibri" w:cstheme="minorHAnsi"/>
              </w:rPr>
              <w:t>_30</w:t>
            </w:r>
          </w:p>
        </w:tc>
        <w:tc>
          <w:tcPr>
            <w:tcW w:w="3686" w:type="dxa"/>
            <w:shd w:val="clear" w:color="auto" w:fill="DEEAF6" w:themeFill="accent1" w:themeFillTint="33"/>
          </w:tcPr>
          <w:p w14:paraId="193D4090" w14:textId="77777777" w:rsidR="00E34432" w:rsidRPr="00783204" w:rsidRDefault="00E34432" w:rsidP="00E34432">
            <w:pPr>
              <w:spacing w:line="360" w:lineRule="auto"/>
              <w:rPr>
                <w:rFonts w:eastAsia="Calibri" w:cstheme="minorHAnsi"/>
              </w:rPr>
            </w:pPr>
            <w:r>
              <w:rPr>
                <w:rFonts w:eastAsia="Calibri" w:cstheme="minorHAnsi"/>
              </w:rPr>
              <w:t>-13.078</w:t>
            </w:r>
          </w:p>
        </w:tc>
        <w:tc>
          <w:tcPr>
            <w:tcW w:w="3118" w:type="dxa"/>
            <w:shd w:val="clear" w:color="auto" w:fill="DEEAF6" w:themeFill="accent1" w:themeFillTint="33"/>
          </w:tcPr>
          <w:p w14:paraId="5DE2A409" w14:textId="77777777" w:rsidR="00E34432" w:rsidRPr="00783204" w:rsidRDefault="00E34432" w:rsidP="00E34432">
            <w:pPr>
              <w:spacing w:line="360" w:lineRule="auto"/>
              <w:rPr>
                <w:rFonts w:eastAsia="Calibri" w:cstheme="minorHAnsi"/>
              </w:rPr>
            </w:pPr>
            <w:r>
              <w:rPr>
                <w:rFonts w:eastAsia="Calibri" w:cstheme="minorHAnsi"/>
              </w:rPr>
              <w:t>0.013</w:t>
            </w:r>
          </w:p>
        </w:tc>
      </w:tr>
      <w:tr w:rsidR="00E34432" w:rsidRPr="00783204" w14:paraId="57B36A9C" w14:textId="77777777" w:rsidTr="00E34432">
        <w:tc>
          <w:tcPr>
            <w:tcW w:w="2972" w:type="dxa"/>
            <w:shd w:val="clear" w:color="auto" w:fill="DEEAF6" w:themeFill="accent1" w:themeFillTint="33"/>
          </w:tcPr>
          <w:p w14:paraId="72593D41" w14:textId="77777777" w:rsidR="00E34432" w:rsidRPr="00783204" w:rsidRDefault="00E34432" w:rsidP="00E34432">
            <w:pPr>
              <w:spacing w:line="360" w:lineRule="auto"/>
              <w:rPr>
                <w:rFonts w:eastAsia="Calibri" w:cstheme="minorHAnsi"/>
              </w:rPr>
            </w:pPr>
            <w:r w:rsidRPr="001E7CF8">
              <w:rPr>
                <w:rFonts w:eastAsia="Calibri" w:cstheme="minorHAnsi"/>
                <w:i/>
                <w:iCs/>
              </w:rPr>
              <w:t>Corynebacterium</w:t>
            </w:r>
            <w:r>
              <w:rPr>
                <w:rFonts w:eastAsia="Calibri" w:cstheme="minorHAnsi"/>
              </w:rPr>
              <w:t>_33</w:t>
            </w:r>
          </w:p>
        </w:tc>
        <w:tc>
          <w:tcPr>
            <w:tcW w:w="3686" w:type="dxa"/>
            <w:shd w:val="clear" w:color="auto" w:fill="DEEAF6" w:themeFill="accent1" w:themeFillTint="33"/>
          </w:tcPr>
          <w:p w14:paraId="648FCEFD" w14:textId="77777777" w:rsidR="00E34432" w:rsidRPr="00783204" w:rsidRDefault="00E34432" w:rsidP="00E34432">
            <w:pPr>
              <w:spacing w:line="360" w:lineRule="auto"/>
              <w:rPr>
                <w:rFonts w:eastAsia="Calibri" w:cstheme="minorHAnsi"/>
              </w:rPr>
            </w:pPr>
            <w:r>
              <w:rPr>
                <w:rFonts w:eastAsia="Calibri" w:cstheme="minorHAnsi"/>
              </w:rPr>
              <w:t>-12.262</w:t>
            </w:r>
          </w:p>
        </w:tc>
        <w:tc>
          <w:tcPr>
            <w:tcW w:w="3118" w:type="dxa"/>
            <w:shd w:val="clear" w:color="auto" w:fill="DEEAF6" w:themeFill="accent1" w:themeFillTint="33"/>
          </w:tcPr>
          <w:p w14:paraId="7C049ACB" w14:textId="77777777" w:rsidR="00E34432" w:rsidRPr="00783204" w:rsidRDefault="00E34432" w:rsidP="00E34432">
            <w:pPr>
              <w:spacing w:line="360" w:lineRule="auto"/>
              <w:rPr>
                <w:rFonts w:eastAsia="Calibri" w:cstheme="minorHAnsi"/>
              </w:rPr>
            </w:pPr>
            <w:r>
              <w:rPr>
                <w:rFonts w:eastAsia="Calibri" w:cstheme="minorHAnsi"/>
              </w:rPr>
              <w:t>0.013</w:t>
            </w:r>
          </w:p>
        </w:tc>
      </w:tr>
      <w:tr w:rsidR="00E34432" w:rsidRPr="00783204" w14:paraId="449EF472" w14:textId="77777777" w:rsidTr="00E34432">
        <w:tc>
          <w:tcPr>
            <w:tcW w:w="2972" w:type="dxa"/>
            <w:shd w:val="clear" w:color="auto" w:fill="DEEAF6" w:themeFill="accent1" w:themeFillTint="33"/>
          </w:tcPr>
          <w:p w14:paraId="190DCF19" w14:textId="77777777" w:rsidR="00E34432" w:rsidRPr="00783204" w:rsidRDefault="00E34432" w:rsidP="00E34432">
            <w:pPr>
              <w:spacing w:line="360" w:lineRule="auto"/>
              <w:rPr>
                <w:rFonts w:eastAsia="Calibri" w:cstheme="minorHAnsi"/>
              </w:rPr>
            </w:pPr>
            <w:r w:rsidRPr="001E7CF8">
              <w:rPr>
                <w:rFonts w:eastAsia="Calibri" w:cstheme="minorHAnsi"/>
                <w:i/>
                <w:iCs/>
              </w:rPr>
              <w:t>Moraxella</w:t>
            </w:r>
            <w:r>
              <w:rPr>
                <w:rFonts w:eastAsia="Calibri" w:cstheme="minorHAnsi"/>
              </w:rPr>
              <w:t>_12</w:t>
            </w:r>
          </w:p>
        </w:tc>
        <w:tc>
          <w:tcPr>
            <w:tcW w:w="3686" w:type="dxa"/>
            <w:shd w:val="clear" w:color="auto" w:fill="DEEAF6" w:themeFill="accent1" w:themeFillTint="33"/>
          </w:tcPr>
          <w:p w14:paraId="41CE9F30" w14:textId="77777777" w:rsidR="00E34432" w:rsidRPr="00783204" w:rsidRDefault="00E34432" w:rsidP="00E34432">
            <w:pPr>
              <w:spacing w:line="360" w:lineRule="auto"/>
              <w:rPr>
                <w:rFonts w:eastAsia="Calibri" w:cstheme="minorHAnsi"/>
              </w:rPr>
            </w:pPr>
            <w:r>
              <w:rPr>
                <w:rFonts w:eastAsia="Calibri" w:cstheme="minorHAnsi"/>
              </w:rPr>
              <w:t>-9.794</w:t>
            </w:r>
          </w:p>
        </w:tc>
        <w:tc>
          <w:tcPr>
            <w:tcW w:w="3118" w:type="dxa"/>
            <w:shd w:val="clear" w:color="auto" w:fill="DEEAF6" w:themeFill="accent1" w:themeFillTint="33"/>
          </w:tcPr>
          <w:p w14:paraId="2EBDDB9D" w14:textId="77777777" w:rsidR="00E34432" w:rsidRPr="00783204" w:rsidRDefault="00E34432" w:rsidP="00E34432">
            <w:pPr>
              <w:spacing w:line="360" w:lineRule="auto"/>
              <w:rPr>
                <w:rFonts w:eastAsia="Calibri" w:cstheme="minorHAnsi"/>
              </w:rPr>
            </w:pPr>
            <w:r>
              <w:rPr>
                <w:rFonts w:eastAsia="Calibri" w:cstheme="minorHAnsi"/>
              </w:rPr>
              <w:t>0.013</w:t>
            </w:r>
          </w:p>
        </w:tc>
      </w:tr>
      <w:tr w:rsidR="00E34432" w:rsidRPr="00783204" w14:paraId="18EC9616" w14:textId="77777777" w:rsidTr="00E34432">
        <w:tc>
          <w:tcPr>
            <w:tcW w:w="2972" w:type="dxa"/>
            <w:shd w:val="clear" w:color="auto" w:fill="DEEAF6" w:themeFill="accent1" w:themeFillTint="33"/>
          </w:tcPr>
          <w:p w14:paraId="21148E29" w14:textId="77777777" w:rsidR="00E34432" w:rsidRPr="00783204" w:rsidRDefault="00E34432" w:rsidP="00E34432">
            <w:pPr>
              <w:spacing w:line="360" w:lineRule="auto"/>
              <w:rPr>
                <w:rFonts w:eastAsia="Calibri" w:cstheme="minorHAnsi"/>
              </w:rPr>
            </w:pPr>
            <w:r w:rsidRPr="001E7CF8">
              <w:rPr>
                <w:rFonts w:eastAsia="Calibri" w:cstheme="minorHAnsi"/>
                <w:i/>
                <w:iCs/>
              </w:rPr>
              <w:t>Haemopilus</w:t>
            </w:r>
            <w:r>
              <w:rPr>
                <w:rFonts w:eastAsia="Calibri" w:cstheme="minorHAnsi"/>
              </w:rPr>
              <w:t>_56</w:t>
            </w:r>
          </w:p>
        </w:tc>
        <w:tc>
          <w:tcPr>
            <w:tcW w:w="3686" w:type="dxa"/>
            <w:shd w:val="clear" w:color="auto" w:fill="DEEAF6" w:themeFill="accent1" w:themeFillTint="33"/>
          </w:tcPr>
          <w:p w14:paraId="2C9E7F15" w14:textId="77777777" w:rsidR="00E34432" w:rsidRPr="00783204" w:rsidRDefault="00E34432" w:rsidP="00E34432">
            <w:pPr>
              <w:spacing w:line="360" w:lineRule="auto"/>
              <w:rPr>
                <w:rFonts w:eastAsia="Calibri" w:cstheme="minorHAnsi"/>
              </w:rPr>
            </w:pPr>
            <w:r>
              <w:rPr>
                <w:rFonts w:eastAsia="Calibri" w:cstheme="minorHAnsi"/>
              </w:rPr>
              <w:t>-8.603</w:t>
            </w:r>
          </w:p>
        </w:tc>
        <w:tc>
          <w:tcPr>
            <w:tcW w:w="3118" w:type="dxa"/>
            <w:shd w:val="clear" w:color="auto" w:fill="DEEAF6" w:themeFill="accent1" w:themeFillTint="33"/>
          </w:tcPr>
          <w:p w14:paraId="577E0758" w14:textId="77777777" w:rsidR="00E34432" w:rsidRPr="00783204" w:rsidRDefault="00E34432" w:rsidP="00E34432">
            <w:pPr>
              <w:spacing w:line="360" w:lineRule="auto"/>
              <w:rPr>
                <w:rFonts w:eastAsia="Calibri" w:cstheme="minorHAnsi"/>
              </w:rPr>
            </w:pPr>
            <w:r>
              <w:rPr>
                <w:rFonts w:eastAsia="Calibri" w:cstheme="minorHAnsi"/>
              </w:rPr>
              <w:t>0.023</w:t>
            </w:r>
          </w:p>
        </w:tc>
      </w:tr>
      <w:tr w:rsidR="00E34432" w:rsidRPr="00783204" w14:paraId="0367620C" w14:textId="77777777" w:rsidTr="00E34432">
        <w:tc>
          <w:tcPr>
            <w:tcW w:w="2972" w:type="dxa"/>
            <w:shd w:val="clear" w:color="auto" w:fill="FFF2CC" w:themeFill="accent4" w:themeFillTint="33"/>
          </w:tcPr>
          <w:p w14:paraId="474678AC" w14:textId="77777777" w:rsidR="00E34432" w:rsidRPr="00783204" w:rsidRDefault="00E34432" w:rsidP="00E34432">
            <w:pPr>
              <w:spacing w:line="360" w:lineRule="auto"/>
              <w:rPr>
                <w:rFonts w:eastAsia="Calibri" w:cstheme="minorHAnsi"/>
              </w:rPr>
            </w:pPr>
            <w:r w:rsidRPr="001E7CF8">
              <w:rPr>
                <w:rFonts w:eastAsia="Calibri" w:cstheme="minorHAnsi"/>
                <w:i/>
                <w:iCs/>
              </w:rPr>
              <w:t>Acinetobacter</w:t>
            </w:r>
            <w:r>
              <w:rPr>
                <w:rFonts w:eastAsia="Calibri" w:cstheme="minorHAnsi"/>
              </w:rPr>
              <w:t>_44</w:t>
            </w:r>
          </w:p>
        </w:tc>
        <w:tc>
          <w:tcPr>
            <w:tcW w:w="3686" w:type="dxa"/>
            <w:shd w:val="clear" w:color="auto" w:fill="FFF2CC" w:themeFill="accent4" w:themeFillTint="33"/>
          </w:tcPr>
          <w:p w14:paraId="75903E8A" w14:textId="77777777" w:rsidR="00E34432" w:rsidRPr="00783204" w:rsidRDefault="00E34432" w:rsidP="00E34432">
            <w:pPr>
              <w:spacing w:line="360" w:lineRule="auto"/>
              <w:rPr>
                <w:rFonts w:eastAsia="Calibri" w:cstheme="minorHAnsi"/>
              </w:rPr>
            </w:pPr>
            <w:r>
              <w:rPr>
                <w:rFonts w:eastAsia="Calibri" w:cstheme="minorHAnsi"/>
              </w:rPr>
              <w:t>1.354</w:t>
            </w:r>
          </w:p>
        </w:tc>
        <w:tc>
          <w:tcPr>
            <w:tcW w:w="3118" w:type="dxa"/>
            <w:shd w:val="clear" w:color="auto" w:fill="FFF2CC" w:themeFill="accent4" w:themeFillTint="33"/>
          </w:tcPr>
          <w:p w14:paraId="39BC2F17" w14:textId="77777777" w:rsidR="00E34432" w:rsidRPr="00783204" w:rsidRDefault="00E34432" w:rsidP="00E34432">
            <w:pPr>
              <w:spacing w:line="360" w:lineRule="auto"/>
              <w:rPr>
                <w:rFonts w:eastAsia="Calibri" w:cstheme="minorHAnsi"/>
              </w:rPr>
            </w:pPr>
            <w:r>
              <w:rPr>
                <w:rFonts w:eastAsia="Calibri" w:cstheme="minorHAnsi"/>
              </w:rPr>
              <w:t>0.087</w:t>
            </w:r>
          </w:p>
        </w:tc>
      </w:tr>
    </w:tbl>
    <w:p w14:paraId="03455597" w14:textId="4DF74224" w:rsidR="00D5322C" w:rsidRDefault="00C72A85">
      <w:pPr>
        <w:pStyle w:val="ListParagraph"/>
        <w:numPr>
          <w:ilvl w:val="0"/>
          <w:numId w:val="59"/>
        </w:numPr>
        <w:spacing w:line="360" w:lineRule="auto"/>
      </w:pPr>
      <w:r w:rsidRPr="005219DA">
        <w:rPr>
          <w:rFonts w:eastAsia="Calibri" w:cstheme="minorHAnsi"/>
          <w:sz w:val="24"/>
          <w:szCs w:val="24"/>
          <w:u w:val="single"/>
        </w:rPr>
        <w:t>Second set of swabs</w:t>
      </w:r>
      <w:bookmarkStart w:id="303" w:name="_Hlk104277449"/>
      <w:bookmarkEnd w:id="302"/>
    </w:p>
    <w:tbl>
      <w:tblPr>
        <w:tblStyle w:val="TableGrid"/>
        <w:tblW w:w="9776" w:type="dxa"/>
        <w:tblLook w:val="04A0" w:firstRow="1" w:lastRow="0" w:firstColumn="1" w:lastColumn="0" w:noHBand="0" w:noVBand="1"/>
      </w:tblPr>
      <w:tblGrid>
        <w:gridCol w:w="2972"/>
        <w:gridCol w:w="3686"/>
        <w:gridCol w:w="3118"/>
      </w:tblGrid>
      <w:tr w:rsidR="00465F2D" w:rsidRPr="00BD4E25" w14:paraId="1A0D44D2" w14:textId="77777777" w:rsidTr="001D04B2">
        <w:tc>
          <w:tcPr>
            <w:tcW w:w="2972" w:type="dxa"/>
          </w:tcPr>
          <w:p w14:paraId="67D36DFD" w14:textId="77777777" w:rsidR="00465F2D" w:rsidRPr="001D04B2" w:rsidRDefault="00465F2D" w:rsidP="001D04B2">
            <w:pPr>
              <w:spacing w:line="360" w:lineRule="auto"/>
              <w:rPr>
                <w:rFonts w:eastAsia="Calibri" w:cstheme="minorHAnsi"/>
              </w:rPr>
            </w:pPr>
            <w:r w:rsidRPr="001D04B2">
              <w:rPr>
                <w:rFonts w:eastAsia="Calibri" w:cstheme="minorHAnsi"/>
              </w:rPr>
              <w:t>ASV</w:t>
            </w:r>
          </w:p>
        </w:tc>
        <w:tc>
          <w:tcPr>
            <w:tcW w:w="3686" w:type="dxa"/>
          </w:tcPr>
          <w:p w14:paraId="352F69A3" w14:textId="77777777" w:rsidR="00465F2D" w:rsidRPr="001D04B2" w:rsidRDefault="00465F2D" w:rsidP="001D04B2">
            <w:pPr>
              <w:spacing w:line="360" w:lineRule="auto"/>
              <w:rPr>
                <w:rFonts w:eastAsia="Calibri" w:cstheme="minorHAnsi"/>
              </w:rPr>
            </w:pPr>
            <w:r w:rsidRPr="001D04B2">
              <w:rPr>
                <w:rFonts w:eastAsia="Calibri" w:cstheme="minorHAnsi"/>
              </w:rPr>
              <w:t>Logarithm of fold change</w:t>
            </w:r>
          </w:p>
        </w:tc>
        <w:tc>
          <w:tcPr>
            <w:tcW w:w="3118" w:type="dxa"/>
          </w:tcPr>
          <w:p w14:paraId="76F46D2D" w14:textId="39E557BF" w:rsidR="00465F2D" w:rsidRPr="001D04B2" w:rsidRDefault="00465F2D" w:rsidP="001D04B2">
            <w:pPr>
              <w:spacing w:line="360" w:lineRule="auto"/>
              <w:rPr>
                <w:rFonts w:eastAsia="Calibri" w:cstheme="minorHAnsi"/>
              </w:rPr>
            </w:pPr>
            <w:r w:rsidRPr="001D04B2">
              <w:rPr>
                <w:rFonts w:eastAsia="Calibri" w:cstheme="minorHAnsi"/>
              </w:rPr>
              <w:t xml:space="preserve">Adjusted p </w:t>
            </w:r>
            <w:r w:rsidR="00F27244" w:rsidRPr="001D04B2">
              <w:rPr>
                <w:rFonts w:eastAsia="Calibri" w:cstheme="minorHAnsi"/>
              </w:rPr>
              <w:t>value</w:t>
            </w:r>
          </w:p>
        </w:tc>
      </w:tr>
      <w:tr w:rsidR="00BD4E25" w:rsidRPr="00BD4E25" w14:paraId="3DCC81C4" w14:textId="77777777" w:rsidTr="000A0478">
        <w:tc>
          <w:tcPr>
            <w:tcW w:w="2972" w:type="dxa"/>
            <w:shd w:val="clear" w:color="auto" w:fill="DEEAF6" w:themeFill="accent1" w:themeFillTint="33"/>
          </w:tcPr>
          <w:p w14:paraId="0A15EE4E" w14:textId="0D4F92C8" w:rsidR="00465F2D" w:rsidRPr="001D04B2" w:rsidRDefault="00465F2D" w:rsidP="001D04B2">
            <w:pPr>
              <w:spacing w:line="360" w:lineRule="auto"/>
              <w:rPr>
                <w:rFonts w:eastAsia="Calibri" w:cstheme="minorHAnsi"/>
              </w:rPr>
            </w:pPr>
            <w:r w:rsidRPr="001E7CF8">
              <w:rPr>
                <w:rFonts w:eastAsia="Calibri" w:cstheme="minorHAnsi"/>
                <w:i/>
                <w:iCs/>
              </w:rPr>
              <w:t>Moraxella</w:t>
            </w:r>
            <w:r w:rsidRPr="001D04B2">
              <w:rPr>
                <w:rFonts w:eastAsia="Calibri" w:cstheme="minorHAnsi"/>
              </w:rPr>
              <w:t>_1</w:t>
            </w:r>
          </w:p>
        </w:tc>
        <w:tc>
          <w:tcPr>
            <w:tcW w:w="3686" w:type="dxa"/>
            <w:shd w:val="clear" w:color="auto" w:fill="DEEAF6" w:themeFill="accent1" w:themeFillTint="33"/>
          </w:tcPr>
          <w:p w14:paraId="0663DACA" w14:textId="6D88E8A1" w:rsidR="00465F2D" w:rsidRPr="001D04B2" w:rsidRDefault="00BB79E7" w:rsidP="001D04B2">
            <w:pPr>
              <w:spacing w:line="360" w:lineRule="auto"/>
              <w:rPr>
                <w:rFonts w:eastAsia="Calibri" w:cstheme="minorHAnsi"/>
              </w:rPr>
            </w:pPr>
            <w:r w:rsidRPr="001D04B2">
              <w:rPr>
                <w:rFonts w:eastAsia="Calibri" w:cstheme="minorHAnsi"/>
              </w:rPr>
              <w:t>-5.149</w:t>
            </w:r>
          </w:p>
        </w:tc>
        <w:tc>
          <w:tcPr>
            <w:tcW w:w="3118" w:type="dxa"/>
            <w:shd w:val="clear" w:color="auto" w:fill="DEEAF6" w:themeFill="accent1" w:themeFillTint="33"/>
          </w:tcPr>
          <w:p w14:paraId="3FCD308E" w14:textId="0ACC97BB" w:rsidR="00465F2D" w:rsidRPr="001D04B2" w:rsidRDefault="000A0478" w:rsidP="001D04B2">
            <w:pPr>
              <w:spacing w:line="360" w:lineRule="auto"/>
              <w:rPr>
                <w:rFonts w:eastAsia="Calibri" w:cstheme="minorHAnsi"/>
              </w:rPr>
            </w:pPr>
            <w:r w:rsidRPr="001D04B2">
              <w:rPr>
                <w:rFonts w:eastAsia="Calibri" w:cstheme="minorHAnsi"/>
              </w:rPr>
              <w:t>0.001</w:t>
            </w:r>
          </w:p>
        </w:tc>
      </w:tr>
      <w:tr w:rsidR="00BD4E25" w:rsidRPr="00BD4E25" w14:paraId="4B146D99" w14:textId="77777777" w:rsidTr="000A0478">
        <w:tc>
          <w:tcPr>
            <w:tcW w:w="2972" w:type="dxa"/>
            <w:shd w:val="clear" w:color="auto" w:fill="DEEAF6" w:themeFill="accent1" w:themeFillTint="33"/>
          </w:tcPr>
          <w:p w14:paraId="3826E357" w14:textId="60FE6119" w:rsidR="00465F2D" w:rsidRPr="001D04B2" w:rsidRDefault="00BB79E7" w:rsidP="001D04B2">
            <w:pPr>
              <w:spacing w:line="360" w:lineRule="auto"/>
              <w:rPr>
                <w:rFonts w:eastAsia="Calibri" w:cstheme="minorHAnsi"/>
              </w:rPr>
            </w:pPr>
            <w:r w:rsidRPr="001E7CF8">
              <w:rPr>
                <w:rFonts w:eastAsia="Calibri" w:cstheme="minorHAnsi"/>
                <w:i/>
                <w:iCs/>
              </w:rPr>
              <w:t>Dolosigranulum_pigrum</w:t>
            </w:r>
            <w:r w:rsidRPr="001D04B2">
              <w:rPr>
                <w:rFonts w:eastAsia="Calibri" w:cstheme="minorHAnsi"/>
              </w:rPr>
              <w:t>_3</w:t>
            </w:r>
          </w:p>
        </w:tc>
        <w:tc>
          <w:tcPr>
            <w:tcW w:w="3686" w:type="dxa"/>
            <w:shd w:val="clear" w:color="auto" w:fill="DEEAF6" w:themeFill="accent1" w:themeFillTint="33"/>
          </w:tcPr>
          <w:p w14:paraId="46EC5580" w14:textId="54CCFDD9" w:rsidR="00465F2D" w:rsidRPr="001D04B2" w:rsidRDefault="00BB79E7" w:rsidP="001D04B2">
            <w:pPr>
              <w:spacing w:line="360" w:lineRule="auto"/>
              <w:rPr>
                <w:rFonts w:eastAsia="Calibri" w:cstheme="minorHAnsi"/>
              </w:rPr>
            </w:pPr>
            <w:r w:rsidRPr="001D04B2">
              <w:rPr>
                <w:rFonts w:eastAsia="Calibri" w:cstheme="minorHAnsi"/>
              </w:rPr>
              <w:t>-3.594</w:t>
            </w:r>
          </w:p>
        </w:tc>
        <w:tc>
          <w:tcPr>
            <w:tcW w:w="3118" w:type="dxa"/>
            <w:shd w:val="clear" w:color="auto" w:fill="DEEAF6" w:themeFill="accent1" w:themeFillTint="33"/>
          </w:tcPr>
          <w:p w14:paraId="7398E19E" w14:textId="107A01ED" w:rsidR="00465F2D" w:rsidRPr="001D04B2" w:rsidRDefault="000A0478" w:rsidP="001D04B2">
            <w:pPr>
              <w:spacing w:line="360" w:lineRule="auto"/>
              <w:rPr>
                <w:rFonts w:eastAsia="Calibri" w:cstheme="minorHAnsi"/>
              </w:rPr>
            </w:pPr>
            <w:r w:rsidRPr="001D04B2">
              <w:rPr>
                <w:rFonts w:eastAsia="Calibri" w:cstheme="minorHAnsi"/>
              </w:rPr>
              <w:t>0.004</w:t>
            </w:r>
          </w:p>
        </w:tc>
      </w:tr>
      <w:tr w:rsidR="00BB79E7" w:rsidRPr="00BD4E25" w14:paraId="6DAEEB0B" w14:textId="77777777" w:rsidTr="001D04B2">
        <w:tc>
          <w:tcPr>
            <w:tcW w:w="2972" w:type="dxa"/>
            <w:shd w:val="clear" w:color="auto" w:fill="DEEAF6" w:themeFill="accent1" w:themeFillTint="33"/>
          </w:tcPr>
          <w:p w14:paraId="6BF62F9E" w14:textId="23A09691" w:rsidR="00BB79E7" w:rsidRPr="001D04B2" w:rsidRDefault="00BB79E7" w:rsidP="001D04B2">
            <w:pPr>
              <w:spacing w:line="360" w:lineRule="auto"/>
              <w:rPr>
                <w:rFonts w:eastAsia="Calibri" w:cstheme="minorHAnsi"/>
              </w:rPr>
            </w:pPr>
            <w:r w:rsidRPr="001E7CF8">
              <w:rPr>
                <w:rFonts w:eastAsia="Calibri" w:cstheme="minorHAnsi"/>
                <w:i/>
                <w:iCs/>
              </w:rPr>
              <w:t>Haemophilus</w:t>
            </w:r>
            <w:r w:rsidRPr="001D04B2">
              <w:rPr>
                <w:rFonts w:eastAsia="Calibri" w:cstheme="minorHAnsi"/>
              </w:rPr>
              <w:t>_7</w:t>
            </w:r>
          </w:p>
        </w:tc>
        <w:tc>
          <w:tcPr>
            <w:tcW w:w="3686" w:type="dxa"/>
            <w:shd w:val="clear" w:color="auto" w:fill="DEEAF6" w:themeFill="accent1" w:themeFillTint="33"/>
          </w:tcPr>
          <w:p w14:paraId="5E8DAF4A" w14:textId="051A5EBA" w:rsidR="00BB79E7" w:rsidRPr="001D04B2" w:rsidRDefault="00BB79E7" w:rsidP="001D04B2">
            <w:pPr>
              <w:spacing w:line="360" w:lineRule="auto"/>
              <w:rPr>
                <w:rFonts w:eastAsia="Calibri" w:cstheme="minorHAnsi"/>
              </w:rPr>
            </w:pPr>
            <w:r w:rsidRPr="001D04B2">
              <w:rPr>
                <w:rFonts w:eastAsia="Calibri" w:cstheme="minorHAnsi"/>
              </w:rPr>
              <w:t>-2.839</w:t>
            </w:r>
          </w:p>
        </w:tc>
        <w:tc>
          <w:tcPr>
            <w:tcW w:w="3118" w:type="dxa"/>
            <w:shd w:val="clear" w:color="auto" w:fill="DEEAF6" w:themeFill="accent1" w:themeFillTint="33"/>
          </w:tcPr>
          <w:p w14:paraId="7C8AA37D" w14:textId="7B22B058" w:rsidR="00BB79E7" w:rsidRPr="001D04B2" w:rsidRDefault="000A0478" w:rsidP="001D04B2">
            <w:pPr>
              <w:spacing w:line="360" w:lineRule="auto"/>
              <w:rPr>
                <w:rFonts w:eastAsia="Calibri" w:cstheme="minorHAnsi"/>
              </w:rPr>
            </w:pPr>
            <w:r w:rsidRPr="001D04B2">
              <w:rPr>
                <w:rFonts w:eastAsia="Calibri" w:cstheme="minorHAnsi"/>
              </w:rPr>
              <w:t>0.001</w:t>
            </w:r>
          </w:p>
        </w:tc>
      </w:tr>
      <w:tr w:rsidR="00BD4E25" w:rsidRPr="00BD4E25" w14:paraId="3F914363" w14:textId="77777777" w:rsidTr="000A0478">
        <w:tc>
          <w:tcPr>
            <w:tcW w:w="2972" w:type="dxa"/>
            <w:shd w:val="clear" w:color="auto" w:fill="FFF2CC" w:themeFill="accent4" w:themeFillTint="33"/>
          </w:tcPr>
          <w:p w14:paraId="69BD6284" w14:textId="2B0118AE" w:rsidR="00465F2D" w:rsidRPr="001D04B2" w:rsidRDefault="00BB79E7" w:rsidP="001D04B2">
            <w:pPr>
              <w:spacing w:line="360" w:lineRule="auto"/>
              <w:rPr>
                <w:rFonts w:eastAsia="Calibri" w:cstheme="minorHAnsi"/>
              </w:rPr>
            </w:pPr>
            <w:r w:rsidRPr="00242D64">
              <w:rPr>
                <w:rFonts w:eastAsia="Calibri" w:cstheme="minorHAnsi"/>
                <w:i/>
                <w:iCs/>
              </w:rPr>
              <w:t>Actinobacillus</w:t>
            </w:r>
            <w:r w:rsidRPr="001D04B2">
              <w:rPr>
                <w:rFonts w:eastAsia="Calibri" w:cstheme="minorHAnsi"/>
              </w:rPr>
              <w:t>_141</w:t>
            </w:r>
          </w:p>
        </w:tc>
        <w:tc>
          <w:tcPr>
            <w:tcW w:w="3686" w:type="dxa"/>
            <w:shd w:val="clear" w:color="auto" w:fill="FFF2CC" w:themeFill="accent4" w:themeFillTint="33"/>
          </w:tcPr>
          <w:p w14:paraId="21795D4A" w14:textId="51DBC366" w:rsidR="00465F2D" w:rsidRPr="001D04B2" w:rsidRDefault="00BB79E7" w:rsidP="001D04B2">
            <w:pPr>
              <w:spacing w:line="360" w:lineRule="auto"/>
              <w:rPr>
                <w:rFonts w:eastAsia="Calibri" w:cstheme="minorHAnsi"/>
              </w:rPr>
            </w:pPr>
            <w:r w:rsidRPr="001D04B2">
              <w:rPr>
                <w:rFonts w:eastAsia="Calibri" w:cstheme="minorHAnsi"/>
              </w:rPr>
              <w:t>7.227</w:t>
            </w:r>
          </w:p>
        </w:tc>
        <w:tc>
          <w:tcPr>
            <w:tcW w:w="3118" w:type="dxa"/>
            <w:shd w:val="clear" w:color="auto" w:fill="FFF2CC" w:themeFill="accent4" w:themeFillTint="33"/>
          </w:tcPr>
          <w:p w14:paraId="47FC929C" w14:textId="41036AFE" w:rsidR="00465F2D" w:rsidRPr="001D04B2" w:rsidRDefault="000A0478" w:rsidP="001D04B2">
            <w:pPr>
              <w:spacing w:line="360" w:lineRule="auto"/>
              <w:rPr>
                <w:rFonts w:eastAsia="Calibri" w:cstheme="minorHAnsi"/>
              </w:rPr>
            </w:pPr>
            <w:r w:rsidRPr="001D04B2">
              <w:rPr>
                <w:rFonts w:eastAsia="Calibri" w:cstheme="minorHAnsi"/>
              </w:rPr>
              <w:t>0.001</w:t>
            </w:r>
          </w:p>
        </w:tc>
      </w:tr>
      <w:tr w:rsidR="00BD4E25" w:rsidRPr="00BD4E25" w14:paraId="2EF1541D" w14:textId="77777777" w:rsidTr="000A0478">
        <w:tc>
          <w:tcPr>
            <w:tcW w:w="2972" w:type="dxa"/>
            <w:shd w:val="clear" w:color="auto" w:fill="FFF2CC" w:themeFill="accent4" w:themeFillTint="33"/>
          </w:tcPr>
          <w:p w14:paraId="42D30934" w14:textId="4F1F71E0" w:rsidR="00465F2D" w:rsidRPr="001D04B2" w:rsidRDefault="00BB79E7" w:rsidP="001D04B2">
            <w:pPr>
              <w:spacing w:line="360" w:lineRule="auto"/>
              <w:rPr>
                <w:rFonts w:eastAsia="Calibri" w:cstheme="minorHAnsi"/>
              </w:rPr>
            </w:pPr>
            <w:r w:rsidRPr="00242D64">
              <w:rPr>
                <w:rFonts w:eastAsia="Calibri" w:cstheme="minorHAnsi"/>
                <w:i/>
                <w:iCs/>
              </w:rPr>
              <w:t>Corynebacterium</w:t>
            </w:r>
            <w:r w:rsidRPr="001D04B2">
              <w:rPr>
                <w:rFonts w:eastAsia="Calibri" w:cstheme="minorHAnsi"/>
              </w:rPr>
              <w:t>_21</w:t>
            </w:r>
          </w:p>
        </w:tc>
        <w:tc>
          <w:tcPr>
            <w:tcW w:w="3686" w:type="dxa"/>
            <w:shd w:val="clear" w:color="auto" w:fill="FFF2CC" w:themeFill="accent4" w:themeFillTint="33"/>
          </w:tcPr>
          <w:p w14:paraId="3514DA5F" w14:textId="26DD85EF" w:rsidR="00465F2D" w:rsidRPr="001D04B2" w:rsidRDefault="00BB79E7" w:rsidP="001D04B2">
            <w:pPr>
              <w:spacing w:line="360" w:lineRule="auto"/>
              <w:rPr>
                <w:rFonts w:eastAsia="Calibri" w:cstheme="minorHAnsi"/>
              </w:rPr>
            </w:pPr>
            <w:r w:rsidRPr="001D04B2">
              <w:rPr>
                <w:rFonts w:eastAsia="Calibri" w:cstheme="minorHAnsi"/>
              </w:rPr>
              <w:t>7.463</w:t>
            </w:r>
          </w:p>
        </w:tc>
        <w:tc>
          <w:tcPr>
            <w:tcW w:w="3118" w:type="dxa"/>
            <w:shd w:val="clear" w:color="auto" w:fill="FFF2CC" w:themeFill="accent4" w:themeFillTint="33"/>
          </w:tcPr>
          <w:p w14:paraId="7C0A371D" w14:textId="43889802" w:rsidR="00465F2D" w:rsidRPr="001D04B2" w:rsidRDefault="000A0478" w:rsidP="001D04B2">
            <w:pPr>
              <w:spacing w:line="360" w:lineRule="auto"/>
              <w:rPr>
                <w:rFonts w:eastAsia="Calibri" w:cstheme="minorHAnsi"/>
              </w:rPr>
            </w:pPr>
            <w:r w:rsidRPr="001D04B2">
              <w:rPr>
                <w:rFonts w:eastAsia="Calibri" w:cstheme="minorHAnsi"/>
              </w:rPr>
              <w:t>0.005</w:t>
            </w:r>
          </w:p>
        </w:tc>
      </w:tr>
      <w:tr w:rsidR="00BD4E25" w:rsidRPr="00BD4E25" w14:paraId="3B54AB96" w14:textId="77777777" w:rsidTr="000A0478">
        <w:tc>
          <w:tcPr>
            <w:tcW w:w="2972" w:type="dxa"/>
            <w:shd w:val="clear" w:color="auto" w:fill="FFF2CC" w:themeFill="accent4" w:themeFillTint="33"/>
          </w:tcPr>
          <w:p w14:paraId="7B34AAAF" w14:textId="391C749E" w:rsidR="00465F2D" w:rsidRPr="001D04B2" w:rsidRDefault="00BB79E7" w:rsidP="001D04B2">
            <w:pPr>
              <w:spacing w:line="360" w:lineRule="auto"/>
              <w:rPr>
                <w:rFonts w:eastAsia="Calibri" w:cstheme="minorHAnsi"/>
              </w:rPr>
            </w:pPr>
            <w:r w:rsidRPr="00242D64">
              <w:rPr>
                <w:rFonts w:eastAsia="Calibri" w:cstheme="minorHAnsi"/>
                <w:i/>
                <w:iCs/>
              </w:rPr>
              <w:t>Porphyromonas</w:t>
            </w:r>
            <w:r w:rsidRPr="001D04B2">
              <w:rPr>
                <w:rFonts w:eastAsia="Calibri" w:cstheme="minorHAnsi"/>
              </w:rPr>
              <w:t>_121</w:t>
            </w:r>
          </w:p>
        </w:tc>
        <w:tc>
          <w:tcPr>
            <w:tcW w:w="3686" w:type="dxa"/>
            <w:shd w:val="clear" w:color="auto" w:fill="FFF2CC" w:themeFill="accent4" w:themeFillTint="33"/>
          </w:tcPr>
          <w:p w14:paraId="2E84E6B9" w14:textId="7D5E60F7" w:rsidR="00465F2D" w:rsidRPr="001D04B2" w:rsidRDefault="00BB79E7" w:rsidP="001D04B2">
            <w:pPr>
              <w:spacing w:line="360" w:lineRule="auto"/>
              <w:rPr>
                <w:rFonts w:eastAsia="Calibri" w:cstheme="minorHAnsi"/>
              </w:rPr>
            </w:pPr>
            <w:r w:rsidRPr="001D04B2">
              <w:rPr>
                <w:rFonts w:eastAsia="Calibri" w:cstheme="minorHAnsi"/>
              </w:rPr>
              <w:t>9.407</w:t>
            </w:r>
          </w:p>
        </w:tc>
        <w:tc>
          <w:tcPr>
            <w:tcW w:w="3118" w:type="dxa"/>
            <w:shd w:val="clear" w:color="auto" w:fill="FFF2CC" w:themeFill="accent4" w:themeFillTint="33"/>
          </w:tcPr>
          <w:p w14:paraId="3B941775" w14:textId="78B39A3D" w:rsidR="00465F2D" w:rsidRPr="001D04B2" w:rsidRDefault="000A0478" w:rsidP="001D04B2">
            <w:pPr>
              <w:spacing w:line="360" w:lineRule="auto"/>
              <w:rPr>
                <w:rFonts w:eastAsia="Calibri" w:cstheme="minorHAnsi"/>
              </w:rPr>
            </w:pPr>
            <w:r w:rsidRPr="001D04B2">
              <w:rPr>
                <w:rFonts w:eastAsia="Calibri" w:cstheme="minorHAnsi"/>
              </w:rPr>
              <w:t>&lt;0.001</w:t>
            </w:r>
          </w:p>
        </w:tc>
      </w:tr>
      <w:tr w:rsidR="00BD4E25" w:rsidRPr="00BD4E25" w14:paraId="1CC9E918" w14:textId="77777777" w:rsidTr="000A0478">
        <w:tc>
          <w:tcPr>
            <w:tcW w:w="2972" w:type="dxa"/>
            <w:shd w:val="clear" w:color="auto" w:fill="FFF2CC" w:themeFill="accent4" w:themeFillTint="33"/>
          </w:tcPr>
          <w:p w14:paraId="3A47694B" w14:textId="52491A38" w:rsidR="00465F2D" w:rsidRPr="001D04B2" w:rsidRDefault="00BB79E7" w:rsidP="001D04B2">
            <w:pPr>
              <w:spacing w:line="360" w:lineRule="auto"/>
              <w:rPr>
                <w:rFonts w:eastAsia="Calibri" w:cstheme="minorHAnsi"/>
              </w:rPr>
            </w:pPr>
            <w:r w:rsidRPr="00242D64">
              <w:rPr>
                <w:rFonts w:eastAsia="Calibri" w:cstheme="minorHAnsi"/>
                <w:i/>
                <w:iCs/>
              </w:rPr>
              <w:t>Corynebacterium</w:t>
            </w:r>
            <w:r w:rsidRPr="001D04B2">
              <w:rPr>
                <w:rFonts w:eastAsia="Calibri" w:cstheme="minorHAnsi"/>
              </w:rPr>
              <w:t>_18</w:t>
            </w:r>
          </w:p>
        </w:tc>
        <w:tc>
          <w:tcPr>
            <w:tcW w:w="3686" w:type="dxa"/>
            <w:shd w:val="clear" w:color="auto" w:fill="FFF2CC" w:themeFill="accent4" w:themeFillTint="33"/>
          </w:tcPr>
          <w:p w14:paraId="609F26E1" w14:textId="5698842A" w:rsidR="00465F2D" w:rsidRPr="001D04B2" w:rsidRDefault="00BB79E7" w:rsidP="001D04B2">
            <w:pPr>
              <w:spacing w:line="360" w:lineRule="auto"/>
              <w:rPr>
                <w:rFonts w:eastAsia="Calibri" w:cstheme="minorHAnsi"/>
              </w:rPr>
            </w:pPr>
            <w:r w:rsidRPr="001D04B2">
              <w:rPr>
                <w:rFonts w:eastAsia="Calibri" w:cstheme="minorHAnsi"/>
              </w:rPr>
              <w:t>12.639</w:t>
            </w:r>
          </w:p>
        </w:tc>
        <w:tc>
          <w:tcPr>
            <w:tcW w:w="3118" w:type="dxa"/>
            <w:shd w:val="clear" w:color="auto" w:fill="FFF2CC" w:themeFill="accent4" w:themeFillTint="33"/>
          </w:tcPr>
          <w:p w14:paraId="54A36E43" w14:textId="055B4F0F" w:rsidR="00465F2D" w:rsidRPr="001D04B2" w:rsidRDefault="000A0478" w:rsidP="001D04B2">
            <w:pPr>
              <w:spacing w:line="360" w:lineRule="auto"/>
              <w:rPr>
                <w:rFonts w:eastAsia="Calibri" w:cstheme="minorHAnsi"/>
              </w:rPr>
            </w:pPr>
            <w:r w:rsidRPr="001D04B2">
              <w:rPr>
                <w:rFonts w:eastAsia="Calibri" w:cstheme="minorHAnsi"/>
              </w:rPr>
              <w:t>&lt;0.001</w:t>
            </w:r>
          </w:p>
        </w:tc>
      </w:tr>
    </w:tbl>
    <w:bookmarkEnd w:id="303"/>
    <w:p w14:paraId="7C278748" w14:textId="3C2745A2" w:rsidR="00C72A85" w:rsidRPr="00D5322C" w:rsidRDefault="00C72A85">
      <w:pPr>
        <w:pStyle w:val="ListParagraph"/>
        <w:numPr>
          <w:ilvl w:val="0"/>
          <w:numId w:val="59"/>
        </w:numPr>
        <w:spacing w:line="360" w:lineRule="auto"/>
        <w:rPr>
          <w:rFonts w:eastAsia="Calibri" w:cstheme="minorHAnsi"/>
          <w:sz w:val="24"/>
          <w:szCs w:val="24"/>
          <w:u w:val="single"/>
        </w:rPr>
      </w:pPr>
      <w:r w:rsidRPr="00D5322C">
        <w:rPr>
          <w:rFonts w:eastAsia="Calibri" w:cstheme="minorHAnsi"/>
          <w:sz w:val="24"/>
          <w:szCs w:val="24"/>
          <w:u w:val="single"/>
        </w:rPr>
        <w:t>Final set of swabs</w:t>
      </w:r>
    </w:p>
    <w:p w14:paraId="3D266105" w14:textId="573AF7F6" w:rsidR="00C72A85" w:rsidRPr="00C72A85" w:rsidRDefault="00C72A85" w:rsidP="00C72A85">
      <w:pPr>
        <w:ind w:left="360"/>
        <w:rPr>
          <w:rFonts w:eastAsia="Calibri" w:cstheme="minorHAnsi"/>
          <w:b/>
          <w:bCs/>
        </w:rPr>
      </w:pPr>
      <w:r w:rsidRPr="00C72A85">
        <w:rPr>
          <w:rFonts w:eastAsia="Calibri" w:cstheme="minorHAnsi"/>
          <w:b/>
          <w:bCs/>
        </w:rPr>
        <w:t>Key</w:t>
      </w:r>
    </w:p>
    <w:p w14:paraId="10F1B302" w14:textId="77421D81" w:rsidR="00C72A85" w:rsidRDefault="00C72A85" w:rsidP="00C72A85">
      <w:pPr>
        <w:ind w:firstLine="720"/>
        <w:rPr>
          <w:rFonts w:eastAsia="Calibri" w:cstheme="minorHAnsi"/>
        </w:rPr>
      </w:pPr>
      <w:r>
        <w:rPr>
          <w:rFonts w:eastAsia="Calibri" w:cstheme="minorHAnsi"/>
          <w:noProof/>
        </w:rPr>
        <mc:AlternateContent>
          <mc:Choice Requires="wps">
            <w:drawing>
              <wp:anchor distT="0" distB="0" distL="114300" distR="114300" simplePos="0" relativeHeight="251982336" behindDoc="0" locked="0" layoutInCell="1" allowOverlap="1" wp14:anchorId="16806EAE" wp14:editId="53E4154E">
                <wp:simplePos x="0" y="0"/>
                <wp:positionH relativeFrom="column">
                  <wp:posOffset>-9525</wp:posOffset>
                </wp:positionH>
                <wp:positionV relativeFrom="paragraph">
                  <wp:posOffset>24130</wp:posOffset>
                </wp:positionV>
                <wp:extent cx="152400" cy="142875"/>
                <wp:effectExtent l="0" t="0" r="19050" b="28575"/>
                <wp:wrapNone/>
                <wp:docPr id="18" name="Oval 18"/>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4472C4">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8100D" id="Oval 18" o:spid="_x0000_s1026" style="position:absolute;margin-left:-.75pt;margin-top:1.9pt;width:12pt;height:11.25pt;z-index:25198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" fillcolor="#dae3f3" strokecolor="#41719c" strokeweight="1pt">
                <v:stroke joinstyle="miter"/>
              </v:oval>
            </w:pict>
          </mc:Fallback>
        </mc:AlternateContent>
      </w:r>
      <w:r>
        <w:rPr>
          <w:rFonts w:eastAsia="Calibri" w:cstheme="minorHAnsi"/>
        </w:rPr>
        <w:t>Lower abundance taxa in the azithromycin group compared to the comparison group</w:t>
      </w:r>
    </w:p>
    <w:p w14:paraId="66698719" w14:textId="4318A298" w:rsidR="00A578B3" w:rsidRPr="00141B68" w:rsidRDefault="00C72A85" w:rsidP="00141B68">
      <w:pPr>
        <w:rPr>
          <w:rFonts w:eastAsia="Calibri" w:cstheme="minorHAnsi"/>
        </w:rPr>
      </w:pPr>
      <w:r>
        <w:rPr>
          <w:rFonts w:eastAsia="Calibri" w:cstheme="minorHAnsi"/>
          <w:noProof/>
        </w:rPr>
        <mc:AlternateContent>
          <mc:Choice Requires="wps">
            <w:drawing>
              <wp:anchor distT="0" distB="0" distL="114300" distR="114300" simplePos="0" relativeHeight="251983360" behindDoc="0" locked="0" layoutInCell="1" allowOverlap="1" wp14:anchorId="2C381F58" wp14:editId="03DB715A">
                <wp:simplePos x="0" y="0"/>
                <wp:positionH relativeFrom="column">
                  <wp:posOffset>-9525</wp:posOffset>
                </wp:positionH>
                <wp:positionV relativeFrom="paragraph">
                  <wp:posOffset>38100</wp:posOffset>
                </wp:positionV>
                <wp:extent cx="152400" cy="142875"/>
                <wp:effectExtent l="0" t="0" r="19050" b="28575"/>
                <wp:wrapNone/>
                <wp:docPr id="20" name="Oval 20"/>
                <wp:cNvGraphicFramePr/>
                <a:graphic xmlns:a="http://schemas.openxmlformats.org/drawingml/2006/main">
                  <a:graphicData uri="http://schemas.microsoft.com/office/word/2010/wordprocessingShape">
                    <wps:wsp>
                      <wps:cNvSpPr/>
                      <wps:spPr>
                        <a:xfrm>
                          <a:off x="0" y="0"/>
                          <a:ext cx="152400" cy="142875"/>
                        </a:xfrm>
                        <a:prstGeom prst="ellipse">
                          <a:avLst/>
                        </a:prstGeom>
                        <a:solidFill>
                          <a:srgbClr val="FFC000">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17F66" id="Oval 20" o:spid="_x0000_s1026" style="position:absolute;margin-left:-.75pt;margin-top:3pt;width:12pt;height:11.25pt;z-index:2519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" fillcolor="#fff2cc" strokecolor="#41719c" strokeweight="1pt">
                <v:stroke joinstyle="miter"/>
              </v:oval>
            </w:pict>
          </mc:Fallback>
        </mc:AlternateContent>
      </w:r>
      <w:r>
        <w:rPr>
          <w:rFonts w:eastAsia="Calibri" w:cstheme="minorHAnsi"/>
        </w:rPr>
        <w:tab/>
        <w:t>Higher abundance taxa in the azithromycin group compared to the comparison group</w:t>
      </w:r>
    </w:p>
    <w:p w14:paraId="656981D3" w14:textId="4ECCA5AC" w:rsidR="00E92008" w:rsidRDefault="00E92008" w:rsidP="00752DA8">
      <w:pPr>
        <w:pStyle w:val="Heading3"/>
      </w:pPr>
      <w:bookmarkStart w:id="304" w:name="_Toc117766012"/>
      <w:r>
        <w:lastRenderedPageBreak/>
        <w:t>Alpha diversity of nasopharyngeal swabs</w:t>
      </w:r>
      <w:bookmarkEnd w:id="304"/>
    </w:p>
    <w:p w14:paraId="2F00AF46" w14:textId="46FC301A" w:rsidR="00E92008" w:rsidRDefault="00E92008" w:rsidP="00B751E5">
      <w:pPr>
        <w:spacing w:line="360" w:lineRule="auto"/>
      </w:pPr>
      <w:r w:rsidRPr="0076547C">
        <w:t xml:space="preserve">Alpha diversity is a measure of </w:t>
      </w:r>
      <w:r w:rsidR="0049274B">
        <w:t>‘</w:t>
      </w:r>
      <w:r w:rsidRPr="0076547C">
        <w:t>within sample</w:t>
      </w:r>
      <w:r w:rsidR="00B222F9">
        <w:t>’</w:t>
      </w:r>
      <w:r w:rsidRPr="0076547C">
        <w:t xml:space="preserve"> diversity. The Shannon index is a </w:t>
      </w:r>
      <w:r>
        <w:t>metric</w:t>
      </w:r>
      <w:r w:rsidRPr="0076547C">
        <w:t xml:space="preserve"> used to calculate alpha diversity</w:t>
      </w:r>
      <w:r w:rsidR="0049274B">
        <w:t>,</w:t>
      </w:r>
      <w:r w:rsidRPr="0076547C">
        <w:t xml:space="preserve"> taking into account the sample richness (number of species) and evenness (relative abundance) of species within a community. Box and whisker plots of the Shannon indices for all the nasopharyngeal swabs are shown in</w:t>
      </w:r>
      <w:r w:rsidR="009B29AE">
        <w:t xml:space="preserve"> </w:t>
      </w:r>
      <w:r w:rsidR="009B29AE" w:rsidRPr="009B29AE">
        <w:fldChar w:fldCharType="begin"/>
      </w:r>
      <w:r w:rsidR="009B29AE" w:rsidRPr="009B29AE">
        <w:instrText xml:space="preserve"> REF _Ref105510677 \h  \* MERGEFORMAT </w:instrText>
      </w:r>
      <w:r w:rsidR="009B29AE" w:rsidRPr="009B29AE">
        <w:fldChar w:fldCharType="separate"/>
      </w:r>
      <w:r w:rsidR="009B29AE" w:rsidRPr="009B29AE">
        <w:rPr>
          <w:color w:val="000000" w:themeColor="text1"/>
        </w:rPr>
        <w:t xml:space="preserve">Figure </w:t>
      </w:r>
      <w:r w:rsidR="009B29AE" w:rsidRPr="009B29AE">
        <w:rPr>
          <w:noProof/>
          <w:color w:val="000000" w:themeColor="text1"/>
        </w:rPr>
        <w:t>5</w:t>
      </w:r>
      <w:r w:rsidR="009B29AE" w:rsidRPr="009B29AE">
        <w:rPr>
          <w:color w:val="000000" w:themeColor="text1"/>
        </w:rPr>
        <w:noBreakHyphen/>
      </w:r>
      <w:r w:rsidR="009B29AE" w:rsidRPr="009B29AE">
        <w:rPr>
          <w:noProof/>
          <w:color w:val="000000" w:themeColor="text1"/>
        </w:rPr>
        <w:t>6</w:t>
      </w:r>
      <w:r w:rsidR="009B29AE" w:rsidRPr="009B29AE">
        <w:fldChar w:fldCharType="end"/>
      </w:r>
      <w:r>
        <w:t>.</w:t>
      </w:r>
      <w:r w:rsidRPr="0076547C">
        <w:t xml:space="preserve"> At baseline there was no significant difference in the Shannon index between the azithromycin and comparison group </w:t>
      </w:r>
      <w:r>
        <w:t>(</w:t>
      </w:r>
      <w:r w:rsidR="00F37E4E" w:rsidRPr="00F37E4E">
        <w:fldChar w:fldCharType="begin"/>
      </w:r>
      <w:r w:rsidR="00F37E4E" w:rsidRPr="00F37E4E">
        <w:instrText xml:space="preserve"> REF _Ref105510677 \h  \* MERGEFORMAT </w:instrText>
      </w:r>
      <w:r w:rsidR="00F37E4E" w:rsidRPr="00F37E4E">
        <w:fldChar w:fldCharType="separate"/>
      </w:r>
      <w:r w:rsidR="00F37E4E" w:rsidRPr="00F37E4E">
        <w:rPr>
          <w:color w:val="000000" w:themeColor="text1"/>
        </w:rPr>
        <w:t xml:space="preserve">Figure </w:t>
      </w:r>
      <w:r w:rsidR="00F37E4E" w:rsidRPr="00F37E4E">
        <w:rPr>
          <w:noProof/>
          <w:color w:val="000000" w:themeColor="text1"/>
        </w:rPr>
        <w:t>5</w:t>
      </w:r>
      <w:r w:rsidR="00F37E4E" w:rsidRPr="00F37E4E">
        <w:rPr>
          <w:color w:val="000000" w:themeColor="text1"/>
        </w:rPr>
        <w:noBreakHyphen/>
      </w:r>
      <w:r w:rsidR="00F37E4E" w:rsidRPr="00F37E4E">
        <w:rPr>
          <w:noProof/>
          <w:color w:val="000000" w:themeColor="text1"/>
        </w:rPr>
        <w:t>6</w:t>
      </w:r>
      <w:r w:rsidR="00F37E4E" w:rsidRPr="00F37E4E">
        <w:fldChar w:fldCharType="end"/>
      </w:r>
      <w:r w:rsidR="00F37E4E">
        <w:t xml:space="preserve"> </w:t>
      </w:r>
      <w:r w:rsidR="001F112D">
        <w:t>and</w:t>
      </w:r>
      <w:r w:rsidR="00897F71">
        <w:t xml:space="preserve"> </w:t>
      </w:r>
      <w:r w:rsidR="00897F71" w:rsidRPr="00897F71">
        <w:fldChar w:fldCharType="begin"/>
      </w:r>
      <w:r w:rsidR="00897F71" w:rsidRPr="00897F71">
        <w:instrText xml:space="preserve"> REF _Ref105700512 \h  \* MERGEFORMAT </w:instrText>
      </w:r>
      <w:r w:rsidR="00897F71" w:rsidRPr="00897F71">
        <w:fldChar w:fldCharType="separate"/>
      </w:r>
      <w:r w:rsidR="00897F71" w:rsidRPr="00897F71">
        <w:rPr>
          <w:color w:val="000000" w:themeColor="text1"/>
        </w:rPr>
        <w:t xml:space="preserve">Table </w:t>
      </w:r>
      <w:r w:rsidR="00897F71" w:rsidRPr="00897F71">
        <w:rPr>
          <w:noProof/>
          <w:color w:val="000000" w:themeColor="text1"/>
        </w:rPr>
        <w:t>37</w:t>
      </w:r>
      <w:r w:rsidR="00897F71" w:rsidRPr="00897F71">
        <w:fldChar w:fldCharType="end"/>
      </w:r>
      <w:r>
        <w:t>).</w:t>
      </w:r>
      <w:r w:rsidRPr="0076547C">
        <w:t xml:space="preserve"> The </w:t>
      </w:r>
      <w:r>
        <w:t xml:space="preserve">diversity within samples collected whilst children were taking azithromycin </w:t>
      </w:r>
      <w:r w:rsidR="001F112D">
        <w:t>during the second set of swabs was</w:t>
      </w:r>
      <w:r>
        <w:t xml:space="preserve"> </w:t>
      </w:r>
      <w:r w:rsidR="00AE46F2">
        <w:t xml:space="preserve">significantly </w:t>
      </w:r>
      <w:r w:rsidR="00DB069C">
        <w:t xml:space="preserve">(p=0.02) </w:t>
      </w:r>
      <w:r>
        <w:t>lower than those</w:t>
      </w:r>
      <w:r w:rsidR="001F112D">
        <w:t xml:space="preserve"> in the comparison group</w:t>
      </w:r>
      <w:r w:rsidR="00DD0516">
        <w:t xml:space="preserve"> </w:t>
      </w:r>
      <w:r w:rsidR="00760FE6">
        <w:t xml:space="preserve">as determined </w:t>
      </w:r>
      <w:r w:rsidR="00A80BFA">
        <w:t>using</w:t>
      </w:r>
      <w:r w:rsidR="00760FE6">
        <w:t xml:space="preserve"> </w:t>
      </w:r>
      <w:r w:rsidR="00B74255">
        <w:t>Fisher’s test</w:t>
      </w:r>
      <w:r w:rsidR="00760FE6">
        <w:t xml:space="preserve"> </w:t>
      </w:r>
      <w:r w:rsidR="00DD0516">
        <w:t>(Figure 5-6 and Table 38</w:t>
      </w:r>
      <w:r w:rsidR="00E4446B">
        <w:t>)</w:t>
      </w:r>
      <w:r>
        <w:t>. By the final swabs</w:t>
      </w:r>
      <w:r w:rsidR="007C77EC">
        <w:t xml:space="preserve"> when 11 out of the 15 participants were no longer taking azithromycin</w:t>
      </w:r>
      <w:r>
        <w:t xml:space="preserve">, </w:t>
      </w:r>
      <w:r w:rsidR="00AE46F2">
        <w:t xml:space="preserve">there was again no significant difference in alpha diversity between the </w:t>
      </w:r>
      <w:r w:rsidR="00EB235C">
        <w:t>azithromycin</w:t>
      </w:r>
      <w:r w:rsidR="00AE46F2">
        <w:t xml:space="preserve"> and </w:t>
      </w:r>
      <w:r w:rsidR="00EB235C">
        <w:t>comparison</w:t>
      </w:r>
      <w:r w:rsidR="00AE46F2">
        <w:t xml:space="preserve"> group</w:t>
      </w:r>
      <w:r w:rsidR="00EB235C">
        <w:t>.</w:t>
      </w:r>
    </w:p>
    <w:p w14:paraId="2F5E3E8B" w14:textId="2960946E" w:rsidR="00B74255" w:rsidRDefault="00B74255" w:rsidP="00B751E5">
      <w:pPr>
        <w:spacing w:line="360" w:lineRule="auto"/>
        <w:rPr>
          <w:rFonts w:ascii="Calibri" w:hAnsi="Calibri"/>
          <w:b/>
          <w:bCs/>
          <w:noProof/>
        </w:rPr>
      </w:pPr>
    </w:p>
    <w:p w14:paraId="792B1500" w14:textId="6D15975E" w:rsidR="00B74255" w:rsidRDefault="00B74255" w:rsidP="00B751E5">
      <w:pPr>
        <w:spacing w:line="360" w:lineRule="auto"/>
        <w:rPr>
          <w:rFonts w:ascii="Calibri" w:hAnsi="Calibri"/>
          <w:b/>
          <w:bCs/>
          <w:noProof/>
        </w:rPr>
      </w:pPr>
    </w:p>
    <w:p w14:paraId="632F729F" w14:textId="49EBE878" w:rsidR="00B74255" w:rsidRDefault="00B74255" w:rsidP="00B751E5">
      <w:pPr>
        <w:spacing w:line="360" w:lineRule="auto"/>
        <w:rPr>
          <w:rFonts w:ascii="Calibri" w:hAnsi="Calibri"/>
          <w:b/>
          <w:bCs/>
          <w:noProof/>
        </w:rPr>
      </w:pPr>
    </w:p>
    <w:p w14:paraId="7A42261F" w14:textId="77777777" w:rsidR="00B74255" w:rsidRPr="00C461FA" w:rsidRDefault="00B74255" w:rsidP="00B751E5">
      <w:pPr>
        <w:spacing w:line="360" w:lineRule="auto"/>
        <w:rPr>
          <w:rFonts w:ascii="Calibri" w:eastAsia="Calibri" w:hAnsi="Calibri"/>
          <w:b/>
          <w:bCs/>
          <w:noProof/>
        </w:rPr>
      </w:pPr>
    </w:p>
    <w:tbl>
      <w:tblPr>
        <w:tblStyle w:val="TableGrid"/>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39"/>
      </w:tblGrid>
      <w:tr w:rsidR="00E92008" w14:paraId="030FC200" w14:textId="77777777" w:rsidTr="00D67FE8">
        <w:trPr>
          <w:trHeight w:val="5954"/>
        </w:trPr>
        <w:tc>
          <w:tcPr>
            <w:tcW w:w="4866" w:type="dxa"/>
          </w:tcPr>
          <w:p w14:paraId="4850CF98" w14:textId="77777777" w:rsidR="00E92008" w:rsidRDefault="00E92008" w:rsidP="00703D08">
            <w:pPr>
              <w:keepNext/>
            </w:pPr>
            <w:bookmarkStart w:id="305" w:name="_Hlk102484558"/>
            <w:r w:rsidRPr="006D328E">
              <w:rPr>
                <w:rFonts w:ascii="Calibri" w:eastAsia="Calibri" w:hAnsi="Calibri"/>
                <w:noProof/>
              </w:rPr>
              <w:drawing>
                <wp:inline distT="0" distB="0" distL="0" distR="0" wp14:anchorId="79CF9F4B" wp14:editId="280377C9">
                  <wp:extent cx="2943225" cy="3209925"/>
                  <wp:effectExtent l="0" t="0" r="9525" b="9525"/>
                  <wp:docPr id="201" name="Picture 2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943225" cy="3209925"/>
                          </a:xfrm>
                          <a:prstGeom prst="rect">
                            <a:avLst/>
                          </a:prstGeom>
                        </pic:spPr>
                      </pic:pic>
                    </a:graphicData>
                  </a:graphic>
                </wp:inline>
              </w:drawing>
            </w:r>
          </w:p>
          <w:p w14:paraId="5F38D8C7" w14:textId="77777777" w:rsidR="00E92008" w:rsidRPr="00C461FA" w:rsidRDefault="00E92008">
            <w:pPr>
              <w:pStyle w:val="Caption"/>
              <w:numPr>
                <w:ilvl w:val="0"/>
                <w:numId w:val="45"/>
              </w:numPr>
              <w:rPr>
                <w:rFonts w:ascii="Calibri" w:eastAsia="Calibri" w:hAnsi="Calibri"/>
                <w:i w:val="0"/>
                <w:iCs w:val="0"/>
                <w:noProof/>
                <w:color w:val="000000" w:themeColor="text1"/>
                <w:sz w:val="24"/>
                <w:szCs w:val="24"/>
              </w:rPr>
            </w:pPr>
            <w:r w:rsidRPr="00C461FA">
              <w:rPr>
                <w:i w:val="0"/>
                <w:iCs w:val="0"/>
                <w:color w:val="000000" w:themeColor="text1"/>
                <w:sz w:val="24"/>
                <w:szCs w:val="24"/>
              </w:rPr>
              <w:t xml:space="preserve">Alpha diversity of swabs taken over the study period in the </w:t>
            </w:r>
            <w:r w:rsidRPr="00820498">
              <w:rPr>
                <w:i w:val="0"/>
                <w:iCs w:val="0"/>
                <w:color w:val="000000" w:themeColor="text1"/>
                <w:sz w:val="24"/>
                <w:szCs w:val="24"/>
                <w:u w:val="single"/>
              </w:rPr>
              <w:t>comparison group.</w:t>
            </w:r>
          </w:p>
          <w:p w14:paraId="22E12CFA" w14:textId="77777777" w:rsidR="00E92008" w:rsidRPr="005D4602" w:rsidRDefault="00E92008" w:rsidP="00703D08">
            <w:pPr>
              <w:rPr>
                <w:rFonts w:ascii="Calibri" w:eastAsia="Calibri" w:hAnsi="Calibri"/>
                <w:noProof/>
                <w:sz w:val="10"/>
                <w:szCs w:val="10"/>
              </w:rPr>
            </w:pPr>
          </w:p>
        </w:tc>
        <w:tc>
          <w:tcPr>
            <w:tcW w:w="4839" w:type="dxa"/>
          </w:tcPr>
          <w:p w14:paraId="33872EC4" w14:textId="77777777" w:rsidR="00E92008" w:rsidRDefault="00E92008" w:rsidP="00703D08">
            <w:pPr>
              <w:keepNext/>
            </w:pPr>
            <w:r w:rsidRPr="00986D25">
              <w:rPr>
                <w:rFonts w:ascii="Calibri" w:eastAsia="Calibri" w:hAnsi="Calibri"/>
                <w:noProof/>
              </w:rPr>
              <w:drawing>
                <wp:inline distT="0" distB="0" distL="0" distR="0" wp14:anchorId="15BAD7A2" wp14:editId="7A7B7FFB">
                  <wp:extent cx="2863823" cy="3162300"/>
                  <wp:effectExtent l="0" t="0" r="0" b="0"/>
                  <wp:docPr id="203" name="Picture 20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863823" cy="3162300"/>
                          </a:xfrm>
                          <a:prstGeom prst="rect">
                            <a:avLst/>
                          </a:prstGeom>
                        </pic:spPr>
                      </pic:pic>
                    </a:graphicData>
                  </a:graphic>
                </wp:inline>
              </w:drawing>
            </w:r>
          </w:p>
          <w:p w14:paraId="6419D4AA" w14:textId="77777777" w:rsidR="00E92008" w:rsidRPr="00C461FA" w:rsidRDefault="00E92008">
            <w:pPr>
              <w:pStyle w:val="Caption"/>
              <w:numPr>
                <w:ilvl w:val="0"/>
                <w:numId w:val="45"/>
              </w:numPr>
              <w:rPr>
                <w:i w:val="0"/>
                <w:iCs w:val="0"/>
                <w:color w:val="000000" w:themeColor="text1"/>
                <w:sz w:val="24"/>
                <w:szCs w:val="24"/>
              </w:rPr>
            </w:pPr>
            <w:r w:rsidRPr="00C461FA">
              <w:rPr>
                <w:i w:val="0"/>
                <w:iCs w:val="0"/>
                <w:color w:val="000000" w:themeColor="text1"/>
                <w:sz w:val="24"/>
                <w:szCs w:val="24"/>
              </w:rPr>
              <w:t xml:space="preserve"> Alpha diversity of swabs taken over the study period in the </w:t>
            </w:r>
            <w:r w:rsidRPr="00820498">
              <w:rPr>
                <w:i w:val="0"/>
                <w:iCs w:val="0"/>
                <w:color w:val="000000" w:themeColor="text1"/>
                <w:sz w:val="24"/>
                <w:szCs w:val="24"/>
                <w:u w:val="single"/>
              </w:rPr>
              <w:t>azithromycin group</w:t>
            </w:r>
            <w:r>
              <w:rPr>
                <w:i w:val="0"/>
                <w:iCs w:val="0"/>
                <w:color w:val="000000" w:themeColor="text1"/>
                <w:sz w:val="24"/>
                <w:szCs w:val="24"/>
                <w:u w:val="single"/>
              </w:rPr>
              <w:t>.</w:t>
            </w:r>
          </w:p>
          <w:p w14:paraId="4E007831" w14:textId="77777777" w:rsidR="00E92008" w:rsidRDefault="00E92008" w:rsidP="00703D08">
            <w:pPr>
              <w:rPr>
                <w:rFonts w:ascii="Calibri" w:eastAsia="Calibri" w:hAnsi="Calibri"/>
                <w:noProof/>
              </w:rPr>
            </w:pPr>
          </w:p>
        </w:tc>
      </w:tr>
    </w:tbl>
    <w:p w14:paraId="0E923772" w14:textId="61FDC05E" w:rsidR="00E92008" w:rsidRDefault="00E92008" w:rsidP="00E92008">
      <w:pPr>
        <w:pStyle w:val="Caption"/>
        <w:rPr>
          <w:i w:val="0"/>
          <w:iCs w:val="0"/>
          <w:color w:val="000000" w:themeColor="text1"/>
          <w:sz w:val="24"/>
          <w:szCs w:val="24"/>
        </w:rPr>
      </w:pPr>
      <w:bookmarkStart w:id="306" w:name="_Ref105510677"/>
      <w:bookmarkStart w:id="307" w:name="_Toc117780237"/>
      <w:bookmarkStart w:id="308" w:name="_Hlk102484582"/>
      <w:bookmarkEnd w:id="305"/>
      <w:r w:rsidRPr="00C461FA">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6</w:t>
      </w:r>
      <w:r w:rsidR="00F42C6F">
        <w:rPr>
          <w:b/>
          <w:bCs/>
          <w:i w:val="0"/>
          <w:iCs w:val="0"/>
          <w:color w:val="000000" w:themeColor="text1"/>
          <w:sz w:val="24"/>
          <w:szCs w:val="24"/>
        </w:rPr>
        <w:fldChar w:fldCharType="end"/>
      </w:r>
      <w:bookmarkEnd w:id="306"/>
      <w:r w:rsidRPr="00C461FA">
        <w:rPr>
          <w:b/>
          <w:bCs/>
          <w:i w:val="0"/>
          <w:iCs w:val="0"/>
          <w:color w:val="000000" w:themeColor="text1"/>
          <w:sz w:val="24"/>
          <w:szCs w:val="24"/>
        </w:rPr>
        <w:t>:</w:t>
      </w:r>
      <w:r w:rsidRPr="00C461FA">
        <w:rPr>
          <w:i w:val="0"/>
          <w:iCs w:val="0"/>
          <w:color w:val="000000" w:themeColor="text1"/>
          <w:sz w:val="24"/>
          <w:szCs w:val="24"/>
        </w:rPr>
        <w:t xml:space="preserve"> </w:t>
      </w:r>
      <w:r>
        <w:rPr>
          <w:i w:val="0"/>
          <w:iCs w:val="0"/>
          <w:color w:val="000000" w:themeColor="text1"/>
          <w:sz w:val="24"/>
          <w:szCs w:val="24"/>
        </w:rPr>
        <w:t xml:space="preserve">Alpha diversity of swabs </w:t>
      </w:r>
      <w:r w:rsidRPr="00C461FA">
        <w:rPr>
          <w:i w:val="0"/>
          <w:iCs w:val="0"/>
          <w:color w:val="000000" w:themeColor="text1"/>
          <w:sz w:val="24"/>
          <w:szCs w:val="24"/>
        </w:rPr>
        <w:t>taken from participants in both the azithromycin and comparison group</w:t>
      </w:r>
      <w:r>
        <w:rPr>
          <w:i w:val="0"/>
          <w:iCs w:val="0"/>
          <w:color w:val="000000" w:themeColor="text1"/>
          <w:sz w:val="24"/>
          <w:szCs w:val="24"/>
        </w:rPr>
        <w:t>s</w:t>
      </w:r>
      <w:r w:rsidRPr="00C461FA">
        <w:rPr>
          <w:i w:val="0"/>
          <w:iCs w:val="0"/>
          <w:color w:val="000000" w:themeColor="text1"/>
          <w:sz w:val="24"/>
          <w:szCs w:val="24"/>
        </w:rPr>
        <w:t xml:space="preserve"> over </w:t>
      </w:r>
      <w:r>
        <w:rPr>
          <w:i w:val="0"/>
          <w:iCs w:val="0"/>
          <w:color w:val="000000" w:themeColor="text1"/>
          <w:sz w:val="24"/>
          <w:szCs w:val="24"/>
        </w:rPr>
        <w:t>the study period</w:t>
      </w:r>
      <w:bookmarkEnd w:id="307"/>
    </w:p>
    <w:p w14:paraId="1A65C1CC" w14:textId="649DABAE" w:rsidR="00E92008" w:rsidRDefault="00E92008" w:rsidP="00B74255">
      <w:pPr>
        <w:spacing w:line="360" w:lineRule="auto"/>
        <w:rPr>
          <w:i/>
          <w:iCs/>
        </w:rPr>
      </w:pPr>
      <w:r w:rsidRPr="00F37E4E">
        <w:rPr>
          <w:i/>
          <w:iCs/>
        </w:rPr>
        <w:lastRenderedPageBreak/>
        <w:t xml:space="preserve">Shannon indexes have been plotted as a measure of alpha diversity for all the background swabs in both groups (exacerbation swabs excluded). </w:t>
      </w:r>
      <w:r w:rsidRPr="00F37E4E">
        <w:rPr>
          <w:b/>
          <w:bCs/>
          <w:i/>
          <w:iCs/>
        </w:rPr>
        <w:t>A)</w:t>
      </w:r>
      <w:r w:rsidRPr="00F37E4E">
        <w:rPr>
          <w:i/>
          <w:iCs/>
        </w:rPr>
        <w:t xml:space="preserve"> shows the alpha diversity of the swabs in the comparison group and </w:t>
      </w:r>
      <w:r w:rsidRPr="00F37E4E">
        <w:rPr>
          <w:b/>
          <w:bCs/>
          <w:i/>
          <w:iCs/>
        </w:rPr>
        <w:t>B)</w:t>
      </w:r>
      <w:r w:rsidRPr="00F37E4E">
        <w:rPr>
          <w:i/>
          <w:iCs/>
        </w:rPr>
        <w:t xml:space="preserve"> alpha diversity of the swabs in the azithromycin group. The x-axis represents the time of each round of swabs </w:t>
      </w:r>
      <w:r w:rsidR="00C47244" w:rsidRPr="00F37E4E">
        <w:rPr>
          <w:i/>
          <w:iCs/>
        </w:rPr>
        <w:t>i.e.</w:t>
      </w:r>
      <w:r w:rsidRPr="00F37E4E">
        <w:rPr>
          <w:i/>
          <w:iCs/>
        </w:rPr>
        <w:t>, first, second, third and final rounds of swab collection.</w:t>
      </w:r>
    </w:p>
    <w:p w14:paraId="0FD01A5D" w14:textId="77777777" w:rsidR="00B74255" w:rsidRDefault="00B74255" w:rsidP="00B74255">
      <w:pPr>
        <w:spacing w:line="360" w:lineRule="auto"/>
        <w:rPr>
          <w:i/>
          <w:iCs/>
        </w:rPr>
      </w:pPr>
    </w:p>
    <w:p w14:paraId="3D99F939" w14:textId="77777777" w:rsidR="00D67FE8" w:rsidRPr="00F37E4E" w:rsidRDefault="00D67FE8" w:rsidP="00E92008">
      <w:pPr>
        <w:rPr>
          <w:i/>
          <w:iCs/>
        </w:rPr>
      </w:pPr>
    </w:p>
    <w:p w14:paraId="44901C5A" w14:textId="0E2E8E2E" w:rsidR="00925933" w:rsidRPr="00925933" w:rsidRDefault="00925933" w:rsidP="00925933">
      <w:pPr>
        <w:pStyle w:val="Caption"/>
        <w:keepNext/>
        <w:rPr>
          <w:i w:val="0"/>
          <w:iCs w:val="0"/>
          <w:color w:val="000000" w:themeColor="text1"/>
          <w:sz w:val="24"/>
          <w:szCs w:val="24"/>
        </w:rPr>
      </w:pPr>
      <w:bookmarkStart w:id="309" w:name="_Ref105700512"/>
      <w:bookmarkStart w:id="310" w:name="_Toc117780277"/>
      <w:bookmarkEnd w:id="308"/>
      <w:r w:rsidRPr="00925933">
        <w:rPr>
          <w:b/>
          <w:bCs/>
          <w:i w:val="0"/>
          <w:iCs w:val="0"/>
          <w:color w:val="000000" w:themeColor="text1"/>
          <w:sz w:val="24"/>
          <w:szCs w:val="24"/>
        </w:rPr>
        <w:t xml:space="preserve">Table </w:t>
      </w:r>
      <w:r w:rsidRPr="00925933">
        <w:rPr>
          <w:b/>
          <w:bCs/>
          <w:i w:val="0"/>
          <w:iCs w:val="0"/>
          <w:color w:val="000000" w:themeColor="text1"/>
          <w:sz w:val="24"/>
          <w:szCs w:val="24"/>
        </w:rPr>
        <w:fldChar w:fldCharType="begin"/>
      </w:r>
      <w:r w:rsidRPr="00925933">
        <w:rPr>
          <w:b/>
          <w:bCs/>
          <w:i w:val="0"/>
          <w:iCs w:val="0"/>
          <w:color w:val="000000" w:themeColor="text1"/>
          <w:sz w:val="24"/>
          <w:szCs w:val="24"/>
        </w:rPr>
        <w:instrText xml:space="preserve"> SEQ Table \* ARABIC </w:instrText>
      </w:r>
      <w:r w:rsidRPr="00925933">
        <w:rPr>
          <w:b/>
          <w:bCs/>
          <w:i w:val="0"/>
          <w:iCs w:val="0"/>
          <w:color w:val="000000" w:themeColor="text1"/>
          <w:sz w:val="24"/>
          <w:szCs w:val="24"/>
        </w:rPr>
        <w:fldChar w:fldCharType="separate"/>
      </w:r>
      <w:r w:rsidR="00592CBF">
        <w:rPr>
          <w:b/>
          <w:bCs/>
          <w:i w:val="0"/>
          <w:iCs w:val="0"/>
          <w:noProof/>
          <w:color w:val="000000" w:themeColor="text1"/>
          <w:sz w:val="24"/>
          <w:szCs w:val="24"/>
        </w:rPr>
        <w:t>38</w:t>
      </w:r>
      <w:r w:rsidRPr="00925933">
        <w:rPr>
          <w:b/>
          <w:bCs/>
          <w:i w:val="0"/>
          <w:iCs w:val="0"/>
          <w:color w:val="000000" w:themeColor="text1"/>
          <w:sz w:val="24"/>
          <w:szCs w:val="24"/>
        </w:rPr>
        <w:fldChar w:fldCharType="end"/>
      </w:r>
      <w:bookmarkEnd w:id="309"/>
      <w:r w:rsidRPr="00925933">
        <w:rPr>
          <w:i w:val="0"/>
          <w:iCs w:val="0"/>
          <w:color w:val="000000" w:themeColor="text1"/>
          <w:sz w:val="24"/>
          <w:szCs w:val="24"/>
        </w:rPr>
        <w:t xml:space="preserve">: Mean </w:t>
      </w:r>
      <w:r>
        <w:rPr>
          <w:i w:val="0"/>
          <w:iCs w:val="0"/>
          <w:color w:val="000000" w:themeColor="text1"/>
          <w:sz w:val="24"/>
          <w:szCs w:val="24"/>
        </w:rPr>
        <w:t>S</w:t>
      </w:r>
      <w:r w:rsidRPr="00925933">
        <w:rPr>
          <w:i w:val="0"/>
          <w:iCs w:val="0"/>
          <w:color w:val="000000" w:themeColor="text1"/>
          <w:sz w:val="24"/>
          <w:szCs w:val="24"/>
        </w:rPr>
        <w:t>hannon indexes for each of the 4 sets of swabs</w:t>
      </w:r>
      <w:bookmarkEnd w:id="310"/>
    </w:p>
    <w:tbl>
      <w:tblPr>
        <w:tblStyle w:val="TableGrid"/>
        <w:tblW w:w="0" w:type="auto"/>
        <w:tblLook w:val="04A0" w:firstRow="1" w:lastRow="0" w:firstColumn="1" w:lastColumn="0" w:noHBand="0" w:noVBand="1"/>
      </w:tblPr>
      <w:tblGrid>
        <w:gridCol w:w="2337"/>
        <w:gridCol w:w="2337"/>
        <w:gridCol w:w="2338"/>
        <w:gridCol w:w="2338"/>
      </w:tblGrid>
      <w:tr w:rsidR="001F112D" w14:paraId="31D5AC4C" w14:textId="77777777" w:rsidTr="001D04B2">
        <w:tc>
          <w:tcPr>
            <w:tcW w:w="2337" w:type="dxa"/>
            <w:shd w:val="clear" w:color="auto" w:fill="9CC2E5" w:themeFill="accent1" w:themeFillTint="99"/>
          </w:tcPr>
          <w:p w14:paraId="00D652F2" w14:textId="77777777" w:rsidR="001F112D" w:rsidRPr="001D04B2" w:rsidRDefault="001F112D" w:rsidP="00E92008"/>
        </w:tc>
        <w:tc>
          <w:tcPr>
            <w:tcW w:w="2337" w:type="dxa"/>
            <w:shd w:val="clear" w:color="auto" w:fill="9CC2E5" w:themeFill="accent1" w:themeFillTint="99"/>
          </w:tcPr>
          <w:p w14:paraId="711B4631" w14:textId="77777777" w:rsidR="001F112D" w:rsidRDefault="001F112D" w:rsidP="00E92008">
            <w:r>
              <w:t>Mean Shannon index</w:t>
            </w:r>
          </w:p>
          <w:p w14:paraId="3938B4A7" w14:textId="23FAD5FC" w:rsidR="001F112D" w:rsidRPr="001D04B2" w:rsidRDefault="001F112D" w:rsidP="00E92008">
            <w:r>
              <w:t>Azithromycin group</w:t>
            </w:r>
          </w:p>
        </w:tc>
        <w:tc>
          <w:tcPr>
            <w:tcW w:w="2338" w:type="dxa"/>
            <w:shd w:val="clear" w:color="auto" w:fill="9CC2E5" w:themeFill="accent1" w:themeFillTint="99"/>
          </w:tcPr>
          <w:p w14:paraId="30FB2E2B" w14:textId="77777777" w:rsidR="001F112D" w:rsidRDefault="001F112D" w:rsidP="00E92008">
            <w:r>
              <w:t>Mean Shannon index</w:t>
            </w:r>
          </w:p>
          <w:p w14:paraId="4F7740FC" w14:textId="24DCF160" w:rsidR="001F112D" w:rsidRPr="001D04B2" w:rsidRDefault="001F112D" w:rsidP="00E92008">
            <w:r>
              <w:t>Comparison group</w:t>
            </w:r>
          </w:p>
        </w:tc>
        <w:tc>
          <w:tcPr>
            <w:tcW w:w="2338" w:type="dxa"/>
            <w:shd w:val="clear" w:color="auto" w:fill="9CC2E5" w:themeFill="accent1" w:themeFillTint="99"/>
          </w:tcPr>
          <w:p w14:paraId="2D04F271" w14:textId="4B85D0DA" w:rsidR="001F112D" w:rsidRPr="001D04B2" w:rsidRDefault="001F112D" w:rsidP="00E92008">
            <w:r>
              <w:t>T test: p value</w:t>
            </w:r>
          </w:p>
        </w:tc>
      </w:tr>
      <w:tr w:rsidR="001F112D" w14:paraId="75A96C34" w14:textId="77777777" w:rsidTr="001F112D">
        <w:tc>
          <w:tcPr>
            <w:tcW w:w="2337" w:type="dxa"/>
          </w:tcPr>
          <w:p w14:paraId="6D3FB1E1" w14:textId="286F2151" w:rsidR="001F112D" w:rsidRPr="001D04B2" w:rsidRDefault="001F112D" w:rsidP="00E92008">
            <w:r w:rsidRPr="001D04B2">
              <w:t>Baseline swabs</w:t>
            </w:r>
          </w:p>
        </w:tc>
        <w:tc>
          <w:tcPr>
            <w:tcW w:w="2337" w:type="dxa"/>
          </w:tcPr>
          <w:p w14:paraId="3F97EF83" w14:textId="748C6F0C" w:rsidR="001F112D" w:rsidRPr="001D04B2" w:rsidRDefault="001F112D" w:rsidP="00E92008">
            <w:r>
              <w:t>1.43</w:t>
            </w:r>
            <w:r w:rsidR="00EA29C6">
              <w:t>6</w:t>
            </w:r>
          </w:p>
        </w:tc>
        <w:tc>
          <w:tcPr>
            <w:tcW w:w="2338" w:type="dxa"/>
          </w:tcPr>
          <w:p w14:paraId="42CC4849" w14:textId="05A42406" w:rsidR="001F112D" w:rsidRPr="001D04B2" w:rsidRDefault="001F112D" w:rsidP="00E92008">
            <w:r>
              <w:t>1.16</w:t>
            </w:r>
            <w:r w:rsidR="00EA29C6">
              <w:t>7</w:t>
            </w:r>
          </w:p>
        </w:tc>
        <w:tc>
          <w:tcPr>
            <w:tcW w:w="2338" w:type="dxa"/>
          </w:tcPr>
          <w:p w14:paraId="31FDEE3D" w14:textId="66787942" w:rsidR="001F112D" w:rsidRPr="001D04B2" w:rsidRDefault="00EA29C6" w:rsidP="00E92008">
            <w:r>
              <w:t xml:space="preserve">p </w:t>
            </w:r>
            <w:r w:rsidR="001F112D">
              <w:t>=</w:t>
            </w:r>
            <w:r>
              <w:t xml:space="preserve"> </w:t>
            </w:r>
            <w:r w:rsidR="001F112D">
              <w:t>0.375</w:t>
            </w:r>
          </w:p>
        </w:tc>
      </w:tr>
      <w:tr w:rsidR="001F112D" w14:paraId="1FC03509" w14:textId="77777777" w:rsidTr="001D04B2">
        <w:tc>
          <w:tcPr>
            <w:tcW w:w="2337" w:type="dxa"/>
            <w:shd w:val="clear" w:color="auto" w:fill="FBE4D5" w:themeFill="accent2" w:themeFillTint="33"/>
          </w:tcPr>
          <w:p w14:paraId="7FA9031E" w14:textId="64248410" w:rsidR="001F112D" w:rsidRPr="001D04B2" w:rsidRDefault="001F112D" w:rsidP="00E92008">
            <w:r>
              <w:t>Second set of swabs</w:t>
            </w:r>
          </w:p>
        </w:tc>
        <w:tc>
          <w:tcPr>
            <w:tcW w:w="2337" w:type="dxa"/>
            <w:shd w:val="clear" w:color="auto" w:fill="FBE4D5" w:themeFill="accent2" w:themeFillTint="33"/>
          </w:tcPr>
          <w:p w14:paraId="11E99C66" w14:textId="3A2364EE" w:rsidR="001F112D" w:rsidRPr="001D04B2" w:rsidRDefault="00EA29C6" w:rsidP="00E92008">
            <w:r>
              <w:t>0.625</w:t>
            </w:r>
          </w:p>
        </w:tc>
        <w:tc>
          <w:tcPr>
            <w:tcW w:w="2338" w:type="dxa"/>
            <w:shd w:val="clear" w:color="auto" w:fill="FBE4D5" w:themeFill="accent2" w:themeFillTint="33"/>
          </w:tcPr>
          <w:p w14:paraId="4A21AA54" w14:textId="39BDED61" w:rsidR="001F112D" w:rsidRPr="001D04B2" w:rsidRDefault="00EA29C6" w:rsidP="00E92008">
            <w:r>
              <w:t>1.712</w:t>
            </w:r>
          </w:p>
        </w:tc>
        <w:tc>
          <w:tcPr>
            <w:tcW w:w="2338" w:type="dxa"/>
            <w:shd w:val="clear" w:color="auto" w:fill="FBE4D5" w:themeFill="accent2" w:themeFillTint="33"/>
          </w:tcPr>
          <w:p w14:paraId="089037FA" w14:textId="57F61B2B" w:rsidR="001F112D" w:rsidRPr="001D04B2" w:rsidRDefault="00EA29C6" w:rsidP="00E92008">
            <w:r>
              <w:t>p = 0.020</w:t>
            </w:r>
          </w:p>
        </w:tc>
      </w:tr>
      <w:tr w:rsidR="001F112D" w14:paraId="672D2EB7" w14:textId="77777777" w:rsidTr="001F112D">
        <w:tc>
          <w:tcPr>
            <w:tcW w:w="2337" w:type="dxa"/>
          </w:tcPr>
          <w:p w14:paraId="2BBF4B20" w14:textId="6EE580A8" w:rsidR="001F112D" w:rsidRPr="001D04B2" w:rsidRDefault="001F112D" w:rsidP="00E92008">
            <w:r>
              <w:t>Third set of swabs</w:t>
            </w:r>
          </w:p>
        </w:tc>
        <w:tc>
          <w:tcPr>
            <w:tcW w:w="2337" w:type="dxa"/>
          </w:tcPr>
          <w:p w14:paraId="64B1CE95" w14:textId="4D9C58D5" w:rsidR="001F112D" w:rsidRPr="001D04B2" w:rsidRDefault="00EA29C6" w:rsidP="00E92008">
            <w:r>
              <w:t>1.482</w:t>
            </w:r>
          </w:p>
        </w:tc>
        <w:tc>
          <w:tcPr>
            <w:tcW w:w="2338" w:type="dxa"/>
          </w:tcPr>
          <w:p w14:paraId="144F20AB" w14:textId="6A4CEC6A" w:rsidR="001F112D" w:rsidRPr="001D04B2" w:rsidRDefault="00EA29C6" w:rsidP="00E92008">
            <w:r>
              <w:t>1.012</w:t>
            </w:r>
          </w:p>
        </w:tc>
        <w:tc>
          <w:tcPr>
            <w:tcW w:w="2338" w:type="dxa"/>
          </w:tcPr>
          <w:p w14:paraId="3AA5013C" w14:textId="63DF79A6" w:rsidR="001F112D" w:rsidRPr="001D04B2" w:rsidRDefault="00EA29C6" w:rsidP="00E92008">
            <w:r>
              <w:t>p = 0.221</w:t>
            </w:r>
          </w:p>
        </w:tc>
      </w:tr>
      <w:tr w:rsidR="001F112D" w14:paraId="6718BE4C" w14:textId="77777777" w:rsidTr="001F112D">
        <w:tc>
          <w:tcPr>
            <w:tcW w:w="2337" w:type="dxa"/>
          </w:tcPr>
          <w:p w14:paraId="4B660D1A" w14:textId="12E59805" w:rsidR="001F112D" w:rsidRPr="001D04B2" w:rsidRDefault="001F112D" w:rsidP="00E92008">
            <w:r>
              <w:t>Final set of swabs</w:t>
            </w:r>
          </w:p>
        </w:tc>
        <w:tc>
          <w:tcPr>
            <w:tcW w:w="2337" w:type="dxa"/>
          </w:tcPr>
          <w:p w14:paraId="25118A7E" w14:textId="3720E995" w:rsidR="001F112D" w:rsidRPr="001D04B2" w:rsidRDefault="00EA29C6" w:rsidP="00E92008">
            <w:r>
              <w:t>1.332</w:t>
            </w:r>
          </w:p>
        </w:tc>
        <w:tc>
          <w:tcPr>
            <w:tcW w:w="2338" w:type="dxa"/>
          </w:tcPr>
          <w:p w14:paraId="2CFADAC4" w14:textId="6FBE57E3" w:rsidR="001F112D" w:rsidRPr="001D04B2" w:rsidRDefault="00EA29C6" w:rsidP="00E92008">
            <w:r>
              <w:t>0.996</w:t>
            </w:r>
          </w:p>
        </w:tc>
        <w:tc>
          <w:tcPr>
            <w:tcW w:w="2338" w:type="dxa"/>
          </w:tcPr>
          <w:p w14:paraId="2EA7669F" w14:textId="470FB247" w:rsidR="001F112D" w:rsidRPr="001D04B2" w:rsidRDefault="00EA29C6" w:rsidP="00E92008">
            <w:r>
              <w:t>p = 0.219</w:t>
            </w:r>
          </w:p>
        </w:tc>
      </w:tr>
    </w:tbl>
    <w:p w14:paraId="03ED7107" w14:textId="6D2FC710" w:rsidR="001F112D" w:rsidRDefault="001F112D" w:rsidP="00E92008">
      <w:pPr>
        <w:rPr>
          <w:b/>
          <w:bCs/>
        </w:rPr>
      </w:pPr>
    </w:p>
    <w:p w14:paraId="62D22933" w14:textId="56BD6DFE" w:rsidR="00EB235C" w:rsidRDefault="00EB235C" w:rsidP="00E92008">
      <w:pPr>
        <w:rPr>
          <w:b/>
          <w:bCs/>
        </w:rPr>
      </w:pPr>
    </w:p>
    <w:p w14:paraId="3C31977E" w14:textId="1F8FAA52" w:rsidR="00B74255" w:rsidRDefault="00B74255" w:rsidP="00E92008">
      <w:pPr>
        <w:rPr>
          <w:b/>
          <w:bCs/>
        </w:rPr>
      </w:pPr>
    </w:p>
    <w:p w14:paraId="6585D8BD" w14:textId="77777777" w:rsidR="00B74255" w:rsidRDefault="00B74255" w:rsidP="00E92008">
      <w:pPr>
        <w:rPr>
          <w:b/>
          <w:bCs/>
        </w:rPr>
      </w:pPr>
    </w:p>
    <w:p w14:paraId="623865CF" w14:textId="70C35142" w:rsidR="00E92008" w:rsidRPr="00897F71" w:rsidRDefault="00E92008" w:rsidP="00752DA8">
      <w:pPr>
        <w:pStyle w:val="Heading3"/>
      </w:pPr>
      <w:bookmarkStart w:id="311" w:name="_Toc117766013"/>
      <w:r w:rsidRPr="001D04B2">
        <w:t xml:space="preserve">Beta </w:t>
      </w:r>
      <w:r w:rsidR="004451A4">
        <w:t>d</w:t>
      </w:r>
      <w:r w:rsidRPr="001D04B2">
        <w:t>iversity of nasopharyngeal swabs</w:t>
      </w:r>
      <w:bookmarkEnd w:id="311"/>
    </w:p>
    <w:p w14:paraId="28A697C2" w14:textId="6E0074BE" w:rsidR="00E92008" w:rsidRPr="00BD4E25" w:rsidRDefault="00E92008" w:rsidP="005D4602">
      <w:pPr>
        <w:spacing w:after="160" w:line="360" w:lineRule="auto"/>
        <w:rPr>
          <w:rFonts w:cstheme="minorHAnsi"/>
          <w:bCs/>
        </w:rPr>
      </w:pPr>
      <w:r w:rsidRPr="00BD4E25">
        <w:rPr>
          <w:rFonts w:cstheme="minorHAnsi"/>
          <w:bCs/>
        </w:rPr>
        <w:t xml:space="preserve">Beta diversity is a measure of </w:t>
      </w:r>
      <w:r w:rsidR="00DD0516">
        <w:rPr>
          <w:rFonts w:cstheme="minorHAnsi"/>
          <w:bCs/>
        </w:rPr>
        <w:t>‘</w:t>
      </w:r>
      <w:r w:rsidRPr="00BD4E25">
        <w:rPr>
          <w:rFonts w:cstheme="minorHAnsi"/>
          <w:bCs/>
        </w:rPr>
        <w:t>between</w:t>
      </w:r>
      <w:r w:rsidR="00DD0516">
        <w:rPr>
          <w:rFonts w:cstheme="minorHAnsi"/>
          <w:bCs/>
        </w:rPr>
        <w:t xml:space="preserve"> </w:t>
      </w:r>
      <w:r w:rsidRPr="00BD4E25">
        <w:rPr>
          <w:rFonts w:cstheme="minorHAnsi"/>
          <w:bCs/>
        </w:rPr>
        <w:t>sample</w:t>
      </w:r>
      <w:r w:rsidR="00DD0516">
        <w:rPr>
          <w:rFonts w:cstheme="minorHAnsi"/>
          <w:bCs/>
        </w:rPr>
        <w:t>’</w:t>
      </w:r>
      <w:r w:rsidRPr="00BD4E25">
        <w:rPr>
          <w:rFonts w:cstheme="minorHAnsi"/>
          <w:bCs/>
        </w:rPr>
        <w:t xml:space="preserve"> diversity. </w:t>
      </w:r>
      <w:r w:rsidR="00CE7E70" w:rsidRPr="00BD4E25">
        <w:rPr>
          <w:rFonts w:cstheme="minorHAnsi"/>
          <w:bCs/>
        </w:rPr>
        <w:t xml:space="preserve">It quantifies differences in the microbial composition between samples. </w:t>
      </w:r>
      <w:r w:rsidRPr="00BD4E25">
        <w:rPr>
          <w:rFonts w:cstheme="minorHAnsi"/>
          <w:bCs/>
        </w:rPr>
        <w:t xml:space="preserve">In order to assess this, a dissimilarity matrix is calculated from the ASV table. The composition of each sample is compared to all the other samples and assigned a numerically value. </w:t>
      </w:r>
      <w:r w:rsidR="006C7E98" w:rsidRPr="00BD4E25">
        <w:rPr>
          <w:rFonts w:cstheme="minorHAnsi"/>
          <w:bCs/>
        </w:rPr>
        <w:t xml:space="preserve">The Bray Curtis dissimilarity measure has been used to </w:t>
      </w:r>
      <w:r w:rsidR="007705FF" w:rsidRPr="00BD4E25">
        <w:rPr>
          <w:rFonts w:cstheme="minorHAnsi"/>
          <w:bCs/>
        </w:rPr>
        <w:t>calculate this</w:t>
      </w:r>
      <w:r w:rsidR="00DD0516">
        <w:rPr>
          <w:rFonts w:cstheme="minorHAnsi"/>
          <w:bCs/>
        </w:rPr>
        <w:t xml:space="preserve"> value</w:t>
      </w:r>
      <w:r w:rsidR="007705FF" w:rsidRPr="00BD4E25">
        <w:rPr>
          <w:rFonts w:cstheme="minorHAnsi"/>
          <w:bCs/>
        </w:rPr>
        <w:t xml:space="preserve">. If two sites share all the same species at the same abundance, a numerically value of 0 is assigned whereas if </w:t>
      </w:r>
      <w:r w:rsidR="00B77B49" w:rsidRPr="00BD4E25">
        <w:rPr>
          <w:rFonts w:cstheme="minorHAnsi"/>
          <w:bCs/>
        </w:rPr>
        <w:t xml:space="preserve">two samples have completely difference species abundances, </w:t>
      </w:r>
      <w:r w:rsidR="007705FF" w:rsidRPr="00BD4E25">
        <w:rPr>
          <w:rFonts w:cstheme="minorHAnsi"/>
          <w:bCs/>
        </w:rPr>
        <w:t xml:space="preserve">a value of 1 is assigned. </w:t>
      </w:r>
      <w:r w:rsidRPr="00BD4E25">
        <w:rPr>
          <w:rFonts w:cstheme="minorHAnsi"/>
          <w:bCs/>
        </w:rPr>
        <w:t xml:space="preserve">Non-metric </w:t>
      </w:r>
      <w:r w:rsidR="004E18F5">
        <w:rPr>
          <w:rFonts w:cstheme="minorHAnsi"/>
          <w:bCs/>
        </w:rPr>
        <w:t>M</w:t>
      </w:r>
      <w:r w:rsidR="004E18F5" w:rsidRPr="00BD4E25">
        <w:rPr>
          <w:rFonts w:cstheme="minorHAnsi"/>
          <w:bCs/>
        </w:rPr>
        <w:t>ulti</w:t>
      </w:r>
      <w:r w:rsidR="00A917A8">
        <w:rPr>
          <w:rFonts w:cstheme="minorHAnsi"/>
          <w:bCs/>
        </w:rPr>
        <w:t>d</w:t>
      </w:r>
      <w:r w:rsidR="004E18F5" w:rsidRPr="00BD4E25">
        <w:rPr>
          <w:rFonts w:cstheme="minorHAnsi"/>
          <w:bCs/>
        </w:rPr>
        <w:t xml:space="preserve">imensional </w:t>
      </w:r>
      <w:r w:rsidR="004E18F5">
        <w:rPr>
          <w:rFonts w:cstheme="minorHAnsi"/>
          <w:bCs/>
        </w:rPr>
        <w:t>S</w:t>
      </w:r>
      <w:r w:rsidRPr="00BD4E25">
        <w:rPr>
          <w:rFonts w:cstheme="minorHAnsi"/>
          <w:bCs/>
        </w:rPr>
        <w:t xml:space="preserve">caling </w:t>
      </w:r>
      <w:r w:rsidR="004E18F5">
        <w:rPr>
          <w:rFonts w:cstheme="minorHAnsi"/>
          <w:bCs/>
        </w:rPr>
        <w:t xml:space="preserve"> (NMDS) </w:t>
      </w:r>
      <w:r w:rsidRPr="00BD4E25">
        <w:rPr>
          <w:rFonts w:cstheme="minorHAnsi"/>
          <w:bCs/>
        </w:rPr>
        <w:t xml:space="preserve">allowed for visualisation of how </w:t>
      </w:r>
      <w:r w:rsidR="00543728" w:rsidRPr="00BD4E25">
        <w:rPr>
          <w:rFonts w:cstheme="minorHAnsi"/>
          <w:bCs/>
        </w:rPr>
        <w:t>dis</w:t>
      </w:r>
      <w:r w:rsidRPr="00BD4E25">
        <w:rPr>
          <w:rFonts w:cstheme="minorHAnsi"/>
          <w:bCs/>
        </w:rPr>
        <w:t xml:space="preserve">similar samples are. </w:t>
      </w:r>
      <w:r w:rsidR="00617BBD" w:rsidRPr="00BD4E25">
        <w:rPr>
          <w:rFonts w:cstheme="minorHAnsi"/>
          <w:bCs/>
        </w:rPr>
        <w:t xml:space="preserve">Samples that are more similar to one another are represented by points that are closer together on the plot. </w:t>
      </w:r>
    </w:p>
    <w:p w14:paraId="16D9BD28" w14:textId="7DCA3B5F" w:rsidR="00374FEF" w:rsidRPr="00BD4E25" w:rsidRDefault="00B47158" w:rsidP="005D4602">
      <w:pPr>
        <w:spacing w:after="160" w:line="360" w:lineRule="auto"/>
        <w:rPr>
          <w:rFonts w:cstheme="minorHAnsi"/>
          <w:bCs/>
        </w:rPr>
      </w:pPr>
      <w:r>
        <w:rPr>
          <w:rFonts w:cstheme="minorHAnsi"/>
          <w:bCs/>
        </w:rPr>
        <w:t xml:space="preserve">The mode of delivery, method of infant feeding and parental smoking are known factors that may influence the respiratory microbiota </w:t>
      </w:r>
      <w:r w:rsidR="00B9334B">
        <w:rPr>
          <w:rFonts w:cstheme="minorHAnsi"/>
          <w:bCs/>
        </w:rPr>
        <w:fldChar w:fldCharType="begin">
          <w:fldData xml:space="preserve">PEVuZE5vdGU+PENpdGU+PEF1dGhvcj5SZXltYW48L0F1dGhvcj48WWVhcj4yMDE5PC9ZZWFyPjxS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</w:fldData>
        </w:fldChar>
      </w:r>
      <w:r w:rsidR="00B9334B">
        <w:rPr>
          <w:rFonts w:cstheme="minorHAnsi"/>
          <w:bCs/>
        </w:rPr>
        <w:instrText xml:space="preserve"> ADDIN EN.CITE </w:instrText>
      </w:r>
      <w:r w:rsidR="00B9334B">
        <w:rPr>
          <w:rFonts w:cstheme="minorHAnsi"/>
          <w:bCs/>
        </w:rPr>
        <w:fldChar w:fldCharType="begin">
          <w:fldData xml:space="preserve">PEVuZE5vdGU+PENpdGU+PEF1dGhvcj5SZXltYW48L0F1dGhvcj48WWVhcj4yMDE5PC9ZZWFyPjxS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</w:fldData>
        </w:fldChar>
      </w:r>
      <w:r w:rsidR="00B9334B">
        <w:rPr>
          <w:rFonts w:cstheme="minorHAnsi"/>
          <w:bCs/>
        </w:rPr>
        <w:instrText xml:space="preserve"> ADDIN EN.CITE.DATA </w:instrText>
      </w:r>
      <w:r w:rsidR="00B9334B">
        <w:rPr>
          <w:rFonts w:cstheme="minorHAnsi"/>
          <w:bCs/>
        </w:rPr>
      </w:r>
      <w:r w:rsidR="00B9334B">
        <w:rPr>
          <w:rFonts w:cstheme="minorHAnsi"/>
          <w:bCs/>
        </w:rPr>
        <w:fldChar w:fldCharType="end"/>
      </w:r>
      <w:r w:rsidR="00B9334B">
        <w:rPr>
          <w:rFonts w:cstheme="minorHAnsi"/>
          <w:bCs/>
        </w:rPr>
      </w:r>
      <w:r w:rsidR="00B9334B">
        <w:rPr>
          <w:rFonts w:cstheme="minorHAnsi"/>
          <w:bCs/>
        </w:rPr>
        <w:fldChar w:fldCharType="separate"/>
      </w:r>
      <w:r w:rsidR="00B9334B">
        <w:rPr>
          <w:rFonts w:cstheme="minorHAnsi"/>
          <w:bCs/>
          <w:noProof/>
        </w:rPr>
        <w:t>(Biesbroek et al., 2014; Pattenden et al., 2006; Reyman et al., 2019)</w:t>
      </w:r>
      <w:r w:rsidR="00B9334B">
        <w:rPr>
          <w:rFonts w:cstheme="minorHAnsi"/>
          <w:bCs/>
        </w:rPr>
        <w:fldChar w:fldCharType="end"/>
      </w:r>
      <w:r>
        <w:rPr>
          <w:rFonts w:cstheme="minorHAnsi"/>
          <w:bCs/>
        </w:rPr>
        <w:t xml:space="preserve">. </w:t>
      </w:r>
      <w:r w:rsidR="001969CD">
        <w:rPr>
          <w:rFonts w:cstheme="minorHAnsi"/>
          <w:bCs/>
        </w:rPr>
        <w:t xml:space="preserve"> In the azithromycin exposed group, 73% were delivered vaginally, 47% breast fed and 20% exposed to parental smoking, this compared respectively to 87%, 53% and 27%</w:t>
      </w:r>
      <w:r w:rsidR="00F65C38">
        <w:rPr>
          <w:rFonts w:cstheme="minorHAnsi"/>
          <w:bCs/>
        </w:rPr>
        <w:t xml:space="preserve"> in the comparison group.</w:t>
      </w:r>
      <w:r w:rsidR="001969CD">
        <w:rPr>
          <w:rFonts w:cstheme="minorHAnsi"/>
          <w:bCs/>
        </w:rPr>
        <w:t xml:space="preserve"> We therefore investigated whether these exposures had a significant impact on beta diversity. </w:t>
      </w:r>
      <w:r w:rsidR="00374FEF" w:rsidRPr="00BD4E25">
        <w:rPr>
          <w:rFonts w:cstheme="minorHAnsi"/>
          <w:bCs/>
        </w:rPr>
        <w:t xml:space="preserve">At baseline there was no significant difference in beta diversity between the </w:t>
      </w:r>
      <w:r w:rsidR="00374FEF" w:rsidRPr="00BD4E25">
        <w:rPr>
          <w:rFonts w:cstheme="minorHAnsi"/>
          <w:bCs/>
        </w:rPr>
        <w:lastRenderedPageBreak/>
        <w:t xml:space="preserve">azithromycin and comparison group with regards to mode of delivery, method of infant feeding or presence of parental smoking (See appendix </w:t>
      </w:r>
      <w:r w:rsidR="00800891">
        <w:rPr>
          <w:rFonts w:cstheme="minorHAnsi"/>
          <w:bCs/>
        </w:rPr>
        <w:t>11</w:t>
      </w:r>
      <w:r w:rsidR="00374FEF" w:rsidRPr="00BD4E25">
        <w:rPr>
          <w:rFonts w:cstheme="minorHAnsi"/>
          <w:bCs/>
        </w:rPr>
        <w:t xml:space="preserve"> for NMDS plots).</w:t>
      </w:r>
    </w:p>
    <w:p w14:paraId="2FBDDE8F" w14:textId="2B8C21B1" w:rsidR="00374FEF" w:rsidRPr="00BD4E25" w:rsidRDefault="0008093B" w:rsidP="001D04B2">
      <w:pPr>
        <w:spacing w:line="360" w:lineRule="auto"/>
        <w:rPr>
          <w:rFonts w:cstheme="minorHAnsi"/>
          <w:bCs/>
        </w:rPr>
      </w:pPr>
      <w:r w:rsidRPr="0008093B">
        <w:rPr>
          <w:rFonts w:cstheme="minorHAnsi"/>
          <w:bCs/>
        </w:rPr>
        <w:fldChar w:fldCharType="begin"/>
      </w:r>
      <w:r w:rsidRPr="0008093B">
        <w:rPr>
          <w:rFonts w:cstheme="minorHAnsi"/>
          <w:bCs/>
        </w:rPr>
        <w:instrText xml:space="preserve"> REF _Ref105510784 \h  \* MERGEFORMAT </w:instrText>
      </w:r>
      <w:r w:rsidRPr="0008093B">
        <w:rPr>
          <w:rFonts w:cstheme="minorHAnsi"/>
          <w:bCs/>
        </w:rPr>
      </w:r>
      <w:r w:rsidRPr="0008093B">
        <w:rPr>
          <w:rFonts w:cstheme="minorHAnsi"/>
          <w:bCs/>
        </w:rPr>
        <w:fldChar w:fldCharType="separate"/>
      </w:r>
      <w:r w:rsidRPr="0008093B">
        <w:rPr>
          <w:bCs/>
          <w:color w:val="000000" w:themeColor="text1"/>
        </w:rPr>
        <w:t xml:space="preserve">Figure </w:t>
      </w:r>
      <w:r w:rsidRPr="0008093B">
        <w:rPr>
          <w:bCs/>
          <w:noProof/>
          <w:color w:val="000000" w:themeColor="text1"/>
        </w:rPr>
        <w:t>5</w:t>
      </w:r>
      <w:r w:rsidRPr="0008093B">
        <w:rPr>
          <w:bCs/>
          <w:color w:val="000000" w:themeColor="text1"/>
        </w:rPr>
        <w:noBreakHyphen/>
      </w:r>
      <w:r w:rsidRPr="0008093B">
        <w:rPr>
          <w:bCs/>
          <w:noProof/>
          <w:color w:val="000000" w:themeColor="text1"/>
        </w:rPr>
        <w:t>7</w:t>
      </w:r>
      <w:r w:rsidRPr="0008093B">
        <w:rPr>
          <w:rFonts w:cstheme="minorHAnsi"/>
          <w:bCs/>
        </w:rPr>
        <w:fldChar w:fldCharType="end"/>
      </w:r>
      <w:r>
        <w:rPr>
          <w:rFonts w:cstheme="minorHAnsi"/>
          <w:bCs/>
        </w:rPr>
        <w:t xml:space="preserve"> </w:t>
      </w:r>
      <w:r w:rsidR="004321DF" w:rsidRPr="00BD4E25">
        <w:rPr>
          <w:rFonts w:cstheme="minorHAnsi"/>
          <w:bCs/>
        </w:rPr>
        <w:t>shows the dissimilarity of the samples according to the time point at which they were taken. Only for the final set of swabs collected did being in the azithromycin group (versus the comparison group) significantly contribut</w:t>
      </w:r>
      <w:r w:rsidR="008419CF" w:rsidRPr="00BD4E25">
        <w:rPr>
          <w:rFonts w:cstheme="minorHAnsi"/>
          <w:bCs/>
        </w:rPr>
        <w:t>e</w:t>
      </w:r>
      <w:r w:rsidR="004321DF" w:rsidRPr="00BD4E25">
        <w:rPr>
          <w:rFonts w:cstheme="minorHAnsi"/>
          <w:bCs/>
        </w:rPr>
        <w:t xml:space="preserve"> to microbiota dissimilarity</w:t>
      </w:r>
      <w:r w:rsidR="004E18F5">
        <w:rPr>
          <w:rFonts w:cstheme="minorHAnsi"/>
          <w:bCs/>
        </w:rPr>
        <w:t xml:space="preserve"> as </w:t>
      </w:r>
      <w:r w:rsidR="00A917A8">
        <w:rPr>
          <w:rFonts w:cstheme="minorHAnsi"/>
          <w:bCs/>
        </w:rPr>
        <w:t>assessed</w:t>
      </w:r>
      <w:r w:rsidR="004E18F5">
        <w:rPr>
          <w:rFonts w:cstheme="minorHAnsi"/>
          <w:bCs/>
        </w:rPr>
        <w:t xml:space="preserve"> by p</w:t>
      </w:r>
      <w:r w:rsidR="004E18F5" w:rsidRPr="004E18F5">
        <w:rPr>
          <w:rFonts w:cstheme="minorHAnsi"/>
          <w:bCs/>
        </w:rPr>
        <w:t>ermutational multivariate analysis of variance</w:t>
      </w:r>
      <w:r w:rsidR="008419CF" w:rsidRPr="00BD4E25">
        <w:rPr>
          <w:rFonts w:cstheme="minorHAnsi"/>
          <w:bCs/>
        </w:rPr>
        <w:t xml:space="preserve"> (</w:t>
      </w:r>
      <w:r w:rsidR="004E18F5">
        <w:rPr>
          <w:rFonts w:cstheme="minorHAnsi"/>
          <w:bCs/>
        </w:rPr>
        <w:t>azithromycin use calculated to account for</w:t>
      </w:r>
      <w:r w:rsidR="004E18F5" w:rsidRPr="00BD4E25">
        <w:rPr>
          <w:rFonts w:cstheme="minorHAnsi"/>
          <w:bCs/>
        </w:rPr>
        <w:t xml:space="preserve"> </w:t>
      </w:r>
      <w:r w:rsidR="008419CF" w:rsidRPr="00BD4E25">
        <w:rPr>
          <w:rFonts w:cstheme="minorHAnsi"/>
          <w:bCs/>
        </w:rPr>
        <w:t>14 % of the variance in the microbiota composition), PERMANOVA model; R2=0.14, p=0.0049.</w:t>
      </w:r>
    </w:p>
    <w:p w14:paraId="315ED4BD" w14:textId="77777777" w:rsidR="000D197F" w:rsidRDefault="000D197F" w:rsidP="001D04B2">
      <w:pPr>
        <w:spacing w:line="360" w:lineRule="auto"/>
        <w:rPr>
          <w:rFonts w:cstheme="minorHAnsi"/>
          <w:bCs/>
          <w:highlight w:val="cyan"/>
        </w:rPr>
      </w:pPr>
    </w:p>
    <w:p w14:paraId="06679DC1" w14:textId="77777777" w:rsidR="000D197F" w:rsidRDefault="000D197F" w:rsidP="001D04B2">
      <w:pPr>
        <w:spacing w:line="360" w:lineRule="auto"/>
        <w:rPr>
          <w:rFonts w:cstheme="minorHAnsi"/>
          <w:bCs/>
          <w:highlight w:val="cyan"/>
        </w:rPr>
      </w:pPr>
    </w:p>
    <w:p w14:paraId="1EFBE182" w14:textId="205080F3" w:rsidR="00CC6196" w:rsidRDefault="00CC6196" w:rsidP="00E92008">
      <w:pPr>
        <w:rPr>
          <w:bCs/>
        </w:rPr>
      </w:pPr>
    </w:p>
    <w:tbl>
      <w:tblPr>
        <w:tblStyle w:val="TableGrid"/>
        <w:tblpPr w:leftFromText="180" w:rightFromText="180" w:vertAnchor="page" w:horzAnchor="margin" w:tblpY="1936"/>
        <w:tblW w:w="10422" w:type="dxa"/>
        <w:tblLook w:val="04A0" w:firstRow="1" w:lastRow="0" w:firstColumn="1" w:lastColumn="0" w:noHBand="0" w:noVBand="1"/>
      </w:tblPr>
      <w:tblGrid>
        <w:gridCol w:w="5286"/>
        <w:gridCol w:w="5286"/>
      </w:tblGrid>
      <w:tr w:rsidR="00711E86" w14:paraId="16B23506" w14:textId="77777777" w:rsidTr="004E18F5">
        <w:tc>
          <w:tcPr>
            <w:tcW w:w="5286" w:type="dxa"/>
          </w:tcPr>
          <w:p w14:paraId="709009BB" w14:textId="77777777" w:rsidR="00711E86" w:rsidRDefault="00711E86" w:rsidP="004E18F5">
            <w:pPr>
              <w:rPr>
                <w:bCs/>
              </w:rPr>
            </w:pPr>
          </w:p>
          <w:p w14:paraId="60D230AF" w14:textId="77777777" w:rsidR="00711E86" w:rsidRDefault="00711E86" w:rsidP="004E18F5">
            <w:pPr>
              <w:rPr>
                <w:bCs/>
              </w:rPr>
            </w:pPr>
            <w:r>
              <w:rPr>
                <w:noProof/>
              </w:rPr>
              <w:drawing>
                <wp:inline distT="0" distB="0" distL="0" distR="0" wp14:anchorId="0E020627" wp14:editId="7EB2C45B">
                  <wp:extent cx="3209979" cy="1981200"/>
                  <wp:effectExtent l="0" t="0" r="9525" b="0"/>
                  <wp:docPr id="202" name="Picture 20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 bubble chart&#10;&#10;Description automatically generated"/>
                          <pic:cNvPicPr/>
                        </pic:nvPicPr>
                        <pic:blipFill>
                          <a:blip r:embed="rId72"/>
                          <a:stretch>
                            <a:fillRect/>
                          </a:stretch>
                        </pic:blipFill>
                        <pic:spPr>
                          <a:xfrm>
                            <a:off x="0" y="0"/>
                            <a:ext cx="3247102" cy="2004112"/>
                          </a:xfrm>
                          <a:prstGeom prst="rect">
                            <a:avLst/>
                          </a:prstGeom>
                        </pic:spPr>
                      </pic:pic>
                    </a:graphicData>
                  </a:graphic>
                </wp:inline>
              </w:drawing>
            </w:r>
          </w:p>
          <w:p w14:paraId="7AA29D2F" w14:textId="77777777" w:rsidR="00711E86" w:rsidRDefault="00711E86" w:rsidP="004E18F5">
            <w:pPr>
              <w:rPr>
                <w:bCs/>
              </w:rPr>
            </w:pPr>
          </w:p>
          <w:p w14:paraId="672747A3" w14:textId="20D1B9F5" w:rsidR="00711E86" w:rsidRPr="001D04B2" w:rsidRDefault="00354E49">
            <w:pPr>
              <w:pStyle w:val="ListParagraph"/>
              <w:numPr>
                <w:ilvl w:val="0"/>
                <w:numId w:val="48"/>
              </w:numPr>
              <w:rPr>
                <w:bCs/>
              </w:rPr>
            </w:pPr>
            <w:r>
              <w:rPr>
                <w:bCs/>
              </w:rPr>
              <w:t xml:space="preserve">Baseline swabs: </w:t>
            </w:r>
            <w:r w:rsidR="00711E86" w:rsidRPr="001D04B2">
              <w:rPr>
                <w:bCs/>
              </w:rPr>
              <w:t>R2 = 0.041</w:t>
            </w:r>
            <w:r>
              <w:rPr>
                <w:bCs/>
              </w:rPr>
              <w:t>,</w:t>
            </w:r>
            <w:r w:rsidR="00711E86" w:rsidRPr="001D04B2">
              <w:rPr>
                <w:bCs/>
              </w:rPr>
              <w:t xml:space="preserve"> p= 0.391</w:t>
            </w:r>
          </w:p>
          <w:p w14:paraId="68F42229" w14:textId="77777777" w:rsidR="00711E86" w:rsidRDefault="00711E86" w:rsidP="004E18F5">
            <w:pPr>
              <w:rPr>
                <w:bCs/>
              </w:rPr>
            </w:pPr>
          </w:p>
        </w:tc>
        <w:tc>
          <w:tcPr>
            <w:tcW w:w="5136" w:type="dxa"/>
          </w:tcPr>
          <w:p w14:paraId="78CF78F3" w14:textId="77777777" w:rsidR="00711E86" w:rsidRDefault="00711E86" w:rsidP="004E18F5">
            <w:pPr>
              <w:rPr>
                <w:bCs/>
              </w:rPr>
            </w:pPr>
          </w:p>
          <w:p w14:paraId="4A5FFE5C" w14:textId="77777777" w:rsidR="00711E86" w:rsidRDefault="00711E86" w:rsidP="004E18F5">
            <w:pPr>
              <w:rPr>
                <w:bCs/>
              </w:rPr>
            </w:pPr>
            <w:r>
              <w:rPr>
                <w:noProof/>
              </w:rPr>
              <w:drawing>
                <wp:inline distT="0" distB="0" distL="0" distR="0" wp14:anchorId="2B23CE1F" wp14:editId="59F150DF">
                  <wp:extent cx="3209975" cy="1981200"/>
                  <wp:effectExtent l="0" t="0" r="9525" b="0"/>
                  <wp:docPr id="206" name="Picture 20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bubble chart&#10;&#10;Description automatically generated"/>
                          <pic:cNvPicPr/>
                        </pic:nvPicPr>
                        <pic:blipFill>
                          <a:blip r:embed="rId73"/>
                          <a:stretch>
                            <a:fillRect/>
                          </a:stretch>
                        </pic:blipFill>
                        <pic:spPr>
                          <a:xfrm>
                            <a:off x="0" y="0"/>
                            <a:ext cx="3242255" cy="2001123"/>
                          </a:xfrm>
                          <a:prstGeom prst="rect">
                            <a:avLst/>
                          </a:prstGeom>
                        </pic:spPr>
                      </pic:pic>
                    </a:graphicData>
                  </a:graphic>
                </wp:inline>
              </w:drawing>
            </w:r>
          </w:p>
          <w:p w14:paraId="5FADE177" w14:textId="77777777" w:rsidR="00711E86" w:rsidRDefault="00711E86" w:rsidP="004E18F5">
            <w:pPr>
              <w:rPr>
                <w:bCs/>
              </w:rPr>
            </w:pPr>
          </w:p>
          <w:p w14:paraId="65F924D9" w14:textId="300FD0AA" w:rsidR="00711E86" w:rsidRPr="001D04B2" w:rsidRDefault="00354E49">
            <w:pPr>
              <w:pStyle w:val="ListParagraph"/>
              <w:numPr>
                <w:ilvl w:val="0"/>
                <w:numId w:val="48"/>
              </w:numPr>
              <w:rPr>
                <w:bCs/>
              </w:rPr>
            </w:pPr>
            <w:r>
              <w:rPr>
                <w:bCs/>
              </w:rPr>
              <w:t xml:space="preserve">Second set of swabs: </w:t>
            </w:r>
            <w:r w:rsidR="00711E86" w:rsidRPr="001D04B2">
              <w:rPr>
                <w:bCs/>
              </w:rPr>
              <w:t>R2 = 0.093</w:t>
            </w:r>
            <w:r>
              <w:rPr>
                <w:bCs/>
              </w:rPr>
              <w:t>,</w:t>
            </w:r>
            <w:r w:rsidR="00711E86" w:rsidRPr="001D04B2">
              <w:rPr>
                <w:bCs/>
              </w:rPr>
              <w:t xml:space="preserve"> p=0.096</w:t>
            </w:r>
          </w:p>
          <w:p w14:paraId="22078CD3" w14:textId="77777777" w:rsidR="00711E86" w:rsidRDefault="00711E86" w:rsidP="004E18F5">
            <w:pPr>
              <w:rPr>
                <w:bCs/>
              </w:rPr>
            </w:pPr>
          </w:p>
        </w:tc>
      </w:tr>
      <w:tr w:rsidR="00711E86" w14:paraId="579BC5D9" w14:textId="77777777" w:rsidTr="004E18F5">
        <w:tc>
          <w:tcPr>
            <w:tcW w:w="5286" w:type="dxa"/>
          </w:tcPr>
          <w:p w14:paraId="4DA8EDC3" w14:textId="4A0EFBD3" w:rsidR="00711E86" w:rsidRDefault="00711E86" w:rsidP="004E18F5">
            <w:pPr>
              <w:rPr>
                <w:bCs/>
              </w:rPr>
            </w:pPr>
          </w:p>
          <w:p w14:paraId="3BDF9A14" w14:textId="32F80CD5" w:rsidR="00354E49" w:rsidRDefault="00354E49" w:rsidP="004E18F5">
            <w:pPr>
              <w:rPr>
                <w:bCs/>
              </w:rPr>
            </w:pPr>
            <w:r>
              <w:rPr>
                <w:noProof/>
              </w:rPr>
              <w:drawing>
                <wp:inline distT="0" distB="0" distL="0" distR="0" wp14:anchorId="7111208A" wp14:editId="391A542E">
                  <wp:extent cx="3208947" cy="1980565"/>
                  <wp:effectExtent l="0" t="0" r="0" b="635"/>
                  <wp:docPr id="210" name="Picture 21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hart, bubble chart&#10;&#10;Description automatically generated"/>
                          <pic:cNvPicPr/>
                        </pic:nvPicPr>
                        <pic:blipFill>
                          <a:blip r:embed="rId74"/>
                          <a:stretch>
                            <a:fillRect/>
                          </a:stretch>
                        </pic:blipFill>
                        <pic:spPr>
                          <a:xfrm>
                            <a:off x="0" y="0"/>
                            <a:ext cx="3227636" cy="1992100"/>
                          </a:xfrm>
                          <a:prstGeom prst="rect">
                            <a:avLst/>
                          </a:prstGeom>
                        </pic:spPr>
                      </pic:pic>
                    </a:graphicData>
                  </a:graphic>
                </wp:inline>
              </w:drawing>
            </w:r>
          </w:p>
          <w:p w14:paraId="64B62FB9" w14:textId="57512988" w:rsidR="00711E86" w:rsidRDefault="00711E86" w:rsidP="004E18F5">
            <w:pPr>
              <w:rPr>
                <w:bCs/>
              </w:rPr>
            </w:pPr>
          </w:p>
          <w:p w14:paraId="26C8A497" w14:textId="68470AE7" w:rsidR="00711E86" w:rsidRPr="001D04B2" w:rsidRDefault="00354E49">
            <w:pPr>
              <w:pStyle w:val="ListParagraph"/>
              <w:numPr>
                <w:ilvl w:val="0"/>
                <w:numId w:val="48"/>
              </w:numPr>
              <w:rPr>
                <w:bCs/>
              </w:rPr>
            </w:pPr>
            <w:r w:rsidRPr="001D04B2">
              <w:rPr>
                <w:bCs/>
              </w:rPr>
              <w:t xml:space="preserve">Third set </w:t>
            </w:r>
            <w:r w:rsidR="00711E86" w:rsidRPr="001D04B2">
              <w:rPr>
                <w:bCs/>
              </w:rPr>
              <w:t>of swabs</w:t>
            </w:r>
            <w:r w:rsidRPr="001D04B2">
              <w:rPr>
                <w:bCs/>
              </w:rPr>
              <w:t xml:space="preserve">: </w:t>
            </w:r>
            <w:r w:rsidR="00711E86" w:rsidRPr="001D04B2">
              <w:rPr>
                <w:bCs/>
              </w:rPr>
              <w:t>R2 = 0.093</w:t>
            </w:r>
            <w:r w:rsidRPr="001D04B2">
              <w:rPr>
                <w:bCs/>
              </w:rPr>
              <w:t>,</w:t>
            </w:r>
            <w:r w:rsidR="00711E86" w:rsidRPr="001D04B2">
              <w:rPr>
                <w:bCs/>
              </w:rPr>
              <w:t xml:space="preserve"> p=0.153</w:t>
            </w:r>
          </w:p>
          <w:p w14:paraId="7A5EF0F2" w14:textId="77777777" w:rsidR="00711E86" w:rsidRDefault="00711E86" w:rsidP="004E18F5">
            <w:pPr>
              <w:rPr>
                <w:bCs/>
              </w:rPr>
            </w:pPr>
          </w:p>
          <w:p w14:paraId="274E67AE" w14:textId="77777777" w:rsidR="00711E86" w:rsidRDefault="00711E86" w:rsidP="004E18F5">
            <w:pPr>
              <w:rPr>
                <w:bCs/>
              </w:rPr>
            </w:pPr>
          </w:p>
        </w:tc>
        <w:tc>
          <w:tcPr>
            <w:tcW w:w="5136" w:type="dxa"/>
          </w:tcPr>
          <w:p w14:paraId="05EC4A1E" w14:textId="77777777" w:rsidR="00711E86" w:rsidRDefault="00711E86" w:rsidP="004E18F5">
            <w:pPr>
              <w:rPr>
                <w:bCs/>
              </w:rPr>
            </w:pPr>
          </w:p>
          <w:p w14:paraId="54E41473" w14:textId="77777777" w:rsidR="00711E86" w:rsidRDefault="00711E86" w:rsidP="004E18F5">
            <w:pPr>
              <w:rPr>
                <w:bCs/>
              </w:rPr>
            </w:pPr>
            <w:r>
              <w:rPr>
                <w:noProof/>
              </w:rPr>
              <w:drawing>
                <wp:inline distT="0" distB="0" distL="0" distR="0" wp14:anchorId="70B8AE94" wp14:editId="7E357969">
                  <wp:extent cx="3152775" cy="1945896"/>
                  <wp:effectExtent l="0" t="0" r="0" b="0"/>
                  <wp:docPr id="209" name="Picture 20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hart, bubble chart&#10;&#10;Description automatically generated"/>
                          <pic:cNvPicPr/>
                        </pic:nvPicPr>
                        <pic:blipFill>
                          <a:blip r:embed="rId75"/>
                          <a:stretch>
                            <a:fillRect/>
                          </a:stretch>
                        </pic:blipFill>
                        <pic:spPr>
                          <a:xfrm>
                            <a:off x="0" y="0"/>
                            <a:ext cx="3178584" cy="1961825"/>
                          </a:xfrm>
                          <a:prstGeom prst="rect">
                            <a:avLst/>
                          </a:prstGeom>
                        </pic:spPr>
                      </pic:pic>
                    </a:graphicData>
                  </a:graphic>
                </wp:inline>
              </w:drawing>
            </w:r>
          </w:p>
          <w:p w14:paraId="4CF1586B" w14:textId="77777777" w:rsidR="00711E86" w:rsidRDefault="00711E86" w:rsidP="004E18F5">
            <w:pPr>
              <w:rPr>
                <w:bCs/>
              </w:rPr>
            </w:pPr>
          </w:p>
          <w:p w14:paraId="7CF8F1AD" w14:textId="590633EC" w:rsidR="00711E86" w:rsidRPr="001D04B2" w:rsidRDefault="00711E86">
            <w:pPr>
              <w:pStyle w:val="ListParagraph"/>
              <w:numPr>
                <w:ilvl w:val="0"/>
                <w:numId w:val="48"/>
              </w:numPr>
              <w:rPr>
                <w:bCs/>
              </w:rPr>
            </w:pPr>
            <w:r w:rsidRPr="00A62E2B">
              <w:rPr>
                <w:bCs/>
              </w:rPr>
              <w:t>Final set of swabs</w:t>
            </w:r>
            <w:r w:rsidR="00354E49">
              <w:rPr>
                <w:bCs/>
              </w:rPr>
              <w:t xml:space="preserve">: </w:t>
            </w:r>
            <w:r w:rsidRPr="001D04B2">
              <w:rPr>
                <w:bCs/>
              </w:rPr>
              <w:t>R2 = 0.141</w:t>
            </w:r>
            <w:r w:rsidR="00354E49">
              <w:rPr>
                <w:bCs/>
              </w:rPr>
              <w:t>,</w:t>
            </w:r>
            <w:r w:rsidRPr="001D04B2">
              <w:rPr>
                <w:bCs/>
              </w:rPr>
              <w:t xml:space="preserve"> p= 0.004</w:t>
            </w:r>
          </w:p>
          <w:p w14:paraId="755C6870" w14:textId="77777777" w:rsidR="00711E86" w:rsidRDefault="00711E86" w:rsidP="004E18F5">
            <w:pPr>
              <w:rPr>
                <w:bCs/>
              </w:rPr>
            </w:pPr>
          </w:p>
          <w:p w14:paraId="751F94C8" w14:textId="77777777" w:rsidR="00711E86" w:rsidRDefault="00711E86" w:rsidP="004E18F5">
            <w:pPr>
              <w:rPr>
                <w:bCs/>
              </w:rPr>
            </w:pPr>
          </w:p>
        </w:tc>
      </w:tr>
    </w:tbl>
    <w:p w14:paraId="0BEB080B" w14:textId="77777777" w:rsidR="00A80BFA" w:rsidRDefault="00A80BFA" w:rsidP="004E18F5">
      <w:pPr>
        <w:pStyle w:val="Caption"/>
        <w:rPr>
          <w:b/>
          <w:bCs/>
          <w:color w:val="000000" w:themeColor="text1"/>
          <w:sz w:val="24"/>
          <w:szCs w:val="24"/>
        </w:rPr>
      </w:pPr>
      <w:bookmarkStart w:id="312" w:name="_Ref105510784"/>
    </w:p>
    <w:p w14:paraId="54A5B751" w14:textId="56BBA008" w:rsidR="004E18F5" w:rsidRPr="00394BC7" w:rsidRDefault="00394BC7" w:rsidP="004E18F5">
      <w:pPr>
        <w:pStyle w:val="Caption"/>
        <w:rPr>
          <w:bCs/>
          <w:i w:val="0"/>
          <w:iCs w:val="0"/>
          <w:color w:val="000000" w:themeColor="text1"/>
          <w:sz w:val="24"/>
          <w:szCs w:val="24"/>
        </w:rPr>
      </w:pPr>
      <w:bookmarkStart w:id="313" w:name="_Toc117780238"/>
      <w:r w:rsidRPr="00DB069C">
        <w:rPr>
          <w:b/>
          <w:bCs/>
          <w:color w:val="000000" w:themeColor="text1"/>
          <w:sz w:val="24"/>
          <w:szCs w:val="24"/>
        </w:rPr>
        <w:t xml:space="preserve">Figure </w:t>
      </w:r>
      <w:r w:rsidR="00F42C6F">
        <w:rPr>
          <w:b/>
          <w:bCs/>
          <w:color w:val="000000" w:themeColor="text1"/>
          <w:sz w:val="24"/>
          <w:szCs w:val="24"/>
        </w:rPr>
        <w:fldChar w:fldCharType="begin"/>
      </w:r>
      <w:r w:rsidR="00F42C6F">
        <w:rPr>
          <w:b/>
          <w:bCs/>
          <w:color w:val="000000" w:themeColor="text1"/>
          <w:sz w:val="24"/>
          <w:szCs w:val="24"/>
        </w:rPr>
        <w:instrText xml:space="preserve"> STYLEREF 1 \s </w:instrText>
      </w:r>
      <w:r w:rsidR="00F42C6F">
        <w:rPr>
          <w:b/>
          <w:bCs/>
          <w:color w:val="000000" w:themeColor="text1"/>
          <w:sz w:val="24"/>
          <w:szCs w:val="24"/>
        </w:rPr>
        <w:fldChar w:fldCharType="separate"/>
      </w:r>
      <w:r w:rsidR="00F42C6F">
        <w:rPr>
          <w:b/>
          <w:bCs/>
          <w:noProof/>
          <w:color w:val="000000" w:themeColor="text1"/>
          <w:sz w:val="24"/>
          <w:szCs w:val="24"/>
        </w:rPr>
        <w:t>5</w:t>
      </w:r>
      <w:r w:rsidR="00F42C6F">
        <w:rPr>
          <w:b/>
          <w:bCs/>
          <w:color w:val="000000" w:themeColor="text1"/>
          <w:sz w:val="24"/>
          <w:szCs w:val="24"/>
        </w:rPr>
        <w:fldChar w:fldCharType="end"/>
      </w:r>
      <w:r w:rsidR="00F42C6F">
        <w:rPr>
          <w:b/>
          <w:bCs/>
          <w:color w:val="000000" w:themeColor="text1"/>
          <w:sz w:val="24"/>
          <w:szCs w:val="24"/>
        </w:rPr>
        <w:noBreakHyphen/>
      </w:r>
      <w:r w:rsidR="00F42C6F">
        <w:rPr>
          <w:b/>
          <w:bCs/>
          <w:color w:val="000000" w:themeColor="text1"/>
          <w:sz w:val="24"/>
          <w:szCs w:val="24"/>
        </w:rPr>
        <w:fldChar w:fldCharType="begin"/>
      </w:r>
      <w:r w:rsidR="00F42C6F">
        <w:rPr>
          <w:b/>
          <w:bCs/>
          <w:color w:val="000000" w:themeColor="text1"/>
          <w:sz w:val="24"/>
          <w:szCs w:val="24"/>
        </w:rPr>
        <w:instrText xml:space="preserve"> SEQ Figure \* ARABIC \s 1 </w:instrText>
      </w:r>
      <w:r w:rsidR="00F42C6F">
        <w:rPr>
          <w:b/>
          <w:bCs/>
          <w:color w:val="000000" w:themeColor="text1"/>
          <w:sz w:val="24"/>
          <w:szCs w:val="24"/>
        </w:rPr>
        <w:fldChar w:fldCharType="separate"/>
      </w:r>
      <w:r w:rsidR="00F42C6F">
        <w:rPr>
          <w:b/>
          <w:bCs/>
          <w:noProof/>
          <w:color w:val="000000" w:themeColor="text1"/>
          <w:sz w:val="24"/>
          <w:szCs w:val="24"/>
        </w:rPr>
        <w:t>7</w:t>
      </w:r>
      <w:r w:rsidR="00F42C6F">
        <w:rPr>
          <w:b/>
          <w:bCs/>
          <w:color w:val="000000" w:themeColor="text1"/>
          <w:sz w:val="24"/>
          <w:szCs w:val="24"/>
        </w:rPr>
        <w:fldChar w:fldCharType="end"/>
      </w:r>
      <w:bookmarkEnd w:id="312"/>
      <w:r w:rsidRPr="00DB069C">
        <w:rPr>
          <w:b/>
          <w:bCs/>
          <w:color w:val="000000" w:themeColor="text1"/>
          <w:sz w:val="24"/>
          <w:szCs w:val="24"/>
        </w:rPr>
        <w:t>:</w:t>
      </w:r>
      <w:r w:rsidR="00B44B3B" w:rsidRPr="005D4602">
        <w:rPr>
          <w:i w:val="0"/>
          <w:iCs w:val="0"/>
          <w:color w:val="000000" w:themeColor="text1"/>
          <w:sz w:val="24"/>
          <w:szCs w:val="24"/>
        </w:rPr>
        <w:t xml:space="preserve"> Non-metric multi-dimensional scaling of beta diversity for DNPS collected from </w:t>
      </w:r>
      <w:r w:rsidR="004E18F5" w:rsidRPr="00DB069C">
        <w:rPr>
          <w:i w:val="0"/>
          <w:iCs w:val="0"/>
          <w:color w:val="000000" w:themeColor="text1"/>
          <w:sz w:val="24"/>
          <w:szCs w:val="24"/>
        </w:rPr>
        <w:t>children in both comparison and azithromycin group</w:t>
      </w:r>
      <w:bookmarkEnd w:id="313"/>
    </w:p>
    <w:p w14:paraId="4BCDE59C" w14:textId="37CC6E69" w:rsidR="00DB069C" w:rsidRDefault="00EB0610" w:rsidP="00E92008">
      <w:pPr>
        <w:rPr>
          <w:bCs/>
        </w:rPr>
      </w:pPr>
      <w:r>
        <w:rPr>
          <w:noProof/>
        </w:rPr>
        <mc:AlternateContent>
          <mc:Choice Requires="wps">
            <w:drawing>
              <wp:anchor distT="0" distB="0" distL="114300" distR="114300" simplePos="0" relativeHeight="251897344" behindDoc="0" locked="0" layoutInCell="1" allowOverlap="1" wp14:anchorId="69A9C9FF" wp14:editId="56EA0F5B">
                <wp:simplePos x="0" y="0"/>
                <wp:positionH relativeFrom="column">
                  <wp:posOffset>2066925</wp:posOffset>
                </wp:positionH>
                <wp:positionV relativeFrom="paragraph">
                  <wp:posOffset>86360</wp:posOffset>
                </wp:positionV>
                <wp:extent cx="85725" cy="85725"/>
                <wp:effectExtent l="0" t="0" r="9525" b="9525"/>
                <wp:wrapNone/>
                <wp:docPr id="425" name="Flowchart: Connector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5725"/>
                        </a:xfrm>
                        <a:prstGeom prst="flowChartConnector">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411EE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25" o:spid="_x0000_s1026" type="#_x0000_t120" style="position:absolute;margin-left:162.75pt;margin-top:6.8pt;width:6.75pt;height:6.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" fillcolor="#5b9bd5 [3204]" strokecolor="black [3213]" strokeweight="1pt">
                <v:stroke joinstyle="miter"/>
                <v:path arrowok="t"/>
              </v:shape>
            </w:pict>
          </mc:Fallback>
        </mc:AlternateContent>
      </w:r>
      <w:r>
        <w:rPr>
          <w:noProof/>
        </w:rPr>
        <mc:AlternateContent>
          <mc:Choice Requires="wps">
            <w:drawing>
              <wp:anchor distT="0" distB="0" distL="114300" distR="114300" simplePos="0" relativeHeight="251899392" behindDoc="0" locked="0" layoutInCell="1" allowOverlap="1" wp14:anchorId="5D347B41" wp14:editId="5AF40428">
                <wp:simplePos x="0" y="0"/>
                <wp:positionH relativeFrom="column">
                  <wp:posOffset>209550</wp:posOffset>
                </wp:positionH>
                <wp:positionV relativeFrom="paragraph">
                  <wp:posOffset>85090</wp:posOffset>
                </wp:positionV>
                <wp:extent cx="85725" cy="85725"/>
                <wp:effectExtent l="0" t="0" r="9525" b="9525"/>
                <wp:wrapNone/>
                <wp:docPr id="424" name="Flowchart: Connector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5725"/>
                        </a:xfrm>
                        <a:prstGeom prst="flowChartConnector">
                          <a:avLst/>
                        </a:prstGeom>
                        <a:solidFill>
                          <a:schemeClr val="accent2">
                            <a:lumMod val="60000"/>
                            <a:lumOff val="40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C224EC" id="Flowchart: Connector 424" o:spid="_x0000_s1026" type="#_x0000_t120" style="position:absolute;margin-left:16.5pt;margin-top:6.7pt;width:6.75pt;height:6.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" fillcolor="#f4b083 [1941]" strokecolor="black [3213]" strokeweight="1pt">
                <v:stroke joinstyle="miter"/>
                <v:path arrowok="t"/>
              </v:shape>
            </w:pict>
          </mc:Fallback>
        </mc:AlternateContent>
      </w:r>
      <w:r w:rsidR="00711E86">
        <w:rPr>
          <w:bCs/>
        </w:rPr>
        <w:tab/>
      </w:r>
      <w:r w:rsidR="00DB069C">
        <w:rPr>
          <w:bCs/>
        </w:rPr>
        <w:t xml:space="preserve">Azithromycin </w:t>
      </w:r>
      <w:r w:rsidR="00DE6506">
        <w:rPr>
          <w:bCs/>
        </w:rPr>
        <w:t>group</w:t>
      </w:r>
      <w:r w:rsidR="00711E86">
        <w:rPr>
          <w:bCs/>
        </w:rPr>
        <w:tab/>
      </w:r>
      <w:r w:rsidR="00711E86">
        <w:rPr>
          <w:bCs/>
        </w:rPr>
        <w:tab/>
      </w:r>
      <w:r w:rsidR="00DE6506">
        <w:rPr>
          <w:bCs/>
        </w:rPr>
        <w:t>Comparison group</w:t>
      </w:r>
    </w:p>
    <w:p w14:paraId="7E79B328" w14:textId="3C4C07A4" w:rsidR="00407681" w:rsidRDefault="00711E86" w:rsidP="00E92008">
      <w:pPr>
        <w:rPr>
          <w:bCs/>
        </w:rPr>
      </w:pPr>
      <w:r>
        <w:rPr>
          <w:bCs/>
        </w:rPr>
        <w:tab/>
      </w:r>
      <w:r>
        <w:rPr>
          <w:bCs/>
        </w:rPr>
        <w:tab/>
      </w:r>
    </w:p>
    <w:p w14:paraId="4C11C2FA" w14:textId="4E221CA8" w:rsidR="00085883" w:rsidRDefault="0008093B" w:rsidP="00085883">
      <w:pPr>
        <w:rPr>
          <w:i/>
          <w:iCs/>
        </w:rPr>
      </w:pPr>
      <w:r w:rsidRPr="0008093B">
        <w:rPr>
          <w:i/>
          <w:iCs/>
        </w:rPr>
        <w:t>Beta diversity has been calculated using the Bray-Curtis dissimilarity measure and plotted using Non-Metric Multidimensional Scaling (NMDS). Coloured plots indicate samples taken from participants either in the comparison</w:t>
      </w:r>
      <w:r w:rsidR="00DB069C">
        <w:rPr>
          <w:i/>
          <w:iCs/>
        </w:rPr>
        <w:t xml:space="preserve"> (blue)</w:t>
      </w:r>
      <w:r w:rsidRPr="0008093B">
        <w:rPr>
          <w:i/>
          <w:iCs/>
        </w:rPr>
        <w:t xml:space="preserve"> or azithromycin group</w:t>
      </w:r>
      <w:r w:rsidR="00DB069C">
        <w:rPr>
          <w:i/>
          <w:iCs/>
        </w:rPr>
        <w:t xml:space="preserve"> (orange)</w:t>
      </w:r>
      <w:r w:rsidRPr="0008093B">
        <w:rPr>
          <w:i/>
          <w:iCs/>
        </w:rPr>
        <w:t xml:space="preserve">.  </w:t>
      </w:r>
      <w:r w:rsidRPr="0008093B">
        <w:rPr>
          <w:b/>
          <w:bCs/>
          <w:i/>
          <w:iCs/>
        </w:rPr>
        <w:t>A-D</w:t>
      </w:r>
      <w:r w:rsidRPr="0008093B">
        <w:rPr>
          <w:i/>
          <w:iCs/>
        </w:rPr>
        <w:t xml:space="preserve"> show swabs taken at different time points over the study period. Significant dissimilarity was only found between the 2 groups in the final set of swabs taken. </w:t>
      </w:r>
    </w:p>
    <w:p w14:paraId="0DB22FCD" w14:textId="77777777" w:rsidR="00D911DC" w:rsidRDefault="00D911DC" w:rsidP="00085883">
      <w:pPr>
        <w:rPr>
          <w:i/>
          <w:iCs/>
        </w:rPr>
      </w:pPr>
    </w:p>
    <w:p w14:paraId="1957F295" w14:textId="182323A0" w:rsidR="009B70C3" w:rsidRDefault="00D37358" w:rsidP="00893CBE">
      <w:pPr>
        <w:spacing w:line="360" w:lineRule="auto"/>
        <w:rPr>
          <w:rFonts w:cstheme="minorHAnsi"/>
          <w:bCs/>
        </w:rPr>
      </w:pPr>
      <w:r w:rsidRPr="00067715">
        <w:rPr>
          <w:rFonts w:cstheme="minorHAnsi"/>
          <w:bCs/>
        </w:rPr>
        <w:lastRenderedPageBreak/>
        <w:t>Active treatment with azithromycin</w:t>
      </w:r>
      <w:r w:rsidR="00DB069C">
        <w:rPr>
          <w:rFonts w:cstheme="minorHAnsi"/>
          <w:bCs/>
        </w:rPr>
        <w:t xml:space="preserve"> (at the time of the swab)</w:t>
      </w:r>
      <w:r w:rsidRPr="00067715">
        <w:rPr>
          <w:rFonts w:cstheme="minorHAnsi"/>
          <w:bCs/>
        </w:rPr>
        <w:t xml:space="preserve"> had a statistically significant effect on microbiota composition when compared to </w:t>
      </w:r>
      <w:r w:rsidR="00FA177E">
        <w:rPr>
          <w:rFonts w:cstheme="minorHAnsi"/>
          <w:bCs/>
        </w:rPr>
        <w:t xml:space="preserve">all </w:t>
      </w:r>
      <w:r w:rsidRPr="00067715">
        <w:rPr>
          <w:rFonts w:cstheme="minorHAnsi"/>
          <w:bCs/>
        </w:rPr>
        <w:t>individuals (</w:t>
      </w:r>
      <w:r w:rsidR="00DB069C">
        <w:rPr>
          <w:rFonts w:cstheme="minorHAnsi"/>
          <w:bCs/>
        </w:rPr>
        <w:t>both</w:t>
      </w:r>
      <w:r w:rsidR="00DB069C" w:rsidRPr="00067715">
        <w:rPr>
          <w:rFonts w:cstheme="minorHAnsi"/>
          <w:bCs/>
        </w:rPr>
        <w:t xml:space="preserve"> </w:t>
      </w:r>
      <w:r w:rsidRPr="00067715">
        <w:rPr>
          <w:rFonts w:cstheme="minorHAnsi"/>
          <w:bCs/>
        </w:rPr>
        <w:t xml:space="preserve">in the </w:t>
      </w:r>
      <w:r w:rsidR="00DB069C">
        <w:rPr>
          <w:rFonts w:cstheme="minorHAnsi"/>
          <w:bCs/>
        </w:rPr>
        <w:t>azithromycin</w:t>
      </w:r>
      <w:r w:rsidR="00DB069C" w:rsidRPr="00067715">
        <w:rPr>
          <w:rFonts w:cstheme="minorHAnsi"/>
          <w:bCs/>
        </w:rPr>
        <w:t xml:space="preserve"> </w:t>
      </w:r>
      <w:r w:rsidRPr="00067715">
        <w:rPr>
          <w:rFonts w:cstheme="minorHAnsi"/>
          <w:bCs/>
        </w:rPr>
        <w:t xml:space="preserve">group </w:t>
      </w:r>
      <w:r w:rsidR="00DB069C">
        <w:rPr>
          <w:rFonts w:cstheme="minorHAnsi"/>
          <w:bCs/>
        </w:rPr>
        <w:t xml:space="preserve">and </w:t>
      </w:r>
      <w:r w:rsidRPr="00067715">
        <w:rPr>
          <w:rFonts w:cstheme="minorHAnsi"/>
          <w:bCs/>
        </w:rPr>
        <w:t>comparison group) not currently taking azithromycin (P</w:t>
      </w:r>
      <w:r w:rsidR="004E18F5">
        <w:rPr>
          <w:rFonts w:cstheme="minorHAnsi"/>
          <w:bCs/>
        </w:rPr>
        <w:t>ER</w:t>
      </w:r>
      <w:r w:rsidRPr="00067715">
        <w:rPr>
          <w:rFonts w:cstheme="minorHAnsi"/>
          <w:bCs/>
        </w:rPr>
        <w:t>MANOVA, R2=0.026, p= 0.01</w:t>
      </w:r>
      <w:r w:rsidRPr="00D833E1">
        <w:rPr>
          <w:rFonts w:cstheme="minorHAnsi"/>
          <w:bCs/>
        </w:rPr>
        <w:t>)</w:t>
      </w:r>
      <w:r w:rsidR="009B70C3" w:rsidRPr="00D833E1">
        <w:rPr>
          <w:rFonts w:cstheme="minorHAnsi"/>
          <w:bCs/>
        </w:rPr>
        <w:t xml:space="preserve">, </w:t>
      </w:r>
      <w:r w:rsidR="00D833E1" w:rsidRPr="00D833E1">
        <w:rPr>
          <w:rFonts w:cstheme="minorHAnsi"/>
          <w:bCs/>
        </w:rPr>
        <w:fldChar w:fldCharType="begin"/>
      </w:r>
      <w:r w:rsidR="00D833E1" w:rsidRPr="00D833E1">
        <w:rPr>
          <w:rFonts w:cstheme="minorHAnsi"/>
          <w:bCs/>
        </w:rPr>
        <w:instrText xml:space="preserve"> REF _Ref105510869 \h  \* MERGEFORMAT </w:instrText>
      </w:r>
      <w:r w:rsidR="00D833E1" w:rsidRPr="00D833E1">
        <w:rPr>
          <w:rFonts w:cstheme="minorHAnsi"/>
          <w:bCs/>
        </w:rPr>
      </w:r>
      <w:r w:rsidR="00D833E1" w:rsidRPr="00D833E1">
        <w:rPr>
          <w:rFonts w:cstheme="minorHAnsi"/>
          <w:bCs/>
        </w:rPr>
        <w:fldChar w:fldCharType="separate"/>
      </w:r>
      <w:r w:rsidR="00D833E1" w:rsidRPr="00D833E1">
        <w:rPr>
          <w:bCs/>
          <w:color w:val="000000" w:themeColor="text1"/>
        </w:rPr>
        <w:t xml:space="preserve">Figure </w:t>
      </w:r>
      <w:r w:rsidR="00D833E1" w:rsidRPr="00D833E1">
        <w:rPr>
          <w:bCs/>
          <w:noProof/>
          <w:color w:val="000000" w:themeColor="text1"/>
        </w:rPr>
        <w:t>5</w:t>
      </w:r>
      <w:r w:rsidR="00D833E1" w:rsidRPr="00D833E1">
        <w:rPr>
          <w:bCs/>
          <w:color w:val="000000" w:themeColor="text1"/>
        </w:rPr>
        <w:noBreakHyphen/>
      </w:r>
      <w:r w:rsidR="00D833E1" w:rsidRPr="00D833E1">
        <w:rPr>
          <w:bCs/>
          <w:noProof/>
          <w:color w:val="000000" w:themeColor="text1"/>
        </w:rPr>
        <w:t>8</w:t>
      </w:r>
      <w:r w:rsidR="00D833E1" w:rsidRPr="00D833E1">
        <w:rPr>
          <w:rFonts w:cstheme="minorHAnsi"/>
          <w:bCs/>
        </w:rPr>
        <w:fldChar w:fldCharType="end"/>
      </w:r>
      <w:r w:rsidR="00D833E1">
        <w:rPr>
          <w:rFonts w:cstheme="minorHAnsi"/>
          <w:bCs/>
        </w:rPr>
        <w:t xml:space="preserve">. </w:t>
      </w:r>
      <w:r w:rsidR="00404121" w:rsidRPr="00067715">
        <w:rPr>
          <w:rFonts w:cstheme="minorHAnsi"/>
          <w:bCs/>
        </w:rPr>
        <w:t xml:space="preserve">Pairwise models were used to further delineate this difference. </w:t>
      </w:r>
      <w:r w:rsidR="000465D0" w:rsidRPr="00067715">
        <w:rPr>
          <w:rFonts w:cstheme="minorHAnsi"/>
          <w:bCs/>
        </w:rPr>
        <w:t>A</w:t>
      </w:r>
      <w:r w:rsidR="00A6702D" w:rsidRPr="00067715">
        <w:rPr>
          <w:rFonts w:cstheme="minorHAnsi"/>
          <w:bCs/>
        </w:rPr>
        <w:t xml:space="preserve">zithromycin </w:t>
      </w:r>
      <w:r w:rsidR="000465D0" w:rsidRPr="00067715">
        <w:rPr>
          <w:rFonts w:cstheme="minorHAnsi"/>
          <w:bCs/>
        </w:rPr>
        <w:t xml:space="preserve">treatment </w:t>
      </w:r>
      <w:r w:rsidR="00404121" w:rsidRPr="00067715">
        <w:rPr>
          <w:rFonts w:cstheme="minorHAnsi"/>
          <w:bCs/>
        </w:rPr>
        <w:t xml:space="preserve">showed a more striking effect on the microbiota composition </w:t>
      </w:r>
      <w:r w:rsidR="00A6702D" w:rsidRPr="00067715">
        <w:rPr>
          <w:rFonts w:cstheme="minorHAnsi"/>
          <w:bCs/>
        </w:rPr>
        <w:t xml:space="preserve">when </w:t>
      </w:r>
      <w:r w:rsidR="00112006">
        <w:rPr>
          <w:rFonts w:cstheme="minorHAnsi"/>
          <w:bCs/>
        </w:rPr>
        <w:t xml:space="preserve">those actively taking azithromycin at the time of swab collection were </w:t>
      </w:r>
      <w:r w:rsidR="00A6702D" w:rsidRPr="00067715">
        <w:rPr>
          <w:rFonts w:cstheme="minorHAnsi"/>
          <w:bCs/>
        </w:rPr>
        <w:t xml:space="preserve">compared </w:t>
      </w:r>
      <w:r w:rsidR="00112006">
        <w:rPr>
          <w:rFonts w:cstheme="minorHAnsi"/>
          <w:bCs/>
        </w:rPr>
        <w:t xml:space="preserve">only </w:t>
      </w:r>
      <w:r w:rsidR="00A6702D" w:rsidRPr="00067715">
        <w:rPr>
          <w:rFonts w:cstheme="minorHAnsi"/>
          <w:bCs/>
        </w:rPr>
        <w:t>to those individuals in the comparison group, R=0.079, p= 0. 001</w:t>
      </w:r>
      <w:r w:rsidR="00D833E1">
        <w:rPr>
          <w:rFonts w:cstheme="minorHAnsi"/>
          <w:bCs/>
        </w:rPr>
        <w:t>,</w:t>
      </w:r>
      <w:r w:rsidR="00404121" w:rsidRPr="00067715">
        <w:rPr>
          <w:rFonts w:cstheme="minorHAnsi"/>
          <w:bCs/>
        </w:rPr>
        <w:t xml:space="preserve"> </w:t>
      </w:r>
      <w:r w:rsidR="00D833E1" w:rsidRPr="00D833E1">
        <w:rPr>
          <w:rFonts w:cstheme="minorHAnsi"/>
          <w:bCs/>
        </w:rPr>
        <w:fldChar w:fldCharType="begin"/>
      </w:r>
      <w:r w:rsidR="00D833E1" w:rsidRPr="00D833E1">
        <w:rPr>
          <w:rFonts w:cstheme="minorHAnsi"/>
          <w:bCs/>
        </w:rPr>
        <w:instrText xml:space="preserve"> REF _Ref107923632 \h  \* MERGEFORMAT </w:instrText>
      </w:r>
      <w:r w:rsidR="00D833E1" w:rsidRPr="00D833E1">
        <w:rPr>
          <w:rFonts w:cstheme="minorHAnsi"/>
          <w:bCs/>
        </w:rPr>
      </w:r>
      <w:r w:rsidR="00D833E1" w:rsidRPr="00D833E1">
        <w:rPr>
          <w:rFonts w:cstheme="minorHAnsi"/>
          <w:bCs/>
        </w:rPr>
        <w:fldChar w:fldCharType="separate"/>
      </w:r>
      <w:r w:rsidR="00D833E1" w:rsidRPr="00D833E1">
        <w:rPr>
          <w:bCs/>
          <w:color w:val="000000" w:themeColor="text1"/>
        </w:rPr>
        <w:t xml:space="preserve">Figure </w:t>
      </w:r>
      <w:r w:rsidR="00D833E1" w:rsidRPr="00D833E1">
        <w:rPr>
          <w:bCs/>
          <w:noProof/>
          <w:color w:val="000000" w:themeColor="text1"/>
        </w:rPr>
        <w:t>5</w:t>
      </w:r>
      <w:r w:rsidR="00D833E1" w:rsidRPr="00D833E1">
        <w:rPr>
          <w:bCs/>
          <w:color w:val="000000" w:themeColor="text1"/>
        </w:rPr>
        <w:noBreakHyphen/>
      </w:r>
      <w:r w:rsidR="00D833E1" w:rsidRPr="00D833E1">
        <w:rPr>
          <w:bCs/>
          <w:noProof/>
          <w:color w:val="000000" w:themeColor="text1"/>
        </w:rPr>
        <w:t>9</w:t>
      </w:r>
      <w:r w:rsidR="00D833E1" w:rsidRPr="00D833E1">
        <w:rPr>
          <w:rFonts w:cstheme="minorHAnsi"/>
          <w:bCs/>
        </w:rPr>
        <w:fldChar w:fldCharType="end"/>
      </w:r>
      <w:r w:rsidR="00D833E1">
        <w:rPr>
          <w:rFonts w:cstheme="minorHAnsi"/>
          <w:bCs/>
        </w:rPr>
        <w:t xml:space="preserve">. </w:t>
      </w:r>
      <w:r w:rsidR="000465D0" w:rsidRPr="00067715">
        <w:rPr>
          <w:rFonts w:cstheme="minorHAnsi"/>
          <w:bCs/>
        </w:rPr>
        <w:t xml:space="preserve">When </w:t>
      </w:r>
      <w:r w:rsidR="00112006">
        <w:rPr>
          <w:rFonts w:cstheme="minorHAnsi"/>
          <w:bCs/>
        </w:rPr>
        <w:t xml:space="preserve">those in the azithromycin group, actively taking azithromycin, were </w:t>
      </w:r>
      <w:r w:rsidR="000465D0" w:rsidRPr="00067715">
        <w:rPr>
          <w:rFonts w:cstheme="minorHAnsi"/>
          <w:bCs/>
        </w:rPr>
        <w:t>compared to individuals in the azithromycin group not on treatment</w:t>
      </w:r>
      <w:r w:rsidR="002017D8">
        <w:rPr>
          <w:rFonts w:cstheme="minorHAnsi"/>
          <w:bCs/>
        </w:rPr>
        <w:t xml:space="preserve"> at the time of swab collection</w:t>
      </w:r>
      <w:r w:rsidR="000465D0" w:rsidRPr="00067715">
        <w:rPr>
          <w:rFonts w:cstheme="minorHAnsi"/>
          <w:bCs/>
        </w:rPr>
        <w:t>, active treatment with azithromycin trended towards differences in the microbiota composition yet did not reach statistical significance; R= 0.04, p=0.085</w:t>
      </w:r>
      <w:r w:rsidR="00D833E1" w:rsidRPr="00D833E1">
        <w:rPr>
          <w:rFonts w:cstheme="minorHAnsi"/>
          <w:bCs/>
        </w:rPr>
        <w:t xml:space="preserve">, </w:t>
      </w:r>
      <w:r w:rsidR="00D833E1" w:rsidRPr="00D833E1">
        <w:rPr>
          <w:rFonts w:cstheme="minorHAnsi"/>
          <w:bCs/>
        </w:rPr>
        <w:fldChar w:fldCharType="begin"/>
      </w:r>
      <w:r w:rsidR="00D833E1" w:rsidRPr="00D833E1">
        <w:rPr>
          <w:rFonts w:cstheme="minorHAnsi"/>
          <w:bCs/>
        </w:rPr>
        <w:instrText xml:space="preserve"> REF _Ref107923671 \h  \* MERGEFORMAT </w:instrText>
      </w:r>
      <w:r w:rsidR="00D833E1" w:rsidRPr="00D833E1">
        <w:rPr>
          <w:rFonts w:cstheme="minorHAnsi"/>
          <w:bCs/>
        </w:rPr>
      </w:r>
      <w:r w:rsidR="00D833E1" w:rsidRPr="00D833E1">
        <w:rPr>
          <w:rFonts w:cstheme="minorHAnsi"/>
          <w:bCs/>
        </w:rPr>
        <w:fldChar w:fldCharType="separate"/>
      </w:r>
      <w:r w:rsidR="00D833E1" w:rsidRPr="00D833E1">
        <w:rPr>
          <w:bCs/>
          <w:color w:val="000000" w:themeColor="text1"/>
        </w:rPr>
        <w:t xml:space="preserve">Figure </w:t>
      </w:r>
      <w:r w:rsidR="00D833E1" w:rsidRPr="00D833E1">
        <w:rPr>
          <w:bCs/>
          <w:noProof/>
          <w:color w:val="000000" w:themeColor="text1"/>
        </w:rPr>
        <w:t>5</w:t>
      </w:r>
      <w:r w:rsidR="00D833E1" w:rsidRPr="00D833E1">
        <w:rPr>
          <w:bCs/>
          <w:color w:val="000000" w:themeColor="text1"/>
        </w:rPr>
        <w:noBreakHyphen/>
      </w:r>
      <w:r w:rsidR="00D833E1" w:rsidRPr="00D833E1">
        <w:rPr>
          <w:bCs/>
          <w:noProof/>
          <w:color w:val="000000" w:themeColor="text1"/>
        </w:rPr>
        <w:t>10</w:t>
      </w:r>
      <w:r w:rsidR="00D833E1" w:rsidRPr="00D833E1">
        <w:rPr>
          <w:rFonts w:cstheme="minorHAnsi"/>
          <w:bCs/>
        </w:rPr>
        <w:fldChar w:fldCharType="end"/>
      </w:r>
      <w:r w:rsidR="000465D0" w:rsidRPr="00067715">
        <w:rPr>
          <w:rFonts w:cstheme="minorHAnsi"/>
          <w:bCs/>
        </w:rPr>
        <w:t xml:space="preserve">. </w:t>
      </w:r>
    </w:p>
    <w:p w14:paraId="171A78D6" w14:textId="6D9A56B2" w:rsidR="00A80BFA" w:rsidRDefault="00A80BFA" w:rsidP="00893CBE">
      <w:pPr>
        <w:spacing w:line="360" w:lineRule="auto"/>
        <w:rPr>
          <w:rFonts w:cstheme="minorHAnsi"/>
          <w:bCs/>
        </w:rPr>
      </w:pPr>
    </w:p>
    <w:p w14:paraId="54FCEA44" w14:textId="05B4196F" w:rsidR="00A80BFA" w:rsidRDefault="00A80BFA" w:rsidP="00893CBE">
      <w:pPr>
        <w:spacing w:line="360" w:lineRule="auto"/>
        <w:rPr>
          <w:rFonts w:cstheme="minorHAnsi"/>
          <w:bCs/>
        </w:rPr>
      </w:pPr>
    </w:p>
    <w:p w14:paraId="69406BEC" w14:textId="67792A34" w:rsidR="00A80BFA" w:rsidRDefault="00A80BFA" w:rsidP="00893CBE">
      <w:pPr>
        <w:spacing w:line="360" w:lineRule="auto"/>
        <w:rPr>
          <w:rFonts w:cstheme="minorHAnsi"/>
          <w:bCs/>
        </w:rPr>
      </w:pPr>
    </w:p>
    <w:p w14:paraId="2E54F531" w14:textId="0C4F2CA6" w:rsidR="00A80BFA" w:rsidRDefault="00A80BFA" w:rsidP="00893CBE">
      <w:pPr>
        <w:spacing w:line="360" w:lineRule="auto"/>
        <w:rPr>
          <w:rFonts w:cstheme="minorHAnsi"/>
          <w:bCs/>
        </w:rPr>
      </w:pPr>
    </w:p>
    <w:p w14:paraId="5B615E51" w14:textId="416C2E0E" w:rsidR="00A80BFA" w:rsidRDefault="00A80BFA" w:rsidP="00893CBE">
      <w:pPr>
        <w:spacing w:line="360" w:lineRule="auto"/>
        <w:rPr>
          <w:rFonts w:cstheme="minorHAnsi"/>
          <w:bCs/>
        </w:rPr>
      </w:pPr>
    </w:p>
    <w:p w14:paraId="6E2FA6C0" w14:textId="77777777" w:rsidR="00A80BFA" w:rsidRPr="00085883" w:rsidRDefault="00A80BFA" w:rsidP="00893CBE">
      <w:pPr>
        <w:spacing w:line="360" w:lineRule="auto"/>
        <w:rPr>
          <w:i/>
          <w:iCs/>
        </w:rPr>
      </w:pPr>
    </w:p>
    <w:p w14:paraId="13FABD40" w14:textId="153B0111" w:rsidR="00CC6196" w:rsidRDefault="00CC6196" w:rsidP="00E92008">
      <w:pPr>
        <w:rPr>
          <w:bCs/>
        </w:rPr>
      </w:pPr>
    </w:p>
    <w:p w14:paraId="615E3030" w14:textId="2A5C8164" w:rsidR="00394BC7" w:rsidRDefault="00585287" w:rsidP="00394BC7">
      <w:pPr>
        <w:keepNext/>
      </w:pPr>
      <w:r>
        <w:rPr>
          <w:noProof/>
        </w:rPr>
        <w:lastRenderedPageBreak/>
        <w:drawing>
          <wp:inline distT="0" distB="0" distL="0" distR="0" wp14:anchorId="00D3E95C" wp14:editId="3DC53320">
            <wp:extent cx="6029325" cy="3285209"/>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6243" cy="3288978"/>
                    </a:xfrm>
                    <a:prstGeom prst="rect">
                      <a:avLst/>
                    </a:prstGeom>
                    <a:noFill/>
                    <a:ln>
                      <a:noFill/>
                    </a:ln>
                  </pic:spPr>
                </pic:pic>
              </a:graphicData>
            </a:graphic>
          </wp:inline>
        </w:drawing>
      </w:r>
    </w:p>
    <w:p w14:paraId="1BE783F1" w14:textId="788E3ED8" w:rsidR="00E92008" w:rsidRPr="00394BC7" w:rsidRDefault="00394BC7" w:rsidP="00394BC7">
      <w:pPr>
        <w:pStyle w:val="Caption"/>
        <w:rPr>
          <w:i w:val="0"/>
          <w:iCs w:val="0"/>
          <w:color w:val="000000" w:themeColor="text1"/>
          <w:sz w:val="24"/>
          <w:szCs w:val="24"/>
        </w:rPr>
      </w:pPr>
      <w:bookmarkStart w:id="314" w:name="_Ref105510869"/>
      <w:bookmarkStart w:id="315" w:name="_Toc117780239"/>
      <w:r w:rsidRPr="00394BC7">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8</w:t>
      </w:r>
      <w:r w:rsidR="00F42C6F">
        <w:rPr>
          <w:b/>
          <w:bCs/>
          <w:i w:val="0"/>
          <w:iCs w:val="0"/>
          <w:color w:val="000000" w:themeColor="text1"/>
          <w:sz w:val="24"/>
          <w:szCs w:val="24"/>
        </w:rPr>
        <w:fldChar w:fldCharType="end"/>
      </w:r>
      <w:bookmarkEnd w:id="314"/>
      <w:r w:rsidRPr="00394BC7">
        <w:rPr>
          <w:b/>
          <w:bCs/>
          <w:i w:val="0"/>
          <w:iCs w:val="0"/>
          <w:color w:val="000000" w:themeColor="text1"/>
          <w:sz w:val="24"/>
          <w:szCs w:val="24"/>
        </w:rPr>
        <w:t>:</w:t>
      </w:r>
      <w:r w:rsidRPr="00394BC7">
        <w:rPr>
          <w:i w:val="0"/>
          <w:iCs w:val="0"/>
          <w:color w:val="000000" w:themeColor="text1"/>
          <w:sz w:val="24"/>
          <w:szCs w:val="24"/>
        </w:rPr>
        <w:t xml:space="preserve"> Non-metric multi-dimensional scaling of beta diversity for </w:t>
      </w:r>
      <w:r w:rsidR="00B44B3B">
        <w:rPr>
          <w:i w:val="0"/>
          <w:iCs w:val="0"/>
          <w:color w:val="000000" w:themeColor="text1"/>
          <w:sz w:val="24"/>
          <w:szCs w:val="24"/>
        </w:rPr>
        <w:t>DNPS collected from children taking azithromycin at the time of the swab collection</w:t>
      </w:r>
      <w:bookmarkEnd w:id="315"/>
    </w:p>
    <w:p w14:paraId="2871028A" w14:textId="5E51F227" w:rsidR="00250A41" w:rsidRPr="002017D8" w:rsidRDefault="00250A41" w:rsidP="00A80BFA">
      <w:pPr>
        <w:spacing w:line="360" w:lineRule="auto"/>
        <w:rPr>
          <w:i/>
          <w:iCs/>
        </w:rPr>
      </w:pPr>
      <w:r w:rsidRPr="00250A41">
        <w:rPr>
          <w:i/>
          <w:iCs/>
        </w:rPr>
        <w:t>Beta diversity has been calculated using the Bray-Curtis dissimilarity measure and plotted using Non-Metric Multidimensional Scaling (NMDS). Coloured plots indicate samples taken from participants in the comparison</w:t>
      </w:r>
      <w:r w:rsidR="00085883">
        <w:rPr>
          <w:i/>
          <w:iCs/>
        </w:rPr>
        <w:t xml:space="preserve"> group</w:t>
      </w:r>
      <w:r w:rsidRPr="00250A41">
        <w:rPr>
          <w:i/>
          <w:iCs/>
        </w:rPr>
        <w:t>, in the azithromycin group when actively taking azithromycin or in the azithromycin group when not actively taking azithromycin</w:t>
      </w:r>
      <w:r w:rsidR="00585287" w:rsidRPr="002017D8">
        <w:rPr>
          <w:i/>
          <w:iCs/>
        </w:rPr>
        <w:t>.</w:t>
      </w:r>
      <w:r w:rsidR="002017D8" w:rsidRPr="002017D8">
        <w:rPr>
          <w:rFonts w:cstheme="minorHAnsi"/>
          <w:bCs/>
          <w:i/>
          <w:iCs/>
        </w:rPr>
        <w:t xml:space="preserve"> Active treatment with azithromycin had a statistically significant effect on microbiota composition when compared to all </w:t>
      </w:r>
      <w:r w:rsidR="002017D8">
        <w:rPr>
          <w:rFonts w:cstheme="minorHAnsi"/>
          <w:bCs/>
          <w:i/>
          <w:iCs/>
        </w:rPr>
        <w:t>other participants</w:t>
      </w:r>
      <w:r w:rsidR="002017D8">
        <w:rPr>
          <w:i/>
          <w:iCs/>
        </w:rPr>
        <w:t xml:space="preserve">. </w:t>
      </w:r>
      <w:r w:rsidR="001F626D" w:rsidRPr="001F626D">
        <w:rPr>
          <w:b/>
          <w:bCs/>
          <w:i/>
          <w:iCs/>
        </w:rPr>
        <w:t>PERMANOVA</w:t>
      </w:r>
      <w:r w:rsidR="006E2EFC">
        <w:rPr>
          <w:b/>
          <w:bCs/>
          <w:i/>
          <w:iCs/>
        </w:rPr>
        <w:t>;</w:t>
      </w:r>
      <w:r w:rsidR="001F626D" w:rsidRPr="001F626D">
        <w:rPr>
          <w:b/>
          <w:bCs/>
          <w:i/>
          <w:iCs/>
        </w:rPr>
        <w:t xml:space="preserve"> R2=0.026, p = 0.01</w:t>
      </w:r>
    </w:p>
    <w:p w14:paraId="70042E7D" w14:textId="45D67B5F" w:rsidR="00E92008" w:rsidRDefault="00E92008" w:rsidP="00A80BFA">
      <w:pPr>
        <w:spacing w:line="360" w:lineRule="auto"/>
        <w:rPr>
          <w:b/>
          <w:bCs/>
        </w:rPr>
      </w:pPr>
    </w:p>
    <w:p w14:paraId="4097F8DD" w14:textId="4F820EA4" w:rsidR="00897F71" w:rsidRDefault="00C54875" w:rsidP="00AC08EE">
      <w:pPr>
        <w:spacing w:line="360" w:lineRule="auto"/>
      </w:pPr>
      <w:r>
        <w:rPr>
          <w:noProof/>
        </w:rPr>
        <w:lastRenderedPageBreak/>
        <w:drawing>
          <wp:inline distT="0" distB="0" distL="0" distR="0" wp14:anchorId="4F3BCA3E" wp14:editId="0F1FBC28">
            <wp:extent cx="573405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a:noFill/>
                    </a:ln>
                  </pic:spPr>
                </pic:pic>
              </a:graphicData>
            </a:graphic>
          </wp:inline>
        </w:drawing>
      </w:r>
    </w:p>
    <w:p w14:paraId="28541EA8" w14:textId="404FEC6E" w:rsidR="008A00E5" w:rsidRDefault="008A00E5" w:rsidP="008A00E5">
      <w:pPr>
        <w:pStyle w:val="Caption"/>
        <w:rPr>
          <w:i w:val="0"/>
          <w:iCs w:val="0"/>
          <w:color w:val="000000" w:themeColor="text1"/>
          <w:sz w:val="24"/>
          <w:szCs w:val="24"/>
        </w:rPr>
      </w:pPr>
      <w:bookmarkStart w:id="316" w:name="_Ref107923632"/>
      <w:bookmarkStart w:id="317" w:name="_Toc117780240"/>
      <w:r w:rsidRPr="008A00E5">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9</w:t>
      </w:r>
      <w:r w:rsidR="00F42C6F">
        <w:rPr>
          <w:b/>
          <w:bCs/>
          <w:i w:val="0"/>
          <w:iCs w:val="0"/>
          <w:color w:val="000000" w:themeColor="text1"/>
          <w:sz w:val="24"/>
          <w:szCs w:val="24"/>
        </w:rPr>
        <w:fldChar w:fldCharType="end"/>
      </w:r>
      <w:bookmarkEnd w:id="316"/>
      <w:r w:rsidRPr="008A00E5">
        <w:rPr>
          <w:i w:val="0"/>
          <w:iCs w:val="0"/>
          <w:color w:val="000000" w:themeColor="text1"/>
          <w:sz w:val="24"/>
          <w:szCs w:val="24"/>
        </w:rPr>
        <w:t>: Non-metric multi-dimensional scaling of beta diversity</w:t>
      </w:r>
      <w:r>
        <w:rPr>
          <w:i w:val="0"/>
          <w:iCs w:val="0"/>
          <w:color w:val="000000" w:themeColor="text1"/>
          <w:sz w:val="24"/>
          <w:szCs w:val="24"/>
        </w:rPr>
        <w:t xml:space="preserve">: </w:t>
      </w:r>
      <w:r w:rsidR="00585287">
        <w:rPr>
          <w:i w:val="0"/>
          <w:iCs w:val="0"/>
          <w:color w:val="000000" w:themeColor="text1"/>
          <w:sz w:val="24"/>
          <w:szCs w:val="24"/>
        </w:rPr>
        <w:t xml:space="preserve">Those </w:t>
      </w:r>
      <w:r>
        <w:rPr>
          <w:i w:val="0"/>
          <w:iCs w:val="0"/>
          <w:color w:val="000000" w:themeColor="text1"/>
          <w:sz w:val="24"/>
          <w:szCs w:val="24"/>
        </w:rPr>
        <w:t xml:space="preserve">actively taking azithromycin compared to </w:t>
      </w:r>
      <w:r w:rsidR="00585287">
        <w:rPr>
          <w:i w:val="0"/>
          <w:iCs w:val="0"/>
          <w:color w:val="000000" w:themeColor="text1"/>
          <w:sz w:val="24"/>
          <w:szCs w:val="24"/>
        </w:rPr>
        <w:t>the comparison group</w:t>
      </w:r>
      <w:bookmarkEnd w:id="317"/>
    </w:p>
    <w:p w14:paraId="3A7E44B3" w14:textId="224783FF" w:rsidR="00585287" w:rsidRDefault="00585287" w:rsidP="00A80BFA">
      <w:pPr>
        <w:spacing w:line="360" w:lineRule="auto"/>
        <w:rPr>
          <w:i/>
          <w:iCs/>
        </w:rPr>
      </w:pPr>
      <w:r w:rsidRPr="00250A41">
        <w:rPr>
          <w:i/>
          <w:iCs/>
        </w:rPr>
        <w:t xml:space="preserve">Beta diversity has been calculated using the Bray-Curtis dissimilarity measure and plotted using Non-Metric Multidimensional Scaling (NMDS). Coloured plots indicate samples taken from participants in the </w:t>
      </w:r>
      <w:r>
        <w:rPr>
          <w:i/>
          <w:iCs/>
        </w:rPr>
        <w:t xml:space="preserve">azithromycin group, actively taking azithromycin at the time of swab collection, compared to those in the comparison group. </w:t>
      </w:r>
      <w:r w:rsidR="002017D8" w:rsidRPr="002017D8">
        <w:rPr>
          <w:rFonts w:cstheme="minorHAnsi"/>
          <w:bCs/>
          <w:i/>
          <w:iCs/>
        </w:rPr>
        <w:t xml:space="preserve">Azithromycin treatment </w:t>
      </w:r>
      <w:r w:rsidR="002017D8">
        <w:rPr>
          <w:rFonts w:cstheme="minorHAnsi"/>
          <w:bCs/>
          <w:i/>
          <w:iCs/>
        </w:rPr>
        <w:t>had a significant</w:t>
      </w:r>
      <w:r w:rsidR="002017D8" w:rsidRPr="002017D8">
        <w:rPr>
          <w:rFonts w:cstheme="minorHAnsi"/>
          <w:bCs/>
          <w:i/>
          <w:iCs/>
        </w:rPr>
        <w:t xml:space="preserve"> effect on the microbiota composition when those actively taking azithromycin at the time of swab collection were compared only to those individuals in the comparison group</w:t>
      </w:r>
      <w:r w:rsidR="00CB0188">
        <w:rPr>
          <w:rFonts w:cstheme="minorHAnsi"/>
          <w:bCs/>
          <w:i/>
          <w:iCs/>
        </w:rPr>
        <w:t>.</w:t>
      </w:r>
    </w:p>
    <w:p w14:paraId="191E5BB3" w14:textId="5D0C8A02" w:rsidR="00585287" w:rsidRPr="001F626D" w:rsidRDefault="00585287" w:rsidP="00A80BFA">
      <w:pPr>
        <w:spacing w:line="360" w:lineRule="auto"/>
        <w:rPr>
          <w:b/>
          <w:bCs/>
          <w:i/>
          <w:iCs/>
        </w:rPr>
      </w:pPr>
      <w:r w:rsidRPr="001F626D">
        <w:rPr>
          <w:b/>
          <w:bCs/>
          <w:i/>
          <w:iCs/>
        </w:rPr>
        <w:t>PERMANOVA</w:t>
      </w:r>
      <w:r w:rsidR="006E2EFC">
        <w:rPr>
          <w:b/>
          <w:bCs/>
          <w:i/>
          <w:iCs/>
        </w:rPr>
        <w:t>;</w:t>
      </w:r>
      <w:r w:rsidRPr="006E2EFC">
        <w:rPr>
          <w:b/>
          <w:bCs/>
          <w:i/>
          <w:iCs/>
        </w:rPr>
        <w:t xml:space="preserve"> </w:t>
      </w:r>
      <w:r w:rsidR="006E2EFC" w:rsidRPr="006E2EFC">
        <w:rPr>
          <w:rFonts w:cstheme="minorHAnsi"/>
          <w:b/>
          <w:bCs/>
        </w:rPr>
        <w:t>R=0.079, p= 0. 001</w:t>
      </w:r>
    </w:p>
    <w:p w14:paraId="17E2FD2E" w14:textId="3CE3F047" w:rsidR="00585287" w:rsidRPr="00585287" w:rsidRDefault="00E32D7C" w:rsidP="00585287">
      <w:r>
        <w:rPr>
          <w:noProof/>
        </w:rPr>
        <w:lastRenderedPageBreak/>
        <w:drawing>
          <wp:inline distT="0" distB="0" distL="0" distR="0" wp14:anchorId="1690719B" wp14:editId="6299AF38">
            <wp:extent cx="59055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500" cy="3429000"/>
                    </a:xfrm>
                    <a:prstGeom prst="rect">
                      <a:avLst/>
                    </a:prstGeom>
                    <a:noFill/>
                    <a:ln>
                      <a:noFill/>
                    </a:ln>
                  </pic:spPr>
                </pic:pic>
              </a:graphicData>
            </a:graphic>
          </wp:inline>
        </w:drawing>
      </w:r>
    </w:p>
    <w:p w14:paraId="77CF1928" w14:textId="75B7B13D" w:rsidR="008A00E5" w:rsidRDefault="008A00E5" w:rsidP="008A00E5">
      <w:pPr>
        <w:pStyle w:val="Caption"/>
        <w:rPr>
          <w:i w:val="0"/>
          <w:iCs w:val="0"/>
        </w:rPr>
      </w:pPr>
    </w:p>
    <w:p w14:paraId="6EF44410" w14:textId="49F362D7" w:rsidR="00D833E1" w:rsidRDefault="00D833E1" w:rsidP="00D833E1">
      <w:pPr>
        <w:pStyle w:val="Caption"/>
        <w:rPr>
          <w:i w:val="0"/>
          <w:iCs w:val="0"/>
          <w:color w:val="000000" w:themeColor="text1"/>
          <w:sz w:val="24"/>
          <w:szCs w:val="24"/>
        </w:rPr>
      </w:pPr>
      <w:bookmarkStart w:id="318" w:name="_Ref107923671"/>
      <w:bookmarkStart w:id="319" w:name="_Toc117780241"/>
      <w:r w:rsidRPr="00D833E1">
        <w:rPr>
          <w:b/>
          <w:bCs/>
          <w:i w:val="0"/>
          <w:iCs w:val="0"/>
          <w:color w:val="000000" w:themeColor="text1"/>
          <w:sz w:val="24"/>
          <w:szCs w:val="24"/>
        </w:rPr>
        <w:t xml:space="preserve">Figure </w:t>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STYLEREF 1 \s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5</w:t>
      </w:r>
      <w:r w:rsidR="00F42C6F">
        <w:rPr>
          <w:b/>
          <w:bCs/>
          <w:i w:val="0"/>
          <w:iCs w:val="0"/>
          <w:color w:val="000000" w:themeColor="text1"/>
          <w:sz w:val="24"/>
          <w:szCs w:val="24"/>
        </w:rPr>
        <w:fldChar w:fldCharType="end"/>
      </w:r>
      <w:r w:rsidR="00F42C6F">
        <w:rPr>
          <w:b/>
          <w:bCs/>
          <w:i w:val="0"/>
          <w:iCs w:val="0"/>
          <w:color w:val="000000" w:themeColor="text1"/>
          <w:sz w:val="24"/>
          <w:szCs w:val="24"/>
        </w:rPr>
        <w:noBreakHyphen/>
      </w:r>
      <w:r w:rsidR="00F42C6F">
        <w:rPr>
          <w:b/>
          <w:bCs/>
          <w:i w:val="0"/>
          <w:iCs w:val="0"/>
          <w:color w:val="000000" w:themeColor="text1"/>
          <w:sz w:val="24"/>
          <w:szCs w:val="24"/>
        </w:rPr>
        <w:fldChar w:fldCharType="begin"/>
      </w:r>
      <w:r w:rsidR="00F42C6F">
        <w:rPr>
          <w:b/>
          <w:bCs/>
          <w:i w:val="0"/>
          <w:iCs w:val="0"/>
          <w:color w:val="000000" w:themeColor="text1"/>
          <w:sz w:val="24"/>
          <w:szCs w:val="24"/>
        </w:rPr>
        <w:instrText xml:space="preserve"> SEQ Figure \* ARABIC \s 1 </w:instrText>
      </w:r>
      <w:r w:rsidR="00F42C6F">
        <w:rPr>
          <w:b/>
          <w:bCs/>
          <w:i w:val="0"/>
          <w:iCs w:val="0"/>
          <w:color w:val="000000" w:themeColor="text1"/>
          <w:sz w:val="24"/>
          <w:szCs w:val="24"/>
        </w:rPr>
        <w:fldChar w:fldCharType="separate"/>
      </w:r>
      <w:r w:rsidR="00F42C6F">
        <w:rPr>
          <w:b/>
          <w:bCs/>
          <w:i w:val="0"/>
          <w:iCs w:val="0"/>
          <w:noProof/>
          <w:color w:val="000000" w:themeColor="text1"/>
          <w:sz w:val="24"/>
          <w:szCs w:val="24"/>
        </w:rPr>
        <w:t>10</w:t>
      </w:r>
      <w:r w:rsidR="00F42C6F">
        <w:rPr>
          <w:b/>
          <w:bCs/>
          <w:i w:val="0"/>
          <w:iCs w:val="0"/>
          <w:color w:val="000000" w:themeColor="text1"/>
          <w:sz w:val="24"/>
          <w:szCs w:val="24"/>
        </w:rPr>
        <w:fldChar w:fldCharType="end"/>
      </w:r>
      <w:bookmarkEnd w:id="318"/>
      <w:r w:rsidRPr="00D833E1">
        <w:rPr>
          <w:i w:val="0"/>
          <w:iCs w:val="0"/>
          <w:color w:val="000000" w:themeColor="text1"/>
          <w:sz w:val="24"/>
          <w:szCs w:val="24"/>
        </w:rPr>
        <w:t xml:space="preserve">: Non-metric multi-dimensional scaling of beta diversity: </w:t>
      </w:r>
      <w:r>
        <w:rPr>
          <w:i w:val="0"/>
          <w:iCs w:val="0"/>
          <w:color w:val="000000" w:themeColor="text1"/>
          <w:sz w:val="24"/>
          <w:szCs w:val="24"/>
        </w:rPr>
        <w:t>Azithromycin group analysis</w:t>
      </w:r>
      <w:bookmarkEnd w:id="319"/>
    </w:p>
    <w:p w14:paraId="21CE7992" w14:textId="1294C7DB" w:rsidR="002017D8" w:rsidRDefault="00D833E1" w:rsidP="00A80BFA">
      <w:pPr>
        <w:spacing w:line="360" w:lineRule="auto"/>
        <w:rPr>
          <w:i/>
          <w:iCs/>
        </w:rPr>
      </w:pPr>
      <w:r w:rsidRPr="00250A41">
        <w:rPr>
          <w:i/>
          <w:iCs/>
        </w:rPr>
        <w:t xml:space="preserve">Beta diversity has been calculated using the Bray-Curtis dissimilarity measure and plotted using Non-Metric Multidimensional Scaling (NMDS). Coloured plots indicate samples taken from participants in the </w:t>
      </w:r>
      <w:r>
        <w:rPr>
          <w:i/>
          <w:iCs/>
        </w:rPr>
        <w:t xml:space="preserve">azithromycin group, actively taking azithromycin at the time of swab collection, compared to those in the azithromycin group not taking azithromycin at the time of swab collection. </w:t>
      </w:r>
      <w:r w:rsidR="00CB0188">
        <w:rPr>
          <w:i/>
          <w:iCs/>
        </w:rPr>
        <w:t>Azithromycin treatment did not have a statistically significant difference on the microbiota composition when compared to those in the azithromycin group not exposed to azithromycin at the time of swab collection.</w:t>
      </w:r>
    </w:p>
    <w:p w14:paraId="14944341" w14:textId="0D88642E" w:rsidR="002231E5" w:rsidRDefault="00D833E1" w:rsidP="00A80BFA">
      <w:pPr>
        <w:spacing w:line="360" w:lineRule="auto"/>
        <w:rPr>
          <w:rFonts w:cstheme="minorHAnsi"/>
          <w:b/>
          <w:bCs/>
        </w:rPr>
      </w:pPr>
      <w:r w:rsidRPr="001F626D">
        <w:rPr>
          <w:b/>
          <w:bCs/>
          <w:i/>
          <w:iCs/>
        </w:rPr>
        <w:t>PERMANOVA</w:t>
      </w:r>
      <w:r w:rsidRPr="00D833E1">
        <w:rPr>
          <w:b/>
          <w:bCs/>
          <w:i/>
          <w:iCs/>
        </w:rPr>
        <w:t xml:space="preserve">; </w:t>
      </w:r>
      <w:r w:rsidRPr="00D833E1">
        <w:rPr>
          <w:rFonts w:cstheme="minorHAnsi"/>
          <w:b/>
          <w:bCs/>
        </w:rPr>
        <w:t>R= 0.04, p=0.085</w:t>
      </w:r>
    </w:p>
    <w:p w14:paraId="4EAD377A" w14:textId="5163905A" w:rsidR="00D833E1" w:rsidRPr="002231E5" w:rsidRDefault="002231E5" w:rsidP="00D833E1">
      <w:pPr>
        <w:rPr>
          <w:rFonts w:cstheme="minorHAnsi"/>
          <w:b/>
          <w:bCs/>
        </w:rPr>
      </w:pPr>
      <w:r>
        <w:rPr>
          <w:rFonts w:cstheme="minorHAnsi"/>
          <w:b/>
          <w:bCs/>
        </w:rPr>
        <w:br w:type="page"/>
      </w:r>
    </w:p>
    <w:p w14:paraId="09053E4A" w14:textId="7A5C66D5" w:rsidR="00D833C5" w:rsidRDefault="00D84E4D" w:rsidP="00752DA8">
      <w:pPr>
        <w:pStyle w:val="Heading2"/>
      </w:pPr>
      <w:bookmarkStart w:id="320" w:name="_Toc117766014"/>
      <w:r w:rsidRPr="00DD46F9">
        <w:lastRenderedPageBreak/>
        <w:t>Discussion – Nasopharyngeal microbi</w:t>
      </w:r>
      <w:r w:rsidR="00D833C5" w:rsidRPr="00DD46F9">
        <w:t>ota</w:t>
      </w:r>
      <w:bookmarkEnd w:id="320"/>
    </w:p>
    <w:p w14:paraId="5B2CF858" w14:textId="39E11840" w:rsidR="00F12CC6" w:rsidRDefault="00F12CC6" w:rsidP="005D4602">
      <w:pPr>
        <w:spacing w:after="160" w:line="360" w:lineRule="auto"/>
      </w:pPr>
      <w:r>
        <w:t xml:space="preserve">This </w:t>
      </w:r>
      <w:r w:rsidR="00E60698">
        <w:t xml:space="preserve">prospective observational </w:t>
      </w:r>
      <w:r>
        <w:t xml:space="preserve">study describes the impact of long-term azithromycin use </w:t>
      </w:r>
      <w:r w:rsidR="00430C6A">
        <w:t xml:space="preserve">on the </w:t>
      </w:r>
      <w:r>
        <w:t xml:space="preserve">nasopharyngeal </w:t>
      </w:r>
      <w:r w:rsidR="00430C6A">
        <w:t>microbiome in children with PBB compared to a cohort of children with PBB not exposed to long-term azithromycin. We hypothesised that the use of long</w:t>
      </w:r>
      <w:r w:rsidR="00B87E35">
        <w:t>-</w:t>
      </w:r>
      <w:r w:rsidR="00430C6A">
        <w:t>term azithromycin</w:t>
      </w:r>
      <w:r w:rsidR="00E60698">
        <w:t xml:space="preserve"> (6 months exposure over the winter months)</w:t>
      </w:r>
      <w:r w:rsidR="00430C6A">
        <w:t xml:space="preserve"> would be associated with reduced diversity of the nasopharyngeal microbiome in this cohort of children. We did find </w:t>
      </w:r>
      <w:r w:rsidR="00F93B20">
        <w:t>a significant reduction in</w:t>
      </w:r>
      <w:r w:rsidR="00430C6A">
        <w:t xml:space="preserve"> alpha diversity of </w:t>
      </w:r>
      <w:r w:rsidR="00F2030E">
        <w:t xml:space="preserve">the second set of </w:t>
      </w:r>
      <w:r w:rsidR="00430C6A">
        <w:t xml:space="preserve">nasopharyngeal swabs </w:t>
      </w:r>
      <w:r w:rsidR="00F2030E">
        <w:t xml:space="preserve">from </w:t>
      </w:r>
      <w:r w:rsidR="00430C6A">
        <w:t xml:space="preserve">children </w:t>
      </w:r>
      <w:r w:rsidR="00F2030E">
        <w:t xml:space="preserve">in the azithromycin group (who </w:t>
      </w:r>
      <w:r w:rsidR="00430C6A">
        <w:t>were actively taking azithromycin</w:t>
      </w:r>
      <w:r w:rsidR="00F2030E">
        <w:t xml:space="preserve"> at the time of the second swab) when compared to  the comparison group</w:t>
      </w:r>
      <w:r w:rsidR="00430C6A">
        <w:t>. This difference however resolved by the end of the study when</w:t>
      </w:r>
      <w:r w:rsidR="00E60698">
        <w:t xml:space="preserve"> the majority of</w:t>
      </w:r>
      <w:r w:rsidR="00430C6A">
        <w:t xml:space="preserve"> children </w:t>
      </w:r>
      <w:r w:rsidR="00E60698">
        <w:t xml:space="preserve">were no longer taking azithromycin. </w:t>
      </w:r>
      <w:r w:rsidR="00BC15EC">
        <w:t>Due to the COVID-19 pandemic, the duration of azithromycin was extended past 6 months in some cases hence some participants were still actively taking azithromycin when collecting the final swabs</w:t>
      </w:r>
      <w:r w:rsidR="00F93B20">
        <w:t xml:space="preserve"> (discussed in section 5.3.1</w:t>
      </w:r>
      <w:r w:rsidR="00FA177E">
        <w:t xml:space="preserve"> below</w:t>
      </w:r>
      <w:r w:rsidR="00F93B20">
        <w:t>)</w:t>
      </w:r>
      <w:r w:rsidR="00BC15EC">
        <w:t xml:space="preserve">. </w:t>
      </w:r>
      <w:r w:rsidR="00651811">
        <w:t xml:space="preserve">However, at </w:t>
      </w:r>
      <w:r w:rsidR="00EB7371">
        <w:t xml:space="preserve">the end of the study there was a significant difference in beta diversity between the two study groups. </w:t>
      </w:r>
      <w:r w:rsidR="00F2030E">
        <w:t>There was also a significant difference in beta diversity between children who were actively taking azithromycin at the time of swabbing (at any time throughout the study) versus children who were not taking azithromycin at the time of swabbing (incorporating the children from the comparison group AND those in the azithromycin group who had discontinued azithromycin)</w:t>
      </w:r>
    </w:p>
    <w:p w14:paraId="70CCB46E" w14:textId="38CFFE58" w:rsidR="00B564CC" w:rsidRDefault="007A2762" w:rsidP="005D4602">
      <w:pPr>
        <w:spacing w:after="160" w:line="360" w:lineRule="auto"/>
      </w:pPr>
      <w:r>
        <w:t>At baseline</w:t>
      </w:r>
      <w:r w:rsidR="007E69B8">
        <w:t>,</w:t>
      </w:r>
      <w:r w:rsidR="000459BF">
        <w:t xml:space="preserve"> there was no significant difference between the groups with regards to alpha or beta diversity. </w:t>
      </w:r>
      <w:r w:rsidR="00DA5762">
        <w:t>Samples from b</w:t>
      </w:r>
      <w:r w:rsidR="007E69B8">
        <w:t xml:space="preserve">oth groups were often dominated by one or two </w:t>
      </w:r>
      <w:r w:rsidR="00180965">
        <w:t>ASVs</w:t>
      </w:r>
      <w:r w:rsidR="007E69B8">
        <w:t xml:space="preserve">. The majority included </w:t>
      </w:r>
      <w:r w:rsidR="007E69B8" w:rsidRPr="001D04B2">
        <w:rPr>
          <w:i/>
          <w:iCs/>
        </w:rPr>
        <w:t>Moraxella</w:t>
      </w:r>
      <w:r w:rsidR="007E69B8">
        <w:t xml:space="preserve">, </w:t>
      </w:r>
      <w:r w:rsidR="007E69B8" w:rsidRPr="001D04B2">
        <w:rPr>
          <w:i/>
          <w:iCs/>
        </w:rPr>
        <w:t>Haemophilus</w:t>
      </w:r>
      <w:r w:rsidR="007E69B8">
        <w:t xml:space="preserve"> and </w:t>
      </w:r>
      <w:r w:rsidR="007E69B8" w:rsidRPr="001D04B2">
        <w:rPr>
          <w:i/>
          <w:iCs/>
        </w:rPr>
        <w:t>Corynebacterium</w:t>
      </w:r>
      <w:r w:rsidR="00180965">
        <w:t xml:space="preserve"> which are well documented to reside within the nasopharynx</w:t>
      </w:r>
      <w:r w:rsidR="00170C24">
        <w:t>es of both healthy children and those with respiratory disease</w:t>
      </w:r>
      <w:r w:rsidR="00180965">
        <w:t xml:space="preserve"> </w:t>
      </w:r>
      <w:r w:rsidR="00180965">
        <w:fldChar w:fldCharType="begin">
          <w:fldData xml:space="preserve">PEVuZE5vdGU+PENpdGU+PEF1dGhvcj5TYWt3aW5za2E8L0F1dGhvcj48WWVhcj4yMDE0PC9ZZWFy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</w:fldData>
        </w:fldChar>
      </w:r>
      <w:r w:rsidR="00CD2C33">
        <w:instrText xml:space="preserve"> ADDIN EN.CITE </w:instrText>
      </w:r>
      <w:r w:rsidR="00CD2C33">
        <w:fldChar w:fldCharType="begin">
          <w:fldData xml:space="preserve">PEVuZE5vdGU+PENpdGU+PEF1dGhvcj5TYWt3aW5za2E8L0F1dGhvcj48WWVhcj4yMDE0PC9ZZWFy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</w:fldData>
        </w:fldChar>
      </w:r>
      <w:r w:rsidR="00CD2C33">
        <w:instrText xml:space="preserve"> ADDIN EN.CITE.DATA </w:instrText>
      </w:r>
      <w:r w:rsidR="00CD2C33">
        <w:fldChar w:fldCharType="end"/>
      </w:r>
      <w:r w:rsidR="00180965">
        <w:fldChar w:fldCharType="separate"/>
      </w:r>
      <w:r w:rsidR="00CD2C33">
        <w:rPr>
          <w:noProof/>
        </w:rPr>
        <w:t>(Marsh et al., 2016; Raita et al., 2021; Sakwinska et al., 2014)</w:t>
      </w:r>
      <w:r w:rsidR="00180965">
        <w:fldChar w:fldCharType="end"/>
      </w:r>
      <w:r w:rsidR="00180965">
        <w:t>.</w:t>
      </w:r>
      <w:r w:rsidR="00EB235C">
        <w:t xml:space="preserve"> </w:t>
      </w:r>
      <w:r w:rsidR="00EB235C" w:rsidRPr="00B564CC">
        <w:t>Differential abundance testing did show</w:t>
      </w:r>
      <w:r w:rsidR="00EB235C">
        <w:t xml:space="preserve"> </w:t>
      </w:r>
      <w:r w:rsidR="006B0F67">
        <w:t xml:space="preserve">significantly </w:t>
      </w:r>
      <w:r w:rsidR="000459BF">
        <w:t>higher abundance of some ASVs in the azithromycin group</w:t>
      </w:r>
      <w:r w:rsidR="006B0F67">
        <w:t xml:space="preserve"> when compared to the comparison group. The majority of these were however not in the top 15 most abundant ASVs across all samples</w:t>
      </w:r>
      <w:r w:rsidR="008505C6">
        <w:t xml:space="preserve"> but were still relatively highly abundant. </w:t>
      </w:r>
      <w:r w:rsidR="00E31143">
        <w:t xml:space="preserve">The importance of these changes is unclear. </w:t>
      </w:r>
      <w:r w:rsidR="00C52C0F">
        <w:t>T</w:t>
      </w:r>
      <w:r w:rsidR="008505C6">
        <w:t xml:space="preserve">here were </w:t>
      </w:r>
      <w:r w:rsidR="00E31143">
        <w:t xml:space="preserve">however </w:t>
      </w:r>
      <w:r w:rsidR="008505C6">
        <w:t xml:space="preserve">few significant </w:t>
      </w:r>
      <w:r w:rsidR="00C52C0F">
        <w:t xml:space="preserve">changes of </w:t>
      </w:r>
      <w:r w:rsidR="008505C6">
        <w:t>rarely abundant ASVs</w:t>
      </w:r>
      <w:r w:rsidR="006B0F67">
        <w:t xml:space="preserve"> </w:t>
      </w:r>
      <w:r w:rsidR="00C52C0F">
        <w:t xml:space="preserve">indicating that there was </w:t>
      </w:r>
      <w:r w:rsidR="00F93B20">
        <w:t xml:space="preserve">unlikely to be </w:t>
      </w:r>
      <w:r w:rsidR="00C52C0F">
        <w:t xml:space="preserve">a high proportion of false-positives. </w:t>
      </w:r>
      <w:r w:rsidR="00A6613C">
        <w:t>On analysis of the second set of swabs, visualisation of the stacked bar charts suggest</w:t>
      </w:r>
      <w:r w:rsidR="00A81C30">
        <w:t xml:space="preserve">ed that a difference in </w:t>
      </w:r>
      <w:r w:rsidR="00A81C30">
        <w:rPr>
          <w:i/>
          <w:iCs/>
        </w:rPr>
        <w:t>C</w:t>
      </w:r>
      <w:r w:rsidR="00A81C30" w:rsidRPr="00A81C30">
        <w:rPr>
          <w:i/>
          <w:iCs/>
        </w:rPr>
        <w:t>orynbacterium</w:t>
      </w:r>
      <w:r w:rsidR="00A81C30">
        <w:t xml:space="preserve">_2 may have been expected. The difference may however not have been large enough to be statistically significant given the small sample size combined with the fact that only one sample </w:t>
      </w:r>
      <w:r w:rsidR="00A81C30">
        <w:lastRenderedPageBreak/>
        <w:t xml:space="preserve">(C5) had a predominance of this ASV. </w:t>
      </w:r>
      <w:r w:rsidR="00C7549C">
        <w:t xml:space="preserve">Multiple </w:t>
      </w:r>
      <w:r w:rsidR="006C744B">
        <w:t xml:space="preserve">methods can be implemented when </w:t>
      </w:r>
      <w:r w:rsidR="00CE5CEC">
        <w:t>analysing differential abunda</w:t>
      </w:r>
      <w:r w:rsidR="009C3D8B">
        <w:t xml:space="preserve">nce with associated </w:t>
      </w:r>
      <w:r w:rsidR="000811B5">
        <w:t xml:space="preserve">strengths and weaknesses. However these methods do not take into account the compositional structure of the microbiome data </w:t>
      </w:r>
      <w:r w:rsidR="000811B5">
        <w:fldChar w:fldCharType="begin"/>
      </w:r>
      <w:r w:rsidR="00CD2C33">
        <w:instrText xml:space="preserve"> ADDIN EN.CITE &lt;EndNote&gt;&lt;Cite&gt;&lt;Author&gt;Lin&lt;/Author&gt;&lt;Year&gt;2020&lt;/Year&gt;&lt;RecNum&gt;476&lt;/RecNum&gt;&lt;DisplayText&gt;(Lin et al., 2020)&lt;/DisplayText&gt;&lt;record&gt;&lt;rec-number&gt;476&lt;/rec-number&gt;&lt;foreign-keys&gt;&lt;key app="EN" db-id="pr9rwt2w8padxcerwx6prd0a9wtda2w5fw2t" timestamp="1652799594"&gt;476&lt;/key&gt;&lt;/foreign-keys&gt;&lt;ref-type name="Journal Article"&gt;17&lt;/ref-type&gt;&lt;contributors&gt;&lt;authors&gt;&lt;author&gt;Lin, Huang&lt;/author&gt;&lt;author&gt;Peddada, Shyamal Das&lt;/author&gt;&lt;/authors&gt;&lt;/contributors&gt;&lt;titles&gt;&lt;title&gt;Analysis of microbial compositions: a review of normalization and differential abundance analysis&lt;/title&gt;&lt;secondary-title&gt;npj Biofilms and Microbiomes&lt;/secondary-title&gt;&lt;/titles&gt;&lt;periodical&gt;&lt;full-title&gt;npj Biofilms and Microbiomes&lt;/full-title&gt;&lt;/periodical&gt;&lt;pages&gt;60&lt;/pages&gt;&lt;volume&gt;6&lt;/volume&gt;&lt;number&gt;1&lt;/number&gt;&lt;dates&gt;&lt;year&gt;2020&lt;/year&gt;&lt;pub-dates&gt;&lt;date&gt;2020/12/02&lt;/date&gt;&lt;/pub-dates&gt;&lt;/dates&gt;&lt;isbn&gt;2055-5008&lt;/isbn&gt;&lt;urls&gt;&lt;related-urls&gt;&lt;url&gt;https://doi.org/10.1038/s41522-020-00160-w&lt;/url&gt;&lt;/related-urls&gt;&lt;/urls&gt;&lt;electronic-resource-num&gt;10.1038/s41522-020-00160-w&lt;/electronic-resource-num&gt;&lt;/record&gt;&lt;/Cite&gt;&lt;/EndNote&gt;</w:instrText>
      </w:r>
      <w:r w:rsidR="000811B5">
        <w:fldChar w:fldCharType="separate"/>
      </w:r>
      <w:r w:rsidR="00CD2C33">
        <w:rPr>
          <w:noProof/>
        </w:rPr>
        <w:t>(Lin et al., 2020)</w:t>
      </w:r>
      <w:r w:rsidR="000811B5">
        <w:fldChar w:fldCharType="end"/>
      </w:r>
      <w:r w:rsidR="000811B5">
        <w:t>.</w:t>
      </w:r>
      <w:r w:rsidR="00803E07">
        <w:t xml:space="preserve"> </w:t>
      </w:r>
      <w:r w:rsidR="009A7C26">
        <w:t xml:space="preserve">We utilised the </w:t>
      </w:r>
      <w:r w:rsidR="00BD4E25">
        <w:t>“</w:t>
      </w:r>
      <w:proofErr w:type="spellStart"/>
      <w:r w:rsidR="009A7C26">
        <w:t>metagenomeseq</w:t>
      </w:r>
      <w:proofErr w:type="spellEnd"/>
      <w:r w:rsidR="00BD4E25">
        <w:t>”</w:t>
      </w:r>
      <w:r w:rsidR="009A7C26">
        <w:t xml:space="preserve"> tool accepting that it has </w:t>
      </w:r>
      <w:r w:rsidR="00F74A6B">
        <w:t>been</w:t>
      </w:r>
      <w:r w:rsidR="009A7C26">
        <w:t xml:space="preserve"> reported to </w:t>
      </w:r>
      <w:r w:rsidR="00F74A6B">
        <w:t>be associated with a higher false discover rate</w:t>
      </w:r>
      <w:r w:rsidR="00475A0B">
        <w:t xml:space="preserve"> </w:t>
      </w:r>
      <w:r w:rsidR="00475A0B">
        <w:fldChar w:fldCharType="begin"/>
      </w:r>
      <w:r w:rsidR="00CD2C33">
        <w:instrText xml:space="preserve"> ADDIN EN.CITE &lt;EndNote&gt;&lt;Cite&gt;&lt;Author&gt;Lin&lt;/Author&gt;&lt;Year&gt;2020&lt;/Year&gt;&lt;RecNum&gt;476&lt;/RecNum&gt;&lt;DisplayText&gt;(Lin et al., 2020)&lt;/DisplayText&gt;&lt;record&gt;&lt;rec-number&gt;476&lt;/rec-number&gt;&lt;foreign-keys&gt;&lt;key app="EN" db-id="pr9rwt2w8padxcerwx6prd0a9wtda2w5fw2t" timestamp="1652799594"&gt;476&lt;/key&gt;&lt;/foreign-keys&gt;&lt;ref-type name="Journal Article"&gt;17&lt;/ref-type&gt;&lt;contributors&gt;&lt;authors&gt;&lt;author&gt;Lin, Huang&lt;/author&gt;&lt;author&gt;Peddada, Shyamal Das&lt;/author&gt;&lt;/authors&gt;&lt;/contributors&gt;&lt;titles&gt;&lt;title&gt;Analysis of microbial compositions: a review of normalization and differential abundance analysis&lt;/title&gt;&lt;secondary-title&gt;npj Biofilms and Microbiomes&lt;/secondary-title&gt;&lt;/titles&gt;&lt;periodical&gt;&lt;full-title&gt;npj Biofilms and Microbiomes&lt;/full-title&gt;&lt;/periodical&gt;&lt;pages&gt;60&lt;/pages&gt;&lt;volume&gt;6&lt;/volume&gt;&lt;number&gt;1&lt;/number&gt;&lt;dates&gt;&lt;year&gt;2020&lt;/year&gt;&lt;pub-dates&gt;&lt;date&gt;2020/12/02&lt;/date&gt;&lt;/pub-dates&gt;&lt;/dates&gt;&lt;isbn&gt;2055-5008&lt;/isbn&gt;&lt;urls&gt;&lt;related-urls&gt;&lt;url&gt;https://doi.org/10.1038/s41522-020-00160-w&lt;/url&gt;&lt;/related-urls&gt;&lt;/urls&gt;&lt;electronic-resource-num&gt;10.1038/s41522-020-00160-w&lt;/electronic-resource-num&gt;&lt;/record&gt;&lt;/Cite&gt;&lt;/EndNote&gt;</w:instrText>
      </w:r>
      <w:r w:rsidR="00475A0B">
        <w:fldChar w:fldCharType="separate"/>
      </w:r>
      <w:r w:rsidR="00CD2C33">
        <w:rPr>
          <w:noProof/>
        </w:rPr>
        <w:t>(Lin et al., 2020)</w:t>
      </w:r>
      <w:r w:rsidR="00475A0B">
        <w:fldChar w:fldCharType="end"/>
      </w:r>
      <w:r w:rsidR="00475A0B">
        <w:t xml:space="preserve">. </w:t>
      </w:r>
      <w:r w:rsidR="00B9334B">
        <w:t xml:space="preserve">Traditional indices of alpha diversity are also subject to advantages and disadvantages. </w:t>
      </w:r>
      <w:r w:rsidR="00543E2A">
        <w:t xml:space="preserve">It is not often possible to sample entire microbial environments such as the upper respiratory tract. As such smaller samples are collected from </w:t>
      </w:r>
      <w:r w:rsidR="00113967">
        <w:t xml:space="preserve">a </w:t>
      </w:r>
      <w:r w:rsidR="00543E2A">
        <w:t xml:space="preserve">large environment and inferences drawn. Willis suggests that </w:t>
      </w:r>
      <w:r w:rsidR="00113967">
        <w:t>samples</w:t>
      </w:r>
      <w:r w:rsidR="00B9334B">
        <w:t xml:space="preserve"> in microbiome experiments</w:t>
      </w:r>
      <w:r w:rsidR="00113967">
        <w:t xml:space="preserve"> do not faithfully represent the entire microbial community</w:t>
      </w:r>
      <w:r w:rsidR="00B9334B">
        <w:t xml:space="preserve"> </w:t>
      </w:r>
      <w:r w:rsidR="00B9334B">
        <w:fldChar w:fldCharType="begin"/>
      </w:r>
      <w:r w:rsidR="005B4EFC">
        <w:instrText xml:space="preserve"> ADDIN EN.CITE &lt;EndNote&gt;&lt;Cite&gt;&lt;Author&gt;Willis&lt;/Author&gt;&lt;Year&gt;2019&lt;/Year&gt;&lt;RecNum&gt;479&lt;/RecNum&gt;&lt;DisplayText&gt;(Willis, 2019b)&lt;/DisplayText&gt;&lt;record&gt;&lt;rec-number&gt;479&lt;/rec-number&gt;&lt;foreign-keys&gt;&lt;key app="EN" db-id="pr9rwt2w8padxcerwx6prd0a9wtda2w5fw2t" timestamp="1652814765"&gt;479&lt;/key&gt;&lt;/foreign-keys&gt;&lt;ref-type name="Journal Article"&gt;17&lt;/ref-type&gt;&lt;contributors&gt;&lt;authors&gt;&lt;author&gt;Willis,Amy D.&lt;/author&gt;&lt;/authors&gt;&lt;/contributors&gt;&lt;titles&gt;&lt;title&gt;Rarefaction, Alpha Diversity, and Statistics&lt;/title&gt;&lt;secondary-title&gt;Frontiers in Microbiology&lt;/secondary-title&gt;&lt;short-title&gt;Rarefaction, alpha diversity, and statistics&lt;/short-title&gt;&lt;/titles&gt;&lt;periodical&gt;&lt;full-title&gt;Frontiers in Microbiology&lt;/full-title&gt;&lt;/periodical&gt;&lt;volume&gt;10&lt;/volume&gt;&lt;keywords&gt;&lt;keyword&gt;Bioinformatics &amp;amp; Computational Biology,ecological data analysis,latent variable model,reproducibility,measurement error&lt;/keyword&gt;&lt;/keywords&gt;&lt;dates&gt;&lt;year&gt;2019&lt;/year&gt;&lt;pub-dates&gt;&lt;date&gt;2019-October-23&lt;/date&gt;&lt;/pub-dates&gt;&lt;/dates&gt;&lt;isbn&gt;1664-302X&lt;/isbn&gt;&lt;work-type&gt;Perspective&lt;/work-type&gt;&lt;urls&gt;&lt;related-urls&gt;&lt;url&gt;https://www.frontiersin.org/article/10.3389/fmicb.2019.02407&lt;/url&gt;&lt;/related-urls&gt;&lt;/urls&gt;&lt;electronic-resource-num&gt;10.3389/fmicb.2019.02407&lt;/electronic-resource-num&gt;&lt;language&gt;English&lt;/language&gt;&lt;/record&gt;&lt;/Cite&gt;&lt;/EndNote&gt;</w:instrText>
      </w:r>
      <w:r w:rsidR="00B9334B">
        <w:fldChar w:fldCharType="separate"/>
      </w:r>
      <w:r w:rsidR="005B4EFC">
        <w:rPr>
          <w:noProof/>
        </w:rPr>
        <w:t>(Willis, 2019b)</w:t>
      </w:r>
      <w:r w:rsidR="00B9334B">
        <w:fldChar w:fldCharType="end"/>
      </w:r>
      <w:r w:rsidR="00113967">
        <w:t>. In order to draw meaningful conclusions when comparing microbial communities, a measurement error model should be used to adjust for the uncertainty of alpha diversity</w:t>
      </w:r>
      <w:r w:rsidR="00B9334B">
        <w:t xml:space="preserve"> </w:t>
      </w:r>
      <w:r w:rsidR="003D2325">
        <w:fldChar w:fldCharType="begin"/>
      </w:r>
      <w:r w:rsidR="005B4EFC">
        <w:instrText xml:space="preserve"> ADDIN EN.CITE &lt;EndNote&gt;&lt;Cite&gt;&lt;Author&gt;Willis&lt;/Author&gt;&lt;Year&gt;2019&lt;/Year&gt;&lt;RecNum&gt;479&lt;/RecNum&gt;&lt;DisplayText&gt;(Willis, 2019b)&lt;/DisplayText&gt;&lt;record&gt;&lt;rec-number&gt;479&lt;/rec-number&gt;&lt;foreign-keys&gt;&lt;key app="EN" db-id="pr9rwt2w8padxcerwx6prd0a9wtda2w5fw2t" timestamp="1652814765"&gt;479&lt;/key&gt;&lt;/foreign-keys&gt;&lt;ref-type name="Journal Article"&gt;17&lt;/ref-type&gt;&lt;contributors&gt;&lt;authors&gt;&lt;author&gt;Willis,Amy D.&lt;/author&gt;&lt;/authors&gt;&lt;/contributors&gt;&lt;titles&gt;&lt;title&gt;Rarefaction, Alpha Diversity, and Statistics&lt;/title&gt;&lt;secondary-title&gt;Frontiers in Microbiology&lt;/secondary-title&gt;&lt;short-title&gt;Rarefaction, alpha diversity, and statistics&lt;/short-title&gt;&lt;/titles&gt;&lt;periodical&gt;&lt;full-title&gt;Frontiers in Microbiology&lt;/full-title&gt;&lt;/periodical&gt;&lt;volume&gt;10&lt;/volume&gt;&lt;keywords&gt;&lt;keyword&gt;Bioinformatics &amp;amp; Computational Biology,ecological data analysis,latent variable model,reproducibility,measurement error&lt;/keyword&gt;&lt;/keywords&gt;&lt;dates&gt;&lt;year&gt;2019&lt;/year&gt;&lt;pub-dates&gt;&lt;date&gt;2019-October-23&lt;/date&gt;&lt;/pub-dates&gt;&lt;/dates&gt;&lt;isbn&gt;1664-302X&lt;/isbn&gt;&lt;work-type&gt;Perspective&lt;/work-type&gt;&lt;urls&gt;&lt;related-urls&gt;&lt;url&gt;https://www.frontiersin.org/article/10.3389/fmicb.2019.02407&lt;/url&gt;&lt;/related-urls&gt;&lt;/urls&gt;&lt;electronic-resource-num&gt;10.3389/fmicb.2019.02407&lt;/electronic-resource-num&gt;&lt;language&gt;English&lt;/language&gt;&lt;/record&gt;&lt;/Cite&gt;&lt;/EndNote&gt;</w:instrText>
      </w:r>
      <w:r w:rsidR="003D2325">
        <w:fldChar w:fldCharType="separate"/>
      </w:r>
      <w:r w:rsidR="005B4EFC">
        <w:rPr>
          <w:noProof/>
        </w:rPr>
        <w:t>(Willis, 2019b)</w:t>
      </w:r>
      <w:r w:rsidR="003D2325">
        <w:fldChar w:fldCharType="end"/>
      </w:r>
      <w:r w:rsidR="003D2325">
        <w:t>. At present</w:t>
      </w:r>
      <w:r w:rsidR="00651811">
        <w:t>,</w:t>
      </w:r>
      <w:r w:rsidR="003D2325">
        <w:t xml:space="preserve"> </w:t>
      </w:r>
      <w:r w:rsidR="0033631E">
        <w:t xml:space="preserve">such </w:t>
      </w:r>
      <w:r w:rsidR="00651811">
        <w:t xml:space="preserve">potential </w:t>
      </w:r>
      <w:r w:rsidR="0033631E">
        <w:t>measurement errors are not routinely accounted for in microbiome studies.</w:t>
      </w:r>
      <w:r w:rsidR="003D2325">
        <w:t xml:space="preserve"> </w:t>
      </w:r>
      <w:r w:rsidR="00152303">
        <w:t>The Shannon index</w:t>
      </w:r>
      <w:r w:rsidR="00475A0B">
        <w:t xml:space="preserve"> is widely used in microbiome analysis</w:t>
      </w:r>
      <w:r w:rsidR="00B564CC">
        <w:t xml:space="preserve"> and</w:t>
      </w:r>
      <w:r w:rsidR="00475A0B">
        <w:t xml:space="preserve"> was</w:t>
      </w:r>
      <w:r w:rsidR="00152303">
        <w:t xml:space="preserve"> used in this study</w:t>
      </w:r>
      <w:r w:rsidR="00B564CC">
        <w:t>. It</w:t>
      </w:r>
      <w:r w:rsidR="00595216">
        <w:t xml:space="preserve"> is acknowledged</w:t>
      </w:r>
      <w:r w:rsidR="00B564CC">
        <w:t xml:space="preserve"> that</w:t>
      </w:r>
      <w:r w:rsidR="00595216">
        <w:t xml:space="preserve"> this index</w:t>
      </w:r>
      <w:r w:rsidR="00B564CC">
        <w:t xml:space="preserve"> may</w:t>
      </w:r>
      <w:r w:rsidR="00152303">
        <w:t xml:space="preserve"> under</w:t>
      </w:r>
      <w:r w:rsidR="00475A0B">
        <w:t>-</w:t>
      </w:r>
      <w:r w:rsidR="00152303">
        <w:t>estimate true alpha diversity</w:t>
      </w:r>
      <w:r w:rsidR="009A7C26">
        <w:t xml:space="preserve"> </w:t>
      </w:r>
      <w:r w:rsidR="009A7C26">
        <w:fldChar w:fldCharType="begin"/>
      </w:r>
      <w:r w:rsidR="009A7C26">
        <w:instrText xml:space="preserve"> ADDIN EN.CITE &lt;EndNote&gt;&lt;Cite&gt;&lt;Author&gt;Lande&lt;/Author&gt;&lt;Year&gt;1996&lt;/Year&gt;&lt;RecNum&gt;478&lt;/RecNum&gt;&lt;DisplayText&gt;(Lande, 1996)&lt;/DisplayText&gt;&lt;record&gt;&lt;rec-number&gt;478&lt;/rec-number&gt;&lt;foreign-keys&gt;&lt;key app="EN" db-id="pr9rwt2w8padxcerwx6prd0a9wtda2w5fw2t" timestamp="1652801236"&gt;478&lt;/key&gt;&lt;/foreign-keys&gt;&lt;ref-type name="Journal Article"&gt;17&lt;/ref-type&gt;&lt;contributors&gt;&lt;authors&gt;&lt;author&gt;Lande, Russell&lt;/author&gt;&lt;/authors&gt;&lt;/contributors&gt;&lt;titles&gt;&lt;title&gt;Statistics and Partitioning of Species Diversity, and Similarity among Multiple Communities&lt;/title&gt;&lt;secondary-title&gt;Oikos&lt;/secondary-title&gt;&lt;/titles&gt;&lt;periodical&gt;&lt;full-title&gt;Oikos&lt;/full-title&gt;&lt;/periodical&gt;&lt;pages&gt;5-13&lt;/pages&gt;&lt;volume&gt;76&lt;/volume&gt;&lt;number&gt;1&lt;/number&gt;&lt;dates&gt;&lt;year&gt;1996&lt;/year&gt;&lt;/dates&gt;&lt;publisher&gt;[Nordic Society Oikos, Wiley]&lt;/publisher&gt;&lt;isbn&gt;00301299, 16000706&lt;/isbn&gt;&lt;urls&gt;&lt;related-urls&gt;&lt;url&gt;http://www.jstor.org/stable/3545743&lt;/url&gt;&lt;/related-urls&gt;&lt;/urls&gt;&lt;custom1&gt;Full publication date: May, 1996&lt;/custom1&gt;&lt;electronic-resource-num&gt;10.2307/3545743&lt;/electronic-resource-num&gt;&lt;remote-database-name&gt;JSTOR&lt;/remote-database-name&gt;&lt;access-date&gt;2022/05/17/&lt;/access-date&gt;&lt;/record&gt;&lt;/Cite&gt;&lt;/EndNote&gt;</w:instrText>
      </w:r>
      <w:r w:rsidR="009A7C26">
        <w:fldChar w:fldCharType="separate"/>
      </w:r>
      <w:r w:rsidR="009A7C26">
        <w:rPr>
          <w:noProof/>
        </w:rPr>
        <w:t>(Lande, 1996)</w:t>
      </w:r>
      <w:r w:rsidR="009A7C26">
        <w:fldChar w:fldCharType="end"/>
      </w:r>
      <w:r w:rsidR="00651811">
        <w:t xml:space="preserve"> but is less likely to give a false positive result</w:t>
      </w:r>
      <w:r w:rsidR="00475A0B">
        <w:t xml:space="preserve">. </w:t>
      </w:r>
    </w:p>
    <w:p w14:paraId="76F0999B" w14:textId="6C423FBE" w:rsidR="00F2030E" w:rsidRDefault="005A03EF" w:rsidP="005D4602">
      <w:pPr>
        <w:spacing w:after="160" w:line="360" w:lineRule="auto"/>
      </w:pPr>
      <w:r>
        <w:t xml:space="preserve">Although having similar groups at baseline is a strength of the study in terms of assessing the impact of azithromycin, it does not </w:t>
      </w:r>
      <w:r w:rsidR="00A966CB">
        <w:t xml:space="preserve">suggest that </w:t>
      </w:r>
      <w:r w:rsidR="00465A67">
        <w:t>stratification</w:t>
      </w:r>
      <w:r>
        <w:t xml:space="preserve"> based upon the </w:t>
      </w:r>
      <w:r w:rsidR="00271A11">
        <w:t xml:space="preserve">baseline </w:t>
      </w:r>
      <w:r>
        <w:t xml:space="preserve">nasopharyngeal microbiome, </w:t>
      </w:r>
      <w:r w:rsidR="00465A67">
        <w:t xml:space="preserve">is able to differentiate children with PBB </w:t>
      </w:r>
      <w:r w:rsidR="00C2570C">
        <w:t xml:space="preserve">suffering from recurrent exacerbations </w:t>
      </w:r>
      <w:r w:rsidR="00465A67">
        <w:t>that may require long</w:t>
      </w:r>
      <w:r w:rsidR="00B87E35">
        <w:t>-</w:t>
      </w:r>
      <w:r w:rsidR="00465A67">
        <w:t>term azithromycin</w:t>
      </w:r>
      <w:r>
        <w:t>.</w:t>
      </w:r>
      <w:r w:rsidR="00465A67">
        <w:t xml:space="preserve"> </w:t>
      </w:r>
      <w:r w:rsidR="00A57740">
        <w:t>Participants</w:t>
      </w:r>
      <w:r>
        <w:t xml:space="preserve"> entering the azithromycin group </w:t>
      </w:r>
      <w:r w:rsidR="00465A67">
        <w:t xml:space="preserve">in this study </w:t>
      </w:r>
      <w:r>
        <w:t>were required to have at least a 3-month wash period following any previous use of long</w:t>
      </w:r>
      <w:r w:rsidR="00570055">
        <w:t>-</w:t>
      </w:r>
      <w:r>
        <w:t xml:space="preserve">term antibiotics, </w:t>
      </w:r>
      <w:r w:rsidR="00651811">
        <w:t xml:space="preserve">however </w:t>
      </w:r>
      <w:r>
        <w:t xml:space="preserve">there were no exclusion criteria for the use of recent acute courses of antibiotics. </w:t>
      </w:r>
      <w:r w:rsidR="00A57740">
        <w:t>This may have impacted upon the baseline microbiome given those in the azithromycin group had been prescribed</w:t>
      </w:r>
      <w:r w:rsidR="00651811">
        <w:t xml:space="preserve"> slightly </w:t>
      </w:r>
      <w:r w:rsidR="00A57740">
        <w:t xml:space="preserve"> more courses of antibiotics than those in the comparison group and </w:t>
      </w:r>
      <w:r w:rsidR="002763B1">
        <w:t xml:space="preserve">completed the last course of antibiotics </w:t>
      </w:r>
      <w:r w:rsidR="00651811">
        <w:t xml:space="preserve">slightly </w:t>
      </w:r>
      <w:r w:rsidR="002763B1">
        <w:t>more recently</w:t>
      </w:r>
      <w:r w:rsidR="00AD352F">
        <w:t xml:space="preserve"> (although</w:t>
      </w:r>
      <w:r w:rsidR="00271A11">
        <w:t xml:space="preserve"> </w:t>
      </w:r>
      <w:r w:rsidR="00AD352F">
        <w:t>not a significant difference between groups)</w:t>
      </w:r>
      <w:r w:rsidR="002763B1">
        <w:t xml:space="preserve">. </w:t>
      </w:r>
      <w:r w:rsidR="00CA31DE">
        <w:t>A</w:t>
      </w:r>
      <w:r w:rsidR="00816A18">
        <w:t xml:space="preserve">dult CF patients, </w:t>
      </w:r>
      <w:r w:rsidR="00CA31DE">
        <w:t xml:space="preserve">demonstrating reduced lung function decline following </w:t>
      </w:r>
      <w:r w:rsidR="00595216">
        <w:t>long</w:t>
      </w:r>
      <w:r w:rsidR="00570055">
        <w:t>-</w:t>
      </w:r>
      <w:r w:rsidR="00595216">
        <w:t xml:space="preserve">term </w:t>
      </w:r>
      <w:r w:rsidR="00CA31DE">
        <w:t xml:space="preserve">azithromycin and classified as </w:t>
      </w:r>
      <w:r w:rsidR="00181154">
        <w:t>responders</w:t>
      </w:r>
      <w:r w:rsidR="00CA31DE">
        <w:t xml:space="preserve">, were </w:t>
      </w:r>
      <w:r w:rsidR="00181154">
        <w:t xml:space="preserve">also not </w:t>
      </w:r>
      <w:r w:rsidR="00CA31DE">
        <w:t xml:space="preserve">found to have </w:t>
      </w:r>
      <w:r w:rsidR="00181154">
        <w:t>significant differences in their baseline sputum microbiota</w:t>
      </w:r>
      <w:r w:rsidR="003D5F3E">
        <w:t xml:space="preserve"> compared to non-responders</w:t>
      </w:r>
      <w:r w:rsidR="00181154">
        <w:t>. However, those that did respond and were naïve to azithromycin, were found to have a response</w:t>
      </w:r>
      <w:r w:rsidR="00AF2126">
        <w:t>-</w:t>
      </w:r>
      <w:r w:rsidR="00181154">
        <w:t>associated community profile on beta diversity analysis with sputum enriched</w:t>
      </w:r>
      <w:r w:rsidR="003D5F3E">
        <w:t xml:space="preserve"> with </w:t>
      </w:r>
      <w:r w:rsidR="003D5F3E" w:rsidRPr="001D04B2">
        <w:rPr>
          <w:i/>
          <w:iCs/>
        </w:rPr>
        <w:t>Stenotrophomonas</w:t>
      </w:r>
      <w:r w:rsidR="003D5F3E">
        <w:t xml:space="preserve">, </w:t>
      </w:r>
      <w:proofErr w:type="spellStart"/>
      <w:r w:rsidR="003D5F3E">
        <w:rPr>
          <w:i/>
          <w:iCs/>
        </w:rPr>
        <w:t>Me</w:t>
      </w:r>
      <w:r w:rsidR="003D5F3E" w:rsidRPr="001D04B2">
        <w:rPr>
          <w:i/>
          <w:iCs/>
        </w:rPr>
        <w:t>gasphaera</w:t>
      </w:r>
      <w:proofErr w:type="spellEnd"/>
      <w:r w:rsidR="003D5F3E">
        <w:t xml:space="preserve"> and </w:t>
      </w:r>
      <w:proofErr w:type="spellStart"/>
      <w:r w:rsidR="003D5F3E" w:rsidRPr="001D04B2">
        <w:rPr>
          <w:i/>
          <w:iCs/>
        </w:rPr>
        <w:t>Abiotrophia</w:t>
      </w:r>
      <w:proofErr w:type="spellEnd"/>
      <w:r w:rsidR="00A966CB">
        <w:t xml:space="preserve"> </w:t>
      </w:r>
      <w:r w:rsidR="00A966CB">
        <w:fldChar w:fldCharType="begin"/>
      </w:r>
      <w:r w:rsidR="00EE22EB">
        <w:instrText xml:space="preserve"> ADDIN EN.CITE &lt;EndNote&gt;&lt;Cite&gt;&lt;Author&gt;Acosta&lt;/Author&gt;&lt;Year&gt;2021&lt;/Year&gt;&lt;RecNum&gt;380&lt;/RecNum&gt;&lt;DisplayText&gt;(Acosta et al., 2021)&lt;/DisplayText&gt;&lt;record&gt;&lt;rec-number&gt;380&lt;/rec-number&gt;&lt;foreign-keys&gt;&lt;key app="EN" db-id="pr9rwt2w8padxcerwx6prd0a9wtda2w5fw2t" timestamp="1629980069"&gt;380&lt;/key&gt;&lt;/foreign-keys&gt;&lt;ref-type name="Journal Article"&gt;17&lt;/ref-type&gt;&lt;contributors&gt;&lt;authors&gt;&lt;author&gt;Acosta, Nicole&lt;/author&gt;&lt;author&gt;Thornton, Christina S.&lt;/author&gt;&lt;author&gt;Surette, Michael G.&lt;/author&gt;&lt;author&gt;Somayaji, Ranjani&lt;/author&gt;&lt;author&gt;et al.&lt;/author&gt;&lt;/authors&gt;&lt;/contributors&gt;&lt;titles&gt;&lt;title&gt;Azithromycin and the microbiota of cystic fibrosis sputum&lt;/title&gt;&lt;secondary-title&gt;BMC Microbiology&lt;/secondary-title&gt;&lt;/titles&gt;&lt;periodical&gt;&lt;full-title&gt;BMC Microbiology&lt;/full-title&gt;&lt;/periodical&gt;&lt;pages&gt;96&lt;/pages&gt;&lt;volume&gt;21&lt;/volume&gt;&lt;number&gt;1&lt;/number&gt;&lt;dates&gt;&lt;year&gt;2021&lt;/year&gt;&lt;pub-dates&gt;&lt;date&gt;2021/03/30&lt;/date&gt;&lt;/pub-dates&gt;&lt;/dates&gt;&lt;isbn&gt;1471-2180&lt;/isbn&gt;&lt;urls&gt;&lt;related-urls&gt;&lt;url&gt;https://doi.org/10.1186/s12866-021-02159-5&lt;/url&gt;&lt;/related-urls&gt;&lt;/urls&gt;&lt;electronic-resource-num&gt;10.1186/s12866-021-02159-5&lt;/electronic-resource-num&gt;&lt;/record&gt;&lt;/Cite&gt;&lt;/EndNote&gt;</w:instrText>
      </w:r>
      <w:r w:rsidR="00A966CB">
        <w:fldChar w:fldCharType="separate"/>
      </w:r>
      <w:r w:rsidR="00EE22EB">
        <w:rPr>
          <w:noProof/>
        </w:rPr>
        <w:t>(Acosta et al., 2021)</w:t>
      </w:r>
      <w:r w:rsidR="00A966CB">
        <w:fldChar w:fldCharType="end"/>
      </w:r>
      <w:r w:rsidR="00465A67">
        <w:t>.</w:t>
      </w:r>
      <w:r w:rsidR="00AF2126">
        <w:t xml:space="preserve"> This was not reflected </w:t>
      </w:r>
      <w:r w:rsidR="00AF2126">
        <w:lastRenderedPageBreak/>
        <w:t xml:space="preserve">in our study, which is </w:t>
      </w:r>
      <w:r w:rsidR="006D4BE2">
        <w:t xml:space="preserve">perhaps </w:t>
      </w:r>
      <w:r w:rsidR="00AF2126">
        <w:t xml:space="preserve">not surprising given </w:t>
      </w:r>
      <w:r w:rsidR="006D4BE2">
        <w:t>PBB is a very different condition from  CF in terms of pathogenesis, structural lung disease and lifetime treatment burden.</w:t>
      </w:r>
    </w:p>
    <w:p w14:paraId="44EABACB" w14:textId="6C9D4687" w:rsidR="00151044" w:rsidRDefault="00151044" w:rsidP="005D4602">
      <w:pPr>
        <w:spacing w:after="160" w:line="360" w:lineRule="auto"/>
      </w:pPr>
      <w:r>
        <w:t>F</w:t>
      </w:r>
      <w:r w:rsidR="009501A6">
        <w:t xml:space="preserve">ew studies </w:t>
      </w:r>
      <w:r>
        <w:t xml:space="preserve">have analysed </w:t>
      </w:r>
      <w:r w:rsidR="009501A6">
        <w:t>the impact of long</w:t>
      </w:r>
      <w:r w:rsidR="00570055">
        <w:t>-</w:t>
      </w:r>
      <w:r w:rsidR="009501A6">
        <w:t xml:space="preserve">term </w:t>
      </w:r>
      <w:r w:rsidR="00570055">
        <w:t>antibiotics</w:t>
      </w:r>
      <w:r w:rsidR="009501A6">
        <w:t xml:space="preserve"> on the</w:t>
      </w:r>
      <w:r w:rsidR="00570055">
        <w:t xml:space="preserve"> paediatric</w:t>
      </w:r>
      <w:r w:rsidR="009501A6">
        <w:t xml:space="preserve"> respiratory microbiome. </w:t>
      </w:r>
      <w:r w:rsidR="00CD51DD">
        <w:t xml:space="preserve">An observational study in 32 children with CF (mean age 4.7months) reported that reduced bacterial diversity in the upper and lower airways was strongly associated with the use of prophylactic antibiotics (daily co-amoxiclav) and a younger age at sampling. </w:t>
      </w:r>
      <w:r w:rsidR="00610835">
        <w:t xml:space="preserve">Prophylactic antibiotics had </w:t>
      </w:r>
      <w:r w:rsidR="00E36356">
        <w:t xml:space="preserve">however </w:t>
      </w:r>
      <w:r w:rsidR="00610835">
        <w:t xml:space="preserve">only been administered for half a month (+/- 0.9 month). </w:t>
      </w:r>
      <w:r w:rsidR="00CD51DD">
        <w:t xml:space="preserve">The limitations of an observational study </w:t>
      </w:r>
      <w:r w:rsidR="00F121EC">
        <w:t xml:space="preserve">were noted </w:t>
      </w:r>
      <w:r w:rsidR="00CD51DD">
        <w:t xml:space="preserve">in terms of compliance to </w:t>
      </w:r>
      <w:r w:rsidR="00F121EC">
        <w:t>antibiotics</w:t>
      </w:r>
      <w:r w:rsidR="00CD51DD">
        <w:t xml:space="preserve"> regimens</w:t>
      </w:r>
      <w:r w:rsidR="00F121EC">
        <w:t xml:space="preserve">, groups located in different countries and age </w:t>
      </w:r>
      <w:r w:rsidR="00F121EC">
        <w:fldChar w:fldCharType="begin">
          <w:fldData xml:space="preserve">PEVuZE5vdGU+PENpdGU+PEF1dGhvcj5QaXR0bWFuPC9BdXRob3I+PFllYXI+MjAxNzwvWWVhcj48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</w:fldData>
        </w:fldChar>
      </w:r>
      <w:r w:rsidR="00EE22EB">
        <w:instrText xml:space="preserve"> ADDIN EN.CITE </w:instrText>
      </w:r>
      <w:r w:rsidR="00EE22EB">
        <w:fldChar w:fldCharType="begin">
          <w:fldData xml:space="preserve">PEVuZE5vdGU+PENpdGU+PEF1dGhvcj5QaXR0bWFuPC9BdXRob3I+PFllYXI+MjAxNzwvWWVhcj48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</w:fldData>
        </w:fldChar>
      </w:r>
      <w:r w:rsidR="00EE22EB">
        <w:instrText xml:space="preserve"> ADDIN EN.CITE.DATA </w:instrText>
      </w:r>
      <w:r w:rsidR="00EE22EB">
        <w:fldChar w:fldCharType="end"/>
      </w:r>
      <w:r w:rsidR="00F121EC">
        <w:fldChar w:fldCharType="separate"/>
      </w:r>
      <w:r w:rsidR="00EE22EB">
        <w:rPr>
          <w:noProof/>
        </w:rPr>
        <w:t>(Pittman et al., 2017)</w:t>
      </w:r>
      <w:r w:rsidR="00F121EC">
        <w:fldChar w:fldCharType="end"/>
      </w:r>
      <w:r w:rsidR="00B123CE">
        <w:t xml:space="preserve">. </w:t>
      </w:r>
      <w:r w:rsidR="00B022DA">
        <w:t xml:space="preserve">The results of our study are in keeping with the above study. We have reported a significant reduction in the Shannon index </w:t>
      </w:r>
      <w:r w:rsidR="00B022DA" w:rsidRPr="004C2C06">
        <w:t>whilst participants were actively taking long</w:t>
      </w:r>
      <w:r w:rsidR="00570055">
        <w:t>-</w:t>
      </w:r>
      <w:r w:rsidR="00B022DA" w:rsidRPr="004C2C06">
        <w:t>term azithromycin compared to the comparison group exposed to intermittent courses of antibiotics. This difference had resolved by the study end at 20 months</w:t>
      </w:r>
      <w:r>
        <w:t>, at which time many of the participants had ceased the azithromycin, some of them several months previously</w:t>
      </w:r>
      <w:r w:rsidR="00B022DA">
        <w:t xml:space="preserve">. </w:t>
      </w:r>
      <w:r w:rsidR="00685AA3">
        <w:t>Similarly to Pittman</w:t>
      </w:r>
      <w:r w:rsidR="00B022DA">
        <w:t>, we did not find a reduction in the Shannon index in the comparison group exposed to inter</w:t>
      </w:r>
      <w:r w:rsidR="00DB4FD5">
        <w:t>mittent</w:t>
      </w:r>
      <w:r w:rsidR="00B022DA">
        <w:t xml:space="preserve"> antibiotics</w:t>
      </w:r>
      <w:r w:rsidR="00685AA3">
        <w:t>.</w:t>
      </w:r>
      <w:r w:rsidRPr="00151044">
        <w:t xml:space="preserve"> </w:t>
      </w:r>
      <w:r>
        <w:t>We also found a significant difference in beta diversity of the nasopharyngeal microbiota whilst actively taking azithromycin (as opposed to being placed in the azithromycin group) compared to those in an unexposed comparison group. These changes persisted at the study end, 12-20 months, when the majority of children had stopped taking long-term azithromycin. The duration between cessation of azithromycin and the final swab did however vary considerably due to the COVID pandemic and is discussed further in section 5.3.1.</w:t>
      </w:r>
    </w:p>
    <w:p w14:paraId="63A724CE" w14:textId="17DE8B1F" w:rsidR="000522D3" w:rsidRDefault="00F2030E" w:rsidP="00C52C6D">
      <w:pPr>
        <w:spacing w:line="360" w:lineRule="auto"/>
      </w:pPr>
      <w:r>
        <w:t>In the comparison group, the alpha diversity increased at the second swab sampling. The reason for this is unclear. Around the time of the second swab collection however, the COVID pandemic was beginning. Advice regarding social distancing, wearing of face masks and isolation were being introduced before the formal national lock down. These factors may have had an impact on the diversity of the nasopharyngeal microbiome in this group of children.</w:t>
      </w:r>
      <w:r w:rsidR="00C47244">
        <w:t xml:space="preserve"> </w:t>
      </w:r>
      <w:r w:rsidR="00284C10">
        <w:t xml:space="preserve">As discussed in section 1.6.1, few studies have looked at the microbiome of children with PBB. Compared to healthy controls, </w:t>
      </w:r>
      <w:r w:rsidR="003D4BCE">
        <w:t>c</w:t>
      </w:r>
      <w:r w:rsidR="00284C10">
        <w:t xml:space="preserve">hildren with PBB have been found to </w:t>
      </w:r>
      <w:r w:rsidR="003D4BCE">
        <w:t xml:space="preserve">a dominance of </w:t>
      </w:r>
      <w:r w:rsidR="003D4BCE" w:rsidRPr="001D04B2">
        <w:rPr>
          <w:i/>
          <w:iCs/>
        </w:rPr>
        <w:t>Haemophilus</w:t>
      </w:r>
      <w:r w:rsidR="003D4BCE">
        <w:t xml:space="preserve"> and </w:t>
      </w:r>
      <w:r w:rsidR="003D4BCE" w:rsidRPr="001D04B2">
        <w:rPr>
          <w:i/>
          <w:iCs/>
        </w:rPr>
        <w:t>Neisseria</w:t>
      </w:r>
      <w:r w:rsidR="003D4BCE">
        <w:t xml:space="preserve"> of </w:t>
      </w:r>
      <w:proofErr w:type="spellStart"/>
      <w:r w:rsidR="003D4BCE">
        <w:t>bronchoscopic</w:t>
      </w:r>
      <w:proofErr w:type="spellEnd"/>
      <w:r w:rsidR="003D4BCE">
        <w:t xml:space="preserve"> protected brushings and a non-significant increase in </w:t>
      </w:r>
      <w:r w:rsidR="003D4BCE" w:rsidRPr="001D04B2">
        <w:rPr>
          <w:i/>
          <w:iCs/>
        </w:rPr>
        <w:t>Moraxe</w:t>
      </w:r>
      <w:r w:rsidR="003D4BCE">
        <w:rPr>
          <w:i/>
          <w:iCs/>
        </w:rPr>
        <w:t>l</w:t>
      </w:r>
      <w:r w:rsidR="003D4BCE" w:rsidRPr="001D04B2">
        <w:rPr>
          <w:i/>
          <w:iCs/>
        </w:rPr>
        <w:t>la</w:t>
      </w:r>
      <w:r w:rsidR="003D4BCE">
        <w:t xml:space="preserve"> and </w:t>
      </w:r>
      <w:r w:rsidR="003D4BCE" w:rsidRPr="001D04B2">
        <w:rPr>
          <w:i/>
          <w:iCs/>
        </w:rPr>
        <w:t xml:space="preserve">Streptococcus </w:t>
      </w:r>
      <w:proofErr w:type="spellStart"/>
      <w:r w:rsidR="003D4BCE" w:rsidRPr="001D04B2">
        <w:rPr>
          <w:i/>
          <w:iCs/>
        </w:rPr>
        <w:t>spp</w:t>
      </w:r>
      <w:proofErr w:type="spellEnd"/>
      <w:r w:rsidR="003D4BCE">
        <w:t xml:space="preserve"> </w:t>
      </w:r>
      <w:r w:rsidR="003D4BCE">
        <w:fldChar w:fldCharType="begin"/>
      </w:r>
      <w:r w:rsidR="00EE22EB">
        <w:instrText xml:space="preserve"> ADDIN EN.CITE &lt;EndNote&gt;&lt;Cite&gt;&lt;Author&gt;Cuthbertson&lt;/Author&gt;&lt;Year&gt;2017&lt;/Year&gt;&lt;RecNum&gt;161&lt;/RecNum&gt;&lt;DisplayText&gt;(Cuthbertson et al., 2017)&lt;/DisplayText&gt;&lt;record&gt;&lt;rec-number&gt;161&lt;/rec-number&gt;&lt;foreign-keys&gt;&lt;key app="EN" db-id="pr9rwt2w8padxcerwx6prd0a9wtda2w5fw2t" timestamp="1629731697"&gt;161&lt;/key&gt;&lt;/foreign-keys&gt;&lt;ref-type name="Journal Article"&gt;17&lt;/ref-type&gt;&lt;contributors&gt;&lt;authors&gt;&lt;author&gt;Cuthbertson, Leah&lt;/author&gt;&lt;author&gt;Craven, Vanessa&lt;/author&gt;&lt;author&gt;Bingle, Lynne&lt;/author&gt;&lt;author&gt;Cookson, William O. C. M.&lt;/author&gt;&lt;author&gt;Everard, Mark L.&lt;/author&gt;&lt;author&gt;Moffatt, Miriam F.&lt;/author&gt;&lt;/authors&gt;&lt;/contributors&gt;&lt;titles&gt;&lt;title&gt;The impact of persistent bacterial bronchitis on the pulmonary microbiome of children&lt;/title&gt;&lt;secondary-title&gt;PloS one&lt;/secondary-title&gt;&lt;alt-title&gt;PLoS One&lt;/alt-title&gt;&lt;/titles&gt;&lt;periodical&gt;&lt;full-title&gt;PLoS One&lt;/full-title&gt;&lt;/periodical&gt;&lt;alt-periodical&gt;&lt;full-title&gt;PLoS One&lt;/full-title&gt;&lt;/alt-periodical&gt;&lt;pages&gt;e0190075-e0190075&lt;/pages&gt;&lt;volume&gt;12&lt;/volume&gt;&lt;number&gt;12&lt;/number&gt;&lt;keywords&gt;&lt;keyword&gt;Adult&lt;/keyword&gt;&lt;keyword&gt;Bacterial Infections/*physiopathology&lt;/keyword&gt;&lt;keyword&gt;Bronchitis/*physiopathology&lt;/keyword&gt;&lt;keyword&gt;Case-Control Studies&lt;/keyword&gt;&lt;keyword&gt;Child&lt;/keyword&gt;&lt;keyword&gt;Child, Preschool&lt;/keyword&gt;&lt;keyword&gt;Female&lt;/keyword&gt;&lt;keyword&gt;Humans&lt;/keyword&gt;&lt;keyword&gt;Male&lt;/keyword&gt;&lt;keyword&gt;*Microbiota&lt;/keyword&gt;&lt;/keywords&gt;&lt;dates&gt;&lt;year&gt;2017&lt;/year&gt;&lt;/dates&gt;&lt;publisher&gt;Public Library of Science&lt;/publisher&gt;&lt;isbn&gt;1932-6203&lt;/isbn&gt;&lt;accession-num&gt;29281698&lt;/accession-num&gt;&lt;urls&gt;&lt;related-urls&gt;&lt;url&gt;https://www.ncbi.nlm.nih.gov/pubmed/29281698&lt;/url&gt;&lt;url&gt;https://www.ncbi.nlm.nih.gov/pmc/articles/PMC5744971/&lt;/url&gt;&lt;/related-urls&gt;&lt;/urls&gt;&lt;electronic-resource-num&gt;10.1371/journal.pone.0190075&lt;/electronic-resource-num&gt;&lt;remote-database-name&gt;PubMed&lt;/remote-database-name&gt;&lt;language&gt;eng&lt;/language&gt;&lt;/record&gt;&lt;/Cite&gt;&lt;/EndNote&gt;</w:instrText>
      </w:r>
      <w:r w:rsidR="003D4BCE">
        <w:fldChar w:fldCharType="separate"/>
      </w:r>
      <w:r w:rsidR="00EE22EB">
        <w:rPr>
          <w:noProof/>
        </w:rPr>
        <w:t>(Cuthbertson et al., 2017)</w:t>
      </w:r>
      <w:r w:rsidR="003D4BCE">
        <w:fldChar w:fldCharType="end"/>
      </w:r>
      <w:r w:rsidR="00423A43">
        <w:t xml:space="preserve">. Across both groups </w:t>
      </w:r>
      <w:r w:rsidR="001E4670">
        <w:t xml:space="preserve">in our study </w:t>
      </w:r>
      <w:r w:rsidR="00423A43">
        <w:lastRenderedPageBreak/>
        <w:t xml:space="preserve">we found </w:t>
      </w:r>
      <w:r w:rsidR="00423A43" w:rsidRPr="001D04B2">
        <w:rPr>
          <w:i/>
          <w:iCs/>
        </w:rPr>
        <w:t>Stre</w:t>
      </w:r>
      <w:r w:rsidR="00423A43">
        <w:rPr>
          <w:i/>
          <w:iCs/>
        </w:rPr>
        <w:t>p</w:t>
      </w:r>
      <w:r w:rsidR="00423A43" w:rsidRPr="001D04B2">
        <w:rPr>
          <w:i/>
          <w:iCs/>
        </w:rPr>
        <w:t xml:space="preserve">tococcus </w:t>
      </w:r>
      <w:proofErr w:type="spellStart"/>
      <w:r w:rsidR="00423A43" w:rsidRPr="001D04B2">
        <w:rPr>
          <w:i/>
          <w:iCs/>
        </w:rPr>
        <w:t>spp</w:t>
      </w:r>
      <w:proofErr w:type="spellEnd"/>
      <w:r w:rsidR="00423A43">
        <w:t xml:space="preserve">, </w:t>
      </w:r>
      <w:r w:rsidR="00423A43" w:rsidRPr="001D04B2">
        <w:rPr>
          <w:i/>
          <w:iCs/>
        </w:rPr>
        <w:t xml:space="preserve">Moraxella </w:t>
      </w:r>
      <w:proofErr w:type="spellStart"/>
      <w:r w:rsidR="00423A43" w:rsidRPr="001D04B2">
        <w:rPr>
          <w:i/>
          <w:iCs/>
        </w:rPr>
        <w:t>spp</w:t>
      </w:r>
      <w:proofErr w:type="spellEnd"/>
      <w:r w:rsidR="00423A43">
        <w:t xml:space="preserve"> and </w:t>
      </w:r>
      <w:r w:rsidR="00423A43" w:rsidRPr="001D04B2">
        <w:rPr>
          <w:i/>
          <w:iCs/>
        </w:rPr>
        <w:t xml:space="preserve">Haemophilus </w:t>
      </w:r>
      <w:proofErr w:type="spellStart"/>
      <w:r w:rsidR="00423A43" w:rsidRPr="001D04B2">
        <w:rPr>
          <w:i/>
          <w:iCs/>
        </w:rPr>
        <w:t>spp</w:t>
      </w:r>
      <w:proofErr w:type="spellEnd"/>
      <w:r w:rsidR="00423A43">
        <w:t xml:space="preserve"> in the top 15 ASVs however </w:t>
      </w:r>
      <w:r w:rsidR="002E4CEC" w:rsidRPr="001D04B2">
        <w:rPr>
          <w:i/>
          <w:iCs/>
        </w:rPr>
        <w:t xml:space="preserve">Neisseria </w:t>
      </w:r>
      <w:proofErr w:type="spellStart"/>
      <w:r w:rsidR="002E4CEC" w:rsidRPr="001D04B2">
        <w:rPr>
          <w:i/>
          <w:iCs/>
        </w:rPr>
        <w:t>spp</w:t>
      </w:r>
      <w:proofErr w:type="spellEnd"/>
      <w:r w:rsidR="002E4CEC">
        <w:t xml:space="preserve"> did not feature. </w:t>
      </w:r>
      <w:r w:rsidR="001E4670">
        <w:t xml:space="preserve">The finding of </w:t>
      </w:r>
      <w:r w:rsidR="000F708F">
        <w:t xml:space="preserve">PBB microbiota profiles on BAL dominated by respiratory pathogens was also reported by </w:t>
      </w:r>
      <w:r w:rsidR="008D719C">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rsidR="00EE22EB">
        <w:instrText xml:space="preserve"> ADDIN EN.CITE </w:instrText>
      </w:r>
      <w:r w:rsidR="00EE22EB">
        <w:fldChar w:fldCharType="begin">
          <w:fldData xml:space="preserve">PEVuZE5vdGU+PENpdGU+PEF1dGhvcj5NYXJzaDwvQXV0aG9yPjxZZWFyPjIwMTk8L1llYXI+PFJl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</w:fldData>
        </w:fldChar>
      </w:r>
      <w:r w:rsidR="00EE22EB">
        <w:instrText xml:space="preserve"> ADDIN EN.CITE.DATA </w:instrText>
      </w:r>
      <w:r w:rsidR="00EE22EB">
        <w:fldChar w:fldCharType="end"/>
      </w:r>
      <w:r w:rsidR="008D719C">
        <w:fldChar w:fldCharType="separate"/>
      </w:r>
      <w:r w:rsidR="00EE22EB">
        <w:rPr>
          <w:noProof/>
        </w:rPr>
        <w:t>(Marsh et al., 2019)</w:t>
      </w:r>
      <w:r w:rsidR="008D719C">
        <w:fldChar w:fldCharType="end"/>
      </w:r>
      <w:r w:rsidR="000F708F">
        <w:t xml:space="preserve">. They also </w:t>
      </w:r>
      <w:r w:rsidR="009C3FE1">
        <w:t xml:space="preserve">described </w:t>
      </w:r>
      <w:r w:rsidR="000F708F">
        <w:t xml:space="preserve">a further group with a diverse microbiota profile associated with </w:t>
      </w:r>
      <w:proofErr w:type="spellStart"/>
      <w:r w:rsidR="000F708F" w:rsidRPr="001D04B2">
        <w:rPr>
          <w:i/>
          <w:iCs/>
        </w:rPr>
        <w:t>Prevotella</w:t>
      </w:r>
      <w:proofErr w:type="spellEnd"/>
      <w:r w:rsidR="000F708F" w:rsidRPr="001D04B2">
        <w:rPr>
          <w:i/>
          <w:iCs/>
        </w:rPr>
        <w:t xml:space="preserve"> spp</w:t>
      </w:r>
      <w:r w:rsidR="000F708F">
        <w:rPr>
          <w:i/>
          <w:iCs/>
        </w:rPr>
        <w:t>.</w:t>
      </w:r>
      <w:r w:rsidR="000F708F">
        <w:t xml:space="preserve"> </w:t>
      </w:r>
      <w:proofErr w:type="spellStart"/>
      <w:r w:rsidR="000F708F" w:rsidRPr="001D04B2">
        <w:rPr>
          <w:i/>
          <w:iCs/>
        </w:rPr>
        <w:t>Prevotella</w:t>
      </w:r>
      <w:proofErr w:type="spellEnd"/>
      <w:r w:rsidR="000F708F" w:rsidRPr="001D04B2">
        <w:rPr>
          <w:i/>
          <w:iCs/>
        </w:rPr>
        <w:t xml:space="preserve"> </w:t>
      </w:r>
      <w:proofErr w:type="spellStart"/>
      <w:r w:rsidR="000F708F" w:rsidRPr="001D04B2">
        <w:rPr>
          <w:i/>
          <w:iCs/>
        </w:rPr>
        <w:t>sp</w:t>
      </w:r>
      <w:r w:rsidR="000F708F">
        <w:rPr>
          <w:i/>
          <w:iCs/>
        </w:rPr>
        <w:t>p</w:t>
      </w:r>
      <w:proofErr w:type="spellEnd"/>
      <w:r w:rsidR="000F708F">
        <w:t xml:space="preserve"> were not found to be in abundance in either of our 2 groups. The differences may relate to the fact that</w:t>
      </w:r>
      <w:r w:rsidR="009C3FE1">
        <w:t xml:space="preserve"> the demographics of the groups were quite different –</w:t>
      </w:r>
      <w:r w:rsidR="00D345F7">
        <w:t xml:space="preserve"> the patients studies by Marsh et al. were an Australian cohort and were also younger than our cohort (mean age 1.7 years) and with less prior antibiotic exposure. </w:t>
      </w:r>
      <w:r w:rsidR="000F708F">
        <w:t xml:space="preserve"> </w:t>
      </w:r>
      <w:r w:rsidR="00D345F7">
        <w:t xml:space="preserve">Although </w:t>
      </w:r>
      <w:r w:rsidR="00865B5D">
        <w:t>similarities</w:t>
      </w:r>
      <w:r w:rsidR="000F708F">
        <w:t xml:space="preserve"> exit between the upper and </w:t>
      </w:r>
      <w:r w:rsidR="00865B5D">
        <w:t xml:space="preserve">lower </w:t>
      </w:r>
      <w:r w:rsidR="006E448B">
        <w:t>respiratory</w:t>
      </w:r>
      <w:r w:rsidR="00865B5D">
        <w:t xml:space="preserve"> tract microbiota, </w:t>
      </w:r>
      <w:r w:rsidR="009C3FE1">
        <w:t>there are also differences</w:t>
      </w:r>
      <w:r w:rsidR="006E448B">
        <w:t xml:space="preserve">. Marsh et al compared upper airway samples (nasopharyngeal and oropharyngeal) with BALF from a single lobe and reported that upper airway samples were a reliable surrogate in 69% of children with either PBB, idiopathic bronchiectasis or that were healthy </w:t>
      </w:r>
      <w:r w:rsidR="006E448B">
        <w:fldChar w:fldCharType="begin">
          <w:fldData xml:space="preserve">PEVuZE5vdGU+PENpdGU+PEF1dGhvcj5NYXJzaDwvQXV0aG9yPjxZZWFyPjIwMTY8L1llYXI+PFJl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</w:fldData>
        </w:fldChar>
      </w:r>
      <w:r w:rsidR="00EE22EB">
        <w:instrText xml:space="preserve"> ADDIN EN.CITE </w:instrText>
      </w:r>
      <w:r w:rsidR="00EE22EB">
        <w:fldChar w:fldCharType="begin">
          <w:fldData xml:space="preserve">PEVuZE5vdGU+PENpdGU+PEF1dGhvcj5NYXJzaDwvQXV0aG9yPjxZZWFyPjIwMTY8L1llYXI+PFJl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</w:fldData>
        </w:fldChar>
      </w:r>
      <w:r w:rsidR="00EE22EB">
        <w:instrText xml:space="preserve"> ADDIN EN.CITE.DATA </w:instrText>
      </w:r>
      <w:r w:rsidR="00EE22EB">
        <w:fldChar w:fldCharType="end"/>
      </w:r>
      <w:r w:rsidR="006E448B">
        <w:fldChar w:fldCharType="separate"/>
      </w:r>
      <w:r w:rsidR="00EE22EB">
        <w:rPr>
          <w:noProof/>
        </w:rPr>
        <w:t>(Marsh et al., 2016)</w:t>
      </w:r>
      <w:r w:rsidR="006E448B">
        <w:fldChar w:fldCharType="end"/>
      </w:r>
      <w:r w:rsidR="006E448B">
        <w:t>.</w:t>
      </w:r>
      <w:r w:rsidR="009C3FE1">
        <w:t xml:space="preserve"> </w:t>
      </w:r>
    </w:p>
    <w:p w14:paraId="5D1A6233" w14:textId="77777777" w:rsidR="00DB069C" w:rsidRPr="00C52C6D" w:rsidRDefault="00DB069C" w:rsidP="00C52C6D">
      <w:pPr>
        <w:spacing w:line="360" w:lineRule="auto"/>
      </w:pPr>
    </w:p>
    <w:p w14:paraId="08625C6F" w14:textId="2A205502" w:rsidR="000522D3" w:rsidRPr="00752DA8" w:rsidRDefault="00362A14" w:rsidP="00752DA8">
      <w:pPr>
        <w:pStyle w:val="Heading3"/>
      </w:pPr>
      <w:bookmarkStart w:id="321" w:name="_Toc117766015"/>
      <w:r w:rsidRPr="00752DA8">
        <w:t>Limitations</w:t>
      </w:r>
      <w:r w:rsidR="008D719C" w:rsidRPr="00752DA8">
        <w:t xml:space="preserve"> of the microbiome study</w:t>
      </w:r>
      <w:bookmarkEnd w:id="321"/>
    </w:p>
    <w:p w14:paraId="35CA6F09" w14:textId="102A3B28" w:rsidR="008D719C" w:rsidRDefault="008D719C" w:rsidP="00F412D2">
      <w:pPr>
        <w:spacing w:line="360" w:lineRule="auto"/>
        <w:rPr>
          <w:rFonts w:cstheme="minorHAnsi"/>
        </w:rPr>
      </w:pPr>
      <w:r w:rsidRPr="001D04B2">
        <w:rPr>
          <w:rFonts w:cstheme="minorHAnsi"/>
        </w:rPr>
        <w:t xml:space="preserve">As with the other two studies looking at the microbiome in PBB </w:t>
      </w:r>
      <w:r w:rsidRPr="001D04B2">
        <w:rPr>
          <w:rFonts w:cstheme="minorHAnsi"/>
        </w:rPr>
        <w:fldChar w:fldCharType="begin">
          <w:fldData xml:space="preserve">PEVuZE5vdGU+PENpdGU+PEF1dGhvcj5DdXRoYmVydHNvbjwvQXV0aG9yPjxZZWFyPjIwMTc8L1ll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</w:fldData>
        </w:fldChar>
      </w:r>
      <w:r w:rsidR="00CD2C33">
        <w:rPr>
          <w:rFonts w:cstheme="minorHAnsi"/>
        </w:rPr>
        <w:instrText xml:space="preserve"> ADDIN EN.CITE </w:instrText>
      </w:r>
      <w:r w:rsidR="00CD2C33">
        <w:rPr>
          <w:rFonts w:cstheme="minorHAnsi"/>
        </w:rPr>
        <w:fldChar w:fldCharType="begin">
          <w:fldData xml:space="preserve">PEVuZE5vdGU+PENpdGU+PEF1dGhvcj5DdXRoYmVydHNvbjwvQXV0aG9yPjxZZWFyPjIwMTc8L1ll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</w:fldData>
        </w:fldChar>
      </w:r>
      <w:r w:rsidR="00CD2C33">
        <w:rPr>
          <w:rFonts w:cstheme="minorHAnsi"/>
        </w:rPr>
        <w:instrText xml:space="preserve"> ADDIN EN.CITE.DATA </w:instrText>
      </w:r>
      <w:r w:rsidR="00CD2C33">
        <w:rPr>
          <w:rFonts w:cstheme="minorHAnsi"/>
        </w:rPr>
      </w:r>
      <w:r w:rsidR="00CD2C33">
        <w:rPr>
          <w:rFonts w:cstheme="minorHAnsi"/>
        </w:rPr>
        <w:fldChar w:fldCharType="end"/>
      </w:r>
      <w:r w:rsidRPr="001D04B2">
        <w:rPr>
          <w:rFonts w:cstheme="minorHAnsi"/>
        </w:rPr>
      </w:r>
      <w:r w:rsidRPr="001D04B2">
        <w:rPr>
          <w:rFonts w:cstheme="minorHAnsi"/>
        </w:rPr>
        <w:fldChar w:fldCharType="separate"/>
      </w:r>
      <w:r w:rsidR="00CD2C33">
        <w:rPr>
          <w:rFonts w:cstheme="minorHAnsi"/>
          <w:noProof/>
        </w:rPr>
        <w:t>(Cuthbertson et al., 2017; Marsh et al., 2019)</w:t>
      </w:r>
      <w:r w:rsidRPr="001D04B2">
        <w:rPr>
          <w:rFonts w:cstheme="minorHAnsi"/>
        </w:rPr>
        <w:fldChar w:fldCharType="end"/>
      </w:r>
      <w:r w:rsidRPr="001D04B2">
        <w:rPr>
          <w:rFonts w:cstheme="minorHAnsi"/>
        </w:rPr>
        <w:t>, our numbers were small</w:t>
      </w:r>
      <w:r w:rsidR="0043647C">
        <w:rPr>
          <w:rFonts w:cstheme="minorHAnsi"/>
        </w:rPr>
        <w:t xml:space="preserve"> (&lt;30 participants in each group)</w:t>
      </w:r>
      <w:r w:rsidRPr="001D04B2">
        <w:rPr>
          <w:rFonts w:cstheme="minorHAnsi"/>
        </w:rPr>
        <w:t xml:space="preserve"> and the true variability of the microbiota may not have been fully sampled.</w:t>
      </w:r>
      <w:r w:rsidR="0043647C">
        <w:rPr>
          <w:rFonts w:cstheme="minorHAnsi"/>
        </w:rPr>
        <w:t xml:space="preserve"> Sampling the nasopharynx does not fully represent the microbiota of the lower airway. Given that one of the main concerns in PBB is that </w:t>
      </w:r>
      <w:r w:rsidR="00CE17EC">
        <w:rPr>
          <w:rFonts w:cstheme="minorHAnsi"/>
        </w:rPr>
        <w:t>of</w:t>
      </w:r>
      <w:r w:rsidR="0043647C">
        <w:rPr>
          <w:rFonts w:cstheme="minorHAnsi"/>
        </w:rPr>
        <w:t xml:space="preserve"> th</w:t>
      </w:r>
      <w:r w:rsidR="00FB05D9">
        <w:rPr>
          <w:rFonts w:cstheme="minorHAnsi"/>
        </w:rPr>
        <w:t>e</w:t>
      </w:r>
      <w:r w:rsidR="0043647C">
        <w:rPr>
          <w:rFonts w:cstheme="minorHAnsi"/>
        </w:rPr>
        <w:t xml:space="preserve"> </w:t>
      </w:r>
      <w:r w:rsidR="00CE17EC">
        <w:rPr>
          <w:rFonts w:cstheme="minorHAnsi"/>
        </w:rPr>
        <w:t xml:space="preserve">development of bronchiectasis, permanent damage to the lower airways, it would be important to understand the changes in the microbiota related to azithromycin within this specific part of the airway. However, given the practical difficulties in obtaining </w:t>
      </w:r>
      <w:r w:rsidR="00D345F7">
        <w:rPr>
          <w:rFonts w:cstheme="minorHAnsi"/>
        </w:rPr>
        <w:t xml:space="preserve">sequential </w:t>
      </w:r>
      <w:r w:rsidR="00CE17EC">
        <w:rPr>
          <w:rFonts w:cstheme="minorHAnsi"/>
        </w:rPr>
        <w:t>lower airway samples in children, gathering information from the nasopharynx has allowed for longitudinal sampling</w:t>
      </w:r>
      <w:r w:rsidR="00C77056">
        <w:rPr>
          <w:rFonts w:cstheme="minorHAnsi"/>
        </w:rPr>
        <w:t xml:space="preserve"> of the microbiota from the same environmental niche. This would otherwise not have been possible from the lower airways. </w:t>
      </w:r>
    </w:p>
    <w:p w14:paraId="2B85DA27" w14:textId="44A965D6" w:rsidR="00C77056" w:rsidRPr="001D04B2" w:rsidRDefault="00C77056" w:rsidP="005D4602">
      <w:pPr>
        <w:spacing w:after="160" w:line="360" w:lineRule="auto"/>
        <w:rPr>
          <w:rFonts w:cstheme="minorHAnsi"/>
        </w:rPr>
      </w:pPr>
      <w:r>
        <w:rPr>
          <w:rFonts w:cstheme="minorHAnsi"/>
        </w:rPr>
        <w:t xml:space="preserve">Ideally samples would have been frozen at -80⁰C immediately after collection. This was not practically possible as samples were collected whilst children were in their homes. </w:t>
      </w:r>
      <w:r w:rsidR="0026363E">
        <w:rPr>
          <w:rFonts w:cstheme="minorHAnsi"/>
        </w:rPr>
        <w:t xml:space="preserve">Samples were placed in transport medium which </w:t>
      </w:r>
      <w:r w:rsidR="00AD44FE">
        <w:rPr>
          <w:rFonts w:cstheme="minorHAnsi"/>
        </w:rPr>
        <w:t>is</w:t>
      </w:r>
      <w:r w:rsidR="0026363E">
        <w:rPr>
          <w:rFonts w:cstheme="minorHAnsi"/>
        </w:rPr>
        <w:t xml:space="preserve"> designed to prevent bacterial overgrowth however this may have occurred. </w:t>
      </w:r>
    </w:p>
    <w:p w14:paraId="01BE875B" w14:textId="25C4C847" w:rsidR="00E8072D" w:rsidRPr="00A74666" w:rsidRDefault="00616A55" w:rsidP="00752DA8">
      <w:pPr>
        <w:spacing w:after="160" w:line="360" w:lineRule="auto"/>
        <w:rPr>
          <w:rFonts w:cstheme="minorHAnsi"/>
        </w:rPr>
      </w:pPr>
      <w:r>
        <w:rPr>
          <w:rFonts w:cstheme="minorHAnsi"/>
        </w:rPr>
        <w:t>The observational design of the study ha</w:t>
      </w:r>
      <w:r w:rsidR="00D161FB">
        <w:rPr>
          <w:rFonts w:cstheme="minorHAnsi"/>
        </w:rPr>
        <w:t>d</w:t>
      </w:r>
      <w:r>
        <w:rPr>
          <w:rFonts w:cstheme="minorHAnsi"/>
        </w:rPr>
        <w:t xml:space="preserve"> inherent issues with the inability to control </w:t>
      </w:r>
      <w:r w:rsidR="00DD63D7">
        <w:rPr>
          <w:rFonts w:cstheme="minorHAnsi"/>
        </w:rPr>
        <w:t>the duration of treatment</w:t>
      </w:r>
      <w:r w:rsidR="00AD44FE">
        <w:rPr>
          <w:rFonts w:cstheme="minorHAnsi"/>
        </w:rPr>
        <w:t>. T</w:t>
      </w:r>
      <w:r w:rsidR="00985F09">
        <w:rPr>
          <w:rFonts w:cstheme="minorHAnsi"/>
        </w:rPr>
        <w:t>he participants in the comparison group were not deemed to require long</w:t>
      </w:r>
      <w:r w:rsidR="00384254">
        <w:rPr>
          <w:rFonts w:cstheme="minorHAnsi"/>
        </w:rPr>
        <w:t>-</w:t>
      </w:r>
      <w:r w:rsidR="00985F09">
        <w:rPr>
          <w:rFonts w:cstheme="minorHAnsi"/>
        </w:rPr>
        <w:t xml:space="preserve">term azithromycin and thus may have had unrecorded differences other than potently having less </w:t>
      </w:r>
      <w:r w:rsidR="00985F09">
        <w:rPr>
          <w:rFonts w:cstheme="minorHAnsi"/>
        </w:rPr>
        <w:lastRenderedPageBreak/>
        <w:t xml:space="preserve">severe disease with regards to the frequency of exacerbations. </w:t>
      </w:r>
      <w:r w:rsidR="00DC66EA">
        <w:rPr>
          <w:rFonts w:cstheme="minorHAnsi"/>
        </w:rPr>
        <w:t>It would also have been valuable to have had a healthy control group</w:t>
      </w:r>
      <w:r w:rsidR="00AD44FE">
        <w:rPr>
          <w:rFonts w:cstheme="minorHAnsi"/>
        </w:rPr>
        <w:t>,</w:t>
      </w:r>
      <w:r w:rsidR="00DC66EA">
        <w:rPr>
          <w:rFonts w:cstheme="minorHAnsi"/>
        </w:rPr>
        <w:t xml:space="preserve"> as well as </w:t>
      </w:r>
      <w:r w:rsidR="00AD44FE">
        <w:rPr>
          <w:rFonts w:cstheme="minorHAnsi"/>
        </w:rPr>
        <w:t>t</w:t>
      </w:r>
      <w:r w:rsidR="00DC66EA">
        <w:rPr>
          <w:rFonts w:cstheme="minorHAnsi"/>
        </w:rPr>
        <w:t>he comparison group of children with PBB, to look at the background nasopharyngeal microbiota in children not exposed to frequent courses of antibiotics.</w:t>
      </w:r>
    </w:p>
    <w:p w14:paraId="66886AA9" w14:textId="4569AA7E" w:rsidR="00E8072D" w:rsidRDefault="00E8072D" w:rsidP="00752DA8">
      <w:pPr>
        <w:pStyle w:val="Heading3"/>
        <w:spacing w:line="360" w:lineRule="auto"/>
      </w:pPr>
      <w:bookmarkStart w:id="322" w:name="_Toc117766016"/>
      <w:r>
        <w:t>Impact of the COVID pandemic</w:t>
      </w:r>
      <w:bookmarkEnd w:id="322"/>
    </w:p>
    <w:p w14:paraId="5AD0AB36" w14:textId="67BECFA3" w:rsidR="00737295" w:rsidRDefault="00E8072D" w:rsidP="00A74666">
      <w:pPr>
        <w:spacing w:after="160" w:line="360" w:lineRule="auto"/>
        <w:rPr>
          <w:rFonts w:cstheme="minorHAnsi"/>
        </w:rPr>
      </w:pPr>
      <w:r>
        <w:rPr>
          <w:rFonts w:cstheme="minorHAnsi"/>
        </w:rPr>
        <w:t xml:space="preserve">Due </w:t>
      </w:r>
      <w:r w:rsidR="007047D4">
        <w:rPr>
          <w:rFonts w:cstheme="minorHAnsi"/>
        </w:rPr>
        <w:t xml:space="preserve">to </w:t>
      </w:r>
      <w:r w:rsidR="007539F5">
        <w:rPr>
          <w:rFonts w:cstheme="minorHAnsi"/>
        </w:rPr>
        <w:t xml:space="preserve">the </w:t>
      </w:r>
      <w:r w:rsidR="007047D4">
        <w:rPr>
          <w:rFonts w:cstheme="minorHAnsi"/>
        </w:rPr>
        <w:t xml:space="preserve">COVID </w:t>
      </w:r>
      <w:r w:rsidR="007539F5">
        <w:rPr>
          <w:rFonts w:cstheme="minorHAnsi"/>
        </w:rPr>
        <w:t xml:space="preserve">pandemic, </w:t>
      </w:r>
      <w:r w:rsidR="00FD6C6A">
        <w:rPr>
          <w:rFonts w:cstheme="minorHAnsi"/>
        </w:rPr>
        <w:t>many swabs could not be collected</w:t>
      </w:r>
      <w:r w:rsidR="007539F5">
        <w:rPr>
          <w:rFonts w:cstheme="minorHAnsi"/>
        </w:rPr>
        <w:t xml:space="preserve"> due to lock down restrictions</w:t>
      </w:r>
      <w:r w:rsidR="00FD6C6A">
        <w:rPr>
          <w:rFonts w:cstheme="minorHAnsi"/>
        </w:rPr>
        <w:t xml:space="preserve">. This not only impacted on the sample size but also on the ability to conduct some of the intended statistical analysis. We were not able to run </w:t>
      </w:r>
      <w:r w:rsidR="00A94DAB">
        <w:rPr>
          <w:rFonts w:cstheme="minorHAnsi"/>
        </w:rPr>
        <w:t xml:space="preserve">the </w:t>
      </w:r>
      <w:r w:rsidR="00FD6C6A">
        <w:rPr>
          <w:rFonts w:cstheme="minorHAnsi"/>
        </w:rPr>
        <w:t xml:space="preserve">PERMANOVA </w:t>
      </w:r>
      <w:r w:rsidR="008C257F">
        <w:rPr>
          <w:rFonts w:cstheme="minorHAnsi"/>
        </w:rPr>
        <w:t>model</w:t>
      </w:r>
      <w:r w:rsidR="00A94DAB">
        <w:rPr>
          <w:rFonts w:cstheme="minorHAnsi"/>
        </w:rPr>
        <w:t xml:space="preserve"> </w:t>
      </w:r>
      <w:r w:rsidR="00FD6C6A">
        <w:rPr>
          <w:rFonts w:cstheme="minorHAnsi"/>
        </w:rPr>
        <w:t xml:space="preserve">on the full set of swabs as some the </w:t>
      </w:r>
      <w:r w:rsidR="00A94DAB">
        <w:rPr>
          <w:rFonts w:cstheme="minorHAnsi"/>
        </w:rPr>
        <w:t>participants</w:t>
      </w:r>
      <w:r w:rsidR="00FD6C6A">
        <w:rPr>
          <w:rFonts w:cstheme="minorHAnsi"/>
        </w:rPr>
        <w:t xml:space="preserve"> only had 1 sample for analysis</w:t>
      </w:r>
      <w:r w:rsidR="00A94DAB">
        <w:rPr>
          <w:rFonts w:cstheme="minorHAnsi"/>
        </w:rPr>
        <w:t xml:space="preserve"> and the total sample size</w:t>
      </w:r>
      <w:r w:rsidR="008C257F">
        <w:rPr>
          <w:rFonts w:cstheme="minorHAnsi"/>
        </w:rPr>
        <w:t>s</w:t>
      </w:r>
      <w:r w:rsidR="00A94DAB">
        <w:rPr>
          <w:rFonts w:cstheme="minorHAnsi"/>
        </w:rPr>
        <w:t xml:space="preserve"> for the second and third round of swabs </w:t>
      </w:r>
      <w:r w:rsidR="008C257F">
        <w:rPr>
          <w:rFonts w:cstheme="minorHAnsi"/>
        </w:rPr>
        <w:t xml:space="preserve">were </w:t>
      </w:r>
      <w:r w:rsidR="00A94DAB">
        <w:rPr>
          <w:rFonts w:cstheme="minorHAnsi"/>
        </w:rPr>
        <w:t xml:space="preserve">not large enough to run the model. </w:t>
      </w:r>
      <w:r w:rsidR="0091085C">
        <w:rPr>
          <w:rFonts w:cstheme="minorHAnsi"/>
        </w:rPr>
        <w:t>As discussed in section 4.6.</w:t>
      </w:r>
      <w:r w:rsidR="00EF4A76">
        <w:rPr>
          <w:rFonts w:cstheme="minorHAnsi"/>
        </w:rPr>
        <w:t>3</w:t>
      </w:r>
      <w:r w:rsidR="0091085C">
        <w:rPr>
          <w:rFonts w:cstheme="minorHAnsi"/>
        </w:rPr>
        <w:t xml:space="preserve">, the mean duration of long-term azithromycin exposure was much longer than anticipated due to the COVID-19 pandemic. The study duration had to be extended to 20 months in order to obtain the final swabs. </w:t>
      </w:r>
      <w:r w:rsidR="00EF4A76">
        <w:rPr>
          <w:rFonts w:cstheme="minorHAnsi"/>
        </w:rPr>
        <w:t>Th</w:t>
      </w:r>
      <w:r w:rsidR="00C822F2">
        <w:rPr>
          <w:rFonts w:cstheme="minorHAnsi"/>
        </w:rPr>
        <w:t>is</w:t>
      </w:r>
      <w:r w:rsidR="00EF4A76">
        <w:rPr>
          <w:rFonts w:cstheme="minorHAnsi"/>
        </w:rPr>
        <w:t xml:space="preserve"> resulted in the study period spanning </w:t>
      </w:r>
      <w:r w:rsidR="00C822F2">
        <w:rPr>
          <w:rFonts w:cstheme="minorHAnsi"/>
        </w:rPr>
        <w:t xml:space="preserve">2 winters and hence some participants were restarted on azithromycin and had 2 episodes of azithromycin exposure. </w:t>
      </w:r>
      <w:r w:rsidR="0091085C">
        <w:rPr>
          <w:rFonts w:cstheme="minorHAnsi"/>
        </w:rPr>
        <w:t xml:space="preserve">These factors meant that </w:t>
      </w:r>
      <w:r w:rsidR="002905B1">
        <w:rPr>
          <w:rFonts w:cstheme="minorHAnsi"/>
        </w:rPr>
        <w:t>the final swabs were not all taken following 4-6 months cessation of azithromycin</w:t>
      </w:r>
      <w:r w:rsidR="00C822F2">
        <w:rPr>
          <w:rFonts w:cstheme="minorHAnsi"/>
        </w:rPr>
        <w:t xml:space="preserve"> as planned</w:t>
      </w:r>
      <w:r w:rsidR="002905B1">
        <w:rPr>
          <w:rFonts w:cstheme="minorHAnsi"/>
        </w:rPr>
        <w:t xml:space="preserve">. Given that a number of final swabs were collected whilst participants were still actively taking azithromycin or had only stopped taking it 3-4 weeks before the swabs were collected, a lasting impact of azithromycin may </w:t>
      </w:r>
      <w:r w:rsidR="00D30EBB">
        <w:rPr>
          <w:rFonts w:cstheme="minorHAnsi"/>
        </w:rPr>
        <w:t>have influenced the microbiome of the final swabs. Finally, t</w:t>
      </w:r>
      <w:r w:rsidR="005F2200">
        <w:rPr>
          <w:rFonts w:cstheme="minorHAnsi"/>
        </w:rPr>
        <w:t>he number of swabs collected around exacerbations was too small to have any meaningful results</w:t>
      </w:r>
      <w:r w:rsidR="00737295">
        <w:rPr>
          <w:rFonts w:cstheme="minorHAnsi"/>
        </w:rPr>
        <w:t xml:space="preserve"> to inform whether alterations in the nasopharyngeal microbiota relate to PBB exacerbations</w:t>
      </w:r>
      <w:r w:rsidR="005F2200">
        <w:rPr>
          <w:rFonts w:cstheme="minorHAnsi"/>
        </w:rPr>
        <w:t xml:space="preserve">. </w:t>
      </w:r>
    </w:p>
    <w:p w14:paraId="45B0EDDF" w14:textId="1E30800D" w:rsidR="000522D3" w:rsidRDefault="00737295">
      <w:pPr>
        <w:spacing w:line="360" w:lineRule="auto"/>
        <w:rPr>
          <w:rFonts w:cstheme="minorHAnsi"/>
        </w:rPr>
      </w:pPr>
      <w:r>
        <w:rPr>
          <w:rFonts w:cstheme="minorHAnsi"/>
        </w:rPr>
        <w:t xml:space="preserve">Despite these limitations we were able to conclude that azithromycin prophylaxis is associated with </w:t>
      </w:r>
      <w:r w:rsidR="005E1849">
        <w:rPr>
          <w:rFonts w:cstheme="minorHAnsi"/>
        </w:rPr>
        <w:t>changes in the microbiome over time within individuals</w:t>
      </w:r>
      <w:r w:rsidR="00C33248">
        <w:rPr>
          <w:rFonts w:cstheme="minorHAnsi"/>
        </w:rPr>
        <w:t xml:space="preserve">. Alpha diversity </w:t>
      </w:r>
      <w:r w:rsidR="00B628A2">
        <w:rPr>
          <w:rFonts w:cstheme="minorHAnsi"/>
        </w:rPr>
        <w:t>changes were</w:t>
      </w:r>
      <w:r w:rsidR="00C33248">
        <w:rPr>
          <w:rFonts w:cstheme="minorHAnsi"/>
        </w:rPr>
        <w:t xml:space="preserve"> reversible on treatment cessation yet differences in beta diversity </w:t>
      </w:r>
      <w:r w:rsidR="00B628A2">
        <w:rPr>
          <w:rFonts w:cstheme="minorHAnsi"/>
        </w:rPr>
        <w:t xml:space="preserve">persisted </w:t>
      </w:r>
      <w:r w:rsidR="00C33248">
        <w:rPr>
          <w:rFonts w:cstheme="minorHAnsi"/>
        </w:rPr>
        <w:t>between azithromycin exposed and unexposed participants at the study end</w:t>
      </w:r>
      <w:r w:rsidR="00B628A2">
        <w:rPr>
          <w:rFonts w:cstheme="minorHAnsi"/>
        </w:rPr>
        <w:t>, 12-20 months</w:t>
      </w:r>
      <w:r>
        <w:rPr>
          <w:rFonts w:cstheme="minorHAnsi"/>
        </w:rPr>
        <w:t>.</w:t>
      </w:r>
    </w:p>
    <w:p w14:paraId="6EDA793F" w14:textId="4E6A6018" w:rsidR="00DB069C" w:rsidRDefault="00DB069C">
      <w:pPr>
        <w:spacing w:line="360" w:lineRule="auto"/>
        <w:rPr>
          <w:rFonts w:cstheme="minorHAnsi"/>
        </w:rPr>
      </w:pPr>
    </w:p>
    <w:p w14:paraId="61F55C72" w14:textId="1CE8788D" w:rsidR="00DB069C" w:rsidRDefault="00DB069C">
      <w:pPr>
        <w:spacing w:line="360" w:lineRule="auto"/>
        <w:rPr>
          <w:rFonts w:cstheme="minorHAnsi"/>
        </w:rPr>
      </w:pPr>
    </w:p>
    <w:p w14:paraId="1D658BB9" w14:textId="5BADEB28" w:rsidR="00DB069C" w:rsidRDefault="00DB069C">
      <w:pPr>
        <w:spacing w:line="360" w:lineRule="auto"/>
        <w:rPr>
          <w:rFonts w:cstheme="minorHAnsi"/>
        </w:rPr>
      </w:pPr>
    </w:p>
    <w:p w14:paraId="2EAC79C0" w14:textId="33D3A11D" w:rsidR="00A94DAB" w:rsidRPr="001D04B2" w:rsidRDefault="00A94DAB">
      <w:pPr>
        <w:spacing w:line="360" w:lineRule="auto"/>
        <w:rPr>
          <w:rFonts w:cstheme="minorHAnsi"/>
        </w:rPr>
      </w:pPr>
    </w:p>
    <w:p w14:paraId="49DA2CCE" w14:textId="55867A0B" w:rsidR="00E55625" w:rsidRPr="00ED0001" w:rsidRDefault="00E55625" w:rsidP="00241369">
      <w:pPr>
        <w:pStyle w:val="Heading1"/>
        <w:rPr>
          <w:b/>
        </w:rPr>
      </w:pPr>
      <w:bookmarkStart w:id="323" w:name="_Toc117766017"/>
      <w:r w:rsidRPr="00ED0001">
        <w:rPr>
          <w:b/>
        </w:rPr>
        <w:lastRenderedPageBreak/>
        <w:t xml:space="preserve">Chapter </w:t>
      </w:r>
      <w:r w:rsidR="008C61AC">
        <w:rPr>
          <w:b/>
        </w:rPr>
        <w:t>6</w:t>
      </w:r>
      <w:r w:rsidR="00E07C7C">
        <w:rPr>
          <w:b/>
        </w:rPr>
        <w:t>.</w:t>
      </w:r>
      <w:r w:rsidRPr="00ED0001">
        <w:rPr>
          <w:b/>
        </w:rPr>
        <w:t xml:space="preserve"> </w:t>
      </w:r>
      <w:r w:rsidR="00541066">
        <w:rPr>
          <w:b/>
        </w:rPr>
        <w:tab/>
      </w:r>
      <w:r w:rsidR="00313CB1" w:rsidRPr="00ED0001">
        <w:rPr>
          <w:b/>
        </w:rPr>
        <w:t>Overall discussion and future work</w:t>
      </w:r>
      <w:bookmarkEnd w:id="323"/>
    </w:p>
    <w:p w14:paraId="51F5A70A" w14:textId="23F6BC53" w:rsidR="004E57E2" w:rsidRPr="00E07C7C" w:rsidRDefault="004E57E2" w:rsidP="004F3338">
      <w:pPr>
        <w:pStyle w:val="Heading2"/>
      </w:pPr>
      <w:bookmarkStart w:id="324" w:name="_Toc117766018"/>
      <w:r w:rsidRPr="00E07C7C">
        <w:t xml:space="preserve">Overall </w:t>
      </w:r>
      <w:r w:rsidR="004451A4">
        <w:t>d</w:t>
      </w:r>
      <w:r w:rsidRPr="00E07C7C">
        <w:t>iscussion</w:t>
      </w:r>
      <w:bookmarkEnd w:id="324"/>
      <w:r w:rsidRPr="00E07C7C">
        <w:t xml:space="preserve"> </w:t>
      </w:r>
    </w:p>
    <w:p w14:paraId="0F7123EC" w14:textId="4C672B72" w:rsidR="00365782" w:rsidRDefault="00AA6F75" w:rsidP="00384254">
      <w:pPr>
        <w:spacing w:line="360" w:lineRule="auto"/>
        <w:rPr>
          <w:rFonts w:cstheme="minorHAnsi"/>
        </w:rPr>
      </w:pPr>
      <w:r>
        <w:rPr>
          <w:rFonts w:cstheme="minorHAnsi"/>
        </w:rPr>
        <w:t xml:space="preserve">In this thesis I firstly </w:t>
      </w:r>
      <w:r w:rsidR="00057FC9">
        <w:rPr>
          <w:rFonts w:cstheme="minorHAnsi"/>
        </w:rPr>
        <w:t>undertook</w:t>
      </w:r>
      <w:r>
        <w:rPr>
          <w:rFonts w:cstheme="minorHAnsi"/>
        </w:rPr>
        <w:t xml:space="preserve"> a qualitative interview study investigating the parental experience of having a child prescribed prophylactic antibiotics. Following this I </w:t>
      </w:r>
      <w:r w:rsidR="005D4602">
        <w:rPr>
          <w:rFonts w:cstheme="minorHAnsi"/>
        </w:rPr>
        <w:t>studied</w:t>
      </w:r>
      <w:r>
        <w:rPr>
          <w:rFonts w:cstheme="minorHAnsi"/>
        </w:rPr>
        <w:t xml:space="preserve"> two prospective observation</w:t>
      </w:r>
      <w:r w:rsidR="00057FC9">
        <w:rPr>
          <w:rFonts w:cstheme="minorHAnsi"/>
        </w:rPr>
        <w:t>al</w:t>
      </w:r>
      <w:r>
        <w:rPr>
          <w:rFonts w:cstheme="minorHAnsi"/>
        </w:rPr>
        <w:t xml:space="preserve"> </w:t>
      </w:r>
      <w:r w:rsidR="00057FC9">
        <w:rPr>
          <w:rFonts w:cstheme="minorHAnsi"/>
        </w:rPr>
        <w:t>of children with PBB</w:t>
      </w:r>
      <w:r w:rsidR="00227E00">
        <w:rPr>
          <w:rFonts w:cstheme="minorHAnsi"/>
        </w:rPr>
        <w:t xml:space="preserve">. </w:t>
      </w:r>
      <w:r w:rsidR="00057FC9">
        <w:rPr>
          <w:rFonts w:cstheme="minorHAnsi"/>
        </w:rPr>
        <w:t>In both of these studies I determined</w:t>
      </w:r>
      <w:r w:rsidR="00227E00">
        <w:rPr>
          <w:rFonts w:cstheme="minorHAnsi"/>
        </w:rPr>
        <w:t xml:space="preserve"> the effect of long-term azithromycin on antibiotic resistance in bacteria residing within the nasopharynx, and </w:t>
      </w:r>
      <w:r w:rsidR="00057FC9">
        <w:rPr>
          <w:rFonts w:cstheme="minorHAnsi"/>
        </w:rPr>
        <w:t xml:space="preserve">in </w:t>
      </w:r>
      <w:r w:rsidR="00BD47D1">
        <w:rPr>
          <w:rFonts w:cstheme="minorHAnsi"/>
        </w:rPr>
        <w:t xml:space="preserve">the second </w:t>
      </w:r>
      <w:r w:rsidR="00057FC9">
        <w:rPr>
          <w:rFonts w:cstheme="minorHAnsi"/>
        </w:rPr>
        <w:t xml:space="preserve">I </w:t>
      </w:r>
      <w:r w:rsidR="00D911DC">
        <w:rPr>
          <w:rFonts w:cstheme="minorHAnsi"/>
        </w:rPr>
        <w:t>additionally</w:t>
      </w:r>
      <w:r w:rsidR="00057FC9">
        <w:rPr>
          <w:rFonts w:cstheme="minorHAnsi"/>
        </w:rPr>
        <w:t xml:space="preserve"> investigated </w:t>
      </w:r>
      <w:r w:rsidR="00227E00">
        <w:rPr>
          <w:rFonts w:cstheme="minorHAnsi"/>
        </w:rPr>
        <w:t>the effects of long</w:t>
      </w:r>
      <w:r w:rsidR="00BD47D1">
        <w:rPr>
          <w:rFonts w:cstheme="minorHAnsi"/>
        </w:rPr>
        <w:t>-</w:t>
      </w:r>
      <w:r w:rsidR="00227E00">
        <w:rPr>
          <w:rFonts w:cstheme="minorHAnsi"/>
        </w:rPr>
        <w:t xml:space="preserve">term azithromycin on the nasopharyngeal microbiota </w:t>
      </w:r>
      <w:r w:rsidR="0056135A">
        <w:rPr>
          <w:rFonts w:cstheme="minorHAnsi"/>
        </w:rPr>
        <w:t>of children with PBB</w:t>
      </w:r>
      <w:r w:rsidR="00227E00">
        <w:rPr>
          <w:rFonts w:cstheme="minorHAnsi"/>
        </w:rPr>
        <w:t xml:space="preserve">. </w:t>
      </w:r>
      <w:r w:rsidR="00365782">
        <w:rPr>
          <w:rFonts w:cstheme="minorHAnsi"/>
        </w:rPr>
        <w:t xml:space="preserve">The </w:t>
      </w:r>
      <w:r w:rsidR="007C5B16">
        <w:rPr>
          <w:rFonts w:cstheme="minorHAnsi"/>
        </w:rPr>
        <w:t>main</w:t>
      </w:r>
      <w:r w:rsidR="00365782">
        <w:rPr>
          <w:rFonts w:cstheme="minorHAnsi"/>
        </w:rPr>
        <w:t xml:space="preserve"> findings of the</w:t>
      </w:r>
      <w:r w:rsidR="00227E00">
        <w:rPr>
          <w:rFonts w:cstheme="minorHAnsi"/>
        </w:rPr>
        <w:t>se</w:t>
      </w:r>
      <w:r w:rsidR="00365782">
        <w:rPr>
          <w:rFonts w:cstheme="minorHAnsi"/>
        </w:rPr>
        <w:t xml:space="preserve"> studies </w:t>
      </w:r>
      <w:r w:rsidR="00BD47D1">
        <w:rPr>
          <w:rFonts w:cstheme="minorHAnsi"/>
        </w:rPr>
        <w:t>were</w:t>
      </w:r>
      <w:r w:rsidR="00365782">
        <w:rPr>
          <w:rFonts w:cstheme="minorHAnsi"/>
        </w:rPr>
        <w:t>:</w:t>
      </w:r>
    </w:p>
    <w:p w14:paraId="09FD758F" w14:textId="77777777" w:rsidR="00227E00" w:rsidRDefault="00227E00" w:rsidP="00384254">
      <w:pPr>
        <w:spacing w:line="360" w:lineRule="auto"/>
        <w:rPr>
          <w:rFonts w:cstheme="minorHAnsi"/>
        </w:rPr>
      </w:pPr>
    </w:p>
    <w:p w14:paraId="7CDA421A" w14:textId="4DE4018C" w:rsidR="007C5B16" w:rsidRPr="00A80BFA" w:rsidRDefault="008256AC">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 xml:space="preserve">The overriding factor influencing parental decisions about the uptake of antibiotic prophylaxis, </w:t>
      </w:r>
      <w:r w:rsidR="00BD47D1" w:rsidRPr="00A80BFA">
        <w:rPr>
          <w:rFonts w:ascii="Times New Roman" w:hAnsi="Times New Roman" w:cs="Times New Roman"/>
          <w:sz w:val="24"/>
          <w:szCs w:val="24"/>
        </w:rPr>
        <w:t>was</w:t>
      </w:r>
      <w:r w:rsidRPr="00A80BFA">
        <w:rPr>
          <w:rFonts w:ascii="Times New Roman" w:hAnsi="Times New Roman" w:cs="Times New Roman"/>
          <w:sz w:val="24"/>
          <w:szCs w:val="24"/>
        </w:rPr>
        <w:t xml:space="preserve"> wanting their child to be well now. </w:t>
      </w:r>
      <w:r w:rsidR="00BD47D1" w:rsidRPr="00A80BFA">
        <w:rPr>
          <w:rFonts w:ascii="Times New Roman" w:hAnsi="Times New Roman" w:cs="Times New Roman"/>
          <w:sz w:val="24"/>
          <w:szCs w:val="24"/>
        </w:rPr>
        <w:t>The</w:t>
      </w:r>
      <w:r w:rsidRPr="00A80BFA">
        <w:rPr>
          <w:rFonts w:ascii="Times New Roman" w:hAnsi="Times New Roman" w:cs="Times New Roman"/>
          <w:sz w:val="24"/>
          <w:szCs w:val="24"/>
        </w:rPr>
        <w:t xml:space="preserve"> main concern </w:t>
      </w:r>
      <w:r w:rsidR="00BD47D1" w:rsidRPr="00A80BFA">
        <w:rPr>
          <w:rFonts w:ascii="Times New Roman" w:hAnsi="Times New Roman" w:cs="Times New Roman"/>
          <w:sz w:val="24"/>
          <w:szCs w:val="24"/>
        </w:rPr>
        <w:t>voiced by parents was</w:t>
      </w:r>
      <w:r w:rsidRPr="00A80BFA">
        <w:rPr>
          <w:rFonts w:ascii="Times New Roman" w:hAnsi="Times New Roman" w:cs="Times New Roman"/>
          <w:sz w:val="24"/>
          <w:szCs w:val="24"/>
        </w:rPr>
        <w:t xml:space="preserve"> often that of </w:t>
      </w:r>
      <w:r w:rsidR="00AA6F75" w:rsidRPr="00A80BFA">
        <w:rPr>
          <w:rFonts w:ascii="Times New Roman" w:hAnsi="Times New Roman" w:cs="Times New Roman"/>
          <w:sz w:val="24"/>
          <w:szCs w:val="24"/>
        </w:rPr>
        <w:t>antibiotics</w:t>
      </w:r>
      <w:r w:rsidRPr="00A80BFA">
        <w:rPr>
          <w:rFonts w:ascii="Times New Roman" w:hAnsi="Times New Roman" w:cs="Times New Roman"/>
          <w:sz w:val="24"/>
          <w:szCs w:val="24"/>
        </w:rPr>
        <w:t xml:space="preserve"> resistance</w:t>
      </w:r>
      <w:r w:rsidR="00AA6F75" w:rsidRPr="00A80BFA">
        <w:rPr>
          <w:rFonts w:ascii="Times New Roman" w:hAnsi="Times New Roman" w:cs="Times New Roman"/>
          <w:sz w:val="24"/>
          <w:szCs w:val="24"/>
        </w:rPr>
        <w:t xml:space="preserve">. </w:t>
      </w:r>
      <w:r w:rsidR="00057FC9" w:rsidRPr="00A80BFA">
        <w:rPr>
          <w:rFonts w:ascii="Times New Roman" w:hAnsi="Times New Roman" w:cs="Times New Roman"/>
          <w:sz w:val="24"/>
          <w:szCs w:val="24"/>
        </w:rPr>
        <w:t xml:space="preserve">I have </w:t>
      </w:r>
      <w:r w:rsidR="00AA6F75" w:rsidRPr="00A80BFA">
        <w:rPr>
          <w:rFonts w:ascii="Times New Roman" w:hAnsi="Times New Roman" w:cs="Times New Roman"/>
          <w:sz w:val="24"/>
          <w:szCs w:val="24"/>
        </w:rPr>
        <w:t>propose</w:t>
      </w:r>
      <w:r w:rsidR="00BD47D1" w:rsidRPr="00A80BFA">
        <w:rPr>
          <w:rFonts w:ascii="Times New Roman" w:hAnsi="Times New Roman" w:cs="Times New Roman"/>
          <w:sz w:val="24"/>
          <w:szCs w:val="24"/>
        </w:rPr>
        <w:t>d</w:t>
      </w:r>
      <w:r w:rsidR="00AA6F75" w:rsidRPr="00A80BFA">
        <w:rPr>
          <w:rFonts w:ascii="Times New Roman" w:hAnsi="Times New Roman" w:cs="Times New Roman"/>
          <w:sz w:val="24"/>
          <w:szCs w:val="24"/>
        </w:rPr>
        <w:t xml:space="preserve"> a behavioural model that describes the phases families cycle through when a child is commenced on prophylactic antibiotics. </w:t>
      </w:r>
    </w:p>
    <w:p w14:paraId="5CDE3347" w14:textId="77777777" w:rsidR="00FB4A70" w:rsidRPr="00A80BFA" w:rsidRDefault="00FB4A70">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 xml:space="preserve">Fewer bacterial pathogenic species were isolated from swabs collected from those in the azithromycin group. </w:t>
      </w:r>
    </w:p>
    <w:p w14:paraId="43BC6AE9" w14:textId="043605EB" w:rsidR="00FB4A70" w:rsidRPr="00A80BFA" w:rsidRDefault="001C5E8A">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 xml:space="preserve">Baseline azithromycin resistance was higher than expected in both </w:t>
      </w:r>
      <w:r w:rsidR="00467DF5" w:rsidRPr="00A80BFA">
        <w:rPr>
          <w:rFonts w:ascii="Times New Roman" w:hAnsi="Times New Roman" w:cs="Times New Roman"/>
          <w:sz w:val="24"/>
          <w:szCs w:val="24"/>
        </w:rPr>
        <w:t>an azithromycin exposed group of children with PBB and a</w:t>
      </w:r>
      <w:r w:rsidR="00FB4A70" w:rsidRPr="00A80BFA">
        <w:rPr>
          <w:rFonts w:ascii="Times New Roman" w:hAnsi="Times New Roman" w:cs="Times New Roman"/>
          <w:sz w:val="24"/>
          <w:szCs w:val="24"/>
        </w:rPr>
        <w:t xml:space="preserve"> mostly macrolide-</w:t>
      </w:r>
      <w:r w:rsidR="00467DF5" w:rsidRPr="00A80BFA">
        <w:rPr>
          <w:rFonts w:ascii="Times New Roman" w:hAnsi="Times New Roman" w:cs="Times New Roman"/>
          <w:sz w:val="24"/>
          <w:szCs w:val="24"/>
        </w:rPr>
        <w:t xml:space="preserve">unexposed comparison group of children with PBB. </w:t>
      </w:r>
      <w:r w:rsidRPr="00A80BFA">
        <w:rPr>
          <w:rFonts w:ascii="Times New Roman" w:hAnsi="Times New Roman" w:cs="Times New Roman"/>
          <w:sz w:val="24"/>
          <w:szCs w:val="24"/>
        </w:rPr>
        <w:t xml:space="preserve">This was predominantly driven by azithromycin resistant </w:t>
      </w:r>
      <w:r w:rsidRPr="00A80BFA">
        <w:rPr>
          <w:rFonts w:ascii="Times New Roman" w:hAnsi="Times New Roman" w:cs="Times New Roman"/>
          <w:i/>
          <w:iCs/>
          <w:sz w:val="24"/>
          <w:szCs w:val="24"/>
        </w:rPr>
        <w:t>S. pneumoniae</w:t>
      </w:r>
      <w:r w:rsidRPr="00A80BFA">
        <w:rPr>
          <w:rFonts w:ascii="Times New Roman" w:hAnsi="Times New Roman" w:cs="Times New Roman"/>
          <w:sz w:val="24"/>
          <w:szCs w:val="24"/>
        </w:rPr>
        <w:t xml:space="preserve">. During the studies, children exposed to azithromycin did not develop more azithromycin resistance </w:t>
      </w:r>
      <w:r w:rsidR="009A0793" w:rsidRPr="00A80BFA">
        <w:rPr>
          <w:rFonts w:ascii="Times New Roman" w:hAnsi="Times New Roman" w:cs="Times New Roman"/>
          <w:sz w:val="24"/>
          <w:szCs w:val="24"/>
        </w:rPr>
        <w:t xml:space="preserve">compared to the comparison group. </w:t>
      </w:r>
    </w:p>
    <w:p w14:paraId="6B3A4C90" w14:textId="666434E2" w:rsidR="00FB4A70" w:rsidRPr="00A80BFA" w:rsidRDefault="00FB4A70">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 xml:space="preserve">The majority of the azithromycin resistance in </w:t>
      </w:r>
      <w:r w:rsidRPr="00A80BFA">
        <w:rPr>
          <w:rFonts w:ascii="Times New Roman" w:hAnsi="Times New Roman" w:cs="Times New Roman"/>
          <w:i/>
          <w:iCs/>
          <w:sz w:val="24"/>
          <w:szCs w:val="24"/>
        </w:rPr>
        <w:t>S. pneumoniae</w:t>
      </w:r>
      <w:r w:rsidRPr="00A80BFA">
        <w:rPr>
          <w:rFonts w:ascii="Times New Roman" w:hAnsi="Times New Roman" w:cs="Times New Roman"/>
          <w:sz w:val="24"/>
          <w:szCs w:val="24"/>
        </w:rPr>
        <w:t xml:space="preserve"> was low-level (MICs up to eight times the EUCAST break point) and was not associated with mutations on genome sequencing.</w:t>
      </w:r>
    </w:p>
    <w:p w14:paraId="56E4059A" w14:textId="45AD3269" w:rsidR="009A0793" w:rsidRPr="00A80BFA" w:rsidRDefault="009A0793">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 xml:space="preserve">We identified a major discrepancy between azithromycin and erythromycin resistance in the </w:t>
      </w:r>
      <w:r w:rsidRPr="00A80BFA">
        <w:rPr>
          <w:rFonts w:ascii="Times New Roman" w:hAnsi="Times New Roman" w:cs="Times New Roman"/>
          <w:i/>
          <w:iCs/>
          <w:sz w:val="24"/>
          <w:szCs w:val="24"/>
        </w:rPr>
        <w:t>S. pneumoniae</w:t>
      </w:r>
      <w:r w:rsidRPr="00A80BFA">
        <w:rPr>
          <w:rFonts w:ascii="Times New Roman" w:hAnsi="Times New Roman" w:cs="Times New Roman"/>
          <w:sz w:val="24"/>
          <w:szCs w:val="24"/>
        </w:rPr>
        <w:t xml:space="preserve"> isolates.</w:t>
      </w:r>
      <w:r w:rsidR="00FB4A70" w:rsidRPr="00A80BFA">
        <w:rPr>
          <w:rFonts w:ascii="Times New Roman" w:hAnsi="Times New Roman" w:cs="Times New Roman"/>
          <w:sz w:val="24"/>
          <w:szCs w:val="24"/>
        </w:rPr>
        <w:t xml:space="preserve"> Only bacteria with high level azithromycin resistance were also erythromycin resistan</w:t>
      </w:r>
      <w:r w:rsidR="006F6780">
        <w:rPr>
          <w:rFonts w:ascii="Times New Roman" w:hAnsi="Times New Roman" w:cs="Times New Roman"/>
          <w:sz w:val="24"/>
          <w:szCs w:val="24"/>
        </w:rPr>
        <w:t>t</w:t>
      </w:r>
      <w:r w:rsidR="00FB4A70" w:rsidRPr="00A80BFA">
        <w:rPr>
          <w:rFonts w:ascii="Times New Roman" w:hAnsi="Times New Roman" w:cs="Times New Roman"/>
          <w:sz w:val="24"/>
          <w:szCs w:val="24"/>
        </w:rPr>
        <w:t xml:space="preserve"> and these carried mutations in known macrolide resistance genes.</w:t>
      </w:r>
    </w:p>
    <w:p w14:paraId="69957A23" w14:textId="2073CF1F" w:rsidR="009A0793" w:rsidRPr="00A80BFA" w:rsidRDefault="00FB4A70">
      <w:pPr>
        <w:pStyle w:val="ListParagraph"/>
        <w:numPr>
          <w:ilvl w:val="0"/>
          <w:numId w:val="58"/>
        </w:numPr>
        <w:spacing w:after="0" w:line="360" w:lineRule="auto"/>
        <w:ind w:left="360"/>
        <w:rPr>
          <w:rFonts w:ascii="Times New Roman" w:hAnsi="Times New Roman" w:cs="Times New Roman"/>
          <w:sz w:val="24"/>
          <w:szCs w:val="24"/>
        </w:rPr>
      </w:pPr>
      <w:r w:rsidRPr="00A80BFA">
        <w:rPr>
          <w:rFonts w:ascii="Times New Roman" w:hAnsi="Times New Roman" w:cs="Times New Roman"/>
          <w:sz w:val="24"/>
          <w:szCs w:val="24"/>
        </w:rPr>
        <w:t>Analysis of the</w:t>
      </w:r>
      <w:r w:rsidR="009A0793" w:rsidRPr="00A80BFA">
        <w:rPr>
          <w:rFonts w:ascii="Times New Roman" w:hAnsi="Times New Roman" w:cs="Times New Roman"/>
          <w:sz w:val="24"/>
          <w:szCs w:val="24"/>
        </w:rPr>
        <w:t xml:space="preserve"> nasopharyngeal microbiota</w:t>
      </w:r>
      <w:r w:rsidRPr="00A80BFA">
        <w:rPr>
          <w:rFonts w:ascii="Times New Roman" w:hAnsi="Times New Roman" w:cs="Times New Roman"/>
          <w:sz w:val="24"/>
          <w:szCs w:val="24"/>
        </w:rPr>
        <w:t xml:space="preserve"> revealed that</w:t>
      </w:r>
      <w:r w:rsidR="009A0793" w:rsidRPr="00A80BFA">
        <w:rPr>
          <w:rFonts w:ascii="Times New Roman" w:hAnsi="Times New Roman" w:cs="Times New Roman"/>
          <w:sz w:val="24"/>
          <w:szCs w:val="24"/>
        </w:rPr>
        <w:t xml:space="preserve"> </w:t>
      </w:r>
      <w:r w:rsidR="005D3769" w:rsidRPr="00A80BFA">
        <w:rPr>
          <w:rFonts w:ascii="Times New Roman" w:hAnsi="Times New Roman" w:cs="Times New Roman"/>
          <w:sz w:val="24"/>
          <w:szCs w:val="24"/>
        </w:rPr>
        <w:t xml:space="preserve">those actively taking azithromycin had a </w:t>
      </w:r>
      <w:r w:rsidR="00467DF5" w:rsidRPr="00A80BFA">
        <w:rPr>
          <w:rFonts w:ascii="Times New Roman" w:hAnsi="Times New Roman" w:cs="Times New Roman"/>
          <w:sz w:val="24"/>
          <w:szCs w:val="24"/>
        </w:rPr>
        <w:t xml:space="preserve">significant </w:t>
      </w:r>
      <w:r w:rsidR="005D3769" w:rsidRPr="00A80BFA">
        <w:rPr>
          <w:rFonts w:ascii="Times New Roman" w:hAnsi="Times New Roman" w:cs="Times New Roman"/>
          <w:sz w:val="24"/>
          <w:szCs w:val="24"/>
        </w:rPr>
        <w:t>reduction in alpha diversity. This resolved by the study end</w:t>
      </w:r>
      <w:r w:rsidRPr="00A80BFA">
        <w:rPr>
          <w:rFonts w:ascii="Times New Roman" w:hAnsi="Times New Roman" w:cs="Times New Roman"/>
          <w:sz w:val="24"/>
          <w:szCs w:val="24"/>
        </w:rPr>
        <w:t>,</w:t>
      </w:r>
      <w:r w:rsidR="005D3769" w:rsidRPr="00A80BFA">
        <w:rPr>
          <w:rFonts w:ascii="Times New Roman" w:hAnsi="Times New Roman" w:cs="Times New Roman"/>
          <w:sz w:val="24"/>
          <w:szCs w:val="24"/>
        </w:rPr>
        <w:t xml:space="preserve"> </w:t>
      </w:r>
      <w:r w:rsidRPr="00A80BFA">
        <w:rPr>
          <w:rFonts w:ascii="Times New Roman" w:hAnsi="Times New Roman" w:cs="Times New Roman"/>
          <w:sz w:val="24"/>
          <w:szCs w:val="24"/>
        </w:rPr>
        <w:t xml:space="preserve">when </w:t>
      </w:r>
      <w:r w:rsidR="005D3769" w:rsidRPr="00A80BFA">
        <w:rPr>
          <w:rFonts w:ascii="Times New Roman" w:hAnsi="Times New Roman" w:cs="Times New Roman"/>
          <w:sz w:val="24"/>
          <w:szCs w:val="24"/>
        </w:rPr>
        <w:t xml:space="preserve">the majority of children had stopped taking azithromycin. </w:t>
      </w:r>
      <w:r w:rsidRPr="00A80BFA">
        <w:rPr>
          <w:rFonts w:ascii="Times New Roman" w:hAnsi="Times New Roman" w:cs="Times New Roman"/>
          <w:sz w:val="24"/>
          <w:szCs w:val="24"/>
        </w:rPr>
        <w:t xml:space="preserve">Actively </w:t>
      </w:r>
      <w:r w:rsidR="005D3769" w:rsidRPr="00A80BFA">
        <w:rPr>
          <w:rFonts w:ascii="Times New Roman" w:hAnsi="Times New Roman" w:cs="Times New Roman"/>
          <w:sz w:val="24"/>
          <w:szCs w:val="24"/>
        </w:rPr>
        <w:t xml:space="preserve">taking azithromycin </w:t>
      </w:r>
      <w:r w:rsidRPr="00A80BFA">
        <w:rPr>
          <w:rFonts w:ascii="Times New Roman" w:hAnsi="Times New Roman" w:cs="Times New Roman"/>
          <w:sz w:val="24"/>
          <w:szCs w:val="24"/>
        </w:rPr>
        <w:t xml:space="preserve">also  </w:t>
      </w:r>
      <w:r w:rsidR="005D3769" w:rsidRPr="00A80BFA">
        <w:rPr>
          <w:rFonts w:ascii="Times New Roman" w:hAnsi="Times New Roman" w:cs="Times New Roman"/>
          <w:sz w:val="24"/>
          <w:szCs w:val="24"/>
        </w:rPr>
        <w:t>significant</w:t>
      </w:r>
      <w:r w:rsidRPr="00A80BFA">
        <w:rPr>
          <w:rFonts w:ascii="Times New Roman" w:hAnsi="Times New Roman" w:cs="Times New Roman"/>
          <w:sz w:val="24"/>
          <w:szCs w:val="24"/>
        </w:rPr>
        <w:t>ly</w:t>
      </w:r>
      <w:r w:rsidR="005D3769" w:rsidRPr="00A80BFA">
        <w:rPr>
          <w:rFonts w:ascii="Times New Roman" w:hAnsi="Times New Roman" w:cs="Times New Roman"/>
          <w:sz w:val="24"/>
          <w:szCs w:val="24"/>
        </w:rPr>
        <w:t xml:space="preserve"> </w:t>
      </w:r>
      <w:r w:rsidRPr="00A80BFA">
        <w:rPr>
          <w:rFonts w:ascii="Times New Roman" w:hAnsi="Times New Roman" w:cs="Times New Roman"/>
          <w:sz w:val="24"/>
          <w:szCs w:val="24"/>
        </w:rPr>
        <w:t>diminished beta diversity</w:t>
      </w:r>
      <w:r w:rsidR="009C14DD" w:rsidRPr="00A80BFA">
        <w:rPr>
          <w:rFonts w:ascii="Times New Roman" w:hAnsi="Times New Roman" w:cs="Times New Roman"/>
          <w:sz w:val="24"/>
          <w:szCs w:val="24"/>
        </w:rPr>
        <w:t>,</w:t>
      </w:r>
      <w:r w:rsidR="005D3769" w:rsidRPr="00A80BFA">
        <w:rPr>
          <w:rFonts w:ascii="Times New Roman" w:hAnsi="Times New Roman" w:cs="Times New Roman"/>
          <w:sz w:val="24"/>
          <w:szCs w:val="24"/>
        </w:rPr>
        <w:t xml:space="preserve"> </w:t>
      </w:r>
      <w:r w:rsidR="009C14DD" w:rsidRPr="00A80BFA">
        <w:rPr>
          <w:rFonts w:ascii="Times New Roman" w:hAnsi="Times New Roman" w:cs="Times New Roman"/>
          <w:sz w:val="24"/>
          <w:szCs w:val="24"/>
        </w:rPr>
        <w:t>compared to those in the comparison group</w:t>
      </w:r>
      <w:r w:rsidRPr="00A80BFA">
        <w:rPr>
          <w:rFonts w:ascii="Times New Roman" w:hAnsi="Times New Roman" w:cs="Times New Roman"/>
          <w:sz w:val="24"/>
          <w:szCs w:val="24"/>
        </w:rPr>
        <w:t>, and this persisted a</w:t>
      </w:r>
      <w:r w:rsidR="009C14DD" w:rsidRPr="00A80BFA">
        <w:rPr>
          <w:rFonts w:ascii="Times New Roman" w:hAnsi="Times New Roman" w:cs="Times New Roman"/>
          <w:sz w:val="24"/>
          <w:szCs w:val="24"/>
        </w:rPr>
        <w:t>t the study end</w:t>
      </w:r>
      <w:r w:rsidR="00467DF5" w:rsidRPr="00A80BFA">
        <w:rPr>
          <w:rFonts w:ascii="Times New Roman" w:hAnsi="Times New Roman" w:cs="Times New Roman"/>
          <w:sz w:val="24"/>
          <w:szCs w:val="24"/>
        </w:rPr>
        <w:t>,</w:t>
      </w:r>
      <w:r w:rsidR="009C14DD" w:rsidRPr="00A80BFA">
        <w:rPr>
          <w:rFonts w:ascii="Times New Roman" w:hAnsi="Times New Roman" w:cs="Times New Roman"/>
          <w:sz w:val="24"/>
          <w:szCs w:val="24"/>
        </w:rPr>
        <w:t xml:space="preserve"> when the majority of participants had stopped taking azithromycin. </w:t>
      </w:r>
      <w:r w:rsidR="005D3769" w:rsidRPr="00A80BFA">
        <w:rPr>
          <w:rFonts w:ascii="Times New Roman" w:hAnsi="Times New Roman" w:cs="Times New Roman"/>
          <w:sz w:val="24"/>
          <w:szCs w:val="24"/>
        </w:rPr>
        <w:t xml:space="preserve"> </w:t>
      </w:r>
    </w:p>
    <w:p w14:paraId="695A283F" w14:textId="77777777" w:rsidR="009A0793" w:rsidRDefault="009A0793" w:rsidP="007C5B16">
      <w:pPr>
        <w:spacing w:line="360" w:lineRule="auto"/>
        <w:rPr>
          <w:rFonts w:cstheme="minorHAnsi"/>
        </w:rPr>
      </w:pPr>
    </w:p>
    <w:p w14:paraId="07559B2E" w14:textId="77777777" w:rsidR="0032332E" w:rsidRDefault="00EF03DB" w:rsidP="0032332E">
      <w:pPr>
        <w:spacing w:line="360" w:lineRule="auto"/>
        <w:rPr>
          <w:rFonts w:cstheme="minorHAnsi"/>
        </w:rPr>
      </w:pPr>
      <w:r>
        <w:rPr>
          <w:rFonts w:cstheme="minorHAnsi"/>
        </w:rPr>
        <w:t xml:space="preserve">We hypothesised that psychological factors would influence parents’ decisions relating to the uptake of prophylactic antibiotics and have </w:t>
      </w:r>
      <w:r w:rsidR="0032332E">
        <w:rPr>
          <w:rFonts w:cstheme="minorHAnsi"/>
        </w:rPr>
        <w:t xml:space="preserve">successfully </w:t>
      </w:r>
      <w:r>
        <w:rPr>
          <w:rFonts w:cstheme="minorHAnsi"/>
        </w:rPr>
        <w:t xml:space="preserve">furthered the </w:t>
      </w:r>
      <w:r w:rsidR="0032332E">
        <w:rPr>
          <w:rFonts w:cstheme="minorHAnsi"/>
        </w:rPr>
        <w:t xml:space="preserve">understanding of how parents view having a child prescribed long-term antibiotics. </w:t>
      </w:r>
    </w:p>
    <w:p w14:paraId="283EE60E" w14:textId="15DD9E19" w:rsidR="0032332E" w:rsidRPr="00241369" w:rsidRDefault="00374808" w:rsidP="0032332E">
      <w:pPr>
        <w:spacing w:line="360" w:lineRule="auto"/>
        <w:rPr>
          <w:rFonts w:cstheme="minorHAnsi"/>
        </w:rPr>
      </w:pPr>
      <w:r>
        <w:rPr>
          <w:rFonts w:cstheme="minorHAnsi"/>
        </w:rPr>
        <w:t>T</w:t>
      </w:r>
      <w:r w:rsidRPr="00241369">
        <w:rPr>
          <w:rFonts w:cstheme="minorHAnsi"/>
        </w:rPr>
        <w:t>he main barrier to recruitment</w:t>
      </w:r>
      <w:r>
        <w:rPr>
          <w:rFonts w:cstheme="minorHAnsi"/>
        </w:rPr>
        <w:t xml:space="preserve"> to the interview study</w:t>
      </w:r>
      <w:r w:rsidRPr="00241369">
        <w:rPr>
          <w:rFonts w:cstheme="minorHAnsi"/>
        </w:rPr>
        <w:t xml:space="preserve"> </w:t>
      </w:r>
      <w:r>
        <w:rPr>
          <w:rFonts w:cstheme="minorHAnsi"/>
        </w:rPr>
        <w:t>was</w:t>
      </w:r>
      <w:r w:rsidRPr="00241369">
        <w:rPr>
          <w:rFonts w:cstheme="minorHAnsi"/>
        </w:rPr>
        <w:t xml:space="preserve"> the time-commitment</w:t>
      </w:r>
      <w:r>
        <w:rPr>
          <w:rFonts w:cstheme="minorHAnsi"/>
        </w:rPr>
        <w:t xml:space="preserve">; despite this  I achieved the recruitment target, and </w:t>
      </w:r>
      <w:r w:rsidR="00467DF5">
        <w:rPr>
          <w:rFonts w:cstheme="minorHAnsi"/>
        </w:rPr>
        <w:t xml:space="preserve"> </w:t>
      </w:r>
      <w:r>
        <w:rPr>
          <w:rFonts w:cstheme="minorHAnsi"/>
        </w:rPr>
        <w:t>conducted sufficient interviews to allow saturation to be reached.</w:t>
      </w:r>
      <w:r w:rsidR="00467DF5">
        <w:rPr>
          <w:rFonts w:cstheme="minorHAnsi"/>
        </w:rPr>
        <w:t xml:space="preserve"> </w:t>
      </w:r>
      <w:r>
        <w:rPr>
          <w:rFonts w:cstheme="minorHAnsi"/>
        </w:rPr>
        <w:t>No</w:t>
      </w:r>
      <w:r w:rsidR="0032332E" w:rsidRPr="00241369">
        <w:rPr>
          <w:rFonts w:cstheme="minorHAnsi"/>
        </w:rPr>
        <w:t xml:space="preserve"> adverse impact on the children </w:t>
      </w:r>
      <w:r>
        <w:rPr>
          <w:rFonts w:cstheme="minorHAnsi"/>
        </w:rPr>
        <w:t xml:space="preserve">or families </w:t>
      </w:r>
      <w:r w:rsidR="0032332E">
        <w:rPr>
          <w:rFonts w:cstheme="minorHAnsi"/>
        </w:rPr>
        <w:t>participating</w:t>
      </w:r>
      <w:r>
        <w:rPr>
          <w:rFonts w:cstheme="minorHAnsi"/>
        </w:rPr>
        <w:t xml:space="preserve"> was identified</w:t>
      </w:r>
      <w:r w:rsidR="00467DF5">
        <w:rPr>
          <w:rFonts w:cstheme="minorHAnsi"/>
        </w:rPr>
        <w:t>.</w:t>
      </w:r>
      <w:r w:rsidR="0013448C">
        <w:rPr>
          <w:rFonts w:cstheme="minorHAnsi"/>
        </w:rPr>
        <w:t xml:space="preserve"> </w:t>
      </w:r>
      <w:r w:rsidR="0032332E" w:rsidRPr="00241369">
        <w:rPr>
          <w:rFonts w:cstheme="minorHAnsi"/>
        </w:rPr>
        <w:t xml:space="preserve">The study </w:t>
      </w:r>
      <w:r w:rsidR="0006183A">
        <w:rPr>
          <w:rFonts w:cstheme="minorHAnsi"/>
        </w:rPr>
        <w:t xml:space="preserve">findings were </w:t>
      </w:r>
      <w:r w:rsidR="0032332E" w:rsidRPr="00241369">
        <w:rPr>
          <w:rFonts w:cstheme="minorHAnsi"/>
        </w:rPr>
        <w:t xml:space="preserve">broadly consistent </w:t>
      </w:r>
      <w:r w:rsidR="0006183A">
        <w:rPr>
          <w:rFonts w:cstheme="minorHAnsi"/>
        </w:rPr>
        <w:t>those from</w:t>
      </w:r>
      <w:r w:rsidR="0032332E" w:rsidRPr="00241369">
        <w:rPr>
          <w:rFonts w:cstheme="minorHAnsi"/>
        </w:rPr>
        <w:t xml:space="preserve"> previous studies related to antibiotic use in children</w:t>
      </w:r>
      <w:r w:rsidR="0006183A">
        <w:rPr>
          <w:rFonts w:cstheme="minorHAnsi"/>
        </w:rPr>
        <w:t>,</w:t>
      </w:r>
      <w:r w:rsidR="0032332E" w:rsidRPr="00241369">
        <w:rPr>
          <w:rFonts w:cstheme="minorHAnsi"/>
        </w:rPr>
        <w:t xml:space="preserve"> and enabled us to construct a behavioural model to describe the phases parents go through once their child is prescribed antibiotic prophylaxis</w:t>
      </w:r>
      <w:r w:rsidR="0006183A">
        <w:rPr>
          <w:rFonts w:cstheme="minorHAnsi"/>
        </w:rPr>
        <w:t xml:space="preserve"> as fully discussed in Chapter 3</w:t>
      </w:r>
      <w:r w:rsidR="0032332E" w:rsidRPr="00241369">
        <w:rPr>
          <w:rFonts w:cstheme="minorHAnsi"/>
        </w:rPr>
        <w:t xml:space="preserve">. </w:t>
      </w:r>
      <w:r w:rsidR="0032332E">
        <w:rPr>
          <w:rFonts w:cstheme="minorHAnsi"/>
        </w:rPr>
        <w:t xml:space="preserve">I </w:t>
      </w:r>
      <w:r w:rsidR="0032332E" w:rsidRPr="00241369">
        <w:rPr>
          <w:rFonts w:cstheme="minorHAnsi"/>
        </w:rPr>
        <w:t>presented</w:t>
      </w:r>
      <w:r w:rsidR="0032332E">
        <w:rPr>
          <w:rFonts w:cstheme="minorHAnsi"/>
        </w:rPr>
        <w:t xml:space="preserve"> the</w:t>
      </w:r>
      <w:r w:rsidR="0032332E" w:rsidRPr="00241369">
        <w:rPr>
          <w:rFonts w:cstheme="minorHAnsi"/>
        </w:rPr>
        <w:t xml:space="preserve"> study </w:t>
      </w:r>
      <w:r w:rsidR="0032332E">
        <w:rPr>
          <w:rFonts w:cstheme="minorHAnsi"/>
        </w:rPr>
        <w:t xml:space="preserve">findings </w:t>
      </w:r>
      <w:r w:rsidR="0032332E" w:rsidRPr="00241369">
        <w:rPr>
          <w:rFonts w:cstheme="minorHAnsi"/>
        </w:rPr>
        <w:t xml:space="preserve">to parents and the feedback </w:t>
      </w:r>
      <w:r w:rsidR="0032332E">
        <w:rPr>
          <w:rFonts w:cstheme="minorHAnsi"/>
        </w:rPr>
        <w:t>was</w:t>
      </w:r>
      <w:r w:rsidR="0032332E" w:rsidRPr="00241369">
        <w:rPr>
          <w:rFonts w:cstheme="minorHAnsi"/>
        </w:rPr>
        <w:t xml:space="preserve"> that </w:t>
      </w:r>
      <w:r w:rsidR="0032332E">
        <w:rPr>
          <w:rFonts w:cstheme="minorHAnsi"/>
        </w:rPr>
        <w:t>the model did</w:t>
      </w:r>
      <w:r w:rsidR="0006183A">
        <w:rPr>
          <w:rFonts w:cstheme="minorHAnsi"/>
        </w:rPr>
        <w:t xml:space="preserve"> indeed</w:t>
      </w:r>
      <w:r w:rsidR="0032332E">
        <w:rPr>
          <w:rFonts w:cstheme="minorHAnsi"/>
        </w:rPr>
        <w:t xml:space="preserve"> reflect their experiences</w:t>
      </w:r>
      <w:r w:rsidR="0032332E" w:rsidRPr="00241369">
        <w:rPr>
          <w:rFonts w:cstheme="minorHAnsi"/>
        </w:rPr>
        <w:t>.</w:t>
      </w:r>
      <w:r w:rsidR="0032332E">
        <w:rPr>
          <w:rFonts w:cstheme="minorHAnsi"/>
        </w:rPr>
        <w:t xml:space="preserve"> The parents who attended were relieved to hear that other families had had similar experiences to themselves.</w:t>
      </w:r>
      <w:r w:rsidR="0032332E" w:rsidRPr="00241369">
        <w:rPr>
          <w:rFonts w:cstheme="minorHAnsi"/>
        </w:rPr>
        <w:t xml:space="preserve"> We hope that </w:t>
      </w:r>
      <w:r w:rsidR="0006183A">
        <w:rPr>
          <w:rFonts w:cstheme="minorHAnsi"/>
        </w:rPr>
        <w:t>this model will</w:t>
      </w:r>
      <w:r w:rsidR="0032332E" w:rsidRPr="00241369">
        <w:rPr>
          <w:rFonts w:cstheme="minorHAnsi"/>
        </w:rPr>
        <w:t xml:space="preserve"> enable us to improve our discussions with parents whose children are being considered for prophylactic therapy, perhaps </w:t>
      </w:r>
      <w:r w:rsidR="0006183A">
        <w:rPr>
          <w:rFonts w:cstheme="minorHAnsi"/>
        </w:rPr>
        <w:t>via</w:t>
      </w:r>
      <w:r w:rsidR="0006183A" w:rsidRPr="00241369">
        <w:rPr>
          <w:rFonts w:cstheme="minorHAnsi"/>
        </w:rPr>
        <w:t xml:space="preserve"> </w:t>
      </w:r>
      <w:r w:rsidR="0032332E" w:rsidRPr="00241369">
        <w:rPr>
          <w:rFonts w:cstheme="minorHAnsi"/>
        </w:rPr>
        <w:t xml:space="preserve">the design of </w:t>
      </w:r>
      <w:r w:rsidR="0006183A">
        <w:rPr>
          <w:rFonts w:cstheme="minorHAnsi"/>
        </w:rPr>
        <w:t xml:space="preserve">better </w:t>
      </w:r>
      <w:r w:rsidR="0032332E" w:rsidRPr="00241369">
        <w:rPr>
          <w:rFonts w:cstheme="minorHAnsi"/>
        </w:rPr>
        <w:t xml:space="preserve">patient information sheets. It is not sufficient for clinicians to prescribe </w:t>
      </w:r>
      <w:r w:rsidR="0032332E">
        <w:rPr>
          <w:rFonts w:cstheme="minorHAnsi"/>
        </w:rPr>
        <w:t>long-term</w:t>
      </w:r>
      <w:r w:rsidR="0032332E" w:rsidRPr="00241369">
        <w:rPr>
          <w:rFonts w:cstheme="minorHAnsi"/>
        </w:rPr>
        <w:t xml:space="preserve"> antibiotics with the expectation that parents will adhere. This “standard” approach neglects to appreciate the complexities of the interplay between health, psychology and behaviour. Neither does it take into account the potential problems and difficulties families face when administering long</w:t>
      </w:r>
      <w:r w:rsidR="0032332E">
        <w:rPr>
          <w:rFonts w:cstheme="minorHAnsi"/>
        </w:rPr>
        <w:t>-</w:t>
      </w:r>
      <w:r w:rsidR="0032332E" w:rsidRPr="00241369">
        <w:rPr>
          <w:rFonts w:cstheme="minorHAnsi"/>
        </w:rPr>
        <w:t>term medication. We need to holistically address the parental experience when prescribing long</w:t>
      </w:r>
      <w:r w:rsidR="0032332E">
        <w:rPr>
          <w:rFonts w:cstheme="minorHAnsi"/>
        </w:rPr>
        <w:t>-</w:t>
      </w:r>
      <w:r w:rsidR="0032332E" w:rsidRPr="00241369">
        <w:rPr>
          <w:rFonts w:cstheme="minorHAnsi"/>
        </w:rPr>
        <w:t>term antibiotic prophylaxis by</w:t>
      </w:r>
      <w:r w:rsidR="0032332E">
        <w:rPr>
          <w:rFonts w:cstheme="minorHAnsi"/>
        </w:rPr>
        <w:t xml:space="preserve"> </w:t>
      </w:r>
      <w:r w:rsidR="0006183A">
        <w:rPr>
          <w:rFonts w:cstheme="minorHAnsi"/>
        </w:rPr>
        <w:t>(</w:t>
      </w:r>
      <w:proofErr w:type="spellStart"/>
      <w:r w:rsidR="0006183A">
        <w:rPr>
          <w:rFonts w:cstheme="minorHAnsi"/>
        </w:rPr>
        <w:t>i</w:t>
      </w:r>
      <w:proofErr w:type="spellEnd"/>
      <w:r w:rsidR="0006183A">
        <w:rPr>
          <w:rFonts w:cstheme="minorHAnsi"/>
        </w:rPr>
        <w:t xml:space="preserve">) </w:t>
      </w:r>
      <w:r w:rsidR="0032332E">
        <w:rPr>
          <w:rFonts w:cstheme="minorHAnsi"/>
        </w:rPr>
        <w:t>practically</w:t>
      </w:r>
      <w:r w:rsidR="0032332E" w:rsidRPr="00241369">
        <w:rPr>
          <w:rFonts w:cstheme="minorHAnsi"/>
        </w:rPr>
        <w:t xml:space="preserve"> preparing families</w:t>
      </w:r>
      <w:r w:rsidR="0006183A">
        <w:rPr>
          <w:rFonts w:cstheme="minorHAnsi"/>
        </w:rPr>
        <w:t xml:space="preserve"> and supporting them in preparing the antibiotics (ii)</w:t>
      </w:r>
      <w:r w:rsidR="0032332E" w:rsidRPr="00241369">
        <w:rPr>
          <w:rFonts w:cstheme="minorHAnsi"/>
        </w:rPr>
        <w:t xml:space="preserve"> breaking down barriers that may prevent their active involvement with engaging in consultations and</w:t>
      </w:r>
      <w:r w:rsidR="0006183A">
        <w:rPr>
          <w:rFonts w:cstheme="minorHAnsi"/>
        </w:rPr>
        <w:t xml:space="preserve"> (iii)</w:t>
      </w:r>
      <w:r w:rsidR="0032332E" w:rsidRPr="00241369">
        <w:rPr>
          <w:rFonts w:cstheme="minorHAnsi"/>
        </w:rPr>
        <w:t xml:space="preserve"> improving confidence in assessing symptoms of acute respiratory illness. We must be mindful of potential scientific misconceptions, frequent parental concerns as well as detrimental social norms</w:t>
      </w:r>
      <w:r w:rsidR="0006183A">
        <w:rPr>
          <w:rFonts w:cstheme="minorHAnsi"/>
        </w:rPr>
        <w:t>,</w:t>
      </w:r>
      <w:r w:rsidR="0032332E" w:rsidRPr="00241369">
        <w:rPr>
          <w:rFonts w:cstheme="minorHAnsi"/>
        </w:rPr>
        <w:t xml:space="preserve"> and attempt to address these when discussing antibiotic prophylaxis. </w:t>
      </w:r>
      <w:r w:rsidR="0006183A">
        <w:rPr>
          <w:rFonts w:cstheme="minorHAnsi"/>
        </w:rPr>
        <w:t>This study suggests that t</w:t>
      </w:r>
      <w:r w:rsidR="0006183A" w:rsidRPr="00241369">
        <w:rPr>
          <w:rFonts w:cstheme="minorHAnsi"/>
        </w:rPr>
        <w:t xml:space="preserve">ime </w:t>
      </w:r>
      <w:r w:rsidR="0032332E" w:rsidRPr="00241369">
        <w:rPr>
          <w:rFonts w:cstheme="minorHAnsi"/>
        </w:rPr>
        <w:t xml:space="preserve">and effort invested in </w:t>
      </w:r>
      <w:r w:rsidR="0006183A">
        <w:rPr>
          <w:rFonts w:cstheme="minorHAnsi"/>
        </w:rPr>
        <w:t>these areas</w:t>
      </w:r>
      <w:r w:rsidR="0006183A" w:rsidRPr="00241369">
        <w:rPr>
          <w:rFonts w:cstheme="minorHAnsi"/>
        </w:rPr>
        <w:t xml:space="preserve"> </w:t>
      </w:r>
      <w:r w:rsidR="0006183A">
        <w:rPr>
          <w:rFonts w:cstheme="minorHAnsi"/>
        </w:rPr>
        <w:t>may</w:t>
      </w:r>
      <w:r w:rsidR="0032332E" w:rsidRPr="00241369">
        <w:rPr>
          <w:rFonts w:cstheme="minorHAnsi"/>
        </w:rPr>
        <w:t xml:space="preserve"> facilitate </w:t>
      </w:r>
      <w:r w:rsidR="0006183A">
        <w:rPr>
          <w:rFonts w:cstheme="minorHAnsi"/>
        </w:rPr>
        <w:t xml:space="preserve">medication </w:t>
      </w:r>
      <w:r w:rsidR="0032332E" w:rsidRPr="00241369">
        <w:rPr>
          <w:rFonts w:cstheme="minorHAnsi"/>
        </w:rPr>
        <w:t xml:space="preserve">adherence, reduce </w:t>
      </w:r>
      <w:r w:rsidR="0006183A">
        <w:rPr>
          <w:rFonts w:cstheme="minorHAnsi"/>
        </w:rPr>
        <w:t xml:space="preserve">the </w:t>
      </w:r>
      <w:r w:rsidR="0032332E" w:rsidRPr="00241369">
        <w:rPr>
          <w:rFonts w:cstheme="minorHAnsi"/>
        </w:rPr>
        <w:t>anxieties many parents experience</w:t>
      </w:r>
      <w:r w:rsidR="0006183A">
        <w:rPr>
          <w:rFonts w:cstheme="minorHAnsi"/>
        </w:rPr>
        <w:t>,</w:t>
      </w:r>
      <w:r w:rsidR="0032332E" w:rsidRPr="00241369">
        <w:rPr>
          <w:rFonts w:cstheme="minorHAnsi"/>
        </w:rPr>
        <w:t xml:space="preserve"> and improve the relationships parents have with the medical professionals involved with their children’s care.</w:t>
      </w:r>
    </w:p>
    <w:p w14:paraId="100C72FE" w14:textId="7206E3A5" w:rsidR="0032332E" w:rsidRPr="00241369" w:rsidRDefault="0032332E" w:rsidP="005D4602">
      <w:pPr>
        <w:spacing w:after="160" w:line="360" w:lineRule="auto"/>
        <w:rPr>
          <w:rFonts w:cstheme="minorHAnsi"/>
        </w:rPr>
      </w:pPr>
      <w:r w:rsidRPr="00241369">
        <w:rPr>
          <w:rFonts w:cstheme="minorHAnsi"/>
        </w:rPr>
        <w:t xml:space="preserve">Although many of our </w:t>
      </w:r>
      <w:r w:rsidR="0006183A">
        <w:rPr>
          <w:rFonts w:cstheme="minorHAnsi"/>
        </w:rPr>
        <w:t xml:space="preserve">more general </w:t>
      </w:r>
      <w:r w:rsidRPr="00241369">
        <w:rPr>
          <w:rFonts w:cstheme="minorHAnsi"/>
        </w:rPr>
        <w:t xml:space="preserve">findings </w:t>
      </w:r>
      <w:r w:rsidR="0006183A">
        <w:rPr>
          <w:rFonts w:cstheme="minorHAnsi"/>
        </w:rPr>
        <w:t>reflect</w:t>
      </w:r>
      <w:r w:rsidRPr="00241369">
        <w:rPr>
          <w:rFonts w:cstheme="minorHAnsi"/>
        </w:rPr>
        <w:t xml:space="preserve"> those of previous studies, it has highlighted </w:t>
      </w:r>
      <w:r w:rsidR="0006183A">
        <w:rPr>
          <w:rFonts w:cstheme="minorHAnsi"/>
        </w:rPr>
        <w:t xml:space="preserve">more specific </w:t>
      </w:r>
      <w:r w:rsidRPr="00241369">
        <w:rPr>
          <w:rFonts w:cstheme="minorHAnsi"/>
        </w:rPr>
        <w:t>factors</w:t>
      </w:r>
      <w:r w:rsidR="0006183A">
        <w:rPr>
          <w:rFonts w:cstheme="minorHAnsi"/>
        </w:rPr>
        <w:t>,</w:t>
      </w:r>
      <w:r w:rsidRPr="00241369">
        <w:rPr>
          <w:rFonts w:cstheme="minorHAnsi"/>
        </w:rPr>
        <w:t xml:space="preserve"> such as the potentially negative impact of computer-based systems on the doctor-patient interaction, and also revealed the fact that the majority of the antibiotic supplied to </w:t>
      </w:r>
      <w:r w:rsidRPr="00241369">
        <w:rPr>
          <w:rFonts w:cstheme="minorHAnsi"/>
        </w:rPr>
        <w:lastRenderedPageBreak/>
        <w:t>the patients is being discarded into the drains/sewage systems. The indicative cost for the oral suspension is just over £4, but increasing use of azithromycin prophylaxis in paediatric practi</w:t>
      </w:r>
      <w:r>
        <w:rPr>
          <w:rFonts w:cstheme="minorHAnsi"/>
        </w:rPr>
        <w:t>c</w:t>
      </w:r>
      <w:r w:rsidRPr="00241369">
        <w:rPr>
          <w:rFonts w:cstheme="minorHAnsi"/>
        </w:rPr>
        <w:t>e does suggest a possible significant cost to the NHS in addition to the presence of antibiotic in the environment.</w:t>
      </w:r>
    </w:p>
    <w:p w14:paraId="09FF9A51" w14:textId="0D9396E6" w:rsidR="009C14DD" w:rsidRDefault="00146D15" w:rsidP="005D4602">
      <w:pPr>
        <w:spacing w:after="160" w:line="360" w:lineRule="auto"/>
        <w:rPr>
          <w:rFonts w:cstheme="minorHAnsi"/>
        </w:rPr>
      </w:pPr>
      <w:r>
        <w:rPr>
          <w:rFonts w:cstheme="minorHAnsi"/>
        </w:rPr>
        <w:t>The second hypothesis</w:t>
      </w:r>
      <w:r w:rsidR="00A16E82">
        <w:rPr>
          <w:rFonts w:cstheme="minorHAnsi"/>
        </w:rPr>
        <w:t xml:space="preserve"> I addressed</w:t>
      </w:r>
      <w:r>
        <w:rPr>
          <w:rFonts w:cstheme="minorHAnsi"/>
        </w:rPr>
        <w:t xml:space="preserve"> was that children with PBB exposed to long-term azithromycin would develop macrolide resistant airway flora. As discussed</w:t>
      </w:r>
      <w:r w:rsidR="00A16E82">
        <w:rPr>
          <w:rFonts w:cstheme="minorHAnsi"/>
        </w:rPr>
        <w:t xml:space="preserve"> (Se</w:t>
      </w:r>
      <w:r w:rsidR="000770A6">
        <w:rPr>
          <w:rFonts w:cstheme="minorHAnsi"/>
        </w:rPr>
        <w:t>ctions 1.7 and 4.1)</w:t>
      </w:r>
      <w:r>
        <w:rPr>
          <w:rFonts w:cstheme="minorHAnsi"/>
        </w:rPr>
        <w:t>, there is little or no evidence to support the use of long-term azithromycin in children with PBB and no information regarding efficacy or impact on antimicrobial resistance. We successfully recruited the planned number of participants to both observational studies</w:t>
      </w:r>
      <w:r w:rsidR="00B30542">
        <w:rPr>
          <w:rFonts w:cstheme="minorHAnsi"/>
        </w:rPr>
        <w:t xml:space="preserve"> and obtained serial nasopharyngeal swabs for analysis</w:t>
      </w:r>
      <w:r w:rsidR="000770A6">
        <w:rPr>
          <w:rFonts w:cstheme="minorHAnsi"/>
        </w:rPr>
        <w:t>, although in the second study the timing of the swabs was disrupted by the COVID-19 pandemic</w:t>
      </w:r>
      <w:r>
        <w:rPr>
          <w:rFonts w:cstheme="minorHAnsi"/>
        </w:rPr>
        <w:t xml:space="preserve">. </w:t>
      </w:r>
    </w:p>
    <w:p w14:paraId="4DA5A29A" w14:textId="097C601F" w:rsidR="00983013" w:rsidRDefault="00B30542" w:rsidP="00B30542">
      <w:pPr>
        <w:spacing w:line="360" w:lineRule="auto"/>
        <w:rPr>
          <w:rFonts w:cstheme="minorHAnsi"/>
        </w:rPr>
      </w:pPr>
      <w:r w:rsidRPr="00241369">
        <w:rPr>
          <w:rFonts w:cstheme="minorHAnsi"/>
        </w:rPr>
        <w:t>The threat of antimicrobial resistance is increasing</w:t>
      </w:r>
      <w:r w:rsidR="000D1AE8">
        <w:rPr>
          <w:rFonts w:cstheme="minorHAnsi"/>
        </w:rPr>
        <w:t xml:space="preserve"> (WHO, 2020)</w:t>
      </w:r>
      <w:r w:rsidRPr="00241369">
        <w:rPr>
          <w:rFonts w:cstheme="minorHAnsi"/>
        </w:rPr>
        <w:t>.</w:t>
      </w:r>
      <w:r w:rsidR="00A25F9C">
        <w:rPr>
          <w:rFonts w:cstheme="minorHAnsi"/>
        </w:rPr>
        <w:t xml:space="preserve"> </w:t>
      </w:r>
      <w:r w:rsidRPr="00241369">
        <w:rPr>
          <w:rFonts w:cstheme="minorHAnsi"/>
        </w:rPr>
        <w:t>Ba</w:t>
      </w:r>
      <w:r>
        <w:rPr>
          <w:rFonts w:cstheme="minorHAnsi"/>
        </w:rPr>
        <w:t>seline</w:t>
      </w:r>
      <w:r w:rsidRPr="00241369">
        <w:rPr>
          <w:rFonts w:cstheme="minorHAnsi"/>
        </w:rPr>
        <w:t xml:space="preserve"> azithromycin resistance in this population of children with PBB </w:t>
      </w:r>
      <w:r>
        <w:rPr>
          <w:rFonts w:cstheme="minorHAnsi"/>
        </w:rPr>
        <w:t xml:space="preserve">was </w:t>
      </w:r>
      <w:r w:rsidRPr="00241369">
        <w:rPr>
          <w:rFonts w:cstheme="minorHAnsi"/>
        </w:rPr>
        <w:t>surprisingly higher than expected</w:t>
      </w:r>
      <w:r>
        <w:rPr>
          <w:rFonts w:cstheme="minorHAnsi"/>
        </w:rPr>
        <w:t xml:space="preserve"> in both the comparison group (never exposed to long-term azithromycin) and azithromycin group (some previously exposed to azithromycin). </w:t>
      </w:r>
      <w:r w:rsidR="00A25F9C">
        <w:rPr>
          <w:rFonts w:cstheme="minorHAnsi"/>
        </w:rPr>
        <w:t>T</w:t>
      </w:r>
      <w:r>
        <w:rPr>
          <w:rFonts w:cstheme="minorHAnsi"/>
        </w:rPr>
        <w:t xml:space="preserve">he majority was low level </w:t>
      </w:r>
      <w:r w:rsidR="000770A6">
        <w:rPr>
          <w:rFonts w:cstheme="minorHAnsi"/>
        </w:rPr>
        <w:t>resistance observed in</w:t>
      </w:r>
      <w:r w:rsidR="00A25F9C">
        <w:rPr>
          <w:rFonts w:cstheme="minorHAnsi"/>
        </w:rPr>
        <w:t xml:space="preserve"> </w:t>
      </w:r>
      <w:r w:rsidR="00A25F9C" w:rsidRPr="00A25F9C">
        <w:rPr>
          <w:rFonts w:cstheme="minorHAnsi"/>
          <w:i/>
          <w:iCs/>
        </w:rPr>
        <w:t>S. pneumoniae</w:t>
      </w:r>
      <w:r w:rsidR="000770A6">
        <w:rPr>
          <w:rFonts w:cstheme="minorHAnsi"/>
          <w:i/>
          <w:iCs/>
        </w:rPr>
        <w:t xml:space="preserve"> </w:t>
      </w:r>
      <w:r w:rsidR="000770A6">
        <w:rPr>
          <w:rFonts w:cstheme="minorHAnsi"/>
        </w:rPr>
        <w:t>isolates</w:t>
      </w:r>
      <w:r w:rsidRPr="00241369">
        <w:rPr>
          <w:rFonts w:cstheme="minorHAnsi"/>
        </w:rPr>
        <w:t>. In a cohort of children exposed to multiple</w:t>
      </w:r>
      <w:r w:rsidR="000770A6">
        <w:rPr>
          <w:rFonts w:cstheme="minorHAnsi"/>
        </w:rPr>
        <w:t xml:space="preserve"> or prolonged</w:t>
      </w:r>
      <w:r w:rsidRPr="00241369">
        <w:rPr>
          <w:rFonts w:cstheme="minorHAnsi"/>
        </w:rPr>
        <w:t xml:space="preserve"> courses of antibiotics</w:t>
      </w:r>
      <w:r>
        <w:rPr>
          <w:rFonts w:cstheme="minorHAnsi"/>
        </w:rPr>
        <w:t>,</w:t>
      </w:r>
      <w:r w:rsidRPr="00241369">
        <w:rPr>
          <w:rFonts w:cstheme="minorHAnsi"/>
        </w:rPr>
        <w:t xml:space="preserve"> antibiotic resistance may become an increasingly significant clinical issue. </w:t>
      </w:r>
      <w:r w:rsidR="00A25F9C">
        <w:rPr>
          <w:rFonts w:cstheme="minorHAnsi"/>
        </w:rPr>
        <w:t xml:space="preserve">Our </w:t>
      </w:r>
      <w:r w:rsidR="00D87D4A">
        <w:rPr>
          <w:rFonts w:cstheme="minorHAnsi"/>
        </w:rPr>
        <w:t xml:space="preserve">second </w:t>
      </w:r>
      <w:r w:rsidR="00A25F9C">
        <w:rPr>
          <w:rFonts w:cstheme="minorHAnsi"/>
        </w:rPr>
        <w:t>hypothesis that children exposed to azithromycin</w:t>
      </w:r>
      <w:r w:rsidR="000770A6">
        <w:rPr>
          <w:rFonts w:cstheme="minorHAnsi"/>
        </w:rPr>
        <w:t xml:space="preserve"> over several </w:t>
      </w:r>
      <w:r w:rsidR="00A25F9C">
        <w:rPr>
          <w:rFonts w:cstheme="minorHAnsi"/>
        </w:rPr>
        <w:t xml:space="preserve"> </w:t>
      </w:r>
      <w:r w:rsidR="000770A6">
        <w:rPr>
          <w:rFonts w:cstheme="minorHAnsi"/>
        </w:rPr>
        <w:t xml:space="preserve">months </w:t>
      </w:r>
      <w:r w:rsidR="004C6B04">
        <w:rPr>
          <w:rFonts w:cstheme="minorHAnsi"/>
        </w:rPr>
        <w:t xml:space="preserve">would develop more azithromycin resistant airway flora compared to a comparison group was </w:t>
      </w:r>
      <w:r w:rsidR="000770A6">
        <w:rPr>
          <w:rFonts w:cstheme="minorHAnsi"/>
        </w:rPr>
        <w:t xml:space="preserve">however </w:t>
      </w:r>
      <w:r w:rsidR="004C6B04">
        <w:rPr>
          <w:rFonts w:cstheme="minorHAnsi"/>
        </w:rPr>
        <w:t>not</w:t>
      </w:r>
      <w:r w:rsidR="000770A6">
        <w:rPr>
          <w:rFonts w:cstheme="minorHAnsi"/>
        </w:rPr>
        <w:t xml:space="preserve"> supported by the data I collected</w:t>
      </w:r>
      <w:r w:rsidR="004C6B04">
        <w:rPr>
          <w:rFonts w:cstheme="minorHAnsi"/>
        </w:rPr>
        <w:t xml:space="preserve">. This finding is not in keeping with </w:t>
      </w:r>
      <w:r w:rsidR="000770A6">
        <w:rPr>
          <w:rFonts w:cstheme="minorHAnsi"/>
        </w:rPr>
        <w:t xml:space="preserve">some </w:t>
      </w:r>
      <w:r w:rsidR="004C6B04">
        <w:rPr>
          <w:rFonts w:cstheme="minorHAnsi"/>
        </w:rPr>
        <w:t>previous studies</w:t>
      </w:r>
      <w:r w:rsidR="000770A6">
        <w:rPr>
          <w:rFonts w:cstheme="minorHAnsi"/>
        </w:rPr>
        <w:t xml:space="preserve"> in conditions such as CF; it might reflect the different nature of the underlying respiratory condition, the higher than expected</w:t>
      </w:r>
      <w:r w:rsidR="004C6B04">
        <w:rPr>
          <w:rFonts w:cstheme="minorHAnsi"/>
        </w:rPr>
        <w:t xml:space="preserve"> background resistance</w:t>
      </w:r>
      <w:r w:rsidR="000770A6">
        <w:rPr>
          <w:rFonts w:cstheme="minorHAnsi"/>
        </w:rPr>
        <w:t>,</w:t>
      </w:r>
      <w:r w:rsidR="004C6B04">
        <w:rPr>
          <w:rFonts w:cstheme="minorHAnsi"/>
        </w:rPr>
        <w:t xml:space="preserve"> </w:t>
      </w:r>
      <w:r w:rsidR="000770A6">
        <w:rPr>
          <w:rFonts w:cstheme="minorHAnsi"/>
        </w:rPr>
        <w:t xml:space="preserve">or have been </w:t>
      </w:r>
      <w:r w:rsidR="004C6B04">
        <w:rPr>
          <w:rFonts w:cstheme="minorHAnsi"/>
        </w:rPr>
        <w:t xml:space="preserve"> confounded by </w:t>
      </w:r>
      <w:r w:rsidR="000770A6">
        <w:rPr>
          <w:rFonts w:cstheme="minorHAnsi"/>
        </w:rPr>
        <w:t xml:space="preserve">the fact that </w:t>
      </w:r>
      <w:r w:rsidR="004C6B04">
        <w:rPr>
          <w:rFonts w:cstheme="minorHAnsi"/>
        </w:rPr>
        <w:t xml:space="preserve">fewer bacteria being cultured in the azithromycin exposed group. </w:t>
      </w:r>
      <w:r w:rsidR="000770A6">
        <w:rPr>
          <w:rFonts w:cstheme="minorHAnsi"/>
        </w:rPr>
        <w:t xml:space="preserve">The study </w:t>
      </w:r>
      <w:r w:rsidR="004C6B04">
        <w:rPr>
          <w:rFonts w:cstheme="minorHAnsi"/>
        </w:rPr>
        <w:t xml:space="preserve">may </w:t>
      </w:r>
      <w:r w:rsidR="000770A6">
        <w:rPr>
          <w:rFonts w:cstheme="minorHAnsi"/>
        </w:rPr>
        <w:t xml:space="preserve">however </w:t>
      </w:r>
      <w:r w:rsidR="004C6B04">
        <w:rPr>
          <w:rFonts w:cstheme="minorHAnsi"/>
        </w:rPr>
        <w:t>offer some reassurance to those with PBB commencing long-term azithromycin</w:t>
      </w:r>
      <w:r w:rsidR="00A859D3">
        <w:rPr>
          <w:rFonts w:cstheme="minorHAnsi"/>
        </w:rPr>
        <w:t xml:space="preserve"> in South Yorkshire</w:t>
      </w:r>
      <w:r w:rsidR="000770A6">
        <w:rPr>
          <w:rFonts w:cstheme="minorHAnsi"/>
        </w:rPr>
        <w:t xml:space="preserve"> and to the clinicians prescribing this therapy</w:t>
      </w:r>
      <w:r w:rsidR="00EB5A2D">
        <w:rPr>
          <w:rFonts w:cstheme="minorHAnsi"/>
        </w:rPr>
        <w:t>. Given the main ‘future’ fear articulated by parents in ou</w:t>
      </w:r>
      <w:r w:rsidR="0024764B">
        <w:rPr>
          <w:rFonts w:cstheme="minorHAnsi"/>
        </w:rPr>
        <w:t>r</w:t>
      </w:r>
      <w:r w:rsidR="00EB5A2D">
        <w:rPr>
          <w:rFonts w:cstheme="minorHAnsi"/>
        </w:rPr>
        <w:t xml:space="preserve"> qualitative study was the risk of antimicrobial resistance, our findings may inform discussions about commencing prophylaxis in this setting</w:t>
      </w:r>
      <w:r w:rsidR="004C6B04">
        <w:rPr>
          <w:rFonts w:cstheme="minorHAnsi"/>
        </w:rPr>
        <w:t>.</w:t>
      </w:r>
      <w:r w:rsidR="00983013">
        <w:rPr>
          <w:rFonts w:cstheme="minorHAnsi"/>
        </w:rPr>
        <w:t xml:space="preserve"> </w:t>
      </w:r>
    </w:p>
    <w:p w14:paraId="373964CE" w14:textId="28A9E26E" w:rsidR="00B30542" w:rsidRDefault="00B30542" w:rsidP="00B30542">
      <w:pPr>
        <w:spacing w:line="360" w:lineRule="auto"/>
        <w:rPr>
          <w:rFonts w:cstheme="minorHAnsi"/>
        </w:rPr>
      </w:pPr>
      <w:r w:rsidRPr="00241369">
        <w:rPr>
          <w:rFonts w:cstheme="minorHAnsi"/>
        </w:rPr>
        <w:t xml:space="preserve">Obtaining microbiological samples from </w:t>
      </w:r>
      <w:r>
        <w:rPr>
          <w:rFonts w:cstheme="minorHAnsi"/>
        </w:rPr>
        <w:t xml:space="preserve">BAL </w:t>
      </w:r>
      <w:r w:rsidRPr="00241369">
        <w:rPr>
          <w:rFonts w:cstheme="minorHAnsi"/>
        </w:rPr>
        <w:t>in all children with PBB to make a diagnosis is not practical given the associated risks</w:t>
      </w:r>
      <w:r w:rsidR="00EB5A2D">
        <w:rPr>
          <w:rFonts w:cstheme="minorHAnsi"/>
        </w:rPr>
        <w:t xml:space="preserve">. It is possible that </w:t>
      </w:r>
      <w:r w:rsidRPr="00241369">
        <w:rPr>
          <w:rFonts w:cstheme="minorHAnsi"/>
        </w:rPr>
        <w:t xml:space="preserve">obtaining other microbiological samples such as nasopharyngeal samples </w:t>
      </w:r>
      <w:r w:rsidR="00EB5A2D">
        <w:rPr>
          <w:rFonts w:cstheme="minorHAnsi"/>
        </w:rPr>
        <w:t>might g</w:t>
      </w:r>
      <w:r w:rsidRPr="00241369">
        <w:rPr>
          <w:rFonts w:cstheme="minorHAnsi"/>
        </w:rPr>
        <w:t xml:space="preserve">uide the treatment of acute episodes of PBB </w:t>
      </w:r>
      <w:r w:rsidR="00EB5A2D">
        <w:rPr>
          <w:rFonts w:cstheme="minorHAnsi"/>
        </w:rPr>
        <w:t xml:space="preserve">but </w:t>
      </w:r>
      <w:r w:rsidR="00EB5A2D">
        <w:rPr>
          <w:rFonts w:cstheme="minorHAnsi"/>
        </w:rPr>
        <w:lastRenderedPageBreak/>
        <w:t>this was not specifically addressed in our study</w:t>
      </w:r>
      <w:r w:rsidRPr="00241369">
        <w:rPr>
          <w:rFonts w:cstheme="minorHAnsi"/>
        </w:rPr>
        <w:t xml:space="preserve">. There is </w:t>
      </w:r>
      <w:r w:rsidR="00EB5A2D">
        <w:rPr>
          <w:rFonts w:cstheme="minorHAnsi"/>
        </w:rPr>
        <w:t xml:space="preserve">however </w:t>
      </w:r>
      <w:r w:rsidRPr="00241369">
        <w:rPr>
          <w:rFonts w:cstheme="minorHAnsi"/>
        </w:rPr>
        <w:t xml:space="preserve">a need to explore </w:t>
      </w:r>
      <w:r w:rsidR="00EB5A2D">
        <w:rPr>
          <w:rFonts w:cstheme="minorHAnsi"/>
        </w:rPr>
        <w:t xml:space="preserve">the nature of the low-level but potentially clinically significant </w:t>
      </w:r>
      <w:r w:rsidRPr="00241369">
        <w:rPr>
          <w:rFonts w:cstheme="minorHAnsi"/>
        </w:rPr>
        <w:t>azithromycin resistance</w:t>
      </w:r>
      <w:r w:rsidR="00EB5A2D">
        <w:rPr>
          <w:rFonts w:cstheme="minorHAnsi"/>
        </w:rPr>
        <w:t xml:space="preserve"> we observed </w:t>
      </w:r>
      <w:r w:rsidRPr="00241369">
        <w:rPr>
          <w:rFonts w:cstheme="minorHAnsi"/>
        </w:rPr>
        <w:t xml:space="preserve"> </w:t>
      </w:r>
      <w:r w:rsidR="00EB5A2D">
        <w:rPr>
          <w:rFonts w:cstheme="minorHAnsi"/>
        </w:rPr>
        <w:t>and to determine whether it is specific to</w:t>
      </w:r>
      <w:r w:rsidRPr="00241369">
        <w:rPr>
          <w:rFonts w:cstheme="minorHAnsi"/>
        </w:rPr>
        <w:t xml:space="preserve"> PBB or a problem of the wider paediatric community in this geographical area.  Children are adept at transmitt</w:t>
      </w:r>
      <w:r>
        <w:rPr>
          <w:rFonts w:cstheme="minorHAnsi"/>
        </w:rPr>
        <w:t>ing</w:t>
      </w:r>
      <w:r w:rsidRPr="00241369">
        <w:rPr>
          <w:rFonts w:cstheme="minorHAnsi"/>
        </w:rPr>
        <w:t xml:space="preserve"> their respiratory flora to those around them, and the impact of establishing increased macrolide resistance in</w:t>
      </w:r>
      <w:r w:rsidRPr="00241369">
        <w:rPr>
          <w:rFonts w:cstheme="minorHAnsi"/>
          <w:i/>
        </w:rPr>
        <w:t xml:space="preserve"> S</w:t>
      </w:r>
      <w:r w:rsidR="00EB5A2D">
        <w:rPr>
          <w:rFonts w:cstheme="minorHAnsi"/>
          <w:i/>
        </w:rPr>
        <w:t>.</w:t>
      </w:r>
      <w:r w:rsidRPr="00241369">
        <w:rPr>
          <w:rFonts w:cstheme="minorHAnsi"/>
          <w:i/>
        </w:rPr>
        <w:t xml:space="preserve"> pneumoniae</w:t>
      </w:r>
      <w:r w:rsidRPr="00241369">
        <w:rPr>
          <w:rFonts w:cstheme="minorHAnsi"/>
        </w:rPr>
        <w:t xml:space="preserve"> in the adult population would be significant; for example in penicillin-allergic patients, macrolide monotherapy is a standard treatment option for mild community-acquired pneumonia (</w:t>
      </w:r>
      <w:r w:rsidRPr="00241369">
        <w:rPr>
          <w:rFonts w:cstheme="minorHAnsi"/>
          <w:i/>
        </w:rPr>
        <w:t>S pneumonia</w:t>
      </w:r>
      <w:r w:rsidRPr="00241369">
        <w:rPr>
          <w:rFonts w:cstheme="minorHAnsi"/>
        </w:rPr>
        <w:t xml:space="preserve">e is the commonest cause of this condition) and </w:t>
      </w:r>
      <w:r>
        <w:rPr>
          <w:rFonts w:cstheme="minorHAnsi"/>
        </w:rPr>
        <w:t>may not</w:t>
      </w:r>
      <w:r w:rsidRPr="00241369">
        <w:rPr>
          <w:rFonts w:cstheme="minorHAnsi"/>
        </w:rPr>
        <w:t xml:space="preserve"> be effective for the majority of isolates we have detected.</w:t>
      </w:r>
      <w:r w:rsidR="00EB5A2D">
        <w:rPr>
          <w:rFonts w:cstheme="minorHAnsi"/>
        </w:rPr>
        <w:t xml:space="preserve"> Whilst clarithromycin is the most commonly used macrolide in the setting of adult pneumonia, azithromycin is also used in this and other acute infections. </w:t>
      </w:r>
    </w:p>
    <w:p w14:paraId="34820BBE" w14:textId="78A68699" w:rsidR="00983013" w:rsidRPr="00241369" w:rsidRDefault="00EA59F8" w:rsidP="005D4602">
      <w:pPr>
        <w:spacing w:after="160" w:line="360" w:lineRule="auto"/>
        <w:rPr>
          <w:rFonts w:cstheme="minorHAnsi"/>
        </w:rPr>
      </w:pPr>
      <w:r>
        <w:rPr>
          <w:rFonts w:cstheme="minorHAnsi"/>
        </w:rPr>
        <w:t xml:space="preserve">The identification of a major and unexpected discrepancy between erythromycin and azithromycin resistance in the </w:t>
      </w:r>
      <w:r w:rsidRPr="00275193">
        <w:rPr>
          <w:rFonts w:cstheme="minorHAnsi"/>
          <w:i/>
          <w:iCs/>
        </w:rPr>
        <w:t>S. pneumoniae</w:t>
      </w:r>
      <w:r>
        <w:rPr>
          <w:rFonts w:cstheme="minorHAnsi"/>
        </w:rPr>
        <w:t xml:space="preserve"> isolates is a</w:t>
      </w:r>
      <w:r w:rsidR="00EB5A2D">
        <w:rPr>
          <w:rFonts w:cstheme="minorHAnsi"/>
        </w:rPr>
        <w:t>lso a</w:t>
      </w:r>
      <w:r>
        <w:rPr>
          <w:rFonts w:cstheme="minorHAnsi"/>
        </w:rPr>
        <w:t xml:space="preserve"> concerning finding. As such the UK </w:t>
      </w:r>
      <w:r w:rsidR="00EB5A2D">
        <w:rPr>
          <w:rFonts w:cstheme="minorHAnsi"/>
        </w:rPr>
        <w:t>HSA</w:t>
      </w:r>
      <w:r>
        <w:rPr>
          <w:rFonts w:cstheme="minorHAnsi"/>
        </w:rPr>
        <w:t xml:space="preserve"> </w:t>
      </w:r>
      <w:r w:rsidR="00D30ABD">
        <w:rPr>
          <w:rFonts w:cstheme="minorHAnsi"/>
        </w:rPr>
        <w:t>is</w:t>
      </w:r>
      <w:r>
        <w:rPr>
          <w:rFonts w:cstheme="minorHAnsi"/>
        </w:rPr>
        <w:t xml:space="preserve"> keen to </w:t>
      </w:r>
      <w:r w:rsidR="00D30ABD">
        <w:rPr>
          <w:rFonts w:cstheme="minorHAnsi"/>
        </w:rPr>
        <w:t xml:space="preserve">collaborate </w:t>
      </w:r>
      <w:r w:rsidR="00EB5A2D">
        <w:rPr>
          <w:rFonts w:cstheme="minorHAnsi"/>
        </w:rPr>
        <w:t xml:space="preserve">with us to </w:t>
      </w:r>
      <w:r>
        <w:rPr>
          <w:rFonts w:cstheme="minorHAnsi"/>
        </w:rPr>
        <w:t xml:space="preserve">investigate this </w:t>
      </w:r>
      <w:r w:rsidR="00D30ABD">
        <w:rPr>
          <w:rFonts w:cstheme="minorHAnsi"/>
        </w:rPr>
        <w:t xml:space="preserve">issue </w:t>
      </w:r>
      <w:r>
        <w:rPr>
          <w:rFonts w:cstheme="minorHAnsi"/>
        </w:rPr>
        <w:t>further</w:t>
      </w:r>
      <w:r w:rsidR="00D30ABD">
        <w:rPr>
          <w:rFonts w:cstheme="minorHAnsi"/>
        </w:rPr>
        <w:t xml:space="preserve">. </w:t>
      </w:r>
      <w:r w:rsidR="00EB5A2D">
        <w:rPr>
          <w:rFonts w:cstheme="minorHAnsi"/>
        </w:rPr>
        <w:t xml:space="preserve">It will be important to determine </w:t>
      </w:r>
      <w:r>
        <w:rPr>
          <w:rFonts w:cstheme="minorHAnsi"/>
        </w:rPr>
        <w:t xml:space="preserve">whether this discrepancy </w:t>
      </w:r>
      <w:r w:rsidR="00EB5A2D">
        <w:rPr>
          <w:rFonts w:cstheme="minorHAnsi"/>
        </w:rPr>
        <w:t>is</w:t>
      </w:r>
      <w:r>
        <w:rPr>
          <w:rFonts w:cstheme="minorHAnsi"/>
        </w:rPr>
        <w:t xml:space="preserve"> explained by the technicalities of susceptibility testing</w:t>
      </w:r>
      <w:r w:rsidR="00EB5A2D">
        <w:rPr>
          <w:rFonts w:cstheme="minorHAnsi"/>
        </w:rPr>
        <w:t>,</w:t>
      </w:r>
      <w:r>
        <w:rPr>
          <w:rFonts w:cstheme="minorHAnsi"/>
        </w:rPr>
        <w:t xml:space="preserve"> or </w:t>
      </w:r>
      <w:r w:rsidR="00F9315E">
        <w:rPr>
          <w:rFonts w:cstheme="minorHAnsi"/>
        </w:rPr>
        <w:t xml:space="preserve">whether it </w:t>
      </w:r>
      <w:r>
        <w:rPr>
          <w:rFonts w:cstheme="minorHAnsi"/>
        </w:rPr>
        <w:t xml:space="preserve">represents </w:t>
      </w:r>
      <w:r w:rsidR="00D30ABD">
        <w:rPr>
          <w:rFonts w:cstheme="minorHAnsi"/>
        </w:rPr>
        <w:t xml:space="preserve">a physiological difference in the way </w:t>
      </w:r>
      <w:r w:rsidR="00D30ABD" w:rsidRPr="00D30ABD">
        <w:rPr>
          <w:rFonts w:cstheme="minorHAnsi"/>
          <w:i/>
          <w:iCs/>
        </w:rPr>
        <w:t>S. pneumoniae</w:t>
      </w:r>
      <w:r w:rsidR="00D30ABD">
        <w:rPr>
          <w:rFonts w:cstheme="minorHAnsi"/>
        </w:rPr>
        <w:t xml:space="preserve"> handles different macrolides. At present our results do not support the current standard of using erythromycin to infer resistance to other macrolides. </w:t>
      </w:r>
    </w:p>
    <w:p w14:paraId="3DA55A7D" w14:textId="6BF5FAD6" w:rsidR="00EA26D6" w:rsidRDefault="00495F95" w:rsidP="005D4602">
      <w:pPr>
        <w:spacing w:after="160" w:line="360" w:lineRule="auto"/>
        <w:rPr>
          <w:rFonts w:cstheme="minorHAnsi"/>
        </w:rPr>
      </w:pPr>
      <w:r>
        <w:rPr>
          <w:rFonts w:cstheme="minorHAnsi"/>
        </w:rPr>
        <w:t xml:space="preserve">My </w:t>
      </w:r>
      <w:r w:rsidR="00DB069C">
        <w:rPr>
          <w:rFonts w:cstheme="minorHAnsi"/>
        </w:rPr>
        <w:t>final</w:t>
      </w:r>
      <w:r w:rsidR="0094377F">
        <w:rPr>
          <w:rFonts w:cstheme="minorHAnsi"/>
        </w:rPr>
        <w:t xml:space="preserve"> hypothesis was that children with PBB exposed to long-term azithromycin would display reduced diversity of bacterial communities in the nasopharynx. </w:t>
      </w:r>
      <w:r w:rsidR="0094377F" w:rsidRPr="001D04B2">
        <w:rPr>
          <w:rFonts w:cstheme="minorHAnsi"/>
        </w:rPr>
        <w:t xml:space="preserve">The field of microbiome analysis is </w:t>
      </w:r>
      <w:r w:rsidR="008309D7">
        <w:rPr>
          <w:rFonts w:cstheme="minorHAnsi"/>
        </w:rPr>
        <w:t xml:space="preserve">rapidly </w:t>
      </w:r>
      <w:r w:rsidR="0094377F" w:rsidRPr="001D04B2">
        <w:rPr>
          <w:rFonts w:cstheme="minorHAnsi"/>
        </w:rPr>
        <w:t xml:space="preserve">expanding with newer sequencing technologies and analysis techniques. </w:t>
      </w:r>
      <w:r w:rsidR="00A62479">
        <w:rPr>
          <w:rFonts w:cstheme="minorHAnsi"/>
        </w:rPr>
        <w:t>Although I</w:t>
      </w:r>
      <w:r w:rsidR="00A62479" w:rsidRPr="001D04B2">
        <w:rPr>
          <w:rFonts w:cstheme="minorHAnsi"/>
        </w:rPr>
        <w:t xml:space="preserve"> </w:t>
      </w:r>
      <w:r w:rsidR="00A62479">
        <w:rPr>
          <w:rFonts w:cstheme="minorHAnsi"/>
        </w:rPr>
        <w:t>did not</w:t>
      </w:r>
      <w:r w:rsidR="00A62479" w:rsidRPr="001D04B2">
        <w:rPr>
          <w:rFonts w:cstheme="minorHAnsi"/>
        </w:rPr>
        <w:t xml:space="preserve"> demonstrate significant baseline differences in the nasopharyngeal microbiota between the two study groups in terms of the need for azithromycin.</w:t>
      </w:r>
      <w:r w:rsidR="00A62479">
        <w:rPr>
          <w:rFonts w:cstheme="minorHAnsi"/>
        </w:rPr>
        <w:t xml:space="preserve"> I identified</w:t>
      </w:r>
      <w:r w:rsidR="00A62479" w:rsidRPr="001D04B2">
        <w:rPr>
          <w:rFonts w:cstheme="minorHAnsi"/>
        </w:rPr>
        <w:t xml:space="preserve"> </w:t>
      </w:r>
      <w:r w:rsidR="00A62479">
        <w:rPr>
          <w:rFonts w:cstheme="minorHAnsi"/>
        </w:rPr>
        <w:t>a</w:t>
      </w:r>
      <w:r w:rsidR="005D4602">
        <w:rPr>
          <w:rFonts w:cstheme="minorHAnsi"/>
        </w:rPr>
        <w:t xml:space="preserve"> </w:t>
      </w:r>
      <w:r w:rsidR="00A62479">
        <w:rPr>
          <w:rFonts w:cstheme="minorHAnsi"/>
        </w:rPr>
        <w:t xml:space="preserve">temporary </w:t>
      </w:r>
      <w:r w:rsidR="0094377F" w:rsidRPr="001D04B2">
        <w:rPr>
          <w:rFonts w:cstheme="minorHAnsi"/>
        </w:rPr>
        <w:t xml:space="preserve">reduction in alpha diversity whilst taking azithromycin and </w:t>
      </w:r>
      <w:r w:rsidR="00A62479">
        <w:rPr>
          <w:rFonts w:cstheme="minorHAnsi"/>
        </w:rPr>
        <w:t xml:space="preserve">a more prolonged </w:t>
      </w:r>
      <w:r w:rsidR="0094377F" w:rsidRPr="001D04B2">
        <w:rPr>
          <w:rFonts w:cstheme="minorHAnsi"/>
        </w:rPr>
        <w:t xml:space="preserve">effect </w:t>
      </w:r>
      <w:r w:rsidR="00A62479">
        <w:rPr>
          <w:rFonts w:cstheme="minorHAnsi"/>
        </w:rPr>
        <w:t xml:space="preserve">(still present </w:t>
      </w:r>
      <w:r w:rsidR="0094377F" w:rsidRPr="001D04B2">
        <w:rPr>
          <w:rFonts w:cstheme="minorHAnsi"/>
        </w:rPr>
        <w:t>at 20 months</w:t>
      </w:r>
      <w:r w:rsidR="00A62479">
        <w:rPr>
          <w:rFonts w:cstheme="minorHAnsi"/>
        </w:rPr>
        <w:t>)</w:t>
      </w:r>
      <w:r w:rsidR="0094377F" w:rsidRPr="001D04B2">
        <w:rPr>
          <w:rFonts w:cstheme="minorHAnsi"/>
        </w:rPr>
        <w:t xml:space="preserve"> </w:t>
      </w:r>
      <w:r w:rsidR="00A62479">
        <w:rPr>
          <w:rFonts w:cstheme="minorHAnsi"/>
        </w:rPr>
        <w:t>on</w:t>
      </w:r>
      <w:r w:rsidR="0094377F" w:rsidRPr="001D04B2">
        <w:rPr>
          <w:rFonts w:cstheme="minorHAnsi"/>
        </w:rPr>
        <w:t xml:space="preserve"> beta diversity</w:t>
      </w:r>
      <w:r w:rsidR="00A62479">
        <w:rPr>
          <w:rFonts w:cstheme="minorHAnsi"/>
        </w:rPr>
        <w:t>. These perturbations</w:t>
      </w:r>
      <w:r w:rsidR="0094377F" w:rsidRPr="001D04B2">
        <w:rPr>
          <w:rFonts w:cstheme="minorHAnsi"/>
        </w:rPr>
        <w:t xml:space="preserve"> may have as yet unknown impacts on respiratory health. </w:t>
      </w:r>
      <w:r w:rsidR="008309D7">
        <w:rPr>
          <w:rFonts w:cstheme="minorHAnsi"/>
        </w:rPr>
        <w:t>Extrapolation from studies on the gut microbiome would suggest that dysbiosis of the respiratory microbiome may have detrimental consequence</w:t>
      </w:r>
      <w:r w:rsidR="00A62479">
        <w:rPr>
          <w:rFonts w:cstheme="minorHAnsi"/>
        </w:rPr>
        <w:t>,</w:t>
      </w:r>
      <w:r w:rsidR="008309D7">
        <w:rPr>
          <w:rFonts w:cstheme="minorHAnsi"/>
        </w:rPr>
        <w:t xml:space="preserve"> and requires further research</w:t>
      </w:r>
      <w:r w:rsidR="00EA26D6">
        <w:rPr>
          <w:rFonts w:cstheme="minorHAnsi"/>
        </w:rPr>
        <w:t>, however e</w:t>
      </w:r>
      <w:r w:rsidR="00A62479">
        <w:rPr>
          <w:rFonts w:cstheme="minorHAnsi"/>
        </w:rPr>
        <w:t xml:space="preserve">stablishing causality </w:t>
      </w:r>
      <w:r w:rsidR="00EA26D6">
        <w:rPr>
          <w:rFonts w:cstheme="minorHAnsi"/>
        </w:rPr>
        <w:t>(</w:t>
      </w:r>
      <w:r w:rsidR="00A62479">
        <w:rPr>
          <w:rFonts w:cstheme="minorHAnsi"/>
        </w:rPr>
        <w:t>as opposed to association</w:t>
      </w:r>
      <w:r w:rsidR="00EA26D6">
        <w:rPr>
          <w:rFonts w:cstheme="minorHAnsi"/>
        </w:rPr>
        <w:t>)</w:t>
      </w:r>
      <w:r w:rsidR="00A62479">
        <w:rPr>
          <w:rFonts w:cstheme="minorHAnsi"/>
        </w:rPr>
        <w:t xml:space="preserve"> in studies of the microbiota is challenging. </w:t>
      </w:r>
      <w:r w:rsidR="0094377F" w:rsidRPr="001D04B2">
        <w:rPr>
          <w:rFonts w:cstheme="minorHAnsi"/>
        </w:rPr>
        <w:t xml:space="preserve">Longer studies monitoring changes within the respiratory microbiome or metabolome </w:t>
      </w:r>
      <w:r w:rsidR="0094377F">
        <w:rPr>
          <w:rFonts w:cstheme="minorHAnsi"/>
        </w:rPr>
        <w:t>and larger study populations may however improve</w:t>
      </w:r>
      <w:r w:rsidR="00EA26D6">
        <w:rPr>
          <w:rFonts w:cstheme="minorHAnsi"/>
        </w:rPr>
        <w:t xml:space="preserve"> our understanding of this complex ecological niche, and allow us to consider interventions that may protect the natural microbiota or even restore a ‘healthy’ microbial flora. They may also inform </w:t>
      </w:r>
      <w:r w:rsidR="0094377F">
        <w:rPr>
          <w:rFonts w:cstheme="minorHAnsi"/>
        </w:rPr>
        <w:t xml:space="preserve"> clinical decision </w:t>
      </w:r>
      <w:r w:rsidR="0094377F">
        <w:rPr>
          <w:rFonts w:cstheme="minorHAnsi"/>
        </w:rPr>
        <w:lastRenderedPageBreak/>
        <w:t xml:space="preserve">making with regards to the need for long-term antibiotics and identifying those at risk of developing bronchiectasis. </w:t>
      </w:r>
    </w:p>
    <w:p w14:paraId="2DC3F57E" w14:textId="44F56314" w:rsidR="008309D7" w:rsidRDefault="004E57E2" w:rsidP="005D4602">
      <w:pPr>
        <w:spacing w:after="160" w:line="360" w:lineRule="auto"/>
        <w:rPr>
          <w:rFonts w:cstheme="minorHAnsi"/>
        </w:rPr>
      </w:pPr>
      <w:r w:rsidRPr="007C5B16">
        <w:rPr>
          <w:rFonts w:cstheme="minorHAnsi"/>
        </w:rPr>
        <w:t>These complementary projects have developed links between Sheffield Children’s Hospital (</w:t>
      </w:r>
      <w:proofErr w:type="spellStart"/>
      <w:r w:rsidRPr="007C5B16">
        <w:rPr>
          <w:rFonts w:cstheme="minorHAnsi"/>
        </w:rPr>
        <w:t>Hardman,</w:t>
      </w:r>
      <w:proofErr w:type="spellEnd"/>
      <w:r w:rsidRPr="007C5B16">
        <w:rPr>
          <w:rFonts w:cstheme="minorHAnsi"/>
        </w:rPr>
        <w:t xml:space="preserve"> </w:t>
      </w:r>
      <w:proofErr w:type="spellStart"/>
      <w:r w:rsidRPr="007C5B16">
        <w:rPr>
          <w:rFonts w:cstheme="minorHAnsi"/>
        </w:rPr>
        <w:t>Shackley</w:t>
      </w:r>
      <w:proofErr w:type="spellEnd"/>
      <w:r w:rsidRPr="007C5B16">
        <w:rPr>
          <w:rFonts w:cstheme="minorHAnsi"/>
        </w:rPr>
        <w:t xml:space="preserve">, </w:t>
      </w:r>
      <w:proofErr w:type="spellStart"/>
      <w:r w:rsidRPr="007C5B16">
        <w:rPr>
          <w:rFonts w:cstheme="minorHAnsi"/>
        </w:rPr>
        <w:t>Ungonna</w:t>
      </w:r>
      <w:proofErr w:type="spellEnd"/>
      <w:r w:rsidRPr="007C5B16">
        <w:rPr>
          <w:rFonts w:cstheme="minorHAnsi"/>
        </w:rPr>
        <w:t>), the University of Sheffield Departments of Infection Immunity and Cardiovascular Disease (</w:t>
      </w:r>
      <w:proofErr w:type="spellStart"/>
      <w:r w:rsidRPr="007C5B16">
        <w:rPr>
          <w:rFonts w:cstheme="minorHAnsi"/>
        </w:rPr>
        <w:t>Condliffe</w:t>
      </w:r>
      <w:proofErr w:type="spellEnd"/>
      <w:r w:rsidR="00716D5E" w:rsidRPr="007C5B16">
        <w:rPr>
          <w:rFonts w:cstheme="minorHAnsi"/>
        </w:rPr>
        <w:t xml:space="preserve">, </w:t>
      </w:r>
      <w:proofErr w:type="spellStart"/>
      <w:r w:rsidR="00716D5E" w:rsidRPr="007C5B16">
        <w:rPr>
          <w:rFonts w:cstheme="minorHAnsi"/>
        </w:rPr>
        <w:t>Darton</w:t>
      </w:r>
      <w:proofErr w:type="spellEnd"/>
      <w:r w:rsidR="00716D5E" w:rsidRPr="007C5B16">
        <w:rPr>
          <w:rFonts w:cstheme="minorHAnsi"/>
        </w:rPr>
        <w:t xml:space="preserve">, </w:t>
      </w:r>
      <w:proofErr w:type="spellStart"/>
      <w:r w:rsidR="00716D5E" w:rsidRPr="007C5B16">
        <w:rPr>
          <w:rFonts w:cstheme="minorHAnsi"/>
        </w:rPr>
        <w:t>Suligoy</w:t>
      </w:r>
      <w:proofErr w:type="spellEnd"/>
      <w:r w:rsidRPr="007C5B16">
        <w:rPr>
          <w:rFonts w:cstheme="minorHAnsi"/>
        </w:rPr>
        <w:t>)</w:t>
      </w:r>
      <w:r w:rsidR="00716D5E" w:rsidRPr="007C5B16">
        <w:rPr>
          <w:rFonts w:cstheme="minorHAnsi"/>
        </w:rPr>
        <w:t xml:space="preserve">, the Centre for Inflammation Research at the University of Edinburgh (Bogaert, </w:t>
      </w:r>
      <w:proofErr w:type="spellStart"/>
      <w:r w:rsidR="0043669A">
        <w:rPr>
          <w:rFonts w:cstheme="minorHAnsi"/>
        </w:rPr>
        <w:t>Lusaretta</w:t>
      </w:r>
      <w:proofErr w:type="spellEnd"/>
      <w:r w:rsidR="0043669A">
        <w:rPr>
          <w:rFonts w:cstheme="minorHAnsi"/>
        </w:rPr>
        <w:t xml:space="preserve"> Parga, </w:t>
      </w:r>
      <w:r w:rsidR="00716D5E" w:rsidRPr="007C5B16">
        <w:rPr>
          <w:rFonts w:cstheme="minorHAnsi"/>
        </w:rPr>
        <w:t>Ruiz</w:t>
      </w:r>
      <w:r w:rsidR="00365782" w:rsidRPr="007C5B16">
        <w:rPr>
          <w:rFonts w:cstheme="minorHAnsi"/>
        </w:rPr>
        <w:t xml:space="preserve">, </w:t>
      </w:r>
      <w:proofErr w:type="spellStart"/>
      <w:r w:rsidR="00365782" w:rsidRPr="007C5B16">
        <w:rPr>
          <w:rFonts w:cstheme="minorHAnsi"/>
        </w:rPr>
        <w:t>Bin</w:t>
      </w:r>
      <w:r w:rsidR="0043669A">
        <w:rPr>
          <w:rFonts w:cstheme="minorHAnsi"/>
        </w:rPr>
        <w:t>k</w:t>
      </w:r>
      <w:r w:rsidR="00365782" w:rsidRPr="007C5B16">
        <w:rPr>
          <w:rFonts w:cstheme="minorHAnsi"/>
        </w:rPr>
        <w:t>owska</w:t>
      </w:r>
      <w:proofErr w:type="spellEnd"/>
      <w:r w:rsidR="00716D5E" w:rsidRPr="007C5B16">
        <w:rPr>
          <w:rFonts w:cstheme="minorHAnsi"/>
        </w:rPr>
        <w:t>)</w:t>
      </w:r>
      <w:r w:rsidRPr="007C5B16">
        <w:rPr>
          <w:rFonts w:cstheme="minorHAnsi"/>
        </w:rPr>
        <w:t xml:space="preserve"> and the School of Health and Related Research</w:t>
      </w:r>
      <w:r w:rsidR="00716D5E" w:rsidRPr="007C5B16">
        <w:rPr>
          <w:rFonts w:cstheme="minorHAnsi"/>
        </w:rPr>
        <w:t>, Sheffield</w:t>
      </w:r>
      <w:r w:rsidRPr="007C5B16">
        <w:rPr>
          <w:rFonts w:cstheme="minorHAnsi"/>
        </w:rPr>
        <w:t xml:space="preserve"> (Lee). The studies evolved over time, harnessing the </w:t>
      </w:r>
      <w:r w:rsidR="00EA26D6">
        <w:rPr>
          <w:rFonts w:cstheme="minorHAnsi"/>
        </w:rPr>
        <w:t xml:space="preserve">varied </w:t>
      </w:r>
      <w:r w:rsidRPr="007C5B16">
        <w:rPr>
          <w:rFonts w:cstheme="minorHAnsi"/>
        </w:rPr>
        <w:t>skill sets of these investigators</w:t>
      </w:r>
      <w:r w:rsidR="00EA26D6">
        <w:rPr>
          <w:rFonts w:cstheme="minorHAnsi"/>
        </w:rPr>
        <w:t xml:space="preserve"> as required</w:t>
      </w:r>
      <w:r w:rsidRPr="007C5B16">
        <w:rPr>
          <w:rFonts w:cstheme="minorHAnsi"/>
        </w:rPr>
        <w:t xml:space="preserve">, with initial results influencing this evolution. </w:t>
      </w:r>
      <w:r w:rsidR="00EA26D6">
        <w:rPr>
          <w:rFonts w:cstheme="minorHAnsi"/>
        </w:rPr>
        <w:t xml:space="preserve">They have also allowed me to develop my research skills and portfolio. </w:t>
      </w:r>
      <w:r w:rsidRPr="007C5B16">
        <w:rPr>
          <w:rFonts w:cstheme="minorHAnsi"/>
        </w:rPr>
        <w:t>Importantly, I had to obtain both ethical permission for all 3 studies</w:t>
      </w:r>
      <w:r w:rsidR="00EA26D6">
        <w:rPr>
          <w:rFonts w:cstheme="minorHAnsi"/>
        </w:rPr>
        <w:t>,</w:t>
      </w:r>
      <w:r w:rsidRPr="007C5B16">
        <w:rPr>
          <w:rFonts w:cstheme="minorHAnsi"/>
        </w:rPr>
        <w:t xml:space="preserve"> and obtain funding to support the work (only my salary </w:t>
      </w:r>
      <w:r w:rsidR="00716D5E" w:rsidRPr="007C5B16">
        <w:rPr>
          <w:rFonts w:cstheme="minorHAnsi"/>
        </w:rPr>
        <w:t>was</w:t>
      </w:r>
      <w:r w:rsidRPr="007C5B16">
        <w:rPr>
          <w:rFonts w:cstheme="minorHAnsi"/>
        </w:rPr>
        <w:t xml:space="preserve"> provided by my personal Bassetlaw Fellow</w:t>
      </w:r>
      <w:r w:rsidR="0076223A" w:rsidRPr="007C5B16">
        <w:rPr>
          <w:rFonts w:cstheme="minorHAnsi"/>
        </w:rPr>
        <w:t>s</w:t>
      </w:r>
      <w:r w:rsidRPr="007C5B16">
        <w:rPr>
          <w:rFonts w:cstheme="minorHAnsi"/>
        </w:rPr>
        <w:t xml:space="preserve">hip). </w:t>
      </w:r>
      <w:r w:rsidR="007001BE">
        <w:rPr>
          <w:rFonts w:cstheme="minorHAnsi"/>
        </w:rPr>
        <w:t xml:space="preserve">A small grant was first obtained from Antibiotic Research UK to fund the pilot </w:t>
      </w:r>
      <w:r w:rsidR="00EA26D6">
        <w:rPr>
          <w:rFonts w:cstheme="minorHAnsi"/>
        </w:rPr>
        <w:t>cohort (PBB study 1)</w:t>
      </w:r>
      <w:r w:rsidR="007001BE">
        <w:rPr>
          <w:rFonts w:cstheme="minorHAnsi"/>
        </w:rPr>
        <w:t>. Early data from this project enabled us to obtain funding from the Sir Halley Stewart Trust to support the study exploring the microbiome in PBB</w:t>
      </w:r>
      <w:r w:rsidR="00EA26D6">
        <w:rPr>
          <w:rFonts w:cstheme="minorHAnsi"/>
        </w:rPr>
        <w:t xml:space="preserve"> (PBB study 2)</w:t>
      </w:r>
      <w:r w:rsidR="007001BE">
        <w:rPr>
          <w:rFonts w:cstheme="minorHAnsi"/>
        </w:rPr>
        <w:t xml:space="preserve">. </w:t>
      </w:r>
      <w:r w:rsidR="00F05AA7">
        <w:rPr>
          <w:rFonts w:cstheme="minorHAnsi"/>
        </w:rPr>
        <w:t>The high</w:t>
      </w:r>
      <w:r w:rsidR="00EA26D6">
        <w:rPr>
          <w:rFonts w:cstheme="minorHAnsi"/>
        </w:rPr>
        <w:t xml:space="preserve">er than expected </w:t>
      </w:r>
      <w:r w:rsidR="00C47244">
        <w:rPr>
          <w:rFonts w:cstheme="minorHAnsi"/>
        </w:rPr>
        <w:t>azithromycin</w:t>
      </w:r>
      <w:r w:rsidR="00F05AA7">
        <w:rPr>
          <w:rFonts w:cstheme="minorHAnsi"/>
        </w:rPr>
        <w:t xml:space="preserve"> resistance in the </w:t>
      </w:r>
      <w:r w:rsidR="00F05AA7" w:rsidRPr="00F05AA7">
        <w:rPr>
          <w:rFonts w:cstheme="minorHAnsi"/>
          <w:i/>
          <w:iCs/>
        </w:rPr>
        <w:t>S. pneumonia</w:t>
      </w:r>
      <w:r w:rsidR="00F05AA7">
        <w:rPr>
          <w:rFonts w:cstheme="minorHAnsi"/>
          <w:i/>
          <w:iCs/>
        </w:rPr>
        <w:t xml:space="preserve">e </w:t>
      </w:r>
      <w:r w:rsidR="00F05AA7">
        <w:rPr>
          <w:rFonts w:cstheme="minorHAnsi"/>
        </w:rPr>
        <w:t xml:space="preserve">isolates meant that we were successful in an application to the Florey Institute to explore this in more detail </w:t>
      </w:r>
      <w:r w:rsidR="00EA26D6">
        <w:rPr>
          <w:rFonts w:cstheme="minorHAnsi"/>
        </w:rPr>
        <w:t xml:space="preserve">by performing additional sensitivity testing and </w:t>
      </w:r>
      <w:r w:rsidR="00F05AA7">
        <w:rPr>
          <w:rFonts w:cstheme="minorHAnsi"/>
        </w:rPr>
        <w:t xml:space="preserve">genomic sequencing. </w:t>
      </w:r>
      <w:r w:rsidR="00F05AA7" w:rsidRPr="007C5B16">
        <w:rPr>
          <w:rFonts w:cstheme="minorHAnsi"/>
        </w:rPr>
        <w:t>Throughout this iterative process, we have been responsive to the results and improved on the design of the studies.</w:t>
      </w:r>
    </w:p>
    <w:p w14:paraId="6F93A999" w14:textId="7BD666BC" w:rsidR="00F05AA7" w:rsidRDefault="004E57E2" w:rsidP="004E57E2">
      <w:pPr>
        <w:spacing w:line="360" w:lineRule="auto"/>
        <w:rPr>
          <w:rFonts w:cstheme="minorHAnsi"/>
        </w:rPr>
      </w:pPr>
      <w:r w:rsidRPr="00241369">
        <w:rPr>
          <w:rFonts w:cstheme="minorHAnsi"/>
        </w:rPr>
        <w:t xml:space="preserve">Carrying out clinical research that involves invasive procedures in a paediatric population has unique ethical issues compared to studies in adults, as the child may have limited understanding as to what the study may entail and what the arguments for and against participation might be. Parents have responsibility to consent on behalf of their children, and as such must act in what they perceive as their child’s best interest. The threshold is therefore high for parents to allow their child to have a procedure that will cause the child pain. As we found in our recruitment, the majority of parents in the control group did not even respond to the text message asking whether they would like to take part. The precise reasons for this are not known, although it seems likely that they relate to potential for sampling to cause the child distress and the potential inconvenience. In fact, those parents who did participate in the initial pilot study (PBB Study 1) said the actual time commitment was minimal, and this was reflected in drawing up the Patient Information for PBB Study 2. We speculate that the invasiveness of sequential swab collection </w:t>
      </w:r>
      <w:r w:rsidRPr="00241369">
        <w:rPr>
          <w:rFonts w:cstheme="minorHAnsi"/>
        </w:rPr>
        <w:lastRenderedPageBreak/>
        <w:t xml:space="preserve">may have deterred some families. Those parents whose children were deemed severe enough to warrant antibiotic prophylaxis, may have had a lower procedural threshold, reflected in the higher uptake in this group. This might have been to gain more information about their child’s condition and potential adverse effects of antibiotic use, altruistic reasons to help others in a similar situation, or that they had been medicalised and were more used to their children having invasive procedures. Although our study was observational, this finding might suggest that a future randomised study might risk bias towards recruiting more severely affected children. </w:t>
      </w:r>
    </w:p>
    <w:p w14:paraId="53654DC7" w14:textId="7E9661A0" w:rsidR="004E57E2" w:rsidRPr="00241369" w:rsidRDefault="00B11292" w:rsidP="005D4602">
      <w:pPr>
        <w:spacing w:after="160" w:line="360" w:lineRule="auto"/>
        <w:rPr>
          <w:rFonts w:cstheme="minorHAnsi"/>
        </w:rPr>
      </w:pPr>
      <w:r>
        <w:rPr>
          <w:rFonts w:cstheme="minorHAnsi"/>
        </w:rPr>
        <w:t>Ensuring continued engagement with families over the study period was challenging.</w:t>
      </w:r>
      <w:r w:rsidR="00F05AA7">
        <w:rPr>
          <w:rFonts w:cstheme="minorHAnsi"/>
        </w:rPr>
        <w:t xml:space="preserve"> </w:t>
      </w:r>
      <w:r>
        <w:rPr>
          <w:rFonts w:cstheme="minorHAnsi"/>
        </w:rPr>
        <w:t xml:space="preserve">Retainment </w:t>
      </w:r>
      <w:r w:rsidR="001B6551">
        <w:rPr>
          <w:rFonts w:cstheme="minorHAnsi"/>
        </w:rPr>
        <w:t xml:space="preserve">of participants </w:t>
      </w:r>
      <w:r>
        <w:rPr>
          <w:rFonts w:cstheme="minorHAnsi"/>
        </w:rPr>
        <w:t>was goo</w:t>
      </w:r>
      <w:r w:rsidR="00B31615">
        <w:rPr>
          <w:rFonts w:cstheme="minorHAnsi"/>
        </w:rPr>
        <w:t xml:space="preserve">d </w:t>
      </w:r>
      <w:r w:rsidR="001B6551">
        <w:rPr>
          <w:rFonts w:cstheme="minorHAnsi"/>
        </w:rPr>
        <w:t>with</w:t>
      </w:r>
      <w:r w:rsidR="00B31615">
        <w:rPr>
          <w:rFonts w:cstheme="minorHAnsi"/>
        </w:rPr>
        <w:t xml:space="preserve"> only a</w:t>
      </w:r>
      <w:r w:rsidR="001B6551">
        <w:rPr>
          <w:rFonts w:cstheme="minorHAnsi"/>
        </w:rPr>
        <w:t xml:space="preserve">n 8% fall out across both </w:t>
      </w:r>
      <w:r w:rsidR="00B71C14">
        <w:rPr>
          <w:rFonts w:cstheme="minorHAnsi"/>
        </w:rPr>
        <w:t xml:space="preserve">studies </w:t>
      </w:r>
      <w:r w:rsidR="001B6551">
        <w:rPr>
          <w:rFonts w:cstheme="minorHAnsi"/>
        </w:rPr>
        <w:t>despite the unexpected increased swab burden with</w:t>
      </w:r>
      <w:r w:rsidR="00EA26D6">
        <w:rPr>
          <w:rFonts w:cstheme="minorHAnsi"/>
        </w:rPr>
        <w:t xml:space="preserve"> a separate need for</w:t>
      </w:r>
      <w:r w:rsidR="001B6551">
        <w:rPr>
          <w:rFonts w:cstheme="minorHAnsi"/>
        </w:rPr>
        <w:t xml:space="preserve"> COVID</w:t>
      </w:r>
      <w:r w:rsidR="00EA26D6">
        <w:rPr>
          <w:rFonts w:cstheme="minorHAnsi"/>
        </w:rPr>
        <w:t>-19</w:t>
      </w:r>
      <w:r w:rsidR="001B6551">
        <w:rPr>
          <w:rFonts w:cstheme="minorHAnsi"/>
        </w:rPr>
        <w:t xml:space="preserve"> nasopharyngeal swabs during the study period. Many families did not remember to inform the research team of clinical changes or record compliance to azithromycin. Finding novel ways of interacting with </w:t>
      </w:r>
      <w:r w:rsidR="00BB7AF6">
        <w:rPr>
          <w:rFonts w:cstheme="minorHAnsi"/>
        </w:rPr>
        <w:t xml:space="preserve">study </w:t>
      </w:r>
      <w:r w:rsidR="001B6551">
        <w:rPr>
          <w:rFonts w:cstheme="minorHAnsi"/>
        </w:rPr>
        <w:t>participants</w:t>
      </w:r>
      <w:r w:rsidR="00BB7AF6">
        <w:rPr>
          <w:rFonts w:cstheme="minorHAnsi"/>
        </w:rPr>
        <w:t xml:space="preserve">, </w:t>
      </w:r>
      <w:r w:rsidR="001B6551">
        <w:rPr>
          <w:rFonts w:cstheme="minorHAnsi"/>
        </w:rPr>
        <w:t xml:space="preserve">ensuring they feel involved throughout </w:t>
      </w:r>
      <w:r w:rsidR="00BB7AF6">
        <w:rPr>
          <w:rFonts w:cstheme="minorHAnsi"/>
        </w:rPr>
        <w:t>and are updated regularly is important to ensure the high quality of data obtained. It remains to be seen whether the use of digital devices and apps will facilitate this.</w:t>
      </w:r>
    </w:p>
    <w:p w14:paraId="143472AC" w14:textId="56A4C3F3" w:rsidR="004E57E2" w:rsidRPr="00241369" w:rsidRDefault="004E57E2" w:rsidP="004E57E2">
      <w:pPr>
        <w:spacing w:line="360" w:lineRule="auto"/>
        <w:rPr>
          <w:rFonts w:cstheme="minorHAnsi"/>
        </w:rPr>
      </w:pPr>
      <w:r w:rsidRPr="00241369">
        <w:rPr>
          <w:rFonts w:cstheme="minorHAnsi"/>
        </w:rPr>
        <w:t xml:space="preserve">Overall, participating in this research </w:t>
      </w:r>
      <w:r w:rsidR="005F2200">
        <w:rPr>
          <w:rFonts w:cstheme="minorHAnsi"/>
        </w:rPr>
        <w:t>has</w:t>
      </w:r>
      <w:r w:rsidRPr="00241369">
        <w:rPr>
          <w:rFonts w:cstheme="minorHAnsi"/>
        </w:rPr>
        <w:t xml:space="preserve"> equip</w:t>
      </w:r>
      <w:r w:rsidR="00D57F01">
        <w:rPr>
          <w:rFonts w:cstheme="minorHAnsi"/>
        </w:rPr>
        <w:t>ped</w:t>
      </w:r>
      <w:r w:rsidRPr="00241369">
        <w:rPr>
          <w:rFonts w:cstheme="minorHAnsi"/>
        </w:rPr>
        <w:t xml:space="preserve"> me with a broad range of transferable skills relevant to my development as a research-active clinician. These include undertaking a structured literature review, obtaining ethical permission and funding for my own studies, keeping a site file, qualitative interview skills, microbiological sampling and analysis, DNA extraction and </w:t>
      </w:r>
      <w:r w:rsidR="005F2200">
        <w:rPr>
          <w:rFonts w:cstheme="minorHAnsi"/>
        </w:rPr>
        <w:t xml:space="preserve">learning basic programming for commonly used </w:t>
      </w:r>
      <w:r w:rsidRPr="00241369">
        <w:rPr>
          <w:rFonts w:cstheme="minorHAnsi"/>
        </w:rPr>
        <w:t>bioinformatic</w:t>
      </w:r>
      <w:r w:rsidR="005F2200">
        <w:rPr>
          <w:rFonts w:cstheme="minorHAnsi"/>
        </w:rPr>
        <w:t xml:space="preserve"> tools</w:t>
      </w:r>
      <w:r w:rsidRPr="00241369">
        <w:rPr>
          <w:rFonts w:cstheme="minorHAnsi"/>
        </w:rPr>
        <w:t xml:space="preserve">. I hope I will be </w:t>
      </w:r>
      <w:r w:rsidR="0066683F" w:rsidRPr="00241369">
        <w:rPr>
          <w:rFonts w:cstheme="minorHAnsi"/>
        </w:rPr>
        <w:t>a</w:t>
      </w:r>
      <w:r w:rsidR="0066683F">
        <w:rPr>
          <w:rFonts w:cstheme="minorHAnsi"/>
        </w:rPr>
        <w:t>ble</w:t>
      </w:r>
      <w:r w:rsidR="0066683F" w:rsidRPr="00241369">
        <w:rPr>
          <w:rFonts w:cstheme="minorHAnsi"/>
        </w:rPr>
        <w:t xml:space="preserve"> </w:t>
      </w:r>
      <w:r w:rsidRPr="00241369">
        <w:rPr>
          <w:rFonts w:cstheme="minorHAnsi"/>
        </w:rPr>
        <w:t xml:space="preserve">to employ these skills in future research projects. </w:t>
      </w:r>
    </w:p>
    <w:p w14:paraId="3B1FDDE4" w14:textId="77777777" w:rsidR="004E57E2" w:rsidRPr="00241369" w:rsidRDefault="004E57E2" w:rsidP="00897F71">
      <w:pPr>
        <w:spacing w:line="360" w:lineRule="auto"/>
        <w:rPr>
          <w:rFonts w:cstheme="minorHAnsi"/>
        </w:rPr>
      </w:pPr>
    </w:p>
    <w:p w14:paraId="63DF1459" w14:textId="583D8250" w:rsidR="00C94CE3" w:rsidRDefault="004E57E2" w:rsidP="004F3338">
      <w:pPr>
        <w:pStyle w:val="Heading2"/>
      </w:pPr>
      <w:bookmarkStart w:id="325" w:name="_Toc117766019"/>
      <w:r w:rsidRPr="00241369">
        <w:t xml:space="preserve">Future </w:t>
      </w:r>
      <w:r w:rsidR="004451A4">
        <w:t>w</w:t>
      </w:r>
      <w:r w:rsidRPr="00241369">
        <w:t>ork</w:t>
      </w:r>
      <w:bookmarkEnd w:id="325"/>
    </w:p>
    <w:p w14:paraId="5F8A632E" w14:textId="02031CAF" w:rsidR="00C94CE3" w:rsidRDefault="00C94CE3" w:rsidP="00897F71">
      <w:pPr>
        <w:spacing w:line="360" w:lineRule="auto"/>
      </w:pPr>
      <w:r>
        <w:t xml:space="preserve">Protracted bacterial bronchitis remains one of the commonest diagnoses in children presenting to paediatric specialists with chronic cough yet there is still a paucity of published studies in this field.  As we have reported, antibiotic resistance is an issue for this cohort of children exposed to multiple courses of antibiotics. It is however unclear whether these resistance patterns are isolated to children with PBB or perhaps </w:t>
      </w:r>
      <w:r w:rsidR="009F27B7">
        <w:t xml:space="preserve">as prevalent in healthy children within the local community. The use of long-term </w:t>
      </w:r>
      <w:r w:rsidR="00781F70">
        <w:t>azithromycin</w:t>
      </w:r>
      <w:r w:rsidR="009F27B7">
        <w:t xml:space="preserve"> trended towards a reduction in pulmonary exacerbations compared to those not exposed to long-term AZM. Yet breakthrough exacerbations still occurred requiring rescue antibiotics. </w:t>
      </w:r>
      <w:r>
        <w:t xml:space="preserve"> </w:t>
      </w:r>
      <w:r w:rsidR="00F323F6">
        <w:t>Long</w:t>
      </w:r>
      <w:r w:rsidR="00AA30D4">
        <w:t>-</w:t>
      </w:r>
      <w:r w:rsidR="00F323F6">
        <w:t xml:space="preserve">term azithromycin use does </w:t>
      </w:r>
      <w:r w:rsidR="00A25B74">
        <w:t xml:space="preserve">seem </w:t>
      </w:r>
      <w:r w:rsidR="00A25B74">
        <w:lastRenderedPageBreak/>
        <w:t xml:space="preserve">to reduce diversity within the nasopharyngeal microbiome. The implications of this change and repercussions for other microbiota such as those that reside in the gut, are not yet fully understood. </w:t>
      </w:r>
      <w:r w:rsidR="009F27B7">
        <w:t xml:space="preserve">As such, the results of these studies have led to consideration of further associated projects. </w:t>
      </w:r>
    </w:p>
    <w:p w14:paraId="44F16A22" w14:textId="4EF66CFC" w:rsidR="00D12F0A" w:rsidRDefault="00D12F0A" w:rsidP="00D12F0A">
      <w:pPr>
        <w:spacing w:line="360" w:lineRule="auto"/>
      </w:pPr>
    </w:p>
    <w:p w14:paraId="5EBFE6B9" w14:textId="01F9F5D2" w:rsidR="00567BAF" w:rsidRDefault="00567BAF" w:rsidP="00AA30D4">
      <w:pPr>
        <w:pStyle w:val="Heading3"/>
        <w:spacing w:before="0" w:line="360" w:lineRule="auto"/>
      </w:pPr>
      <w:bookmarkStart w:id="326" w:name="_Toc117766020"/>
      <w:r>
        <w:t>Further projects explored to date</w:t>
      </w:r>
      <w:bookmarkEnd w:id="326"/>
    </w:p>
    <w:p w14:paraId="1E8DE58D" w14:textId="464A882D" w:rsidR="00AA30D4" w:rsidRPr="00A80BFA" w:rsidRDefault="00EA26D6" w:rsidP="005D4602">
      <w:pPr>
        <w:spacing w:after="160" w:line="360" w:lineRule="auto"/>
      </w:pPr>
      <w:r>
        <w:t>A</w:t>
      </w:r>
      <w:r w:rsidR="00066AC0">
        <w:t>n appropriately powered and designed</w:t>
      </w:r>
      <w:r w:rsidR="00D12F0A">
        <w:t xml:space="preserve"> randomised, double blind, </w:t>
      </w:r>
      <w:r>
        <w:t>placebo-controlled</w:t>
      </w:r>
      <w:r w:rsidR="00D12F0A">
        <w:t xml:space="preserve"> </w:t>
      </w:r>
      <w:r w:rsidR="00066AC0">
        <w:t xml:space="preserve">study might seem to be the ideal way of </w:t>
      </w:r>
      <w:r w:rsidR="00D12F0A">
        <w:t>determin</w:t>
      </w:r>
      <w:r w:rsidR="00066AC0">
        <w:t>ing</w:t>
      </w:r>
      <w:r w:rsidR="00D12F0A">
        <w:t xml:space="preserve"> the efficacy of long-term azithromycin in children with PBB with regards to reducing the number of pulmonary exacerbations and development of bronchiectasis</w:t>
      </w:r>
      <w:r w:rsidR="00066AC0">
        <w:t>, as well as delineating the impact of the intervention on antimicrobial resistance and dysbiosis</w:t>
      </w:r>
      <w:r w:rsidR="00D12F0A">
        <w:t xml:space="preserve">. </w:t>
      </w:r>
      <w:r w:rsidR="00066AC0">
        <w:t>I have discussed such a study</w:t>
      </w:r>
      <w:r w:rsidR="00D12F0A">
        <w:t xml:space="preserve"> with </w:t>
      </w:r>
      <w:r w:rsidR="00066AC0">
        <w:t xml:space="preserve">both </w:t>
      </w:r>
      <w:r w:rsidR="00D12F0A">
        <w:t xml:space="preserve">the respiratory team and with </w:t>
      </w:r>
      <w:r w:rsidR="00066AC0">
        <w:t xml:space="preserve">the </w:t>
      </w:r>
      <w:r w:rsidR="00D12F0A">
        <w:t xml:space="preserve">parents involved in the studies reported in this thesis, </w:t>
      </w:r>
      <w:r w:rsidR="00066AC0">
        <w:t>and in general it emerged</w:t>
      </w:r>
      <w:r w:rsidR="00D12F0A">
        <w:t xml:space="preserve"> that parents </w:t>
      </w:r>
      <w:r w:rsidR="00066AC0">
        <w:t xml:space="preserve">of more severely affected children </w:t>
      </w:r>
      <w:r w:rsidR="00D12F0A">
        <w:t xml:space="preserve">would </w:t>
      </w:r>
      <w:r w:rsidR="00066AC0">
        <w:t xml:space="preserve">not </w:t>
      </w:r>
      <w:r w:rsidR="00D12F0A">
        <w:t>be willing to opt for a</w:t>
      </w:r>
      <w:r w:rsidR="00066AC0">
        <w:t xml:space="preserve"> trial that might result in their child receiving</w:t>
      </w:r>
      <w:r w:rsidR="00D12F0A">
        <w:t xml:space="preserve"> placebo</w:t>
      </w:r>
      <w:r w:rsidR="00066AC0">
        <w:t>; this might introduce bias into such a study and prohibit or deter recruitment in those most at risk</w:t>
      </w:r>
      <w:r w:rsidR="00376DB9">
        <w:t xml:space="preserve">. </w:t>
      </w:r>
      <w:r w:rsidR="009F27B7">
        <w:t xml:space="preserve">The first project I have </w:t>
      </w:r>
      <w:r w:rsidR="001F32EB">
        <w:t xml:space="preserve">therefore </w:t>
      </w:r>
      <w:r w:rsidR="009F27B7">
        <w:t>explored</w:t>
      </w:r>
      <w:r w:rsidR="001F32EB">
        <w:t>,</w:t>
      </w:r>
      <w:r w:rsidR="009F27B7">
        <w:t xml:space="preserve"> </w:t>
      </w:r>
      <w:r w:rsidR="001F32EB">
        <w:t xml:space="preserve">with the paediatric infectious diseases and respiratory teams at SCH, </w:t>
      </w:r>
      <w:r w:rsidR="009F27B7">
        <w:t xml:space="preserve">is </w:t>
      </w:r>
      <w:r w:rsidR="00066AC0">
        <w:t>to determine the</w:t>
      </w:r>
      <w:r w:rsidR="009F27B7">
        <w:t xml:space="preserve"> optimal dosing regimen for long-term azithromycin</w:t>
      </w:r>
      <w:r w:rsidR="00066AC0">
        <w:t xml:space="preserve"> in PBB</w:t>
      </w:r>
      <w:r w:rsidR="009F27B7">
        <w:t xml:space="preserve">. Recent evidence from adult studies have demonstrated efficacy of long-term </w:t>
      </w:r>
      <w:r w:rsidR="009F27B7" w:rsidRPr="00A80BFA">
        <w:t xml:space="preserve">azithromycin using low dose regimens. To date only two clinical trials have compared different dosing regimens in this </w:t>
      </w:r>
      <w:r w:rsidR="00066AC0" w:rsidRPr="00A80BFA">
        <w:t>children in this field</w:t>
      </w:r>
      <w:r w:rsidR="009F27B7" w:rsidRPr="00A80BFA">
        <w:t>:</w:t>
      </w:r>
    </w:p>
    <w:p w14:paraId="6AA6F400" w14:textId="1B5F826C" w:rsidR="009F27B7" w:rsidRPr="00A80BFA" w:rsidRDefault="009F27B7">
      <w:pPr>
        <w:pStyle w:val="ListParagraph"/>
        <w:numPr>
          <w:ilvl w:val="0"/>
          <w:numId w:val="26"/>
        </w:numPr>
        <w:spacing w:after="0" w:line="360" w:lineRule="auto"/>
        <w:rPr>
          <w:rFonts w:ascii="Times New Roman" w:hAnsi="Times New Roman" w:cs="Times New Roman"/>
          <w:sz w:val="24"/>
          <w:szCs w:val="24"/>
        </w:rPr>
      </w:pPr>
      <w:r w:rsidRPr="00A80BFA">
        <w:rPr>
          <w:rFonts w:ascii="Times New Roman" w:hAnsi="Times New Roman" w:cs="Times New Roman"/>
          <w:bCs/>
          <w:sz w:val="24"/>
          <w:szCs w:val="24"/>
        </w:rPr>
        <w:t xml:space="preserve">Daily low dose azithromycin </w:t>
      </w:r>
      <w:r w:rsidR="00D12F0A" w:rsidRPr="00A80BFA">
        <w:rPr>
          <w:rFonts w:ascii="Times New Roman" w:hAnsi="Times New Roman" w:cs="Times New Roman"/>
          <w:bCs/>
          <w:sz w:val="24"/>
          <w:szCs w:val="24"/>
        </w:rPr>
        <w:t xml:space="preserve">compared </w:t>
      </w:r>
      <w:r w:rsidRPr="00A80BFA">
        <w:rPr>
          <w:rFonts w:ascii="Times New Roman" w:hAnsi="Times New Roman" w:cs="Times New Roman"/>
          <w:bCs/>
          <w:sz w:val="24"/>
          <w:szCs w:val="24"/>
        </w:rPr>
        <w:t>to high dose azithromycin (5mg/kg/dose vs 15mg/kg/dose)</w:t>
      </w:r>
      <w:r w:rsidR="00D12F0A" w:rsidRPr="00A80BFA">
        <w:rPr>
          <w:rFonts w:ascii="Times New Roman" w:hAnsi="Times New Roman" w:cs="Times New Roman"/>
          <w:bCs/>
          <w:sz w:val="24"/>
          <w:szCs w:val="24"/>
        </w:rPr>
        <w:t xml:space="preserve"> in children with CF</w:t>
      </w:r>
      <w:r w:rsidR="004D15A3" w:rsidRPr="00A80BFA">
        <w:rPr>
          <w:rFonts w:ascii="Times New Roman" w:hAnsi="Times New Roman" w:cs="Times New Roman"/>
          <w:bCs/>
          <w:sz w:val="24"/>
          <w:szCs w:val="24"/>
        </w:rPr>
        <w:t xml:space="preserve"> </w:t>
      </w:r>
      <w:r w:rsidR="004D15A3" w:rsidRPr="00A80BFA">
        <w:rPr>
          <w:rFonts w:ascii="Times New Roman" w:hAnsi="Times New Roman" w:cs="Times New Roman"/>
          <w:bCs/>
          <w:sz w:val="24"/>
          <w:szCs w:val="24"/>
        </w:rPr>
        <w:fldChar w:fldCharType="begin">
          <w:fldData xml:space="preserve">PEVuZE5vdGU+PENpdGU+PEF1dGhvcj5LYWJyYTwvQXV0aG9yPjxZZWFyPjIwMTA8L1llYXI+PFJl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=
</w:fldData>
        </w:fldChar>
      </w:r>
      <w:r w:rsidR="00EE22EB" w:rsidRPr="00A80BFA">
        <w:rPr>
          <w:rFonts w:ascii="Times New Roman" w:hAnsi="Times New Roman" w:cs="Times New Roman"/>
          <w:bCs/>
          <w:sz w:val="24"/>
          <w:szCs w:val="24"/>
        </w:rPr>
        <w:instrText xml:space="preserve"> ADDIN EN.CITE </w:instrText>
      </w:r>
      <w:r w:rsidR="00EE22EB" w:rsidRPr="00A80BFA">
        <w:rPr>
          <w:rFonts w:ascii="Times New Roman" w:hAnsi="Times New Roman" w:cs="Times New Roman"/>
          <w:bCs/>
          <w:sz w:val="24"/>
          <w:szCs w:val="24"/>
        </w:rPr>
        <w:fldChar w:fldCharType="begin">
          <w:fldData xml:space="preserve">PEVuZE5vdGU+PENpdGU+PEF1dGhvcj5LYWJyYTwvQXV0aG9yPjxZZWFyPjIwMTA8L1llYXI+PFJl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=
</w:fldData>
        </w:fldChar>
      </w:r>
      <w:r w:rsidR="00EE22EB" w:rsidRPr="00A80BFA">
        <w:rPr>
          <w:rFonts w:ascii="Times New Roman" w:hAnsi="Times New Roman" w:cs="Times New Roman"/>
          <w:bCs/>
          <w:sz w:val="24"/>
          <w:szCs w:val="24"/>
        </w:rPr>
        <w:instrText xml:space="preserve"> ADDIN EN.CITE.DATA </w:instrText>
      </w:r>
      <w:r w:rsidR="00EE22EB" w:rsidRPr="00A80BFA">
        <w:rPr>
          <w:rFonts w:ascii="Times New Roman" w:hAnsi="Times New Roman" w:cs="Times New Roman"/>
          <w:bCs/>
          <w:sz w:val="24"/>
          <w:szCs w:val="24"/>
        </w:rPr>
      </w:r>
      <w:r w:rsidR="00EE22EB" w:rsidRPr="00A80BFA">
        <w:rPr>
          <w:rFonts w:ascii="Times New Roman" w:hAnsi="Times New Roman" w:cs="Times New Roman"/>
          <w:bCs/>
          <w:sz w:val="24"/>
          <w:szCs w:val="24"/>
        </w:rPr>
        <w:fldChar w:fldCharType="end"/>
      </w:r>
      <w:r w:rsidR="004D15A3" w:rsidRPr="00A80BFA">
        <w:rPr>
          <w:rFonts w:ascii="Times New Roman" w:hAnsi="Times New Roman" w:cs="Times New Roman"/>
          <w:bCs/>
          <w:sz w:val="24"/>
          <w:szCs w:val="24"/>
        </w:rPr>
      </w:r>
      <w:r w:rsidR="004D15A3" w:rsidRPr="00A80BFA">
        <w:rPr>
          <w:rFonts w:ascii="Times New Roman" w:hAnsi="Times New Roman" w:cs="Times New Roman"/>
          <w:bCs/>
          <w:sz w:val="24"/>
          <w:szCs w:val="24"/>
        </w:rPr>
        <w:fldChar w:fldCharType="separate"/>
      </w:r>
      <w:r w:rsidR="00EE22EB" w:rsidRPr="00A80BFA">
        <w:rPr>
          <w:rFonts w:ascii="Times New Roman" w:hAnsi="Times New Roman" w:cs="Times New Roman"/>
          <w:bCs/>
          <w:noProof/>
          <w:sz w:val="24"/>
          <w:szCs w:val="24"/>
        </w:rPr>
        <w:t>(Kabra et al., 2010)</w:t>
      </w:r>
      <w:r w:rsidR="004D15A3" w:rsidRPr="00A80BFA">
        <w:rPr>
          <w:rFonts w:ascii="Times New Roman" w:hAnsi="Times New Roman" w:cs="Times New Roman"/>
          <w:bCs/>
          <w:sz w:val="24"/>
          <w:szCs w:val="24"/>
        </w:rPr>
        <w:fldChar w:fldCharType="end"/>
      </w:r>
      <w:r w:rsidR="004D15A3" w:rsidRPr="00A80BFA">
        <w:rPr>
          <w:rFonts w:ascii="Times New Roman" w:hAnsi="Times New Roman" w:cs="Times New Roman"/>
          <w:bCs/>
          <w:sz w:val="24"/>
          <w:szCs w:val="24"/>
        </w:rPr>
        <w:t>.</w:t>
      </w:r>
    </w:p>
    <w:p w14:paraId="229FDF34" w14:textId="57D9BDE6" w:rsidR="009F27B7" w:rsidRPr="00A80BFA" w:rsidRDefault="00D12F0A">
      <w:pPr>
        <w:pStyle w:val="ListParagraph"/>
        <w:numPr>
          <w:ilvl w:val="0"/>
          <w:numId w:val="26"/>
        </w:numPr>
        <w:spacing w:line="360" w:lineRule="auto"/>
        <w:ind w:left="714" w:hanging="357"/>
        <w:rPr>
          <w:rFonts w:ascii="Times New Roman" w:hAnsi="Times New Roman" w:cs="Times New Roman"/>
          <w:sz w:val="24"/>
          <w:szCs w:val="24"/>
        </w:rPr>
      </w:pPr>
      <w:r w:rsidRPr="00A80BFA">
        <w:rPr>
          <w:rFonts w:ascii="Times New Roman" w:hAnsi="Times New Roman" w:cs="Times New Roman"/>
          <w:bCs/>
          <w:sz w:val="24"/>
          <w:szCs w:val="24"/>
        </w:rPr>
        <w:t>Daily (250mg) vs once weekly (1200mg) azithromycin in children and adults with CF</w:t>
      </w:r>
      <w:r w:rsidR="004D15A3" w:rsidRPr="00A80BFA">
        <w:rPr>
          <w:rFonts w:ascii="Times New Roman" w:hAnsi="Times New Roman" w:cs="Times New Roman"/>
          <w:bCs/>
          <w:sz w:val="24"/>
          <w:szCs w:val="24"/>
        </w:rPr>
        <w:t xml:space="preserve"> </w:t>
      </w:r>
      <w:r w:rsidR="004D15A3" w:rsidRPr="00A80BFA">
        <w:rPr>
          <w:rFonts w:ascii="Times New Roman" w:hAnsi="Times New Roman" w:cs="Times New Roman"/>
          <w:bCs/>
          <w:sz w:val="24"/>
          <w:szCs w:val="24"/>
        </w:rPr>
        <w:fldChar w:fldCharType="begin"/>
      </w:r>
      <w:r w:rsidR="00EE22EB" w:rsidRPr="00A80BFA">
        <w:rPr>
          <w:rFonts w:ascii="Times New Roman" w:hAnsi="Times New Roman" w:cs="Times New Roman"/>
          <w:bCs/>
          <w:sz w:val="24"/>
          <w:szCs w:val="24"/>
        </w:rPr>
        <w:instrText xml:space="preserve"> ADDIN EN.CITE &lt;EndNote&gt;&lt;Cite&gt;&lt;Author&gt;McCormack&lt;/Author&gt;&lt;Year&gt;2007&lt;/Year&gt;&lt;RecNum&gt;18&lt;/RecNum&gt;&lt;DisplayText&gt;(McCormack et al., 2007)&lt;/DisplayText&gt;&lt;record&gt;&lt;rec-number&gt;18&lt;/rec-number&gt;&lt;foreign-keys&gt;&lt;key app="EN" db-id="pr9rwt2w8padxcerwx6prd0a9wtda2w5fw2t" timestamp="1616079199"&gt;18&lt;/key&gt;&lt;/foreign-keys&gt;&lt;ref-type name="Journal Article"&gt;17&lt;/ref-type&gt;&lt;contributors&gt;&lt;authors&gt;&lt;author&gt;McCormack, J.&lt;/author&gt;&lt;author&gt;Bell, S.&lt;/author&gt;&lt;author&gt;Senini, S.&lt;/author&gt;&lt;author&gt;Walmsley, K.&lt;/author&gt;&lt;author&gt;Patel, K.&lt;/author&gt;&lt;author&gt;Wainwright, C.&lt;/author&gt;&lt;author&gt;Serisier, D.&lt;/author&gt;&lt;author&gt;Harris, M.&lt;/author&gt;&lt;author&gt;Bowler, S.&lt;/author&gt;&lt;/authors&gt;&lt;/contributors&gt;&lt;titles&gt;&lt;title&gt;Daily versus weekly azithromycin in cystic fibrosis patients&lt;/title&gt;&lt;secondary-title&gt;European Respiratory Journal&lt;/secondary-title&gt;&lt;/titles&gt;&lt;periodical&gt;&lt;full-title&gt;European Respiratory Journal&lt;/full-title&gt;&lt;/periodical&gt;&lt;pages&gt;487-495&lt;/pages&gt;&lt;volume&gt;30&lt;/volume&gt;&lt;number&gt;3&lt;/number&gt;&lt;dates&gt;&lt;year&gt;2007&lt;/year&gt;&lt;/dates&gt;&lt;urls&gt;&lt;related-urls&gt;&lt;url&gt;https://erj.ersjournals.com/content/erj/30/3/487.full.pdf&lt;/url&gt;&lt;/related-urls&gt;&lt;/urls&gt;&lt;electronic-resource-num&gt;10.1183/09031936.00163306&lt;/electronic-resource-num&gt;&lt;/record&gt;&lt;/Cite&gt;&lt;/EndNote&gt;</w:instrText>
      </w:r>
      <w:r w:rsidR="004D15A3" w:rsidRPr="00A80BFA">
        <w:rPr>
          <w:rFonts w:ascii="Times New Roman" w:hAnsi="Times New Roman" w:cs="Times New Roman"/>
          <w:bCs/>
          <w:sz w:val="24"/>
          <w:szCs w:val="24"/>
        </w:rPr>
        <w:fldChar w:fldCharType="separate"/>
      </w:r>
      <w:r w:rsidR="00EE22EB" w:rsidRPr="00A80BFA">
        <w:rPr>
          <w:rFonts w:ascii="Times New Roman" w:hAnsi="Times New Roman" w:cs="Times New Roman"/>
          <w:bCs/>
          <w:noProof/>
          <w:sz w:val="24"/>
          <w:szCs w:val="24"/>
        </w:rPr>
        <w:t>(McCormack et al., 2007)</w:t>
      </w:r>
      <w:r w:rsidR="004D15A3" w:rsidRPr="00A80BFA">
        <w:rPr>
          <w:rFonts w:ascii="Times New Roman" w:hAnsi="Times New Roman" w:cs="Times New Roman"/>
          <w:bCs/>
          <w:sz w:val="24"/>
          <w:szCs w:val="24"/>
        </w:rPr>
        <w:fldChar w:fldCharType="end"/>
      </w:r>
      <w:r w:rsidR="004D15A3" w:rsidRPr="00A80BFA">
        <w:rPr>
          <w:rFonts w:ascii="Times New Roman" w:hAnsi="Times New Roman" w:cs="Times New Roman"/>
          <w:bCs/>
          <w:sz w:val="24"/>
          <w:szCs w:val="24"/>
        </w:rPr>
        <w:t>.</w:t>
      </w:r>
    </w:p>
    <w:p w14:paraId="1F163EBC" w14:textId="654DABEF" w:rsidR="00AA30D4" w:rsidRPr="00A80BFA" w:rsidRDefault="00D12F0A" w:rsidP="00B751E5">
      <w:pPr>
        <w:spacing w:after="160" w:line="360" w:lineRule="auto"/>
      </w:pPr>
      <w:r>
        <w:t>It is not known whether a low dose regimen would be as efficacious as the</w:t>
      </w:r>
      <w:r w:rsidR="00066AC0">
        <w:t xml:space="preserve"> </w:t>
      </w:r>
      <w:r>
        <w:t>standard dosing regimen of 10mg/kg/ dose thrice weekly</w:t>
      </w:r>
      <w:r w:rsidR="00980366">
        <w:t xml:space="preserve"> as recommended in the British National Formulary for children</w:t>
      </w:r>
      <w:r>
        <w:t xml:space="preserve">. A lower dose may have less impact on the microbiome and </w:t>
      </w:r>
      <w:proofErr w:type="spellStart"/>
      <w:r>
        <w:t>resistome</w:t>
      </w:r>
      <w:proofErr w:type="spellEnd"/>
      <w:r>
        <w:t xml:space="preserve"> as well a</w:t>
      </w:r>
      <w:r w:rsidR="00781F70">
        <w:t>s</w:t>
      </w:r>
      <w:r>
        <w:t xml:space="preserve"> reducing the </w:t>
      </w:r>
      <w:r w:rsidR="00066AC0">
        <w:t xml:space="preserve">occurrence of </w:t>
      </w:r>
      <w:r>
        <w:t>direct side effect</w:t>
      </w:r>
      <w:r w:rsidR="00066AC0">
        <w:t>s</w:t>
      </w:r>
      <w:r>
        <w:t xml:space="preserve">. </w:t>
      </w:r>
      <w:r w:rsidR="009E35F1">
        <w:t xml:space="preserve">In order to </w:t>
      </w:r>
      <w:r w:rsidR="001F32EB">
        <w:t xml:space="preserve">develop this idea further, I drafted the first sections of a multi-centre, double blind, randomised comparison clinical trial protocol to test the hypothesis that low </w:t>
      </w:r>
      <w:r w:rsidR="001F32EB" w:rsidRPr="001F32EB">
        <w:t xml:space="preserve">dose long-term azithromycin (5mg/kg/dose thrice weekly) is not inferior to usual dose long-term azithromycin (10mg/kg/dose thrice weekly) in reducing pulmonary </w:t>
      </w:r>
      <w:r w:rsidR="001F32EB" w:rsidRPr="001F32EB">
        <w:lastRenderedPageBreak/>
        <w:t xml:space="preserve">exacerbations and has less impact on the nasopharyngeal and intestinal microbiome and </w:t>
      </w:r>
      <w:proofErr w:type="spellStart"/>
      <w:r w:rsidR="001F32EB" w:rsidRPr="001F32EB">
        <w:t>resistomes</w:t>
      </w:r>
      <w:proofErr w:type="spellEnd"/>
      <w:r w:rsidR="00365552">
        <w:t xml:space="preserve"> (</w:t>
      </w:r>
      <w:r w:rsidR="00066AC0">
        <w:t xml:space="preserve">see </w:t>
      </w:r>
      <w:r w:rsidR="00365552">
        <w:t xml:space="preserve">appendix </w:t>
      </w:r>
      <w:r w:rsidR="00800891">
        <w:t>12</w:t>
      </w:r>
      <w:r w:rsidR="00365552">
        <w:t>)</w:t>
      </w:r>
      <w:r w:rsidR="001F32EB" w:rsidRPr="001F32EB">
        <w:t>.</w:t>
      </w:r>
      <w:r w:rsidR="00066AC0">
        <w:t xml:space="preserve"> </w:t>
      </w:r>
      <w:r w:rsidR="001F32EB">
        <w:t xml:space="preserve">In order to </w:t>
      </w:r>
      <w:r w:rsidR="00365552">
        <w:t xml:space="preserve">ensure the study design was appropriate and for statistical advice, I met with the NIHR research design team. A non-inferior trial would be the design of choice, however, it would require 800-900 participants. The primary outcome chosen was the best option. The use of a different primary outcome and study design to answer the clinical question would compromise the credibility of the study on completion. </w:t>
      </w:r>
      <w:r w:rsidR="00066AC0">
        <w:t>A</w:t>
      </w:r>
      <w:r w:rsidR="00365552">
        <w:t xml:space="preserve"> study of this magnitude would require </w:t>
      </w:r>
      <w:r w:rsidR="00066AC0">
        <w:t xml:space="preserve">multi-centre participation and </w:t>
      </w:r>
      <w:r w:rsidR="00365552">
        <w:t xml:space="preserve">a large grant </w:t>
      </w:r>
      <w:r w:rsidR="00066AC0">
        <w:t>would need to be obtained to fund such an endeavour. I</w:t>
      </w:r>
      <w:r w:rsidR="00365552">
        <w:t xml:space="preserve">n order to be </w:t>
      </w:r>
      <w:r w:rsidR="00066AC0">
        <w:t>competitive to obtain such</w:t>
      </w:r>
      <w:r w:rsidR="00365552">
        <w:t xml:space="preserve"> funding, a number of </w:t>
      </w:r>
      <w:r w:rsidR="00365552" w:rsidRPr="00A80BFA">
        <w:t>uncertainties would have to be first addressed:</w:t>
      </w:r>
    </w:p>
    <w:p w14:paraId="44AE4037" w14:textId="522C0418" w:rsidR="00365552" w:rsidRPr="00A80BFA" w:rsidRDefault="00376DB9">
      <w:pPr>
        <w:pStyle w:val="ListParagraph"/>
        <w:numPr>
          <w:ilvl w:val="0"/>
          <w:numId w:val="27"/>
        </w:numPr>
        <w:spacing w:after="0" w:line="360" w:lineRule="auto"/>
        <w:rPr>
          <w:rFonts w:ascii="Times New Roman" w:hAnsi="Times New Roman" w:cs="Times New Roman"/>
          <w:sz w:val="24"/>
          <w:szCs w:val="24"/>
        </w:rPr>
      </w:pPr>
      <w:r w:rsidRPr="00A80BFA">
        <w:rPr>
          <w:rFonts w:ascii="Times New Roman" w:hAnsi="Times New Roman" w:cs="Times New Roman"/>
          <w:sz w:val="24"/>
          <w:szCs w:val="24"/>
        </w:rPr>
        <w:t xml:space="preserve">Does low dose long-term </w:t>
      </w:r>
      <w:r w:rsidR="00066AC0" w:rsidRPr="00A80BFA">
        <w:rPr>
          <w:rFonts w:ascii="Times New Roman" w:hAnsi="Times New Roman" w:cs="Times New Roman"/>
          <w:sz w:val="24"/>
          <w:szCs w:val="24"/>
        </w:rPr>
        <w:t xml:space="preserve">azithromycin </w:t>
      </w:r>
      <w:r w:rsidRPr="00A80BFA">
        <w:rPr>
          <w:rFonts w:ascii="Times New Roman" w:hAnsi="Times New Roman" w:cs="Times New Roman"/>
          <w:sz w:val="24"/>
          <w:szCs w:val="24"/>
        </w:rPr>
        <w:t>reduce the impact on the microbiome and thus potentially providing a basis for superiority?</w:t>
      </w:r>
    </w:p>
    <w:p w14:paraId="63531AD7" w14:textId="0FFC4C7C" w:rsidR="00376DB9" w:rsidRPr="00A80BFA" w:rsidRDefault="00376DB9">
      <w:pPr>
        <w:pStyle w:val="ListParagraph"/>
        <w:numPr>
          <w:ilvl w:val="0"/>
          <w:numId w:val="27"/>
        </w:numPr>
        <w:spacing w:after="0" w:line="360" w:lineRule="auto"/>
        <w:rPr>
          <w:rFonts w:ascii="Times New Roman" w:hAnsi="Times New Roman" w:cs="Times New Roman"/>
          <w:sz w:val="24"/>
          <w:szCs w:val="24"/>
        </w:rPr>
      </w:pPr>
      <w:r w:rsidRPr="00A80BFA">
        <w:rPr>
          <w:rFonts w:ascii="Times New Roman" w:hAnsi="Times New Roman" w:cs="Times New Roman"/>
          <w:sz w:val="24"/>
          <w:szCs w:val="24"/>
        </w:rPr>
        <w:t>What is the potential efficacy of low dose long-term azithromycin?</w:t>
      </w:r>
    </w:p>
    <w:p w14:paraId="185D1DCE" w14:textId="78FF1E1C" w:rsidR="00F323F6" w:rsidRPr="00A80BFA" w:rsidRDefault="00376DB9">
      <w:pPr>
        <w:pStyle w:val="ListParagraph"/>
        <w:numPr>
          <w:ilvl w:val="0"/>
          <w:numId w:val="27"/>
        </w:numPr>
        <w:spacing w:line="360" w:lineRule="auto"/>
        <w:ind w:left="714" w:hanging="357"/>
        <w:rPr>
          <w:rFonts w:ascii="Times New Roman" w:hAnsi="Times New Roman" w:cs="Times New Roman"/>
        </w:rPr>
      </w:pPr>
      <w:r w:rsidRPr="00A80BFA">
        <w:rPr>
          <w:rFonts w:ascii="Times New Roman" w:hAnsi="Times New Roman" w:cs="Times New Roman"/>
          <w:sz w:val="24"/>
          <w:szCs w:val="24"/>
        </w:rPr>
        <w:t xml:space="preserve">What is the acceptability of low dose long-term </w:t>
      </w:r>
      <w:r w:rsidR="00066AC0" w:rsidRPr="00A80BFA">
        <w:rPr>
          <w:rFonts w:ascii="Times New Roman" w:hAnsi="Times New Roman" w:cs="Times New Roman"/>
          <w:sz w:val="24"/>
          <w:szCs w:val="24"/>
        </w:rPr>
        <w:t xml:space="preserve">azithromycin </w:t>
      </w:r>
      <w:r w:rsidRPr="00A80BFA">
        <w:rPr>
          <w:rFonts w:ascii="Times New Roman" w:hAnsi="Times New Roman" w:cs="Times New Roman"/>
          <w:sz w:val="24"/>
          <w:szCs w:val="24"/>
        </w:rPr>
        <w:t>to parents?</w:t>
      </w:r>
    </w:p>
    <w:p w14:paraId="5CA4091D" w14:textId="14C6CC5B" w:rsidR="00781F70" w:rsidRDefault="00E419AC" w:rsidP="00207AA0">
      <w:pPr>
        <w:spacing w:after="160" w:line="360" w:lineRule="auto"/>
      </w:pPr>
      <w:r>
        <w:t xml:space="preserve">In order to address some of these uncertainties, I am exploring a </w:t>
      </w:r>
      <w:r w:rsidR="00066AC0">
        <w:t xml:space="preserve">pilot </w:t>
      </w:r>
      <w:r>
        <w:t xml:space="preserve">4 centre randomised, controlled trial </w:t>
      </w:r>
      <w:r w:rsidR="00066AC0">
        <w:t>to obtain preliminary</w:t>
      </w:r>
      <w:r>
        <w:t xml:space="preserve"> data on long term 5mg/kg/dose </w:t>
      </w:r>
      <w:r w:rsidR="00066AC0">
        <w:t xml:space="preserve">vs 10mg/kg/dose </w:t>
      </w:r>
      <w:r>
        <w:t xml:space="preserve">azithromycin </w:t>
      </w:r>
      <w:r w:rsidR="00066AC0">
        <w:t>in PBB</w:t>
      </w:r>
      <w:r>
        <w:t xml:space="preserve">. </w:t>
      </w:r>
      <w:r w:rsidR="00066AC0">
        <w:t>I also</w:t>
      </w:r>
      <w:r>
        <w:t xml:space="preserve"> propose to investigate the impact of long</w:t>
      </w:r>
      <w:r w:rsidR="00AA30D4">
        <w:t>-</w:t>
      </w:r>
      <w:r>
        <w:t xml:space="preserve">term azithromycin on the nasopharyngeal </w:t>
      </w:r>
      <w:r w:rsidR="00066AC0">
        <w:t xml:space="preserve">and stool </w:t>
      </w:r>
      <w:r>
        <w:t>microbiome</w:t>
      </w:r>
      <w:r w:rsidR="005020C9">
        <w:t xml:space="preserve">/ </w:t>
      </w:r>
      <w:proofErr w:type="spellStart"/>
      <w:r w:rsidR="005020C9">
        <w:t>resistomes</w:t>
      </w:r>
      <w:proofErr w:type="spellEnd"/>
      <w:r w:rsidR="005020C9">
        <w:t>. In collaboration with the gastroenterology team at Sheffield Children’s Hospital we will also look at the impact of 2 weeks of lactulose following cessation of long</w:t>
      </w:r>
      <w:r w:rsidR="00AA30D4">
        <w:t>-</w:t>
      </w:r>
      <w:r w:rsidR="005020C9">
        <w:t xml:space="preserve">term azithromycin to see if the gut microbiome is restored quicker in those exposed to lactulose. </w:t>
      </w:r>
      <w:r w:rsidR="00D911DC">
        <w:t xml:space="preserve">Lactulose is reported to have prebiotic properties and there is emerging evidence that </w:t>
      </w:r>
      <w:r w:rsidR="003664B8">
        <w:t xml:space="preserve">its use </w:t>
      </w:r>
      <w:r w:rsidR="00D911DC">
        <w:t>may re-establish the paediatric gut microbiome</w:t>
      </w:r>
      <w:r w:rsidR="003664B8">
        <w:t xml:space="preserve"> faster than a control group following azithromycin exposure </w:t>
      </w:r>
      <w:r w:rsidR="00ED2D5F">
        <w:fldChar w:fldCharType="begin">
          <w:fldData xml:space="preserve">PEVuZE5vdGU+PENpdGU+PEF1dGhvcj5OaWtvbGFvdTwvQXV0aG9yPjxZZWFyPjIwMjA8L1llYXI+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</w:fldData>
        </w:fldChar>
      </w:r>
      <w:r w:rsidR="00ED2D5F">
        <w:instrText xml:space="preserve"> ADDIN EN.CITE </w:instrText>
      </w:r>
      <w:r w:rsidR="00ED2D5F">
        <w:fldChar w:fldCharType="begin">
          <w:fldData xml:space="preserve">PEVuZE5vdGU+PENpdGU+PEF1dGhvcj5OaWtvbGFvdTwvQXV0aG9yPjxZZWFyPjIwMjA8L1llYXI+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</w:fldData>
        </w:fldChar>
      </w:r>
      <w:r w:rsidR="00ED2D5F">
        <w:instrText xml:space="preserve"> ADDIN EN.CITE.DATA </w:instrText>
      </w:r>
      <w:r w:rsidR="00ED2D5F">
        <w:fldChar w:fldCharType="end"/>
      </w:r>
      <w:r w:rsidR="00ED2D5F">
        <w:fldChar w:fldCharType="separate"/>
      </w:r>
      <w:r w:rsidR="00ED2D5F">
        <w:rPr>
          <w:noProof/>
        </w:rPr>
        <w:t>(Nikolaou et al., 2020)</w:t>
      </w:r>
      <w:r w:rsidR="00ED2D5F">
        <w:fldChar w:fldCharType="end"/>
      </w:r>
      <w:r w:rsidR="003664B8">
        <w:t>.</w:t>
      </w:r>
    </w:p>
    <w:p w14:paraId="7FB5838B" w14:textId="02E238DF" w:rsidR="003A18E6" w:rsidRPr="00F61558" w:rsidRDefault="003A18E6" w:rsidP="00207AA0">
      <w:pPr>
        <w:spacing w:after="160" w:line="360" w:lineRule="auto"/>
        <w:rPr>
          <w:rFonts w:cstheme="minorHAnsi"/>
        </w:rPr>
      </w:pPr>
      <w:r w:rsidRPr="00241369">
        <w:rPr>
          <w:rFonts w:cstheme="minorHAnsi"/>
        </w:rPr>
        <w:t xml:space="preserve">The resistant bacterial isolates found residing within children’s nasopharynxes contribute to a pool of resistance genes that may circulate to a wider community of humans and bacteria through transmission via siblings, nurseries and schools. </w:t>
      </w:r>
      <w:r>
        <w:rPr>
          <w:rFonts w:cstheme="minorHAnsi"/>
        </w:rPr>
        <w:t xml:space="preserve">A further avenue of this study aims to look at the </w:t>
      </w:r>
      <w:proofErr w:type="spellStart"/>
      <w:r>
        <w:rPr>
          <w:rFonts w:cstheme="minorHAnsi"/>
        </w:rPr>
        <w:t>resistome</w:t>
      </w:r>
      <w:proofErr w:type="spellEnd"/>
      <w:r>
        <w:rPr>
          <w:rFonts w:cstheme="minorHAnsi"/>
        </w:rPr>
        <w:t xml:space="preserve"> of parents and siblings in order to assess </w:t>
      </w:r>
      <w:r w:rsidR="00F61558">
        <w:rPr>
          <w:rFonts w:cstheme="minorHAnsi"/>
        </w:rPr>
        <w:t>the potential transfer of resistance genes within the family</w:t>
      </w:r>
      <w:r w:rsidR="00066AC0">
        <w:rPr>
          <w:rFonts w:cstheme="minorHAnsi"/>
        </w:rPr>
        <w:t xml:space="preserve"> environment</w:t>
      </w:r>
      <w:r w:rsidR="00F61558">
        <w:rPr>
          <w:rFonts w:cstheme="minorHAnsi"/>
        </w:rPr>
        <w:t xml:space="preserve">. </w:t>
      </w:r>
    </w:p>
    <w:p w14:paraId="09B2FB9B" w14:textId="7A779D2C" w:rsidR="004C0DE4" w:rsidRDefault="004C0DE4" w:rsidP="00207AA0">
      <w:pPr>
        <w:spacing w:after="160" w:line="360" w:lineRule="auto"/>
      </w:pPr>
      <w:r>
        <w:t xml:space="preserve">A second avenue I have recently explored with the respiratory team was setting up a BMedSci project to collect nasopharyngeal swabs from healthy preschool children with no previous antibiotic exposure.  We aimed to assess the resistance patterns of the nasopharyngeal bacterial </w:t>
      </w:r>
      <w:r>
        <w:lastRenderedPageBreak/>
        <w:t xml:space="preserve">flora and compare to the results we found in children with PBB. Our bid was however unsuccessful on that occasion. </w:t>
      </w:r>
    </w:p>
    <w:p w14:paraId="43628F44" w14:textId="2AD765F2" w:rsidR="00C46579" w:rsidRDefault="00C46579" w:rsidP="00195CC4">
      <w:pPr>
        <w:spacing w:line="360" w:lineRule="auto"/>
        <w:rPr>
          <w:rFonts w:cstheme="minorHAnsi"/>
        </w:rPr>
      </w:pPr>
      <w:r>
        <w:rPr>
          <w:rFonts w:cstheme="minorHAnsi"/>
        </w:rPr>
        <w:t xml:space="preserve">Our results from PBB study 1 have been already been presented to the funders </w:t>
      </w:r>
      <w:r w:rsidRPr="00241369">
        <w:rPr>
          <w:rFonts w:cstheme="minorHAnsi"/>
        </w:rPr>
        <w:t xml:space="preserve">(Antibiotic Research UK) in the form of an oral presentation </w:t>
      </w:r>
      <w:r>
        <w:rPr>
          <w:rFonts w:cstheme="minorHAnsi"/>
        </w:rPr>
        <w:t>at their national conference</w:t>
      </w:r>
      <w:r w:rsidR="003E4527">
        <w:rPr>
          <w:rFonts w:cstheme="minorHAnsi"/>
        </w:rPr>
        <w:t>, as a poster discussion at the annual conference of the European Society for Infectious Diseases</w:t>
      </w:r>
      <w:r>
        <w:rPr>
          <w:rFonts w:cstheme="minorHAnsi"/>
        </w:rPr>
        <w:t xml:space="preserve"> </w:t>
      </w:r>
      <w:r w:rsidRPr="00241369">
        <w:rPr>
          <w:rFonts w:cstheme="minorHAnsi"/>
        </w:rPr>
        <w:t xml:space="preserve">and the findings used </w:t>
      </w:r>
      <w:r w:rsidR="00066AC0">
        <w:rPr>
          <w:rFonts w:cstheme="minorHAnsi"/>
        </w:rPr>
        <w:t>as preliminary data to support a</w:t>
      </w:r>
      <w:r w:rsidRPr="00241369">
        <w:rPr>
          <w:rFonts w:cstheme="minorHAnsi"/>
        </w:rPr>
        <w:t xml:space="preserve"> major grant </w:t>
      </w:r>
      <w:r w:rsidR="00066AC0">
        <w:rPr>
          <w:rFonts w:cstheme="minorHAnsi"/>
        </w:rPr>
        <w:t>application</w:t>
      </w:r>
      <w:r w:rsidR="0066683F">
        <w:rPr>
          <w:rFonts w:cstheme="minorHAnsi"/>
        </w:rPr>
        <w:t xml:space="preserve"> </w:t>
      </w:r>
      <w:r w:rsidRPr="00241369">
        <w:rPr>
          <w:rFonts w:cstheme="minorHAnsi"/>
        </w:rPr>
        <w:t>(Health Protection Research Unit in Antimicrobial Resistance). This bid was unfortunately</w:t>
      </w:r>
      <w:r w:rsidR="00066AC0">
        <w:rPr>
          <w:rFonts w:cstheme="minorHAnsi"/>
        </w:rPr>
        <w:t xml:space="preserve"> ultimately</w:t>
      </w:r>
      <w:r w:rsidRPr="00241369">
        <w:rPr>
          <w:rFonts w:cstheme="minorHAnsi"/>
        </w:rPr>
        <w:t xml:space="preserve"> unsuccessful</w:t>
      </w:r>
      <w:r w:rsidR="00066AC0">
        <w:rPr>
          <w:rFonts w:cstheme="minorHAnsi"/>
        </w:rPr>
        <w:t xml:space="preserve"> although it was one of only 4 such applications to be shortlisted</w:t>
      </w:r>
      <w:r>
        <w:rPr>
          <w:rFonts w:cstheme="minorHAnsi"/>
        </w:rPr>
        <w:t>.</w:t>
      </w:r>
    </w:p>
    <w:p w14:paraId="6DD801A6" w14:textId="77777777" w:rsidR="00DB069C" w:rsidRDefault="00F61558" w:rsidP="00195CC4">
      <w:pPr>
        <w:spacing w:line="360" w:lineRule="auto"/>
        <w:rPr>
          <w:rFonts w:cstheme="minorHAnsi"/>
        </w:rPr>
      </w:pPr>
      <w:r w:rsidRPr="00241369">
        <w:rPr>
          <w:rFonts w:cstheme="minorHAnsi"/>
        </w:rPr>
        <w:t>Th</w:t>
      </w:r>
      <w:r>
        <w:rPr>
          <w:rFonts w:cstheme="minorHAnsi"/>
        </w:rPr>
        <w:t>e</w:t>
      </w:r>
      <w:r w:rsidRPr="00241369">
        <w:rPr>
          <w:rFonts w:cstheme="minorHAnsi"/>
        </w:rPr>
        <w:t xml:space="preserve"> qualitative study </w:t>
      </w:r>
      <w:r>
        <w:rPr>
          <w:rFonts w:cstheme="minorHAnsi"/>
        </w:rPr>
        <w:t xml:space="preserve">has been published in the Archives of Disease in Childhood and the results presented to a group of parents whose children have been prescribed long term azithromycin, as a poster at the annual conference of the European Society for Infectious Diseases and oral presentations to the local infectious disease team and at the local hospital research grand round. </w:t>
      </w:r>
    </w:p>
    <w:p w14:paraId="5E310FB3" w14:textId="72637DA4" w:rsidR="00F61558" w:rsidRDefault="00F61558" w:rsidP="00195CC4">
      <w:pPr>
        <w:spacing w:line="360" w:lineRule="auto"/>
        <w:rPr>
          <w:rFonts w:cstheme="minorHAnsi"/>
        </w:rPr>
      </w:pPr>
      <w:r>
        <w:rPr>
          <w:rFonts w:cstheme="minorHAnsi"/>
        </w:rPr>
        <w:t xml:space="preserve"> </w:t>
      </w:r>
    </w:p>
    <w:p w14:paraId="2EEB233D" w14:textId="39616378" w:rsidR="004E57E2" w:rsidRPr="00241369" w:rsidRDefault="004E57E2" w:rsidP="00897F71">
      <w:pPr>
        <w:pStyle w:val="Heading3"/>
        <w:spacing w:before="0" w:line="360" w:lineRule="auto"/>
      </w:pPr>
      <w:bookmarkStart w:id="327" w:name="_Toc117766021"/>
      <w:r w:rsidRPr="00241369">
        <w:t>Future research that may arise from this work</w:t>
      </w:r>
      <w:bookmarkEnd w:id="327"/>
    </w:p>
    <w:p w14:paraId="49244712" w14:textId="77777777" w:rsidR="00066AC0" w:rsidRDefault="00066AC0" w:rsidP="00207AA0">
      <w:pPr>
        <w:spacing w:after="160" w:line="360" w:lineRule="auto"/>
        <w:rPr>
          <w:rFonts w:cstheme="minorHAnsi"/>
        </w:rPr>
      </w:pPr>
      <w:r w:rsidRPr="00241369">
        <w:rPr>
          <w:rFonts w:cstheme="minorHAnsi"/>
        </w:rPr>
        <w:t>To continue the qualitative aspects of our research, we would like to validate our behavioural model in other cohorts of parents whose children are prescribed long</w:t>
      </w:r>
      <w:r>
        <w:rPr>
          <w:rFonts w:cstheme="minorHAnsi"/>
        </w:rPr>
        <w:t>-</w:t>
      </w:r>
      <w:r w:rsidRPr="00241369">
        <w:rPr>
          <w:rFonts w:cstheme="minorHAnsi"/>
        </w:rPr>
        <w:t xml:space="preserve">term prophylactic antibiotics such as those with cystic fibrosis. The data relating to specific themes and subthemes could now be used in surveys to look at the perceptions of a larger cohort of parents with relation to their views and experiences of prophylactic antibiotics. </w:t>
      </w:r>
    </w:p>
    <w:p w14:paraId="7ABE0947" w14:textId="6FEFFD02" w:rsidR="00817CF2" w:rsidRDefault="00817CF2" w:rsidP="00207AA0">
      <w:pPr>
        <w:spacing w:after="160" w:line="360" w:lineRule="auto"/>
        <w:rPr>
          <w:rFonts w:cstheme="minorHAnsi"/>
        </w:rPr>
      </w:pPr>
      <w:r>
        <w:rPr>
          <w:rFonts w:cstheme="minorHAnsi"/>
        </w:rPr>
        <w:t xml:space="preserve">It is not known whether the high baseline azithromycin resistance found in the </w:t>
      </w:r>
      <w:r w:rsidRPr="00817CF2">
        <w:rPr>
          <w:rFonts w:cstheme="minorHAnsi"/>
          <w:i/>
          <w:iCs/>
        </w:rPr>
        <w:t>S. pneumoniae</w:t>
      </w:r>
      <w:r>
        <w:rPr>
          <w:rFonts w:cstheme="minorHAnsi"/>
        </w:rPr>
        <w:t xml:space="preserve"> isolates is particular to the cohort of children with PBB exposed to multiple courses of antibiotics or whether this represents </w:t>
      </w:r>
      <w:r w:rsidR="00277280">
        <w:rPr>
          <w:rFonts w:cstheme="minorHAnsi"/>
        </w:rPr>
        <w:t xml:space="preserve">the </w:t>
      </w:r>
      <w:r>
        <w:rPr>
          <w:rFonts w:cstheme="minorHAnsi"/>
        </w:rPr>
        <w:t>background azithromycin resistance levels in the wider paediatric population. One approach we ha</w:t>
      </w:r>
      <w:r w:rsidR="00066AC0">
        <w:rPr>
          <w:rFonts w:cstheme="minorHAnsi"/>
        </w:rPr>
        <w:t>ve</w:t>
      </w:r>
      <w:r>
        <w:rPr>
          <w:rFonts w:cstheme="minorHAnsi"/>
        </w:rPr>
        <w:t xml:space="preserve"> considered </w:t>
      </w:r>
      <w:r w:rsidR="00277280">
        <w:rPr>
          <w:rFonts w:cstheme="minorHAnsi"/>
        </w:rPr>
        <w:t xml:space="preserve">to assess this </w:t>
      </w:r>
      <w:r w:rsidR="00066AC0">
        <w:rPr>
          <w:rFonts w:cstheme="minorHAnsi"/>
        </w:rPr>
        <w:t xml:space="preserve">is </w:t>
      </w:r>
      <w:r>
        <w:rPr>
          <w:rFonts w:cstheme="minorHAnsi"/>
        </w:rPr>
        <w:t>to analyse the nasopharyngeal aspirates taken from children with</w:t>
      </w:r>
      <w:r w:rsidR="00066AC0">
        <w:rPr>
          <w:rFonts w:cstheme="minorHAnsi"/>
        </w:rPr>
        <w:t xml:space="preserve"> viral</w:t>
      </w:r>
      <w:r>
        <w:rPr>
          <w:rFonts w:cstheme="minorHAnsi"/>
        </w:rPr>
        <w:t xml:space="preserve"> bronchiolitis</w:t>
      </w:r>
      <w:r w:rsidRPr="00241369">
        <w:rPr>
          <w:rFonts w:cstheme="minorHAnsi"/>
        </w:rPr>
        <w:t xml:space="preserve">. </w:t>
      </w:r>
      <w:r w:rsidR="00066AC0">
        <w:rPr>
          <w:rFonts w:cstheme="minorHAnsi"/>
        </w:rPr>
        <w:t>This is an</w:t>
      </w:r>
      <w:r w:rsidRPr="00241369">
        <w:rPr>
          <w:rFonts w:cstheme="minorHAnsi"/>
        </w:rPr>
        <w:t xml:space="preserve"> extremely common </w:t>
      </w:r>
      <w:r w:rsidR="00066AC0">
        <w:rPr>
          <w:rFonts w:cstheme="minorHAnsi"/>
        </w:rPr>
        <w:t xml:space="preserve">lower respiratory </w:t>
      </w:r>
      <w:r w:rsidR="00C47244">
        <w:rPr>
          <w:rFonts w:cstheme="minorHAnsi"/>
        </w:rPr>
        <w:t>infection</w:t>
      </w:r>
      <w:r w:rsidR="00066AC0">
        <w:rPr>
          <w:rFonts w:cstheme="minorHAnsi"/>
        </w:rPr>
        <w:t xml:space="preserve">, </w:t>
      </w:r>
      <w:r w:rsidRPr="00241369">
        <w:rPr>
          <w:rFonts w:cstheme="minorHAnsi"/>
        </w:rPr>
        <w:t xml:space="preserve">with 1 in 3 children developing bronchiolitis in the first year of life and 2-3% </w:t>
      </w:r>
      <w:r w:rsidR="00066AC0">
        <w:rPr>
          <w:rFonts w:cstheme="minorHAnsi"/>
        </w:rPr>
        <w:t xml:space="preserve">of these </w:t>
      </w:r>
      <w:r w:rsidRPr="00241369">
        <w:rPr>
          <w:rFonts w:cstheme="minorHAnsi"/>
        </w:rPr>
        <w:t>requiring hospitalisation. Nasopharyngeal aspirates are frequently taken from children with bronchiolitis in order to cohort them on hospital wards with regards to the virus detected.  These samples are usually only processed for viral respiratory PCRs. They could however be cultured for potential</w:t>
      </w:r>
      <w:r w:rsidR="00066AC0">
        <w:rPr>
          <w:rFonts w:cstheme="minorHAnsi"/>
        </w:rPr>
        <w:t xml:space="preserve"> bacterial</w:t>
      </w:r>
      <w:r w:rsidRPr="00241369">
        <w:rPr>
          <w:rFonts w:cstheme="minorHAnsi"/>
        </w:rPr>
        <w:t xml:space="preserve"> respiratory pathogens and the isolates tested for </w:t>
      </w:r>
      <w:r w:rsidRPr="00241369">
        <w:rPr>
          <w:rFonts w:cstheme="minorHAnsi"/>
        </w:rPr>
        <w:lastRenderedPageBreak/>
        <w:t xml:space="preserve">azithromycin susceptibility. </w:t>
      </w:r>
      <w:r>
        <w:rPr>
          <w:rFonts w:cstheme="minorHAnsi"/>
        </w:rPr>
        <w:t>This will be explored next winter</w:t>
      </w:r>
      <w:r w:rsidR="00066AC0">
        <w:rPr>
          <w:rFonts w:cstheme="minorHAnsi"/>
        </w:rPr>
        <w:t>,</w:t>
      </w:r>
      <w:r>
        <w:rPr>
          <w:rFonts w:cstheme="minorHAnsi"/>
        </w:rPr>
        <w:t xml:space="preserve"> as testing this year was confounded by rapid testing for COVID</w:t>
      </w:r>
      <w:r w:rsidR="00277280">
        <w:rPr>
          <w:rFonts w:cstheme="minorHAnsi"/>
        </w:rPr>
        <w:t xml:space="preserve"> with nasal swabs</w:t>
      </w:r>
      <w:r>
        <w:rPr>
          <w:rFonts w:cstheme="minorHAnsi"/>
        </w:rPr>
        <w:t xml:space="preserve">. </w:t>
      </w:r>
    </w:p>
    <w:p w14:paraId="5860E4BB" w14:textId="126131ED" w:rsidR="00086DC1" w:rsidRPr="00241369" w:rsidRDefault="00066AC0" w:rsidP="00207AA0">
      <w:pPr>
        <w:spacing w:after="160" w:line="360" w:lineRule="auto"/>
        <w:rPr>
          <w:rFonts w:cstheme="minorHAnsi"/>
        </w:rPr>
      </w:pPr>
      <w:r>
        <w:rPr>
          <w:rFonts w:cstheme="minorHAnsi"/>
        </w:rPr>
        <w:t xml:space="preserve">As noted, the </w:t>
      </w:r>
      <w:r w:rsidR="00817CF2">
        <w:rPr>
          <w:rFonts w:cstheme="minorHAnsi"/>
        </w:rPr>
        <w:t xml:space="preserve">discrepancy between erythromycin and azithromycin susceptibility </w:t>
      </w:r>
      <w:r w:rsidR="00086DC1">
        <w:rPr>
          <w:rFonts w:cstheme="minorHAnsi"/>
        </w:rPr>
        <w:t xml:space="preserve">in </w:t>
      </w:r>
      <w:r w:rsidR="00086DC1" w:rsidRPr="00086DC1">
        <w:rPr>
          <w:rFonts w:cstheme="minorHAnsi"/>
          <w:i/>
          <w:iCs/>
        </w:rPr>
        <w:t>S. pneumoniae</w:t>
      </w:r>
      <w:r w:rsidR="00086DC1">
        <w:rPr>
          <w:rFonts w:cstheme="minorHAnsi"/>
        </w:rPr>
        <w:t xml:space="preserve"> </w:t>
      </w:r>
      <w:r w:rsidR="00817CF2">
        <w:rPr>
          <w:rFonts w:cstheme="minorHAnsi"/>
        </w:rPr>
        <w:t>has clinical implications</w:t>
      </w:r>
      <w:r w:rsidR="00086DC1">
        <w:rPr>
          <w:rFonts w:cstheme="minorHAnsi"/>
        </w:rPr>
        <w:t xml:space="preserve"> of potential treatment failure and promotion of antibiotic resistance. </w:t>
      </w:r>
      <w:r w:rsidR="00D403EB">
        <w:rPr>
          <w:rFonts w:cstheme="minorHAnsi"/>
        </w:rPr>
        <w:t xml:space="preserve">In collaboration with the Health Security Agency, the frozen </w:t>
      </w:r>
      <w:r w:rsidR="00D403EB" w:rsidRPr="00D403EB">
        <w:rPr>
          <w:rFonts w:cstheme="minorHAnsi"/>
          <w:i/>
          <w:iCs/>
        </w:rPr>
        <w:t xml:space="preserve">S. pneumoniae </w:t>
      </w:r>
      <w:r w:rsidR="00D403EB">
        <w:rPr>
          <w:rFonts w:cstheme="minorHAnsi"/>
        </w:rPr>
        <w:t>isolates</w:t>
      </w:r>
      <w:r w:rsidRPr="00066AC0">
        <w:rPr>
          <w:rFonts w:cstheme="minorHAnsi"/>
        </w:rPr>
        <w:t xml:space="preserve"> </w:t>
      </w:r>
      <w:r>
        <w:rPr>
          <w:rFonts w:cstheme="minorHAnsi"/>
        </w:rPr>
        <w:t xml:space="preserve">will be re-cultured and </w:t>
      </w:r>
      <w:r w:rsidR="00D403EB">
        <w:rPr>
          <w:rFonts w:cstheme="minorHAnsi"/>
        </w:rPr>
        <w:t>re</w:t>
      </w:r>
      <w:r>
        <w:rPr>
          <w:rFonts w:cstheme="minorHAnsi"/>
        </w:rPr>
        <w:t>-</w:t>
      </w:r>
      <w:r w:rsidR="00D403EB">
        <w:rPr>
          <w:rFonts w:cstheme="minorHAnsi"/>
        </w:rPr>
        <w:t xml:space="preserve">tested to azithromycin and erythromycin using a variety of different brands of E-test strips. Further analysis into the </w:t>
      </w:r>
      <w:r>
        <w:rPr>
          <w:rFonts w:cstheme="minorHAnsi"/>
        </w:rPr>
        <w:t xml:space="preserve">possible </w:t>
      </w:r>
      <w:r w:rsidR="00D403EB">
        <w:rPr>
          <w:rFonts w:cstheme="minorHAnsi"/>
        </w:rPr>
        <w:t>effects of CO</w:t>
      </w:r>
      <w:r w:rsidR="00D403EB" w:rsidRPr="00D403EB">
        <w:rPr>
          <w:rFonts w:cstheme="minorHAnsi"/>
          <w:vertAlign w:val="subscript"/>
        </w:rPr>
        <w:t>2</w:t>
      </w:r>
      <w:r w:rsidR="00D403EB">
        <w:rPr>
          <w:rFonts w:cstheme="minorHAnsi"/>
        </w:rPr>
        <w:t xml:space="preserve"> </w:t>
      </w:r>
      <w:r>
        <w:rPr>
          <w:rFonts w:cstheme="minorHAnsi"/>
        </w:rPr>
        <w:t xml:space="preserve">during culture </w:t>
      </w:r>
      <w:r w:rsidR="00D403EB">
        <w:rPr>
          <w:rFonts w:cstheme="minorHAnsi"/>
        </w:rPr>
        <w:t xml:space="preserve">may also be </w:t>
      </w:r>
      <w:r>
        <w:rPr>
          <w:rFonts w:cstheme="minorHAnsi"/>
        </w:rPr>
        <w:t>conducted,</w:t>
      </w:r>
      <w:r w:rsidR="00D403EB">
        <w:rPr>
          <w:rFonts w:cstheme="minorHAnsi"/>
        </w:rPr>
        <w:t xml:space="preserve"> as well as testing other macrolides such as clarithromycin. </w:t>
      </w:r>
      <w:r>
        <w:rPr>
          <w:rFonts w:cstheme="minorHAnsi"/>
        </w:rPr>
        <w:t>To</w:t>
      </w:r>
      <w:r w:rsidR="00086DC1">
        <w:rPr>
          <w:rFonts w:cstheme="minorHAnsi"/>
        </w:rPr>
        <w:t xml:space="preserve"> investigate the </w:t>
      </w:r>
      <w:r>
        <w:rPr>
          <w:rFonts w:cstheme="minorHAnsi"/>
        </w:rPr>
        <w:t>mechanism(s) underlying</w:t>
      </w:r>
      <w:r w:rsidR="00086DC1">
        <w:rPr>
          <w:rFonts w:cstheme="minorHAnsi"/>
        </w:rPr>
        <w:t xml:space="preserve"> this finding, a project could be undertaken to look at the intracellular concentrations of different macrolides in </w:t>
      </w:r>
      <w:r w:rsidR="00086DC1" w:rsidRPr="00086DC1">
        <w:rPr>
          <w:rFonts w:cstheme="minorHAnsi"/>
          <w:i/>
          <w:iCs/>
        </w:rPr>
        <w:t>S. pneumoniae</w:t>
      </w:r>
      <w:r w:rsidR="00086DC1">
        <w:rPr>
          <w:rFonts w:cstheme="minorHAnsi"/>
        </w:rPr>
        <w:t xml:space="preserve">. </w:t>
      </w:r>
      <w:r w:rsidR="00277280">
        <w:rPr>
          <w:rFonts w:cstheme="minorHAnsi"/>
        </w:rPr>
        <w:t xml:space="preserve">Examining the movement of intracellular macrolides may allow insight into how this species handles different macrolides in terms of bacterial permeability and use of efflux pumps. </w:t>
      </w:r>
      <w:r w:rsidR="00BF5E83">
        <w:rPr>
          <w:rFonts w:cstheme="minorHAnsi"/>
        </w:rPr>
        <w:t xml:space="preserve">Additional investigations </w:t>
      </w:r>
      <w:r>
        <w:rPr>
          <w:rFonts w:cstheme="minorHAnsi"/>
        </w:rPr>
        <w:t xml:space="preserve">might include assessing the bacterial </w:t>
      </w:r>
      <w:r w:rsidR="00BF5E83">
        <w:rPr>
          <w:rFonts w:cstheme="minorHAnsi"/>
        </w:rPr>
        <w:t>transcript</w:t>
      </w:r>
      <w:r>
        <w:rPr>
          <w:rFonts w:cstheme="minorHAnsi"/>
        </w:rPr>
        <w:t>ome,</w:t>
      </w:r>
      <w:r w:rsidR="00BF5E83">
        <w:rPr>
          <w:rFonts w:cstheme="minorHAnsi"/>
        </w:rPr>
        <w:t xml:space="preserve"> for </w:t>
      </w:r>
      <w:r>
        <w:rPr>
          <w:rFonts w:cstheme="minorHAnsi"/>
        </w:rPr>
        <w:t xml:space="preserve">example looking at the impact of </w:t>
      </w:r>
      <w:r w:rsidR="00BF5E83">
        <w:rPr>
          <w:rFonts w:cstheme="minorHAnsi"/>
        </w:rPr>
        <w:t xml:space="preserve">stress response </w:t>
      </w:r>
      <w:r>
        <w:rPr>
          <w:rFonts w:cstheme="minorHAnsi"/>
        </w:rPr>
        <w:t xml:space="preserve">but also looking at the role of </w:t>
      </w:r>
      <w:r w:rsidR="00BF5E83">
        <w:rPr>
          <w:rFonts w:cstheme="minorHAnsi"/>
        </w:rPr>
        <w:t>other genes</w:t>
      </w:r>
      <w:r>
        <w:rPr>
          <w:rFonts w:cstheme="minorHAnsi"/>
        </w:rPr>
        <w:t xml:space="preserve"> in an unbiased fashion</w:t>
      </w:r>
      <w:r w:rsidR="00BF5E83">
        <w:rPr>
          <w:rFonts w:cstheme="minorHAnsi"/>
        </w:rPr>
        <w:t xml:space="preserve">. </w:t>
      </w:r>
      <w:r w:rsidR="00277280">
        <w:rPr>
          <w:rFonts w:cstheme="minorHAnsi"/>
        </w:rPr>
        <w:t xml:space="preserve">The hypothetical protein we identified in the highly resistant </w:t>
      </w:r>
      <w:r w:rsidR="00277280" w:rsidRPr="0035003C">
        <w:rPr>
          <w:rFonts w:cstheme="minorHAnsi"/>
          <w:i/>
          <w:iCs/>
        </w:rPr>
        <w:t>S. pneumoniae</w:t>
      </w:r>
      <w:r w:rsidR="00277280">
        <w:rPr>
          <w:rFonts w:cstheme="minorHAnsi"/>
        </w:rPr>
        <w:t xml:space="preserve"> isolates with varying macrolide resistance genes </w:t>
      </w:r>
      <w:r w:rsidR="0035003C">
        <w:rPr>
          <w:rFonts w:cstheme="minorHAnsi"/>
        </w:rPr>
        <w:t xml:space="preserve">also </w:t>
      </w:r>
      <w:r w:rsidR="00277280">
        <w:rPr>
          <w:rFonts w:cstheme="minorHAnsi"/>
        </w:rPr>
        <w:t xml:space="preserve">warrants further </w:t>
      </w:r>
      <w:r w:rsidR="0035003C">
        <w:rPr>
          <w:rFonts w:cstheme="minorHAnsi"/>
        </w:rPr>
        <w:t xml:space="preserve">research. Investigating the role, location and frequency of this protein may improve the knowledge of other mechanisms that promote high level </w:t>
      </w:r>
      <w:r w:rsidR="0035003C" w:rsidRPr="0035003C">
        <w:rPr>
          <w:rFonts w:cstheme="minorHAnsi"/>
          <w:i/>
          <w:iCs/>
        </w:rPr>
        <w:t xml:space="preserve">S. pneumoniae </w:t>
      </w:r>
      <w:r w:rsidR="0035003C">
        <w:rPr>
          <w:rFonts w:cstheme="minorHAnsi"/>
        </w:rPr>
        <w:t xml:space="preserve">macrolide resistance. </w:t>
      </w:r>
    </w:p>
    <w:p w14:paraId="58172F83" w14:textId="7A5474F2" w:rsidR="0076223A" w:rsidRPr="008F33C8" w:rsidRDefault="0035003C" w:rsidP="001D04B2">
      <w:pPr>
        <w:spacing w:line="360" w:lineRule="auto"/>
        <w:rPr>
          <w:rFonts w:cstheme="minorHAnsi"/>
        </w:rPr>
      </w:pPr>
      <w:r>
        <w:rPr>
          <w:rFonts w:cstheme="minorHAnsi"/>
        </w:rPr>
        <w:t xml:space="preserve">The use of antimicrobials must be appropriate and balanced to ensure adequate treatment of clinical conditions </w:t>
      </w:r>
      <w:r w:rsidR="003806D6">
        <w:rPr>
          <w:rFonts w:cstheme="minorHAnsi"/>
        </w:rPr>
        <w:t>yet to minimise both side-effects for the individual and population as a whole. Some of the potential side effects such as the development of antibiotic resistance are known but others such as the longer term effects of the microbiome disruption are still to be fully understood. It is hoped that our continuing research will allow further insights into this issue.</w:t>
      </w:r>
      <w:r w:rsidR="0076223A">
        <w:rPr>
          <w:rFonts w:cstheme="minorHAnsi"/>
        </w:rPr>
        <w:br w:type="page"/>
      </w:r>
    </w:p>
    <w:p w14:paraId="0C869554" w14:textId="77777777" w:rsidR="00587CD0" w:rsidRPr="00541066" w:rsidRDefault="00A2740F" w:rsidP="00587CD0">
      <w:pPr>
        <w:pStyle w:val="Heading1"/>
        <w:rPr>
          <w:b/>
        </w:rPr>
      </w:pPr>
      <w:bookmarkStart w:id="328" w:name="_Toc117766022"/>
      <w:r w:rsidRPr="00541066">
        <w:rPr>
          <w:b/>
        </w:rPr>
        <w:lastRenderedPageBreak/>
        <w:t>References</w:t>
      </w:r>
      <w:bookmarkEnd w:id="328"/>
    </w:p>
    <w:p w14:paraId="4B23CDF8" w14:textId="66854E9E" w:rsidR="00346D5E" w:rsidRPr="00346D5E" w:rsidRDefault="00587CD0" w:rsidP="00346D5E">
      <w:pPr>
        <w:pStyle w:val="EndNoteBibliography"/>
        <w:spacing w:after="0"/>
        <w:ind w:left="720" w:hanging="720"/>
      </w:pPr>
      <w:r w:rsidRPr="001834DE">
        <w:rPr>
          <w:rFonts w:cstheme="minorBidi"/>
          <w:sz w:val="24"/>
          <w:szCs w:val="24"/>
        </w:rPr>
        <w:fldChar w:fldCharType="begin"/>
      </w:r>
      <w:r w:rsidRPr="001834DE">
        <w:rPr>
          <w:sz w:val="24"/>
          <w:szCs w:val="24"/>
        </w:rPr>
        <w:instrText xml:space="preserve"> ADDIN EN.REFLIST </w:instrText>
      </w:r>
      <w:r w:rsidRPr="001834DE">
        <w:rPr>
          <w:rFonts w:cstheme="minorBidi"/>
          <w:sz w:val="24"/>
          <w:szCs w:val="24"/>
        </w:rPr>
        <w:fldChar w:fldCharType="separate"/>
      </w:r>
      <w:r w:rsidR="00346D5E" w:rsidRPr="00346D5E">
        <w:t xml:space="preserve">Aarthun, A., &amp; Akerjordet, K. (2014). Parent participation in decision-making in health-care services for children: an integrative review. </w:t>
      </w:r>
      <w:r w:rsidR="00346D5E" w:rsidRPr="00346D5E">
        <w:rPr>
          <w:i/>
        </w:rPr>
        <w:t>J Nurs Manag</w:t>
      </w:r>
      <w:r w:rsidR="00346D5E" w:rsidRPr="00346D5E">
        <w:t>,</w:t>
      </w:r>
      <w:r w:rsidR="00346D5E" w:rsidRPr="00346D5E">
        <w:rPr>
          <w:i/>
        </w:rPr>
        <w:t xml:space="preserve"> 22</w:t>
      </w:r>
      <w:r w:rsidR="00346D5E" w:rsidRPr="00346D5E">
        <w:t xml:space="preserve">(2), 177-191. </w:t>
      </w:r>
      <w:hyperlink r:id="rId79" w:history="1">
        <w:r w:rsidR="00346D5E" w:rsidRPr="00346D5E">
          <w:rPr>
            <w:rStyle w:val="Hyperlink"/>
          </w:rPr>
          <w:t>https://doi.org/10.1111/j.1365-2834.2012.01457.x</w:t>
        </w:r>
      </w:hyperlink>
      <w:r w:rsidR="00346D5E" w:rsidRPr="00346D5E">
        <w:t xml:space="preserve"> </w:t>
      </w:r>
    </w:p>
    <w:p w14:paraId="284B1D62" w14:textId="727FA7AA" w:rsidR="00346D5E" w:rsidRPr="00346D5E" w:rsidRDefault="00346D5E" w:rsidP="00346D5E">
      <w:pPr>
        <w:pStyle w:val="EndNoteBibliography"/>
        <w:spacing w:after="0"/>
        <w:ind w:left="720" w:hanging="720"/>
      </w:pPr>
      <w:r w:rsidRPr="00346D5E">
        <w:t xml:space="preserve">Aarthun, A., Øymar, K. A., &amp; Akerjordet, K. (2018). Parental involvement in decision-making about their child's health care at the hospital. </w:t>
      </w:r>
      <w:r w:rsidRPr="00346D5E">
        <w:rPr>
          <w:i/>
        </w:rPr>
        <w:t>Nursing open</w:t>
      </w:r>
      <w:r w:rsidRPr="00346D5E">
        <w:t>,</w:t>
      </w:r>
      <w:r w:rsidRPr="00346D5E">
        <w:rPr>
          <w:i/>
        </w:rPr>
        <w:t xml:space="preserve"> 6</w:t>
      </w:r>
      <w:r w:rsidRPr="00346D5E">
        <w:t xml:space="preserve">(1), 50-58. </w:t>
      </w:r>
      <w:hyperlink r:id="rId80" w:history="1">
        <w:r w:rsidRPr="00346D5E">
          <w:rPr>
            <w:rStyle w:val="Hyperlink"/>
          </w:rPr>
          <w:t>https://doi.org/10.1002/nop2.180</w:t>
        </w:r>
      </w:hyperlink>
      <w:r w:rsidRPr="00346D5E">
        <w:t xml:space="preserve"> </w:t>
      </w:r>
    </w:p>
    <w:p w14:paraId="0D223CD6" w14:textId="01A83BD1" w:rsidR="00346D5E" w:rsidRPr="00346D5E" w:rsidRDefault="00346D5E" w:rsidP="00346D5E">
      <w:pPr>
        <w:pStyle w:val="EndNoteBibliography"/>
        <w:spacing w:after="0"/>
        <w:ind w:left="720" w:hanging="720"/>
      </w:pPr>
      <w:r w:rsidRPr="00346D5E">
        <w:t xml:space="preserve">Abdelmalek, S. M. A., &amp; Mousa, A. (2022). Azithromycin Misuse During the COVID-19 Pandemic: A Cross-Sectional Study from Jordan. </w:t>
      </w:r>
      <w:r w:rsidRPr="00346D5E">
        <w:rPr>
          <w:i/>
        </w:rPr>
        <w:t>Infection and drug resistance</w:t>
      </w:r>
      <w:r w:rsidRPr="00346D5E">
        <w:t>,</w:t>
      </w:r>
      <w:r w:rsidRPr="00346D5E">
        <w:rPr>
          <w:i/>
        </w:rPr>
        <w:t xml:space="preserve"> 15</w:t>
      </w:r>
      <w:r w:rsidRPr="00346D5E">
        <w:t xml:space="preserve">, 747-755. </w:t>
      </w:r>
      <w:hyperlink r:id="rId81" w:history="1">
        <w:r w:rsidRPr="00346D5E">
          <w:rPr>
            <w:rStyle w:val="Hyperlink"/>
          </w:rPr>
          <w:t>https://doi.org/10.2147/idr.S351827</w:t>
        </w:r>
      </w:hyperlink>
      <w:r w:rsidRPr="00346D5E">
        <w:t xml:space="preserve"> </w:t>
      </w:r>
    </w:p>
    <w:p w14:paraId="3F7CD61F" w14:textId="5E03C70D" w:rsidR="00346D5E" w:rsidRPr="00346D5E" w:rsidRDefault="00346D5E" w:rsidP="00346D5E">
      <w:pPr>
        <w:pStyle w:val="EndNoteBibliography"/>
        <w:spacing w:after="0"/>
        <w:ind w:left="720" w:hanging="720"/>
      </w:pPr>
      <w:r w:rsidRPr="00346D5E">
        <w:t xml:space="preserve">Abdullahi, O., Karani, A., Tigoi, C. C., Mugo, D., et al. (2012). The prevalence and risk factors for pneumococcal colonization of the nasopharynx among children in Kilifi District, Kenya. </w:t>
      </w:r>
      <w:r w:rsidRPr="00346D5E">
        <w:rPr>
          <w:i/>
        </w:rPr>
        <w:t>PLoS One</w:t>
      </w:r>
      <w:r w:rsidRPr="00346D5E">
        <w:t>,</w:t>
      </w:r>
      <w:r w:rsidRPr="00346D5E">
        <w:rPr>
          <w:i/>
        </w:rPr>
        <w:t xml:space="preserve"> 7</w:t>
      </w:r>
      <w:r w:rsidRPr="00346D5E">
        <w:t xml:space="preserve">(2), e30787. </w:t>
      </w:r>
      <w:hyperlink r:id="rId82" w:history="1">
        <w:r w:rsidRPr="00346D5E">
          <w:rPr>
            <w:rStyle w:val="Hyperlink"/>
          </w:rPr>
          <w:t>https://doi.org/10.1371/journal.pone.0030787</w:t>
        </w:r>
      </w:hyperlink>
      <w:r w:rsidRPr="00346D5E">
        <w:t xml:space="preserve"> </w:t>
      </w:r>
    </w:p>
    <w:p w14:paraId="5E8A19FB" w14:textId="1E9884C8" w:rsidR="00346D5E" w:rsidRPr="00346D5E" w:rsidRDefault="00346D5E" w:rsidP="00346D5E">
      <w:pPr>
        <w:pStyle w:val="EndNoteBibliography"/>
        <w:spacing w:after="0"/>
        <w:ind w:left="720" w:hanging="720"/>
      </w:pPr>
      <w:r w:rsidRPr="00346D5E">
        <w:t xml:space="preserve">Abotsi, R. E., Nicol, M. P., McHugh, G., Simms, V., et al. (2022). The impact of long-term azithromycin on antibiotic resistance in HIV-associated chronic lung disease. </w:t>
      </w:r>
      <w:r w:rsidRPr="00346D5E">
        <w:rPr>
          <w:i/>
        </w:rPr>
        <w:t>ERJ Open Research</w:t>
      </w:r>
      <w:r w:rsidRPr="00346D5E">
        <w:t>,</w:t>
      </w:r>
      <w:r w:rsidRPr="00346D5E">
        <w:rPr>
          <w:i/>
        </w:rPr>
        <w:t xml:space="preserve"> 8</w:t>
      </w:r>
      <w:r w:rsidRPr="00346D5E">
        <w:t xml:space="preserve">(1), 00491-02021. </w:t>
      </w:r>
      <w:hyperlink r:id="rId83" w:history="1">
        <w:r w:rsidRPr="00346D5E">
          <w:rPr>
            <w:rStyle w:val="Hyperlink"/>
          </w:rPr>
          <w:t>https://doi.org/10.1183/23120541.00491-2021</w:t>
        </w:r>
      </w:hyperlink>
      <w:r w:rsidRPr="00346D5E">
        <w:t xml:space="preserve"> </w:t>
      </w:r>
    </w:p>
    <w:p w14:paraId="441FEF10" w14:textId="2E93A838" w:rsidR="00346D5E" w:rsidRPr="00346D5E" w:rsidRDefault="00346D5E" w:rsidP="00346D5E">
      <w:pPr>
        <w:pStyle w:val="EndNoteBibliography"/>
        <w:spacing w:after="0"/>
        <w:ind w:left="720" w:hanging="720"/>
      </w:pPr>
      <w:r w:rsidRPr="00346D5E">
        <w:t xml:space="preserve">Acosta, N., Thornton, C. S., Surette, M. G., Somayaji, R., et al. (2021). Azithromycin and the microbiota of cystic fibrosis sputum. </w:t>
      </w:r>
      <w:r w:rsidRPr="00346D5E">
        <w:rPr>
          <w:i/>
        </w:rPr>
        <w:t>BMC Microbiology</w:t>
      </w:r>
      <w:r w:rsidRPr="00346D5E">
        <w:t>,</w:t>
      </w:r>
      <w:r w:rsidRPr="00346D5E">
        <w:rPr>
          <w:i/>
        </w:rPr>
        <w:t xml:space="preserve"> 21</w:t>
      </w:r>
      <w:r w:rsidRPr="00346D5E">
        <w:t xml:space="preserve">(1), 96. </w:t>
      </w:r>
      <w:hyperlink r:id="rId84" w:history="1">
        <w:r w:rsidRPr="00346D5E">
          <w:rPr>
            <w:rStyle w:val="Hyperlink"/>
          </w:rPr>
          <w:t>https://doi.org/10.1186/s12866-021-02159-5</w:t>
        </w:r>
      </w:hyperlink>
      <w:r w:rsidRPr="00346D5E">
        <w:t xml:space="preserve"> </w:t>
      </w:r>
    </w:p>
    <w:p w14:paraId="4BAB90BC" w14:textId="36ADC265" w:rsidR="00346D5E" w:rsidRPr="00346D5E" w:rsidRDefault="00346D5E" w:rsidP="00346D5E">
      <w:pPr>
        <w:pStyle w:val="EndNoteBibliography"/>
        <w:spacing w:after="0"/>
        <w:ind w:left="720" w:hanging="720"/>
      </w:pPr>
      <w:r w:rsidRPr="00346D5E">
        <w:t xml:space="preserve">Al-Hassany, L., Kloosterboer, S. M., Dierckx, B., &amp; Koch, B. C. (2019). Assessing methods of measuring medication adherence in chronically ill children-a narrative review. </w:t>
      </w:r>
      <w:r w:rsidRPr="00346D5E">
        <w:rPr>
          <w:i/>
        </w:rPr>
        <w:t>Patient preference and adherence</w:t>
      </w:r>
      <w:r w:rsidRPr="00346D5E">
        <w:t>,</w:t>
      </w:r>
      <w:r w:rsidRPr="00346D5E">
        <w:rPr>
          <w:i/>
        </w:rPr>
        <w:t xml:space="preserve"> 13</w:t>
      </w:r>
      <w:r w:rsidRPr="00346D5E">
        <w:t xml:space="preserve">, 1175-1189. </w:t>
      </w:r>
      <w:hyperlink r:id="rId85" w:history="1">
        <w:r w:rsidRPr="00346D5E">
          <w:rPr>
            <w:rStyle w:val="Hyperlink"/>
          </w:rPr>
          <w:t>https://doi.org/10.2147/PPA.S200058</w:t>
        </w:r>
      </w:hyperlink>
      <w:r w:rsidRPr="00346D5E">
        <w:t xml:space="preserve"> </w:t>
      </w:r>
    </w:p>
    <w:p w14:paraId="46BE82FC" w14:textId="4E70FBDB" w:rsidR="00346D5E" w:rsidRPr="00346D5E" w:rsidRDefault="00346D5E" w:rsidP="00346D5E">
      <w:pPr>
        <w:pStyle w:val="EndNoteBibliography"/>
        <w:spacing w:after="0"/>
        <w:ind w:left="720" w:hanging="720"/>
      </w:pPr>
      <w:r w:rsidRPr="00346D5E">
        <w:t xml:space="preserve">Albert, R. K., Connett, J., Bailey, W. C., Casaburi, R., et al. (2011). Azithromycin for Prevention of Exacerbations of COPD. </w:t>
      </w:r>
      <w:r w:rsidRPr="00346D5E">
        <w:rPr>
          <w:i/>
        </w:rPr>
        <w:t>New England Journal of Medicine</w:t>
      </w:r>
      <w:r w:rsidRPr="00346D5E">
        <w:t>,</w:t>
      </w:r>
      <w:r w:rsidRPr="00346D5E">
        <w:rPr>
          <w:i/>
        </w:rPr>
        <w:t xml:space="preserve"> 365</w:t>
      </w:r>
      <w:r w:rsidRPr="00346D5E">
        <w:t xml:space="preserve">(8), 689-698. </w:t>
      </w:r>
      <w:hyperlink r:id="rId86" w:history="1">
        <w:r w:rsidRPr="00346D5E">
          <w:rPr>
            <w:rStyle w:val="Hyperlink"/>
          </w:rPr>
          <w:t>https://doi.org/10.1056/NEJMoa1104623</w:t>
        </w:r>
      </w:hyperlink>
      <w:r w:rsidRPr="00346D5E">
        <w:t xml:space="preserve"> </w:t>
      </w:r>
    </w:p>
    <w:p w14:paraId="4D7F4FB0" w14:textId="72AAC1A8" w:rsidR="00346D5E" w:rsidRPr="00346D5E" w:rsidRDefault="00346D5E" w:rsidP="00346D5E">
      <w:pPr>
        <w:pStyle w:val="EndNoteBibliography"/>
        <w:spacing w:after="0"/>
        <w:ind w:left="720" w:hanging="720"/>
      </w:pPr>
      <w:r w:rsidRPr="00346D5E">
        <w:t xml:space="preserve">Altenburg, J., de Graaff, C. S., Stienstra, Y., Sloos, J. H., et al. (2013). Effect of azithromycin maintenance treatment on infectious exacerbations among patients with non-cystic fibrosis bronchiectasis: the BAT randomized controlled trial. </w:t>
      </w:r>
      <w:r w:rsidRPr="00346D5E">
        <w:rPr>
          <w:i/>
        </w:rPr>
        <w:t>Jama</w:t>
      </w:r>
      <w:r w:rsidRPr="00346D5E">
        <w:t>,</w:t>
      </w:r>
      <w:r w:rsidRPr="00346D5E">
        <w:rPr>
          <w:i/>
        </w:rPr>
        <w:t xml:space="preserve"> 309</w:t>
      </w:r>
      <w:r w:rsidRPr="00346D5E">
        <w:t xml:space="preserve">(12), 1251-1259. </w:t>
      </w:r>
      <w:hyperlink r:id="rId87" w:history="1">
        <w:r w:rsidRPr="00346D5E">
          <w:rPr>
            <w:rStyle w:val="Hyperlink"/>
          </w:rPr>
          <w:t>https://doi.org/10.1001/jama.2013.1937</w:t>
        </w:r>
      </w:hyperlink>
      <w:r w:rsidRPr="00346D5E">
        <w:t xml:space="preserve"> </w:t>
      </w:r>
    </w:p>
    <w:p w14:paraId="7C6C4678" w14:textId="64BB0A1F" w:rsidR="00346D5E" w:rsidRPr="00346D5E" w:rsidRDefault="00346D5E" w:rsidP="00346D5E">
      <w:pPr>
        <w:pStyle w:val="EndNoteBibliography"/>
        <w:spacing w:after="0"/>
        <w:ind w:left="720" w:hanging="720"/>
      </w:pPr>
      <w:r w:rsidRPr="00346D5E">
        <w:t xml:space="preserve">Andersson, D. I., &amp; Hughes, D. (2012). Evolution of antibiotic resistance at non-lethal drug concentrations. </w:t>
      </w:r>
      <w:r w:rsidRPr="00346D5E">
        <w:rPr>
          <w:i/>
        </w:rPr>
        <w:t>Drug Resistance Updates</w:t>
      </w:r>
      <w:r w:rsidRPr="00346D5E">
        <w:t>,</w:t>
      </w:r>
      <w:r w:rsidRPr="00346D5E">
        <w:rPr>
          <w:i/>
        </w:rPr>
        <w:t xml:space="preserve"> 15</w:t>
      </w:r>
      <w:r w:rsidRPr="00346D5E">
        <w:t xml:space="preserve">(3), 162-172. </w:t>
      </w:r>
      <w:hyperlink r:id="rId88" w:history="1">
        <w:r w:rsidRPr="00346D5E">
          <w:rPr>
            <w:rStyle w:val="Hyperlink"/>
          </w:rPr>
          <w:t>https://doi.org/https://doi.org/10.1016/j.drup.2012.03.005</w:t>
        </w:r>
      </w:hyperlink>
      <w:r w:rsidRPr="00346D5E">
        <w:t xml:space="preserve"> </w:t>
      </w:r>
    </w:p>
    <w:p w14:paraId="2718CC74" w14:textId="6636BE9F" w:rsidR="00346D5E" w:rsidRPr="00346D5E" w:rsidRDefault="00346D5E" w:rsidP="00346D5E">
      <w:pPr>
        <w:pStyle w:val="EndNoteBibliography"/>
        <w:spacing w:after="0"/>
        <w:ind w:left="720" w:hanging="720"/>
      </w:pPr>
      <w:r w:rsidRPr="00346D5E">
        <w:t xml:space="preserve">Andrejko, K., Ratnasiri, B., Hausdorff, W. P., Laxminarayan, R., et al. (2021). Antimicrobial resistance in paediatric Streptococcus pneumoniae isolates amid global implementation of pneumococcal conjugate vaccines: a systematic review and meta-regression analysis. </w:t>
      </w:r>
      <w:r w:rsidRPr="00346D5E">
        <w:rPr>
          <w:i/>
        </w:rPr>
        <w:t>Lancet Microbe</w:t>
      </w:r>
      <w:r w:rsidRPr="00346D5E">
        <w:t>,</w:t>
      </w:r>
      <w:r w:rsidRPr="00346D5E">
        <w:rPr>
          <w:i/>
        </w:rPr>
        <w:t xml:space="preserve"> 2</w:t>
      </w:r>
      <w:r w:rsidRPr="00346D5E">
        <w:t xml:space="preserve">(9), e450-e460. </w:t>
      </w:r>
      <w:hyperlink r:id="rId89" w:history="1">
        <w:r w:rsidRPr="00346D5E">
          <w:rPr>
            <w:rStyle w:val="Hyperlink"/>
          </w:rPr>
          <w:t>https://doi.org/10.1016/s2666-5247(21)00064-1</w:t>
        </w:r>
      </w:hyperlink>
      <w:r w:rsidRPr="00346D5E">
        <w:t xml:space="preserve"> </w:t>
      </w:r>
    </w:p>
    <w:p w14:paraId="41D20049" w14:textId="39624F36" w:rsidR="00346D5E" w:rsidRPr="00346D5E" w:rsidRDefault="00346D5E" w:rsidP="00346D5E">
      <w:pPr>
        <w:pStyle w:val="EndNoteBibliography"/>
        <w:spacing w:after="0"/>
        <w:ind w:left="720" w:hanging="720"/>
      </w:pPr>
      <w:r w:rsidRPr="00346D5E">
        <w:t xml:space="preserve">Andrews, T., Thompson, M., Buckley, D. I., Heneghan, C., et al. (2012). Interventions to influence consulting and antibiotic use for acute respiratory tract infections in children: a systematic review and meta-analysis. </w:t>
      </w:r>
      <w:r w:rsidRPr="00346D5E">
        <w:rPr>
          <w:i/>
        </w:rPr>
        <w:t>PLoS One</w:t>
      </w:r>
      <w:r w:rsidRPr="00346D5E">
        <w:t>,</w:t>
      </w:r>
      <w:r w:rsidRPr="00346D5E">
        <w:rPr>
          <w:i/>
        </w:rPr>
        <w:t xml:space="preserve"> 7</w:t>
      </w:r>
      <w:r w:rsidRPr="00346D5E">
        <w:t xml:space="preserve">(1), e30334. </w:t>
      </w:r>
      <w:hyperlink r:id="rId90" w:history="1">
        <w:r w:rsidRPr="00346D5E">
          <w:rPr>
            <w:rStyle w:val="Hyperlink"/>
          </w:rPr>
          <w:t>https://doi.org/10.1371/journal.pone.0030334</w:t>
        </w:r>
      </w:hyperlink>
      <w:r w:rsidRPr="00346D5E">
        <w:t xml:space="preserve"> </w:t>
      </w:r>
    </w:p>
    <w:p w14:paraId="77AA819F" w14:textId="53575C3F" w:rsidR="00346D5E" w:rsidRPr="00346D5E" w:rsidRDefault="00346D5E" w:rsidP="00346D5E">
      <w:pPr>
        <w:pStyle w:val="EndNoteBibliography"/>
        <w:spacing w:after="0"/>
        <w:ind w:left="720" w:hanging="720"/>
      </w:pPr>
      <w:r w:rsidRPr="00346D5E">
        <w:t xml:space="preserve">Anywaine, Z., Levin, J., Kasirye, R., Lutaakome, J. K., et al. (2018). Discontinuing cotrimoxazole preventive therapy in HIV-infected adults who are stable on antiretroviral treatment in Uganda (COSTOP): A randomised placebo controlled trial. </w:t>
      </w:r>
      <w:r w:rsidRPr="00346D5E">
        <w:rPr>
          <w:i/>
        </w:rPr>
        <w:t>PLoS One</w:t>
      </w:r>
      <w:r w:rsidRPr="00346D5E">
        <w:t>,</w:t>
      </w:r>
      <w:r w:rsidRPr="00346D5E">
        <w:rPr>
          <w:i/>
        </w:rPr>
        <w:t xml:space="preserve"> 13</w:t>
      </w:r>
      <w:r w:rsidRPr="00346D5E">
        <w:t xml:space="preserve">(12), e0206907. </w:t>
      </w:r>
      <w:hyperlink r:id="rId91" w:history="1">
        <w:r w:rsidRPr="00346D5E">
          <w:rPr>
            <w:rStyle w:val="Hyperlink"/>
          </w:rPr>
          <w:t>https://doi.org/10.1371/journal.pone.0206907</w:t>
        </w:r>
      </w:hyperlink>
      <w:r w:rsidRPr="00346D5E">
        <w:t xml:space="preserve"> </w:t>
      </w:r>
    </w:p>
    <w:p w14:paraId="0300F111" w14:textId="6BB8AA58" w:rsidR="00346D5E" w:rsidRPr="00346D5E" w:rsidRDefault="00346D5E" w:rsidP="00346D5E">
      <w:pPr>
        <w:pStyle w:val="EndNoteBibliography"/>
        <w:spacing w:after="0"/>
        <w:ind w:left="720" w:hanging="720"/>
      </w:pPr>
      <w:r w:rsidRPr="00346D5E">
        <w:t xml:space="preserve">Armitage, R., &amp; Nellums, L. B. (2021). Antibiotic prescribing in general practice during COVID-19. </w:t>
      </w:r>
      <w:r w:rsidRPr="00346D5E">
        <w:rPr>
          <w:i/>
        </w:rPr>
        <w:t>Lancet Infect Dis</w:t>
      </w:r>
      <w:r w:rsidRPr="00346D5E">
        <w:t>,</w:t>
      </w:r>
      <w:r w:rsidRPr="00346D5E">
        <w:rPr>
          <w:i/>
        </w:rPr>
        <w:t xml:space="preserve"> 21</w:t>
      </w:r>
      <w:r w:rsidRPr="00346D5E">
        <w:t xml:space="preserve">(6), e144. </w:t>
      </w:r>
      <w:hyperlink r:id="rId92" w:history="1">
        <w:r w:rsidRPr="00346D5E">
          <w:rPr>
            <w:rStyle w:val="Hyperlink"/>
          </w:rPr>
          <w:t>https://doi.org/10.1016/s1473-3099(20)30917-8</w:t>
        </w:r>
      </w:hyperlink>
      <w:r w:rsidRPr="00346D5E">
        <w:t xml:space="preserve"> </w:t>
      </w:r>
    </w:p>
    <w:p w14:paraId="235100EC" w14:textId="3A9F1D5C" w:rsidR="00346D5E" w:rsidRPr="00346D5E" w:rsidRDefault="00346D5E" w:rsidP="00346D5E">
      <w:pPr>
        <w:pStyle w:val="EndNoteBibliography"/>
        <w:spacing w:after="0"/>
        <w:ind w:left="720" w:hanging="720"/>
      </w:pPr>
      <w:r w:rsidRPr="00346D5E">
        <w:lastRenderedPageBreak/>
        <w:t xml:space="preserve">Aston, J., Wilson, K. A., &amp; Terry, D. R. P. (2019). The treatment-related experiences of parents, children and young people with regular prescribed medication. </w:t>
      </w:r>
      <w:r w:rsidRPr="00346D5E">
        <w:rPr>
          <w:i/>
        </w:rPr>
        <w:t>International Journal of Clinical Pharmacy</w:t>
      </w:r>
      <w:r w:rsidRPr="00346D5E">
        <w:t>,</w:t>
      </w:r>
      <w:r w:rsidRPr="00346D5E">
        <w:rPr>
          <w:i/>
        </w:rPr>
        <w:t xml:space="preserve"> 41</w:t>
      </w:r>
      <w:r w:rsidRPr="00346D5E">
        <w:t xml:space="preserve">(1), 113-121. </w:t>
      </w:r>
      <w:hyperlink r:id="rId93" w:history="1">
        <w:r w:rsidRPr="00346D5E">
          <w:rPr>
            <w:rStyle w:val="Hyperlink"/>
          </w:rPr>
          <w:t>https://doi.org/10.1007/s11096-018-0756-z</w:t>
        </w:r>
      </w:hyperlink>
      <w:r w:rsidRPr="00346D5E">
        <w:t xml:space="preserve"> </w:t>
      </w:r>
    </w:p>
    <w:p w14:paraId="462C7B25" w14:textId="24C4CED9" w:rsidR="00346D5E" w:rsidRPr="00346D5E" w:rsidRDefault="00346D5E" w:rsidP="00346D5E">
      <w:pPr>
        <w:pStyle w:val="EndNoteBibliography"/>
        <w:spacing w:after="0"/>
        <w:ind w:left="720" w:hanging="720"/>
      </w:pPr>
      <w:r w:rsidRPr="00346D5E">
        <w:t xml:space="preserve">Bajaj, J. S., Kassam, Z., Fagan, A., Gavis, E. A., et al. (2017). Fecal microbiota transplant from a rational stool donor improves hepatic encephalopathy: A randomized clinical trial. </w:t>
      </w:r>
      <w:r w:rsidRPr="00346D5E">
        <w:rPr>
          <w:i/>
        </w:rPr>
        <w:t>Hepatology</w:t>
      </w:r>
      <w:r w:rsidRPr="00346D5E">
        <w:t>,</w:t>
      </w:r>
      <w:r w:rsidRPr="00346D5E">
        <w:rPr>
          <w:i/>
        </w:rPr>
        <w:t xml:space="preserve"> 66</w:t>
      </w:r>
      <w:r w:rsidRPr="00346D5E">
        <w:t xml:space="preserve">(6), 1727-1738. </w:t>
      </w:r>
      <w:hyperlink r:id="rId94" w:history="1">
        <w:r w:rsidRPr="00346D5E">
          <w:rPr>
            <w:rStyle w:val="Hyperlink"/>
          </w:rPr>
          <w:t>https://doi.org/10.1002/hep.29306</w:t>
        </w:r>
      </w:hyperlink>
      <w:r w:rsidRPr="00346D5E">
        <w:t xml:space="preserve"> </w:t>
      </w:r>
    </w:p>
    <w:p w14:paraId="20CDBC2C" w14:textId="3ACC9775" w:rsidR="00346D5E" w:rsidRPr="00346D5E" w:rsidRDefault="00346D5E" w:rsidP="00346D5E">
      <w:pPr>
        <w:pStyle w:val="EndNoteBibliography"/>
        <w:spacing w:after="0"/>
        <w:ind w:left="720" w:hanging="720"/>
      </w:pPr>
      <w:r w:rsidRPr="00346D5E">
        <w:t xml:space="preserve">Baunwall, S. M. D., Lee, M. M., Eriksen, M. K., Mullish, B. H., et al. (2020). Faecal microbiota transplantation for recurrent Clostridioides difficile infection: An updated systematic review and meta-analysis. </w:t>
      </w:r>
      <w:r w:rsidRPr="00346D5E">
        <w:rPr>
          <w:i/>
        </w:rPr>
        <w:t>EClinicalMedicine</w:t>
      </w:r>
      <w:r w:rsidRPr="00346D5E">
        <w:t>,</w:t>
      </w:r>
      <w:r w:rsidRPr="00346D5E">
        <w:rPr>
          <w:i/>
        </w:rPr>
        <w:t xml:space="preserve"> 29-30</w:t>
      </w:r>
      <w:r w:rsidRPr="00346D5E">
        <w:t xml:space="preserve">, 100642. </w:t>
      </w:r>
      <w:hyperlink r:id="rId95" w:history="1">
        <w:r w:rsidRPr="00346D5E">
          <w:rPr>
            <w:rStyle w:val="Hyperlink"/>
          </w:rPr>
          <w:t>https://doi.org/10.1016/j.eclinm.2020.100642</w:t>
        </w:r>
      </w:hyperlink>
      <w:r w:rsidRPr="00346D5E">
        <w:t xml:space="preserve"> </w:t>
      </w:r>
    </w:p>
    <w:p w14:paraId="7930C750" w14:textId="1AE4721F" w:rsidR="00346D5E" w:rsidRPr="00346D5E" w:rsidRDefault="00346D5E" w:rsidP="00346D5E">
      <w:pPr>
        <w:pStyle w:val="EndNoteBibliography"/>
        <w:spacing w:after="0"/>
        <w:ind w:left="720" w:hanging="720"/>
      </w:pPr>
      <w:r w:rsidRPr="00346D5E">
        <w:t xml:space="preserve">Bidiwala, A., Krilov, L. R., Pirzada, M., &amp; Patel, S. J. (2015). Pro-Con Debate: Protracted Bacterial Bronchitis as a Cause of Chronic Cough in Children. </w:t>
      </w:r>
      <w:r w:rsidRPr="00346D5E">
        <w:rPr>
          <w:i/>
        </w:rPr>
        <w:t>Pediatr Ann</w:t>
      </w:r>
      <w:r w:rsidRPr="00346D5E">
        <w:t>,</w:t>
      </w:r>
      <w:r w:rsidRPr="00346D5E">
        <w:rPr>
          <w:i/>
        </w:rPr>
        <w:t xml:space="preserve"> 44</w:t>
      </w:r>
      <w:r w:rsidRPr="00346D5E">
        <w:t xml:space="preserve">(8), 329-336. </w:t>
      </w:r>
      <w:hyperlink r:id="rId96" w:history="1">
        <w:r w:rsidRPr="00346D5E">
          <w:rPr>
            <w:rStyle w:val="Hyperlink"/>
          </w:rPr>
          <w:t>https://doi.org/10.3928/00904481-20150812-11</w:t>
        </w:r>
      </w:hyperlink>
      <w:r w:rsidRPr="00346D5E">
        <w:t xml:space="preserve"> </w:t>
      </w:r>
    </w:p>
    <w:p w14:paraId="7354BCDC" w14:textId="031B38F2" w:rsidR="00346D5E" w:rsidRPr="00346D5E" w:rsidRDefault="00346D5E" w:rsidP="00346D5E">
      <w:pPr>
        <w:pStyle w:val="EndNoteBibliography"/>
        <w:spacing w:after="0"/>
        <w:ind w:left="720" w:hanging="720"/>
      </w:pPr>
      <w:r w:rsidRPr="00346D5E">
        <w:t xml:space="preserve">Biesbroek, G., Bosch, A. A., Wang, X., Keijser, B. J., et al. (2014). The impact of breastfeeding on nasopharyngeal microbial communities in infants. </w:t>
      </w:r>
      <w:r w:rsidRPr="00346D5E">
        <w:rPr>
          <w:i/>
        </w:rPr>
        <w:t>Am J Respir Crit Care Med</w:t>
      </w:r>
      <w:r w:rsidRPr="00346D5E">
        <w:t>,</w:t>
      </w:r>
      <w:r w:rsidRPr="00346D5E">
        <w:rPr>
          <w:i/>
        </w:rPr>
        <w:t xml:space="preserve"> 190</w:t>
      </w:r>
      <w:r w:rsidRPr="00346D5E">
        <w:t xml:space="preserve">(3), 298-308. </w:t>
      </w:r>
      <w:hyperlink r:id="rId97" w:history="1">
        <w:r w:rsidRPr="00346D5E">
          <w:rPr>
            <w:rStyle w:val="Hyperlink"/>
          </w:rPr>
          <w:t>https://doi.org/10.1164/rccm.201401-0073OC</w:t>
        </w:r>
      </w:hyperlink>
      <w:r w:rsidRPr="00346D5E">
        <w:t xml:space="preserve"> </w:t>
      </w:r>
    </w:p>
    <w:p w14:paraId="35112F25" w14:textId="13600810" w:rsidR="00346D5E" w:rsidRPr="00346D5E" w:rsidRDefault="00346D5E" w:rsidP="00346D5E">
      <w:pPr>
        <w:pStyle w:val="EndNoteBibliography"/>
        <w:spacing w:after="0"/>
        <w:ind w:left="720" w:hanging="720"/>
      </w:pPr>
      <w:r w:rsidRPr="00346D5E">
        <w:t xml:space="preserve">BioMerieux, i. (2016). </w:t>
      </w:r>
      <w:r w:rsidRPr="00346D5E">
        <w:rPr>
          <w:i/>
        </w:rPr>
        <w:t>BioMerieux, ETEST Antimicrobial Susceptibility Testing</w:t>
      </w:r>
      <w:r w:rsidRPr="00346D5E">
        <w:t xml:space="preserve"> (501658 - Azithromycin AZ 256 US F100, Issue. </w:t>
      </w:r>
      <w:hyperlink r:id="rId98" w:history="1">
        <w:r w:rsidRPr="00346D5E">
          <w:rPr>
            <w:rStyle w:val="Hyperlink"/>
          </w:rPr>
          <w:t>https://resourcecenter.biomerieux.com/login</w:t>
        </w:r>
      </w:hyperlink>
    </w:p>
    <w:p w14:paraId="2E6C12EF" w14:textId="221133D9" w:rsidR="00346D5E" w:rsidRPr="00346D5E" w:rsidRDefault="00346D5E" w:rsidP="00346D5E">
      <w:pPr>
        <w:pStyle w:val="EndNoteBibliography"/>
        <w:spacing w:after="0"/>
        <w:ind w:left="720" w:hanging="720"/>
      </w:pPr>
      <w:r w:rsidRPr="00346D5E">
        <w:t xml:space="preserve">Bland, M. (2020). </w:t>
      </w:r>
      <w:r w:rsidRPr="00346D5E">
        <w:rPr>
          <w:i/>
        </w:rPr>
        <w:t>Introduction to Statistics for Research: Significance tests</w:t>
      </w:r>
      <w:r w:rsidRPr="00346D5E">
        <w:t xml:space="preserve">. Retrieved 23/06/2022 from </w:t>
      </w:r>
      <w:hyperlink r:id="rId99" w:history="1">
        <w:r w:rsidRPr="00346D5E">
          <w:rPr>
            <w:rStyle w:val="Hyperlink"/>
          </w:rPr>
          <w:t>https://www-users.york.ac.uk/~mb55/yh_stats/sigtst.htm</w:t>
        </w:r>
      </w:hyperlink>
    </w:p>
    <w:p w14:paraId="5B267E1D" w14:textId="2E77AAAF" w:rsidR="00346D5E" w:rsidRPr="00346D5E" w:rsidRDefault="00346D5E" w:rsidP="00346D5E">
      <w:pPr>
        <w:pStyle w:val="EndNoteBibliography"/>
        <w:spacing w:after="0"/>
        <w:ind w:left="720" w:hanging="720"/>
      </w:pPr>
      <w:r w:rsidRPr="00346D5E">
        <w:t xml:space="preserve">Boc, A., &amp; Makarenkov, V. (2011). Towards an accurate identification of mosaic genes and partial horizontal gene transfers. </w:t>
      </w:r>
      <w:r w:rsidRPr="00346D5E">
        <w:rPr>
          <w:i/>
        </w:rPr>
        <w:t>Nucleic Acids Res</w:t>
      </w:r>
      <w:r w:rsidRPr="00346D5E">
        <w:t>,</w:t>
      </w:r>
      <w:r w:rsidRPr="00346D5E">
        <w:rPr>
          <w:i/>
        </w:rPr>
        <w:t xml:space="preserve"> 39</w:t>
      </w:r>
      <w:r w:rsidRPr="00346D5E">
        <w:t xml:space="preserve">(21), e144. </w:t>
      </w:r>
      <w:hyperlink r:id="rId100" w:history="1">
        <w:r w:rsidRPr="00346D5E">
          <w:rPr>
            <w:rStyle w:val="Hyperlink"/>
          </w:rPr>
          <w:t>https://doi.org/10.1093/nar/gkr735</w:t>
        </w:r>
      </w:hyperlink>
      <w:r w:rsidRPr="00346D5E">
        <w:t xml:space="preserve"> </w:t>
      </w:r>
    </w:p>
    <w:p w14:paraId="3FE177BA" w14:textId="5D1F8B55" w:rsidR="00346D5E" w:rsidRPr="00346D5E" w:rsidRDefault="00346D5E" w:rsidP="00346D5E">
      <w:pPr>
        <w:pStyle w:val="EndNoteBibliography"/>
        <w:spacing w:after="0"/>
        <w:ind w:left="720" w:hanging="720"/>
      </w:pPr>
      <w:r w:rsidRPr="00346D5E">
        <w:t xml:space="preserve">Bogaert, D., De Groot, R., &amp; Hermans, P. W. (2004a). Streptococcus pneumoniae colonisation: the key to pneumococcal disease. </w:t>
      </w:r>
      <w:r w:rsidRPr="00346D5E">
        <w:rPr>
          <w:i/>
        </w:rPr>
        <w:t>Lancet Infect Dis</w:t>
      </w:r>
      <w:r w:rsidRPr="00346D5E">
        <w:t>,</w:t>
      </w:r>
      <w:r w:rsidRPr="00346D5E">
        <w:rPr>
          <w:i/>
        </w:rPr>
        <w:t xml:space="preserve"> 4</w:t>
      </w:r>
      <w:r w:rsidRPr="00346D5E">
        <w:t xml:space="preserve">(3), 144-154. </w:t>
      </w:r>
      <w:hyperlink r:id="rId101" w:history="1">
        <w:r w:rsidRPr="00346D5E">
          <w:rPr>
            <w:rStyle w:val="Hyperlink"/>
          </w:rPr>
          <w:t>https://doi.org/10.1016/s1473-3099(04)00938-7</w:t>
        </w:r>
      </w:hyperlink>
      <w:r w:rsidRPr="00346D5E">
        <w:t xml:space="preserve"> </w:t>
      </w:r>
    </w:p>
    <w:p w14:paraId="370B5681" w14:textId="4F842850" w:rsidR="00346D5E" w:rsidRPr="00346D5E" w:rsidRDefault="00346D5E" w:rsidP="00346D5E">
      <w:pPr>
        <w:pStyle w:val="EndNoteBibliography"/>
        <w:spacing w:after="0"/>
        <w:ind w:left="720" w:hanging="720"/>
      </w:pPr>
      <w:r w:rsidRPr="00346D5E">
        <w:t xml:space="preserve">Boland, L., Kryworuchko, J., Saarimaki, A., &amp; Lawson, M. L. (2017). Parental decision making involvement and decisional conflict: a descriptive study. </w:t>
      </w:r>
      <w:r w:rsidRPr="00346D5E">
        <w:rPr>
          <w:i/>
        </w:rPr>
        <w:t>BMC pediatrics</w:t>
      </w:r>
      <w:r w:rsidRPr="00346D5E">
        <w:t>,</w:t>
      </w:r>
      <w:r w:rsidRPr="00346D5E">
        <w:rPr>
          <w:i/>
        </w:rPr>
        <w:t xml:space="preserve"> 17</w:t>
      </w:r>
      <w:r w:rsidRPr="00346D5E">
        <w:t xml:space="preserve">(1), 146. </w:t>
      </w:r>
      <w:hyperlink r:id="rId102" w:history="1">
        <w:r w:rsidRPr="00346D5E">
          <w:rPr>
            <w:rStyle w:val="Hyperlink"/>
          </w:rPr>
          <w:t>https://doi.org/10.1186/s12887-017-0899-4</w:t>
        </w:r>
      </w:hyperlink>
      <w:r w:rsidRPr="00346D5E">
        <w:t xml:space="preserve"> </w:t>
      </w:r>
    </w:p>
    <w:p w14:paraId="4A6271C4" w14:textId="5217A9FC" w:rsidR="00346D5E" w:rsidRPr="00346D5E" w:rsidRDefault="00346D5E" w:rsidP="00346D5E">
      <w:pPr>
        <w:pStyle w:val="EndNoteBibliography"/>
        <w:spacing w:after="0"/>
        <w:ind w:left="720" w:hanging="720"/>
      </w:pPr>
      <w:r w:rsidRPr="00346D5E">
        <w:t xml:space="preserve">Bosch, A. A. T. M., Piters, W. A. A. d. S., Houten, M. A. v., Chu, M. L. J. N., et al. (2017). Maturation of the Infant Respiratory Microbiota, Environmental Drivers, and Health Consequences. A Prospective Cohort Study. </w:t>
      </w:r>
      <w:r w:rsidRPr="00346D5E">
        <w:rPr>
          <w:i/>
        </w:rPr>
        <w:t>American Journal of Respiratory and Critical Care Medicine</w:t>
      </w:r>
      <w:r w:rsidRPr="00346D5E">
        <w:t>,</w:t>
      </w:r>
      <w:r w:rsidRPr="00346D5E">
        <w:rPr>
          <w:i/>
        </w:rPr>
        <w:t xml:space="preserve"> 196</w:t>
      </w:r>
      <w:r w:rsidRPr="00346D5E">
        <w:t xml:space="preserve">(12), 1582-1590. </w:t>
      </w:r>
      <w:hyperlink r:id="rId103" w:history="1">
        <w:r w:rsidRPr="00346D5E">
          <w:rPr>
            <w:rStyle w:val="Hyperlink"/>
          </w:rPr>
          <w:t>https://doi.org/10.1164/rccm.201703-0554OC</w:t>
        </w:r>
      </w:hyperlink>
      <w:r w:rsidRPr="00346D5E">
        <w:t xml:space="preserve"> </w:t>
      </w:r>
    </w:p>
    <w:p w14:paraId="62A63D29" w14:textId="7638E65D" w:rsidR="00346D5E" w:rsidRPr="00346D5E" w:rsidRDefault="00346D5E" w:rsidP="00346D5E">
      <w:pPr>
        <w:pStyle w:val="EndNoteBibliography"/>
        <w:spacing w:after="0"/>
        <w:ind w:left="720" w:hanging="720"/>
      </w:pPr>
      <w:r w:rsidRPr="00346D5E">
        <w:t xml:space="preserve">Brusselle, G. G., Vanderstichele, C., Jordens, P., Deman, R., et al. (2013). Azithromycin for prevention of exacerbations in severe asthma (AZISAST): a multicentre randomised double-blind placebo-controlled trial. </w:t>
      </w:r>
      <w:r w:rsidRPr="00346D5E">
        <w:rPr>
          <w:i/>
        </w:rPr>
        <w:t>Thorax</w:t>
      </w:r>
      <w:r w:rsidRPr="00346D5E">
        <w:t>,</w:t>
      </w:r>
      <w:r w:rsidRPr="00346D5E">
        <w:rPr>
          <w:i/>
        </w:rPr>
        <w:t xml:space="preserve"> 68</w:t>
      </w:r>
      <w:r w:rsidRPr="00346D5E">
        <w:t xml:space="preserve">(4), 322-329. </w:t>
      </w:r>
      <w:hyperlink r:id="rId104" w:history="1">
        <w:r w:rsidRPr="00346D5E">
          <w:rPr>
            <w:rStyle w:val="Hyperlink"/>
          </w:rPr>
          <w:t>https://doi.org/10.1136/thoraxjnl-2012-202698</w:t>
        </w:r>
      </w:hyperlink>
      <w:r w:rsidRPr="00346D5E">
        <w:t xml:space="preserve"> </w:t>
      </w:r>
    </w:p>
    <w:p w14:paraId="24B6DBBA" w14:textId="133F5FAF" w:rsidR="00346D5E" w:rsidRPr="00346D5E" w:rsidRDefault="00346D5E" w:rsidP="00346D5E">
      <w:pPr>
        <w:pStyle w:val="EndNoteBibliography"/>
        <w:spacing w:after="0"/>
        <w:ind w:left="720" w:hanging="720"/>
      </w:pPr>
      <w:r w:rsidRPr="00346D5E">
        <w:t xml:space="preserve">Bush, A. (2019). Azithromycin is the answer in paediatric respiratory medicine, but what was the question? </w:t>
      </w:r>
      <w:r w:rsidRPr="00346D5E">
        <w:rPr>
          <w:i/>
        </w:rPr>
        <w:t>Paediatric Respiratory Reviews</w:t>
      </w:r>
      <w:r w:rsidRPr="00346D5E">
        <w:t xml:space="preserve">. </w:t>
      </w:r>
      <w:hyperlink r:id="rId105" w:history="1">
        <w:r w:rsidRPr="00346D5E">
          <w:rPr>
            <w:rStyle w:val="Hyperlink"/>
          </w:rPr>
          <w:t>https://doi.org/https://doi.org/10.1016/j.prrv.2019.07.002</w:t>
        </w:r>
      </w:hyperlink>
      <w:r w:rsidRPr="00346D5E">
        <w:t xml:space="preserve"> </w:t>
      </w:r>
    </w:p>
    <w:p w14:paraId="6D15D06E" w14:textId="059307DC" w:rsidR="00346D5E" w:rsidRPr="00346D5E" w:rsidRDefault="00346D5E" w:rsidP="00346D5E">
      <w:pPr>
        <w:pStyle w:val="EndNoteBibliography"/>
        <w:spacing w:after="0"/>
        <w:ind w:left="720" w:hanging="720"/>
      </w:pPr>
      <w:r w:rsidRPr="00346D5E">
        <w:t xml:space="preserve">Cabral, C., Ingram, J., Lucas, P. J., Redmond, N. M., et al. (2016). Influence of Clinical Communication on Parents' Antibiotic Expectations for Children With Respiratory Tract Infections. </w:t>
      </w:r>
      <w:r w:rsidRPr="00346D5E">
        <w:rPr>
          <w:i/>
        </w:rPr>
        <w:t>Ann Fam Med</w:t>
      </w:r>
      <w:r w:rsidRPr="00346D5E">
        <w:t>,</w:t>
      </w:r>
      <w:r w:rsidRPr="00346D5E">
        <w:rPr>
          <w:i/>
        </w:rPr>
        <w:t xml:space="preserve"> 14</w:t>
      </w:r>
      <w:r w:rsidRPr="00346D5E">
        <w:t xml:space="preserve">(2), 141-147. </w:t>
      </w:r>
      <w:hyperlink r:id="rId106" w:history="1">
        <w:r w:rsidRPr="00346D5E">
          <w:rPr>
            <w:rStyle w:val="Hyperlink"/>
          </w:rPr>
          <w:t>https://doi.org/10.1370/afm.1892</w:t>
        </w:r>
      </w:hyperlink>
      <w:r w:rsidRPr="00346D5E">
        <w:t xml:space="preserve"> </w:t>
      </w:r>
    </w:p>
    <w:p w14:paraId="7DE2037F" w14:textId="124A3A91" w:rsidR="00346D5E" w:rsidRPr="00346D5E" w:rsidRDefault="00346D5E" w:rsidP="00346D5E">
      <w:pPr>
        <w:pStyle w:val="EndNoteBibliography"/>
        <w:spacing w:after="0"/>
        <w:ind w:left="720" w:hanging="720"/>
      </w:pPr>
      <w:r w:rsidRPr="00346D5E">
        <w:t xml:space="preserve">Callahan, B. J., McMurdie, P. J., Rosen, M. J., Han, A. W., et al. (2016). DADA2: High-resolution sample inference from Illumina amplicon data. </w:t>
      </w:r>
      <w:r w:rsidRPr="00346D5E">
        <w:rPr>
          <w:i/>
        </w:rPr>
        <w:t>Nat Methods</w:t>
      </w:r>
      <w:r w:rsidRPr="00346D5E">
        <w:t>,</w:t>
      </w:r>
      <w:r w:rsidRPr="00346D5E">
        <w:rPr>
          <w:i/>
        </w:rPr>
        <w:t xml:space="preserve"> 13</w:t>
      </w:r>
      <w:r w:rsidRPr="00346D5E">
        <w:t xml:space="preserve">(7), 581-583. </w:t>
      </w:r>
      <w:hyperlink r:id="rId107" w:history="1">
        <w:r w:rsidRPr="00346D5E">
          <w:rPr>
            <w:rStyle w:val="Hyperlink"/>
          </w:rPr>
          <w:t>https://doi.org/10.1038/nmeth.3869</w:t>
        </w:r>
      </w:hyperlink>
      <w:r w:rsidRPr="00346D5E">
        <w:t xml:space="preserve"> </w:t>
      </w:r>
    </w:p>
    <w:p w14:paraId="3476CB9B" w14:textId="53C73EC0" w:rsidR="00346D5E" w:rsidRPr="00346D5E" w:rsidRDefault="00346D5E" w:rsidP="00346D5E">
      <w:pPr>
        <w:pStyle w:val="EndNoteBibliography"/>
        <w:spacing w:after="0"/>
        <w:ind w:left="720" w:hanging="720"/>
      </w:pPr>
      <w:r w:rsidRPr="00346D5E">
        <w:t xml:space="preserve">Camelo-Castillo, A., Henares, D., Brotons, P., Galiana, A., et al. (2019). Nasopharyngeal Microbiota in Children With Invasive Pneumococcal Disease: Identification of Bacteria With Potential Disease-Promoting and Protective Effects. </w:t>
      </w:r>
      <w:r w:rsidRPr="00346D5E">
        <w:rPr>
          <w:i/>
        </w:rPr>
        <w:t>Front Microbiol</w:t>
      </w:r>
      <w:r w:rsidRPr="00346D5E">
        <w:t>,</w:t>
      </w:r>
      <w:r w:rsidRPr="00346D5E">
        <w:rPr>
          <w:i/>
        </w:rPr>
        <w:t xml:space="preserve"> 10</w:t>
      </w:r>
      <w:r w:rsidRPr="00346D5E">
        <w:t xml:space="preserve">, 11. </w:t>
      </w:r>
      <w:hyperlink r:id="rId108" w:history="1">
        <w:r w:rsidRPr="00346D5E">
          <w:rPr>
            <w:rStyle w:val="Hyperlink"/>
          </w:rPr>
          <w:t>https://doi.org/10.3389/fmicb.2019.00011</w:t>
        </w:r>
      </w:hyperlink>
      <w:r w:rsidRPr="00346D5E">
        <w:t xml:space="preserve"> </w:t>
      </w:r>
    </w:p>
    <w:p w14:paraId="71EE820A" w14:textId="28E84CC3" w:rsidR="00346D5E" w:rsidRPr="00346D5E" w:rsidRDefault="00346D5E" w:rsidP="00346D5E">
      <w:pPr>
        <w:pStyle w:val="EndNoteBibliography"/>
        <w:spacing w:after="0"/>
        <w:ind w:left="720" w:hanging="720"/>
      </w:pPr>
      <w:r w:rsidRPr="00346D5E">
        <w:lastRenderedPageBreak/>
        <w:t xml:space="preserve">Canadian paediatric society. (1999). Prophylactic antibiotics in children. </w:t>
      </w:r>
      <w:r w:rsidRPr="00346D5E">
        <w:rPr>
          <w:i/>
        </w:rPr>
        <w:t>Paediatrics &amp; Child Health</w:t>
      </w:r>
      <w:r w:rsidRPr="00346D5E">
        <w:t>,</w:t>
      </w:r>
      <w:r w:rsidRPr="00346D5E">
        <w:rPr>
          <w:i/>
        </w:rPr>
        <w:t xml:space="preserve"> 4</w:t>
      </w:r>
      <w:r w:rsidRPr="00346D5E">
        <w:t xml:space="preserve">(7), 490-494. </w:t>
      </w:r>
      <w:hyperlink r:id="rId109" w:history="1">
        <w:r w:rsidRPr="00346D5E">
          <w:rPr>
            <w:rStyle w:val="Hyperlink"/>
          </w:rPr>
          <w:t>https://doi.org/10.1093/pch/4.7.490</w:t>
        </w:r>
      </w:hyperlink>
      <w:r w:rsidRPr="00346D5E">
        <w:t xml:space="preserve"> </w:t>
      </w:r>
    </w:p>
    <w:p w14:paraId="2284064E" w14:textId="773B9D5E" w:rsidR="00346D5E" w:rsidRPr="00346D5E" w:rsidRDefault="00346D5E" w:rsidP="00346D5E">
      <w:pPr>
        <w:pStyle w:val="EndNoteBibliography"/>
        <w:spacing w:after="0"/>
        <w:ind w:left="720" w:hanging="720"/>
      </w:pPr>
      <w:r w:rsidRPr="00346D5E">
        <w:t xml:space="preserve">Cao, Q., Sun, X., Rajesh, K., Chalasani, N., et al. (2021). Effects of Rare Microbiome Taxa Filtering on Statistical Analysis [Original Research]. </w:t>
      </w:r>
      <w:r w:rsidRPr="00346D5E">
        <w:rPr>
          <w:i/>
        </w:rPr>
        <w:t>Frontiers in Microbiology</w:t>
      </w:r>
      <w:r w:rsidRPr="00346D5E">
        <w:t>,</w:t>
      </w:r>
      <w:r w:rsidRPr="00346D5E">
        <w:rPr>
          <w:i/>
        </w:rPr>
        <w:t xml:space="preserve"> 11</w:t>
      </w:r>
      <w:r w:rsidRPr="00346D5E">
        <w:t xml:space="preserve">. </w:t>
      </w:r>
      <w:hyperlink r:id="rId110" w:history="1">
        <w:r w:rsidRPr="00346D5E">
          <w:rPr>
            <w:rStyle w:val="Hyperlink"/>
          </w:rPr>
          <w:t>https://doi.org/10.3389/fmicb.2020.607325</w:t>
        </w:r>
      </w:hyperlink>
      <w:r w:rsidRPr="00346D5E">
        <w:t xml:space="preserve"> </w:t>
      </w:r>
    </w:p>
    <w:p w14:paraId="56CA718B" w14:textId="00D31166" w:rsidR="00346D5E" w:rsidRPr="00346D5E" w:rsidRDefault="00346D5E" w:rsidP="00346D5E">
      <w:pPr>
        <w:pStyle w:val="EndNoteBibliography"/>
        <w:spacing w:after="0"/>
        <w:ind w:left="720" w:hanging="720"/>
      </w:pPr>
      <w:r w:rsidRPr="00346D5E">
        <w:t xml:space="preserve">Cardelle-Cobas, A., Fernández, M., Salazar, N., Martínez-Villaluenga, C., et al. (2009). Bifidogenic effect and stimulation of short chain fatty acid production in human faecal slurry cultures by oligosaccharides derived from lactose and lactulose. </w:t>
      </w:r>
      <w:r w:rsidRPr="00346D5E">
        <w:rPr>
          <w:i/>
        </w:rPr>
        <w:t>J Dairy Res</w:t>
      </w:r>
      <w:r w:rsidRPr="00346D5E">
        <w:t>,</w:t>
      </w:r>
      <w:r w:rsidRPr="00346D5E">
        <w:rPr>
          <w:i/>
        </w:rPr>
        <w:t xml:space="preserve"> 76</w:t>
      </w:r>
      <w:r w:rsidRPr="00346D5E">
        <w:t xml:space="preserve">(3), 317-325. </w:t>
      </w:r>
      <w:hyperlink r:id="rId111" w:history="1">
        <w:r w:rsidRPr="00346D5E">
          <w:rPr>
            <w:rStyle w:val="Hyperlink"/>
          </w:rPr>
          <w:t>https://doi.org/10.1017/s0022029909004063</w:t>
        </w:r>
      </w:hyperlink>
      <w:r w:rsidRPr="00346D5E">
        <w:t xml:space="preserve"> </w:t>
      </w:r>
    </w:p>
    <w:p w14:paraId="779AE610" w14:textId="77777777" w:rsidR="00346D5E" w:rsidRPr="00346D5E" w:rsidRDefault="00346D5E" w:rsidP="00346D5E">
      <w:pPr>
        <w:pStyle w:val="EndNoteBibliography"/>
        <w:spacing w:after="0"/>
        <w:ind w:left="720" w:hanging="720"/>
      </w:pPr>
      <w:r w:rsidRPr="00346D5E">
        <w:t xml:space="preserve">Castro-Lopes, A., Correia, S., Leal, C., Resende, I., et al. (2021). Increase of Antimicrobial Consumption in a Tertiary Care Hospital during the First Phase of the COVID-19 Pandemic. </w:t>
      </w:r>
      <w:r w:rsidRPr="00346D5E">
        <w:rPr>
          <w:i/>
        </w:rPr>
        <w:t>Antibiotics (Basel, Switzerland)</w:t>
      </w:r>
      <w:r w:rsidRPr="00346D5E">
        <w:t>,</w:t>
      </w:r>
      <w:r w:rsidRPr="00346D5E">
        <w:rPr>
          <w:i/>
        </w:rPr>
        <w:t xml:space="preserve"> 10</w:t>
      </w:r>
      <w:r w:rsidRPr="00346D5E">
        <w:t xml:space="preserve">(7). Retrieved 2021/06//, from </w:t>
      </w:r>
    </w:p>
    <w:p w14:paraId="763F7A32" w14:textId="477AC57B" w:rsidR="00346D5E" w:rsidRPr="00346D5E" w:rsidRDefault="00346D5E" w:rsidP="00346D5E">
      <w:pPr>
        <w:pStyle w:val="EndNoteBibliography"/>
        <w:spacing w:after="0"/>
        <w:ind w:left="720" w:hanging="720"/>
      </w:pPr>
      <w:r w:rsidRPr="00346D5E">
        <w:t xml:space="preserve">Chambers, H. F. (1999). Penicillin-binding protein-mediated resistance in pneumococci and staphylococci. </w:t>
      </w:r>
      <w:r w:rsidRPr="00346D5E">
        <w:rPr>
          <w:i/>
        </w:rPr>
        <w:t>J Infect Dis</w:t>
      </w:r>
      <w:r w:rsidRPr="00346D5E">
        <w:t>,</w:t>
      </w:r>
      <w:r w:rsidRPr="00346D5E">
        <w:rPr>
          <w:i/>
        </w:rPr>
        <w:t xml:space="preserve"> 179 Suppl 2</w:t>
      </w:r>
      <w:r w:rsidRPr="00346D5E">
        <w:t xml:space="preserve">, S353-359. </w:t>
      </w:r>
      <w:hyperlink r:id="rId112" w:history="1">
        <w:r w:rsidRPr="00346D5E">
          <w:rPr>
            <w:rStyle w:val="Hyperlink"/>
          </w:rPr>
          <w:t>https://doi.org/10.1086/513854</w:t>
        </w:r>
      </w:hyperlink>
      <w:r w:rsidRPr="00346D5E">
        <w:t xml:space="preserve"> </w:t>
      </w:r>
    </w:p>
    <w:p w14:paraId="37B9316E" w14:textId="11C53AB8" w:rsidR="00346D5E" w:rsidRPr="00346D5E" w:rsidRDefault="00346D5E" w:rsidP="00346D5E">
      <w:pPr>
        <w:pStyle w:val="EndNoteBibliography"/>
        <w:spacing w:after="0"/>
        <w:ind w:left="720" w:hanging="720"/>
      </w:pPr>
      <w:r w:rsidRPr="00346D5E">
        <w:t>Chang A</w:t>
      </w:r>
      <w:r w:rsidR="0033208F">
        <w:t xml:space="preserve">. </w:t>
      </w:r>
      <w:r w:rsidRPr="00346D5E">
        <w:t>B</w:t>
      </w:r>
      <w:r w:rsidR="0033208F">
        <w:t>.</w:t>
      </w:r>
      <w:r w:rsidRPr="00346D5E">
        <w:t xml:space="preserve">, G. K., Maguire G et al,. (2008). Management of bronchiectasis and chronic suppurative lung disease in Indigenous chidlren and adults from rural and remote Australian communities. </w:t>
      </w:r>
      <w:r w:rsidRPr="00346D5E">
        <w:rPr>
          <w:i/>
        </w:rPr>
        <w:t>MJA</w:t>
      </w:r>
      <w:r w:rsidRPr="00346D5E">
        <w:t xml:space="preserve">, 189:386-393. </w:t>
      </w:r>
    </w:p>
    <w:p w14:paraId="050007FD" w14:textId="7908EF97" w:rsidR="00346D5E" w:rsidRPr="00346D5E" w:rsidRDefault="00346D5E" w:rsidP="00346D5E">
      <w:pPr>
        <w:pStyle w:val="EndNoteBibliography"/>
        <w:spacing w:after="0"/>
        <w:ind w:left="720" w:hanging="720"/>
      </w:pPr>
      <w:r w:rsidRPr="00346D5E">
        <w:t xml:space="preserve">Chang, A. B., Upham, J. W., Masters, I. B., Redding, G. R., et al. (2016). Protracted bacterial bronchitis: The last decade and the road ahead. </w:t>
      </w:r>
      <w:r w:rsidRPr="00346D5E">
        <w:rPr>
          <w:i/>
        </w:rPr>
        <w:t>Pediatric pulmonology</w:t>
      </w:r>
      <w:r w:rsidRPr="00346D5E">
        <w:t>,</w:t>
      </w:r>
      <w:r w:rsidRPr="00346D5E">
        <w:rPr>
          <w:i/>
        </w:rPr>
        <w:t xml:space="preserve"> 51</w:t>
      </w:r>
      <w:r w:rsidRPr="00346D5E">
        <w:t xml:space="preserve">(3), 225-242. </w:t>
      </w:r>
      <w:hyperlink r:id="rId113" w:history="1">
        <w:r w:rsidRPr="00346D5E">
          <w:rPr>
            <w:rStyle w:val="Hyperlink"/>
          </w:rPr>
          <w:t>https://doi.org/10.1002/ppul.23351</w:t>
        </w:r>
      </w:hyperlink>
      <w:r w:rsidRPr="00346D5E">
        <w:t xml:space="preserve"> </w:t>
      </w:r>
    </w:p>
    <w:p w14:paraId="74234D33" w14:textId="53233EC5" w:rsidR="00346D5E" w:rsidRPr="00346D5E" w:rsidRDefault="00346D5E" w:rsidP="00346D5E">
      <w:pPr>
        <w:pStyle w:val="EndNoteBibliography"/>
        <w:spacing w:after="0"/>
        <w:ind w:left="720" w:hanging="720"/>
      </w:pPr>
      <w:r w:rsidRPr="00346D5E">
        <w:t xml:space="preserve">Cillóniz, C., Garcia-Vidal, C., Ceccato, A., &amp; Torres, A. (2018). Antimicrobial Resistance Among Streptococcus pneumoniae. </w:t>
      </w:r>
      <w:r w:rsidRPr="00346D5E">
        <w:rPr>
          <w:i/>
        </w:rPr>
        <w:t>Antimicrobial Resistance in the 21st Century</w:t>
      </w:r>
      <w:r w:rsidRPr="00346D5E">
        <w:t xml:space="preserve">, 13-38. </w:t>
      </w:r>
      <w:hyperlink r:id="rId114" w:history="1">
        <w:r w:rsidRPr="00346D5E">
          <w:rPr>
            <w:rStyle w:val="Hyperlink"/>
          </w:rPr>
          <w:t>https://doi.org/10.1007/978-3-319-78538-7_2</w:t>
        </w:r>
      </w:hyperlink>
      <w:r w:rsidRPr="00346D5E">
        <w:t xml:space="preserve"> </w:t>
      </w:r>
    </w:p>
    <w:p w14:paraId="025E06D8" w14:textId="65694C96" w:rsidR="00346D5E" w:rsidRPr="00346D5E" w:rsidRDefault="00346D5E" w:rsidP="00346D5E">
      <w:pPr>
        <w:pStyle w:val="EndNoteBibliography"/>
        <w:spacing w:after="0"/>
        <w:ind w:left="720" w:hanging="720"/>
      </w:pPr>
      <w:r w:rsidRPr="00346D5E">
        <w:t xml:space="preserve">Clasen, J., Birkegård, A. C., Græsbøll, K., &amp; Folkesson, A. (2019). Evolution of TEM-type extended-spectrum β-lactamases in Escherichia coli by cephalosporins. </w:t>
      </w:r>
      <w:r w:rsidRPr="00346D5E">
        <w:rPr>
          <w:i/>
        </w:rPr>
        <w:t>J Glob Antimicrob Resist</w:t>
      </w:r>
      <w:r w:rsidRPr="00346D5E">
        <w:t>,</w:t>
      </w:r>
      <w:r w:rsidRPr="00346D5E">
        <w:rPr>
          <w:i/>
        </w:rPr>
        <w:t xml:space="preserve"> 19</w:t>
      </w:r>
      <w:r w:rsidRPr="00346D5E">
        <w:t xml:space="preserve">, 32-39. </w:t>
      </w:r>
      <w:hyperlink r:id="rId115" w:history="1">
        <w:r w:rsidRPr="00346D5E">
          <w:rPr>
            <w:rStyle w:val="Hyperlink"/>
          </w:rPr>
          <w:t>https://doi.org/10.1016/j.jgar.2019.03.010</w:t>
        </w:r>
      </w:hyperlink>
      <w:r w:rsidRPr="00346D5E">
        <w:t xml:space="preserve"> </w:t>
      </w:r>
    </w:p>
    <w:p w14:paraId="35F07E55" w14:textId="58D6F28A" w:rsidR="00346D5E" w:rsidRPr="00346D5E" w:rsidRDefault="00346D5E" w:rsidP="00346D5E">
      <w:pPr>
        <w:pStyle w:val="EndNoteBibliography"/>
        <w:spacing w:after="0"/>
        <w:ind w:left="720" w:hanging="720"/>
      </w:pPr>
      <w:r w:rsidRPr="00346D5E">
        <w:t xml:space="preserve">Cleary, D. W., Devine, V. T., Morris, D. E., Osman, K. L., et al. (2017). Pneumococcal vaccine impacts on the population genomics of non-typeable &amp;lt;em&amp;gt;Haemophilus influenzae&amp;lt;/em&amp;gt. </w:t>
      </w:r>
      <w:r w:rsidRPr="00346D5E">
        <w:rPr>
          <w:i/>
        </w:rPr>
        <w:t>bioRxiv</w:t>
      </w:r>
      <w:r w:rsidRPr="00346D5E">
        <w:t xml:space="preserve">, 228791. </w:t>
      </w:r>
      <w:hyperlink r:id="rId116" w:history="1">
        <w:r w:rsidRPr="00346D5E">
          <w:rPr>
            <w:rStyle w:val="Hyperlink"/>
          </w:rPr>
          <w:t>https://doi.org/10.1101/228791</w:t>
        </w:r>
      </w:hyperlink>
      <w:r w:rsidRPr="00346D5E">
        <w:t xml:space="preserve"> </w:t>
      </w:r>
    </w:p>
    <w:p w14:paraId="1013303B" w14:textId="24223CBC" w:rsidR="00346D5E" w:rsidRPr="00346D5E" w:rsidRDefault="00346D5E" w:rsidP="00346D5E">
      <w:pPr>
        <w:pStyle w:val="EndNoteBibliography"/>
        <w:spacing w:after="0"/>
        <w:ind w:left="720" w:hanging="720"/>
      </w:pPr>
      <w:r w:rsidRPr="00346D5E">
        <w:t xml:space="preserve">Clement, A., Tamalet, A., Leroux, E., Ravilly, S., et al. (2006). Long term effects of azithromycin in patients with cystic fibrosis: A double blind, placebo controlled trial. </w:t>
      </w:r>
      <w:r w:rsidRPr="00346D5E">
        <w:rPr>
          <w:i/>
        </w:rPr>
        <w:t>Thorax</w:t>
      </w:r>
      <w:r w:rsidRPr="00346D5E">
        <w:t>,</w:t>
      </w:r>
      <w:r w:rsidRPr="00346D5E">
        <w:rPr>
          <w:i/>
        </w:rPr>
        <w:t xml:space="preserve"> 61</w:t>
      </w:r>
      <w:r w:rsidRPr="00346D5E">
        <w:t xml:space="preserve">(10), 895-902. </w:t>
      </w:r>
      <w:hyperlink r:id="rId117" w:history="1">
        <w:r w:rsidRPr="00346D5E">
          <w:rPr>
            <w:rStyle w:val="Hyperlink"/>
          </w:rPr>
          <w:t>https://doi.org/10.1136/thx.2005.057950</w:t>
        </w:r>
      </w:hyperlink>
      <w:r w:rsidRPr="00346D5E">
        <w:t xml:space="preserve"> </w:t>
      </w:r>
    </w:p>
    <w:p w14:paraId="045C0039" w14:textId="3C5CB85A" w:rsidR="00346D5E" w:rsidRPr="00346D5E" w:rsidRDefault="00346D5E" w:rsidP="00346D5E">
      <w:pPr>
        <w:pStyle w:val="EndNoteBibliography"/>
        <w:spacing w:after="0"/>
        <w:ind w:left="720" w:hanging="720"/>
      </w:pPr>
      <w:r w:rsidRPr="00346D5E">
        <w:t xml:space="preserve">Conn, K. M., Halterman, J. S., Fisher, S. G., Yoos, H. L., et al. (2005). Parental Beliefs About Medications and Medication Adherence Among Urban Children With Asthma. </w:t>
      </w:r>
      <w:r w:rsidRPr="00346D5E">
        <w:rPr>
          <w:i/>
        </w:rPr>
        <w:t>Ambulatory Pediatrics</w:t>
      </w:r>
      <w:r w:rsidRPr="00346D5E">
        <w:t>,</w:t>
      </w:r>
      <w:r w:rsidRPr="00346D5E">
        <w:rPr>
          <w:i/>
        </w:rPr>
        <w:t xml:space="preserve"> 5</w:t>
      </w:r>
      <w:r w:rsidRPr="00346D5E">
        <w:t xml:space="preserve">(5), 306-310. </w:t>
      </w:r>
      <w:hyperlink r:id="rId118" w:history="1">
        <w:r w:rsidRPr="00346D5E">
          <w:rPr>
            <w:rStyle w:val="Hyperlink"/>
          </w:rPr>
          <w:t>https://doi.org/https://doi.org/10.1367/A05-004R1.1</w:t>
        </w:r>
      </w:hyperlink>
      <w:r w:rsidRPr="00346D5E">
        <w:t xml:space="preserve"> </w:t>
      </w:r>
    </w:p>
    <w:p w14:paraId="1C33E0C3" w14:textId="376B4A30" w:rsidR="00346D5E" w:rsidRPr="00346D5E" w:rsidRDefault="00346D5E" w:rsidP="00346D5E">
      <w:pPr>
        <w:pStyle w:val="EndNoteBibliography"/>
        <w:spacing w:after="0"/>
        <w:ind w:left="720" w:hanging="720"/>
      </w:pPr>
      <w:r w:rsidRPr="00346D5E">
        <w:t xml:space="preserve">Cox, M. J., Allgaier, M., Taylor, B., Baek, M. S., et al. (2010). Airway microbiota and pathogen abundance in age-stratified cystic fibrosis patients. </w:t>
      </w:r>
      <w:r w:rsidRPr="00346D5E">
        <w:rPr>
          <w:i/>
        </w:rPr>
        <w:t>PLoS One</w:t>
      </w:r>
      <w:r w:rsidRPr="00346D5E">
        <w:t>,</w:t>
      </w:r>
      <w:r w:rsidRPr="00346D5E">
        <w:rPr>
          <w:i/>
        </w:rPr>
        <w:t xml:space="preserve"> 5</w:t>
      </w:r>
      <w:r w:rsidRPr="00346D5E">
        <w:t xml:space="preserve">(6), e11044. </w:t>
      </w:r>
      <w:hyperlink r:id="rId119" w:history="1">
        <w:r w:rsidRPr="00346D5E">
          <w:rPr>
            <w:rStyle w:val="Hyperlink"/>
          </w:rPr>
          <w:t>https://doi.org/10.1371/journal.pone.0011044</w:t>
        </w:r>
      </w:hyperlink>
      <w:r w:rsidRPr="00346D5E">
        <w:t xml:space="preserve"> </w:t>
      </w:r>
    </w:p>
    <w:p w14:paraId="4475F659" w14:textId="71377ECD" w:rsidR="00346D5E" w:rsidRPr="00346D5E" w:rsidRDefault="00346D5E" w:rsidP="00346D5E">
      <w:pPr>
        <w:pStyle w:val="EndNoteBibliography"/>
        <w:spacing w:after="0"/>
        <w:ind w:left="720" w:hanging="720"/>
      </w:pPr>
      <w:r w:rsidRPr="00346D5E">
        <w:t xml:space="preserve">Coxeter, P. D., Mar, C. D., &amp; Hoffmann, T. C. (2017). Parents’ Expectations and Experiences of Antibiotics for Acute Respiratory Infections in Primary Care. </w:t>
      </w:r>
      <w:r w:rsidRPr="00346D5E">
        <w:rPr>
          <w:i/>
        </w:rPr>
        <w:t>The Annals of Family Medicine</w:t>
      </w:r>
      <w:r w:rsidRPr="00346D5E">
        <w:t>,</w:t>
      </w:r>
      <w:r w:rsidRPr="00346D5E">
        <w:rPr>
          <w:i/>
        </w:rPr>
        <w:t xml:space="preserve"> 15</w:t>
      </w:r>
      <w:r w:rsidRPr="00346D5E">
        <w:t xml:space="preserve">(2), 149-154. </w:t>
      </w:r>
      <w:hyperlink r:id="rId120" w:history="1">
        <w:r w:rsidRPr="00346D5E">
          <w:rPr>
            <w:rStyle w:val="Hyperlink"/>
          </w:rPr>
          <w:t>https://doi.org/10.1370/afm.2040</w:t>
        </w:r>
      </w:hyperlink>
      <w:r w:rsidRPr="00346D5E">
        <w:t xml:space="preserve"> </w:t>
      </w:r>
    </w:p>
    <w:p w14:paraId="00A400D2" w14:textId="397FAE4C" w:rsidR="00346D5E" w:rsidRPr="00346D5E" w:rsidRDefault="00346D5E" w:rsidP="00346D5E">
      <w:pPr>
        <w:pStyle w:val="EndNoteBibliography"/>
        <w:spacing w:after="0"/>
        <w:ind w:left="720" w:hanging="720"/>
      </w:pPr>
      <w:r w:rsidRPr="00346D5E">
        <w:t xml:space="preserve">Croucher, N. J., Walker, D., Romero, P., Lennard, N., et al. (2009). Role of conjugative elements in the evolution of the multidrug-resistant pandemic clone Streptococcus pneumoniaeSpain23F ST81. </w:t>
      </w:r>
      <w:r w:rsidRPr="00346D5E">
        <w:rPr>
          <w:i/>
        </w:rPr>
        <w:t>Journal of bacteriology</w:t>
      </w:r>
      <w:r w:rsidRPr="00346D5E">
        <w:t>,</w:t>
      </w:r>
      <w:r w:rsidRPr="00346D5E">
        <w:rPr>
          <w:i/>
        </w:rPr>
        <w:t xml:space="preserve"> 191</w:t>
      </w:r>
      <w:r w:rsidRPr="00346D5E">
        <w:t xml:space="preserve">(5), 1480-1489. </w:t>
      </w:r>
      <w:hyperlink r:id="rId121" w:history="1">
        <w:r w:rsidRPr="00346D5E">
          <w:rPr>
            <w:rStyle w:val="Hyperlink"/>
          </w:rPr>
          <w:t>https://doi.org/10.1128/JB.01343-08</w:t>
        </w:r>
      </w:hyperlink>
      <w:r w:rsidRPr="00346D5E">
        <w:t xml:space="preserve"> </w:t>
      </w:r>
    </w:p>
    <w:p w14:paraId="4CAF48B0" w14:textId="65C166F0" w:rsidR="00346D5E" w:rsidRPr="00346D5E" w:rsidRDefault="00346D5E" w:rsidP="00346D5E">
      <w:pPr>
        <w:pStyle w:val="EndNoteBibliography"/>
        <w:spacing w:after="0"/>
        <w:ind w:left="720" w:hanging="720"/>
      </w:pPr>
      <w:r w:rsidRPr="00346D5E">
        <w:t xml:space="preserve">Cuthbertson, L., Craven, V., Bingle, L., Cookson, W. O. C. M., et al. (2017). The impact of persistent bacterial bronchitis on the pulmonary microbiome of children. </w:t>
      </w:r>
      <w:r w:rsidRPr="00346D5E">
        <w:rPr>
          <w:i/>
        </w:rPr>
        <w:t>PLoS One</w:t>
      </w:r>
      <w:r w:rsidRPr="00346D5E">
        <w:t>,</w:t>
      </w:r>
      <w:r w:rsidRPr="00346D5E">
        <w:rPr>
          <w:i/>
        </w:rPr>
        <w:t xml:space="preserve"> 12</w:t>
      </w:r>
      <w:r w:rsidRPr="00346D5E">
        <w:t xml:space="preserve">(12), e0190075-e0190075. </w:t>
      </w:r>
      <w:hyperlink r:id="rId122" w:history="1">
        <w:r w:rsidRPr="00346D5E">
          <w:rPr>
            <w:rStyle w:val="Hyperlink"/>
          </w:rPr>
          <w:t>https://doi.org/10.1371/journal.pone.0190075</w:t>
        </w:r>
      </w:hyperlink>
      <w:r w:rsidRPr="00346D5E">
        <w:t xml:space="preserve"> </w:t>
      </w:r>
    </w:p>
    <w:p w14:paraId="2061742C" w14:textId="21ED1ADD" w:rsidR="00346D5E" w:rsidRPr="00346D5E" w:rsidRDefault="00346D5E" w:rsidP="00346D5E">
      <w:pPr>
        <w:pStyle w:val="EndNoteBibliography"/>
        <w:spacing w:after="0"/>
        <w:ind w:left="720" w:hanging="720"/>
      </w:pPr>
      <w:r w:rsidRPr="00346D5E">
        <w:lastRenderedPageBreak/>
        <w:t xml:space="preserve">D'Andrea, M. M., Arena, F., Pallecchi, L., &amp; Rossolini, G. M. (2013). CTX-M-type β-lactamases: a successful story of antibiotic resistance. </w:t>
      </w:r>
      <w:r w:rsidRPr="00346D5E">
        <w:rPr>
          <w:i/>
        </w:rPr>
        <w:t>Int J Med Microbiol</w:t>
      </w:r>
      <w:r w:rsidRPr="00346D5E">
        <w:t>,</w:t>
      </w:r>
      <w:r w:rsidRPr="00346D5E">
        <w:rPr>
          <w:i/>
        </w:rPr>
        <w:t xml:space="preserve"> 303</w:t>
      </w:r>
      <w:r w:rsidRPr="00346D5E">
        <w:t xml:space="preserve">(6-7), 305-317. </w:t>
      </w:r>
      <w:hyperlink r:id="rId123" w:history="1">
        <w:r w:rsidRPr="00346D5E">
          <w:rPr>
            <w:rStyle w:val="Hyperlink"/>
          </w:rPr>
          <w:t>https://doi.org/10.1016/j.ijmm.2013.02.008</w:t>
        </w:r>
      </w:hyperlink>
      <w:r w:rsidRPr="00346D5E">
        <w:t xml:space="preserve"> </w:t>
      </w:r>
    </w:p>
    <w:p w14:paraId="1E60BEBA" w14:textId="19807E88" w:rsidR="00346D5E" w:rsidRPr="00346D5E" w:rsidRDefault="00346D5E" w:rsidP="00346D5E">
      <w:pPr>
        <w:pStyle w:val="EndNoteBibliography"/>
        <w:spacing w:after="0"/>
        <w:ind w:left="720" w:hanging="720"/>
      </w:pPr>
      <w:r w:rsidRPr="00346D5E">
        <w:t xml:space="preserve">Damle, B., Vourvahis, M., Wang, E., Leaney, J., et al. (2020). Clinical Pharmacology Perspectives on the Antiviral Activity of Azithromycin and Use in COVID-19. </w:t>
      </w:r>
      <w:r w:rsidRPr="00346D5E">
        <w:rPr>
          <w:i/>
        </w:rPr>
        <w:t>Clinical Pharmacology &amp; Therapeutics</w:t>
      </w:r>
      <w:r w:rsidRPr="00346D5E">
        <w:t>,</w:t>
      </w:r>
      <w:r w:rsidRPr="00346D5E">
        <w:rPr>
          <w:i/>
        </w:rPr>
        <w:t xml:space="preserve"> 108</w:t>
      </w:r>
      <w:r w:rsidRPr="00346D5E">
        <w:t xml:space="preserve">(2), 201-211. </w:t>
      </w:r>
      <w:hyperlink r:id="rId124" w:history="1">
        <w:r w:rsidRPr="00346D5E">
          <w:rPr>
            <w:rStyle w:val="Hyperlink"/>
          </w:rPr>
          <w:t>https://doi.org/https://doi.org/10.1002/cpt.1857</w:t>
        </w:r>
      </w:hyperlink>
      <w:r w:rsidRPr="00346D5E">
        <w:t xml:space="preserve"> </w:t>
      </w:r>
    </w:p>
    <w:p w14:paraId="769F0E7D" w14:textId="15C57CE1" w:rsidR="00346D5E" w:rsidRPr="00346D5E" w:rsidRDefault="00346D5E" w:rsidP="00346D5E">
      <w:pPr>
        <w:pStyle w:val="EndNoteBibliography"/>
        <w:spacing w:after="0"/>
        <w:ind w:left="720" w:hanging="720"/>
      </w:pPr>
      <w:r w:rsidRPr="00346D5E">
        <w:t xml:space="preserve">Daniels, B., Coutsoudis, A., Moodley-Govender, E., Mulol, H., et al. (2019). Effect of co-trimoxazole prophylaxis on morbidity and mortality of HIV-exposed, HIV-uninfected infants in South Africa: a randomised controlled, non-inferiority trial. </w:t>
      </w:r>
      <w:r w:rsidRPr="00346D5E">
        <w:rPr>
          <w:i/>
        </w:rPr>
        <w:t>Lancet Glob Health</w:t>
      </w:r>
      <w:r w:rsidRPr="00346D5E">
        <w:t>,</w:t>
      </w:r>
      <w:r w:rsidRPr="00346D5E">
        <w:rPr>
          <w:i/>
        </w:rPr>
        <w:t xml:space="preserve"> 7</w:t>
      </w:r>
      <w:r w:rsidRPr="00346D5E">
        <w:t xml:space="preserve">(12), e1717-e1727. </w:t>
      </w:r>
      <w:hyperlink r:id="rId125" w:history="1">
        <w:r w:rsidRPr="00346D5E">
          <w:rPr>
            <w:rStyle w:val="Hyperlink"/>
          </w:rPr>
          <w:t>https://doi.org/10.1016/s2214-109x(19)30422-x</w:t>
        </w:r>
      </w:hyperlink>
      <w:r w:rsidRPr="00346D5E">
        <w:t xml:space="preserve"> </w:t>
      </w:r>
    </w:p>
    <w:p w14:paraId="0EEADA6A" w14:textId="6B43E9B3" w:rsidR="00346D5E" w:rsidRPr="00346D5E" w:rsidRDefault="00346D5E" w:rsidP="00346D5E">
      <w:pPr>
        <w:pStyle w:val="EndNoteBibliography"/>
        <w:spacing w:after="0"/>
        <w:ind w:left="720" w:hanging="720"/>
      </w:pPr>
      <w:r w:rsidRPr="00346D5E">
        <w:t xml:space="preserve">De Simoni, A., Horne, R., Fleming, L., Bush, A., et al. (2017). What do adolescents with asthma really think about adherence to inhalers? Insights from a qualitative analysis of a UK online forum. </w:t>
      </w:r>
      <w:r w:rsidRPr="00346D5E">
        <w:rPr>
          <w:i/>
        </w:rPr>
        <w:t>BMJ Open</w:t>
      </w:r>
      <w:r w:rsidRPr="00346D5E">
        <w:t>,</w:t>
      </w:r>
      <w:r w:rsidRPr="00346D5E">
        <w:rPr>
          <w:i/>
        </w:rPr>
        <w:t xml:space="preserve"> 7</w:t>
      </w:r>
      <w:r w:rsidRPr="00346D5E">
        <w:t xml:space="preserve">(6), e015245. </w:t>
      </w:r>
      <w:hyperlink r:id="rId126" w:history="1">
        <w:r w:rsidRPr="00346D5E">
          <w:rPr>
            <w:rStyle w:val="Hyperlink"/>
          </w:rPr>
          <w:t>https://doi.org/10.1136/bmjopen-2016-015245</w:t>
        </w:r>
      </w:hyperlink>
      <w:r w:rsidRPr="00346D5E">
        <w:t xml:space="preserve"> </w:t>
      </w:r>
    </w:p>
    <w:p w14:paraId="6BAF9206" w14:textId="76A3950F" w:rsidR="00346D5E" w:rsidRPr="00346D5E" w:rsidRDefault="00346D5E" w:rsidP="00346D5E">
      <w:pPr>
        <w:pStyle w:val="EndNoteBibliography"/>
        <w:spacing w:after="0"/>
        <w:ind w:left="720" w:hanging="720"/>
      </w:pPr>
      <w:r w:rsidRPr="00346D5E">
        <w:t xml:space="preserve">den Besten, G., van Eunen, K., Groen, A. K., Venema, K., et al. (2013). The role of short-chain fatty acids in the interplay between diet, gut microbiota, and host energy metabolism. </w:t>
      </w:r>
      <w:r w:rsidRPr="00346D5E">
        <w:rPr>
          <w:i/>
        </w:rPr>
        <w:t>J Lipid Res</w:t>
      </w:r>
      <w:r w:rsidRPr="00346D5E">
        <w:t>,</w:t>
      </w:r>
      <w:r w:rsidRPr="00346D5E">
        <w:rPr>
          <w:i/>
        </w:rPr>
        <w:t xml:space="preserve"> 54</w:t>
      </w:r>
      <w:r w:rsidRPr="00346D5E">
        <w:t xml:space="preserve">(9), 2325-2340. </w:t>
      </w:r>
      <w:hyperlink r:id="rId127" w:history="1">
        <w:r w:rsidRPr="00346D5E">
          <w:rPr>
            <w:rStyle w:val="Hyperlink"/>
          </w:rPr>
          <w:t>https://doi.org/10.1194/jlr.R036012</w:t>
        </w:r>
      </w:hyperlink>
      <w:r w:rsidRPr="00346D5E">
        <w:t xml:space="preserve"> </w:t>
      </w:r>
    </w:p>
    <w:p w14:paraId="5C703DEE" w14:textId="49CC3AFE" w:rsidR="00346D5E" w:rsidRPr="00346D5E" w:rsidRDefault="00346D5E" w:rsidP="00346D5E">
      <w:pPr>
        <w:pStyle w:val="EndNoteBibliography"/>
        <w:spacing w:after="0"/>
        <w:ind w:left="720" w:hanging="720"/>
      </w:pPr>
      <w:r w:rsidRPr="00346D5E">
        <w:t xml:space="preserve">Department of Health. (2022). </w:t>
      </w:r>
      <w:r w:rsidRPr="00346D5E">
        <w:rPr>
          <w:i/>
        </w:rPr>
        <w:t xml:space="preserve">Policy Framework for Health and Social Care Research </w:t>
      </w:r>
      <w:hyperlink r:id="rId128" w:history="1">
        <w:r w:rsidRPr="00346D5E">
          <w:rPr>
            <w:rStyle w:val="Hyperlink"/>
          </w:rPr>
          <w:t>https://www.hra.nhs.uk/planning-and-improving-research/policies-standards-legislation/uk-policy-framework-health-social-care-research/uk-policy-framework-health-and-social-care-research/</w:t>
        </w:r>
      </w:hyperlink>
    </w:p>
    <w:p w14:paraId="428D958E" w14:textId="67D4D1A6" w:rsidR="00346D5E" w:rsidRPr="00346D5E" w:rsidRDefault="00346D5E" w:rsidP="00346D5E">
      <w:pPr>
        <w:pStyle w:val="EndNoteBibliography"/>
        <w:spacing w:after="0"/>
        <w:ind w:left="720" w:hanging="720"/>
      </w:pPr>
      <w:r w:rsidRPr="00346D5E">
        <w:t xml:space="preserve">Diakite, A., Dubourg, G., &amp; Raoult, D. (2021). Updating the repertoire of cultured bacteria from the human being. </w:t>
      </w:r>
      <w:r w:rsidRPr="00346D5E">
        <w:rPr>
          <w:i/>
        </w:rPr>
        <w:t>Microbial Pathogenesis</w:t>
      </w:r>
      <w:r w:rsidRPr="00346D5E">
        <w:t>,</w:t>
      </w:r>
      <w:r w:rsidRPr="00346D5E">
        <w:rPr>
          <w:i/>
        </w:rPr>
        <w:t xml:space="preserve"> 150</w:t>
      </w:r>
      <w:r w:rsidRPr="00346D5E">
        <w:t xml:space="preserve">, 104698. </w:t>
      </w:r>
      <w:hyperlink r:id="rId129" w:history="1">
        <w:r w:rsidRPr="00346D5E">
          <w:rPr>
            <w:rStyle w:val="Hyperlink"/>
          </w:rPr>
          <w:t>https://doi.org/https://doi.org/10.1016/j.micpath.2020.104698</w:t>
        </w:r>
      </w:hyperlink>
      <w:r w:rsidRPr="00346D5E">
        <w:t xml:space="preserve"> </w:t>
      </w:r>
    </w:p>
    <w:p w14:paraId="2F9FDF81" w14:textId="7A0BDD9D" w:rsidR="00346D5E" w:rsidRPr="00346D5E" w:rsidRDefault="00346D5E" w:rsidP="00346D5E">
      <w:pPr>
        <w:pStyle w:val="EndNoteBibliography"/>
        <w:spacing w:after="0"/>
        <w:ind w:left="720" w:hanging="720"/>
      </w:pPr>
      <w:r w:rsidRPr="00346D5E">
        <w:t xml:space="preserve">Dicker, A. J., Lonergan, M., Keir, H. R., Smith, A. H., et al. (2021). The sputum microbiome and clinical outcomes in patients with bronchiectasis: a prospective observational study. </w:t>
      </w:r>
      <w:r w:rsidRPr="00346D5E">
        <w:rPr>
          <w:i/>
        </w:rPr>
        <w:t>Lancet Respir Med</w:t>
      </w:r>
      <w:r w:rsidRPr="00346D5E">
        <w:t>,</w:t>
      </w:r>
      <w:r w:rsidRPr="00346D5E">
        <w:rPr>
          <w:i/>
        </w:rPr>
        <w:t xml:space="preserve"> 9</w:t>
      </w:r>
      <w:r w:rsidRPr="00346D5E">
        <w:t xml:space="preserve">(8), 885-896. </w:t>
      </w:r>
      <w:hyperlink r:id="rId130" w:history="1">
        <w:r w:rsidRPr="00346D5E">
          <w:rPr>
            <w:rStyle w:val="Hyperlink"/>
          </w:rPr>
          <w:t>https://doi.org/10.1016/s2213-2600(20)30557-9</w:t>
        </w:r>
      </w:hyperlink>
      <w:r w:rsidRPr="00346D5E">
        <w:t xml:space="preserve"> </w:t>
      </w:r>
    </w:p>
    <w:p w14:paraId="6CB2D460" w14:textId="0B401581" w:rsidR="00346D5E" w:rsidRPr="00346D5E" w:rsidRDefault="00346D5E" w:rsidP="00346D5E">
      <w:pPr>
        <w:pStyle w:val="EndNoteBibliography"/>
        <w:spacing w:after="0"/>
        <w:ind w:left="720" w:hanging="720"/>
      </w:pPr>
      <w:r w:rsidRPr="00346D5E">
        <w:t xml:space="preserve">Dickson, R. P., &amp; Huffnagle, G. B. (2015). The Lung Microbiome: New Principles for Respiratory Bacteriology in Health and Disease. </w:t>
      </w:r>
      <w:r w:rsidRPr="00346D5E">
        <w:rPr>
          <w:i/>
        </w:rPr>
        <w:t>PLoS Pathog</w:t>
      </w:r>
      <w:r w:rsidRPr="00346D5E">
        <w:t>,</w:t>
      </w:r>
      <w:r w:rsidRPr="00346D5E">
        <w:rPr>
          <w:i/>
        </w:rPr>
        <w:t xml:space="preserve"> 11</w:t>
      </w:r>
      <w:r w:rsidRPr="00346D5E">
        <w:t xml:space="preserve">(7), e1004923. </w:t>
      </w:r>
      <w:hyperlink r:id="rId131" w:history="1">
        <w:r w:rsidRPr="00346D5E">
          <w:rPr>
            <w:rStyle w:val="Hyperlink"/>
          </w:rPr>
          <w:t>https://doi.org/10.1371/journal.ppat.1004923</w:t>
        </w:r>
      </w:hyperlink>
      <w:r w:rsidRPr="00346D5E">
        <w:t xml:space="preserve"> </w:t>
      </w:r>
    </w:p>
    <w:p w14:paraId="0C0C4532" w14:textId="709F4051" w:rsidR="00346D5E" w:rsidRPr="00346D5E" w:rsidRDefault="00346D5E" w:rsidP="00346D5E">
      <w:pPr>
        <w:pStyle w:val="EndNoteBibliography"/>
        <w:spacing w:after="0"/>
        <w:ind w:left="720" w:hanging="720"/>
      </w:pPr>
      <w:r w:rsidRPr="00346D5E">
        <w:t xml:space="preserve">Dinos, G. P. (2017). The macrolide antibiotic renaissance. </w:t>
      </w:r>
      <w:r w:rsidRPr="00346D5E">
        <w:rPr>
          <w:i/>
        </w:rPr>
        <w:t>British journal of pharmacology</w:t>
      </w:r>
      <w:r w:rsidRPr="00346D5E">
        <w:t>,</w:t>
      </w:r>
      <w:r w:rsidRPr="00346D5E">
        <w:rPr>
          <w:i/>
        </w:rPr>
        <w:t xml:space="preserve"> 174</w:t>
      </w:r>
      <w:r w:rsidRPr="00346D5E">
        <w:t xml:space="preserve">(18), 2967-2983. </w:t>
      </w:r>
      <w:hyperlink r:id="rId132" w:history="1">
        <w:r w:rsidRPr="00346D5E">
          <w:rPr>
            <w:rStyle w:val="Hyperlink"/>
          </w:rPr>
          <w:t>https://doi.org/10.1111/bph.13936</w:t>
        </w:r>
      </w:hyperlink>
      <w:r w:rsidRPr="00346D5E">
        <w:t xml:space="preserve"> </w:t>
      </w:r>
    </w:p>
    <w:p w14:paraId="5DDF2351" w14:textId="410CB87B" w:rsidR="00346D5E" w:rsidRPr="00346D5E" w:rsidRDefault="00346D5E" w:rsidP="00346D5E">
      <w:pPr>
        <w:pStyle w:val="EndNoteBibliography"/>
        <w:spacing w:after="0"/>
        <w:ind w:left="720" w:hanging="720"/>
      </w:pPr>
      <w:r w:rsidRPr="00346D5E">
        <w:t xml:space="preserve">Diorio, C., Tomlinson, D., Boydell, K. M., Regier, D. A., et al. (2012). Attitudes toward infection prophylaxis in pediatric oncology: a qualitative approach. </w:t>
      </w:r>
      <w:r w:rsidRPr="00346D5E">
        <w:rPr>
          <w:i/>
        </w:rPr>
        <w:t>PLoS One</w:t>
      </w:r>
      <w:r w:rsidRPr="00346D5E">
        <w:t>,</w:t>
      </w:r>
      <w:r w:rsidRPr="00346D5E">
        <w:rPr>
          <w:i/>
        </w:rPr>
        <w:t xml:space="preserve"> 7</w:t>
      </w:r>
      <w:r w:rsidRPr="00346D5E">
        <w:t xml:space="preserve">(10), e47815. </w:t>
      </w:r>
      <w:hyperlink r:id="rId133" w:history="1">
        <w:r w:rsidRPr="00346D5E">
          <w:rPr>
            <w:rStyle w:val="Hyperlink"/>
          </w:rPr>
          <w:t>https://doi.org/10.1371/journal.pone.0047815</w:t>
        </w:r>
      </w:hyperlink>
      <w:r w:rsidRPr="00346D5E">
        <w:t xml:space="preserve"> </w:t>
      </w:r>
    </w:p>
    <w:p w14:paraId="2F915394" w14:textId="47A83876" w:rsidR="00346D5E" w:rsidRPr="00346D5E" w:rsidRDefault="00346D5E" w:rsidP="00346D5E">
      <w:pPr>
        <w:pStyle w:val="EndNoteBibliography"/>
        <w:spacing w:after="0"/>
        <w:ind w:left="720" w:hanging="720"/>
      </w:pPr>
      <w:r w:rsidRPr="00346D5E">
        <w:t xml:space="preserve">Doan, T., Arzika, A. M., Ray, K. J., Cotter, S. Y., et al. (2017). Gut Microbial Diversity in Antibiotic-Naive Children After Systemic Antibiotic Exposure: A Randomized Controlled Trial. </w:t>
      </w:r>
      <w:r w:rsidRPr="00346D5E">
        <w:rPr>
          <w:i/>
        </w:rPr>
        <w:t>Clin Infect Dis</w:t>
      </w:r>
      <w:r w:rsidRPr="00346D5E">
        <w:t>,</w:t>
      </w:r>
      <w:r w:rsidRPr="00346D5E">
        <w:rPr>
          <w:i/>
        </w:rPr>
        <w:t xml:space="preserve"> 64</w:t>
      </w:r>
      <w:r w:rsidRPr="00346D5E">
        <w:t xml:space="preserve">(9), 1147-1153. </w:t>
      </w:r>
      <w:hyperlink r:id="rId134" w:history="1">
        <w:r w:rsidRPr="00346D5E">
          <w:rPr>
            <w:rStyle w:val="Hyperlink"/>
          </w:rPr>
          <w:t>https://doi.org/10.1093/cid/cix141</w:t>
        </w:r>
      </w:hyperlink>
      <w:r w:rsidRPr="00346D5E">
        <w:t xml:space="preserve"> </w:t>
      </w:r>
    </w:p>
    <w:p w14:paraId="7723A527" w14:textId="7B5F74CB" w:rsidR="00346D5E" w:rsidRPr="00346D5E" w:rsidRDefault="00346D5E" w:rsidP="00346D5E">
      <w:pPr>
        <w:pStyle w:val="EndNoteBibliography"/>
        <w:spacing w:after="0"/>
        <w:ind w:left="720" w:hanging="720"/>
      </w:pPr>
      <w:r w:rsidRPr="00346D5E">
        <w:t xml:space="preserve">Duffy, E., Thomas, M., Hills, T., &amp; Ritchie, S. (2021). The impacts of New Zealand's COVID-19 epidemic response on community antibiotic use and hospitalisation for pneumonia, peritonsillar abscess and rheumatic fever. </w:t>
      </w:r>
      <w:r w:rsidRPr="00346D5E">
        <w:rPr>
          <w:i/>
        </w:rPr>
        <w:t>Lancet Reg Health West Pac</w:t>
      </w:r>
      <w:r w:rsidRPr="00346D5E">
        <w:t>,</w:t>
      </w:r>
      <w:r w:rsidRPr="00346D5E">
        <w:rPr>
          <w:i/>
        </w:rPr>
        <w:t xml:space="preserve"> 12</w:t>
      </w:r>
      <w:r w:rsidRPr="00346D5E">
        <w:t xml:space="preserve">, 100162. </w:t>
      </w:r>
      <w:hyperlink r:id="rId135" w:history="1">
        <w:r w:rsidRPr="00346D5E">
          <w:rPr>
            <w:rStyle w:val="Hyperlink"/>
          </w:rPr>
          <w:t>https://doi.org/10.1016/j.lanwpc.2021.100162</w:t>
        </w:r>
      </w:hyperlink>
      <w:r w:rsidRPr="00346D5E">
        <w:t xml:space="preserve"> </w:t>
      </w:r>
    </w:p>
    <w:p w14:paraId="49CACD8F" w14:textId="640A1C1E" w:rsidR="00346D5E" w:rsidRPr="00346D5E" w:rsidRDefault="00346D5E" w:rsidP="00346D5E">
      <w:pPr>
        <w:pStyle w:val="EndNoteBibliography"/>
        <w:spacing w:after="0"/>
        <w:ind w:left="720" w:hanging="720"/>
      </w:pPr>
      <w:r w:rsidRPr="00346D5E">
        <w:t xml:space="preserve">Ebner, J. (2018, 06/07/2022). Permutational Multivariate Analysis of Variance (PERMANOVA) in R.  </w:t>
      </w:r>
      <w:hyperlink r:id="rId136" w:history="1">
        <w:r w:rsidRPr="00346D5E">
          <w:rPr>
            <w:rStyle w:val="Hyperlink"/>
          </w:rPr>
          <w:t>https://archetypalecology.wordpress.com/2018/02/21/permutational-multivariate-analysis-of-variance-permanova-in-r-preliminary/</w:t>
        </w:r>
      </w:hyperlink>
    </w:p>
    <w:p w14:paraId="5DEF4C43" w14:textId="5C390DC7" w:rsidR="00346D5E" w:rsidRPr="00346D5E" w:rsidRDefault="00346D5E" w:rsidP="00346D5E">
      <w:pPr>
        <w:pStyle w:val="EndNoteBibliography"/>
        <w:spacing w:after="0"/>
        <w:ind w:left="720" w:hanging="720"/>
      </w:pPr>
      <w:r w:rsidRPr="00346D5E">
        <w:t xml:space="preserve">ECDC. (2020). </w:t>
      </w:r>
      <w:r w:rsidRPr="00346D5E">
        <w:rPr>
          <w:i/>
        </w:rPr>
        <w:t>Antimicrobial resistance in the EU/EEA (EARS-Net) - Annual Epidemiological Report for 2019</w:t>
      </w:r>
      <w:r w:rsidRPr="00346D5E">
        <w:t xml:space="preserve">. </w:t>
      </w:r>
      <w:hyperlink r:id="rId137" w:history="1">
        <w:r w:rsidRPr="00346D5E">
          <w:rPr>
            <w:rStyle w:val="Hyperlink"/>
          </w:rPr>
          <w:t>https://www.ecdc.europa.eu/en/publications-data/surveillance-antimicrobial-resistance-europe-2019</w:t>
        </w:r>
      </w:hyperlink>
    </w:p>
    <w:p w14:paraId="17F97BDD" w14:textId="3F2E0F80" w:rsidR="00346D5E" w:rsidRPr="00346D5E" w:rsidRDefault="00346D5E" w:rsidP="00346D5E">
      <w:pPr>
        <w:pStyle w:val="EndNoteBibliography"/>
        <w:spacing w:after="0"/>
        <w:ind w:left="720" w:hanging="720"/>
      </w:pPr>
      <w:r w:rsidRPr="00346D5E">
        <w:lastRenderedPageBreak/>
        <w:t xml:space="preserve">ECDC. (2021, 18/11/2021). </w:t>
      </w:r>
      <w:r w:rsidRPr="00346D5E">
        <w:rPr>
          <w:i/>
        </w:rPr>
        <w:t>Antimicrobial consumption in the EU/EEA (ESAC-Net) - Annual Epidemiological Report for 2020</w:t>
      </w:r>
      <w:r w:rsidRPr="00346D5E">
        <w:t xml:space="preserve">. </w:t>
      </w:r>
      <w:hyperlink r:id="rId138" w:history="1">
        <w:r w:rsidRPr="00346D5E">
          <w:rPr>
            <w:rStyle w:val="Hyperlink"/>
          </w:rPr>
          <w:t>https://www.ecdc.europa.eu/en/publications-data/surveillance-antimicrobial-consumption-europe-2020</w:t>
        </w:r>
      </w:hyperlink>
    </w:p>
    <w:p w14:paraId="4D8A983E" w14:textId="5338F106" w:rsidR="00346D5E" w:rsidRPr="00346D5E" w:rsidRDefault="00346D5E" w:rsidP="00346D5E">
      <w:pPr>
        <w:pStyle w:val="EndNoteBibliography"/>
        <w:spacing w:after="0"/>
        <w:ind w:left="720" w:hanging="720"/>
      </w:pPr>
      <w:r w:rsidRPr="00346D5E">
        <w:t xml:space="preserve">Elliott, V., Morgan, S., Day, S., Mollerup, L. S., et al. (2001). Parental health beliefs and compliance with prophylactic penicillin administration in children with sickle cell disease. </w:t>
      </w:r>
      <w:r w:rsidRPr="00346D5E">
        <w:rPr>
          <w:i/>
        </w:rPr>
        <w:t>J Pediatr Hematol Oncol</w:t>
      </w:r>
      <w:r w:rsidRPr="00346D5E">
        <w:t>,</w:t>
      </w:r>
      <w:r w:rsidRPr="00346D5E">
        <w:rPr>
          <w:i/>
        </w:rPr>
        <w:t xml:space="preserve"> 23</w:t>
      </w:r>
      <w:r w:rsidRPr="00346D5E">
        <w:t xml:space="preserve">(2), 112-116. </w:t>
      </w:r>
      <w:hyperlink r:id="rId139" w:history="1">
        <w:r w:rsidRPr="00346D5E">
          <w:rPr>
            <w:rStyle w:val="Hyperlink"/>
          </w:rPr>
          <w:t>https://doi.org/10.1097/00043426-200102000-00009</w:t>
        </w:r>
      </w:hyperlink>
      <w:r w:rsidRPr="00346D5E">
        <w:t xml:space="preserve"> </w:t>
      </w:r>
    </w:p>
    <w:p w14:paraId="3AE12E19" w14:textId="78522BF2" w:rsidR="00346D5E" w:rsidRPr="00346D5E" w:rsidRDefault="00346D5E" w:rsidP="00346D5E">
      <w:pPr>
        <w:pStyle w:val="EndNoteBibliography"/>
        <w:spacing w:after="0"/>
        <w:ind w:left="720" w:hanging="720"/>
      </w:pPr>
      <w:r w:rsidRPr="00346D5E">
        <w:t xml:space="preserve">Euba, B., Moleres, J., Viadas, C., Barberan, M., et al. (2015). Relationship between azithromycin susceptibility and administration efficacy for nontypeable Haemophilus influenzae respiratory infection. </w:t>
      </w:r>
      <w:r w:rsidRPr="00346D5E">
        <w:rPr>
          <w:i/>
        </w:rPr>
        <w:t>Antimicrob Agents Chemother</w:t>
      </w:r>
      <w:r w:rsidRPr="00346D5E">
        <w:t>,</w:t>
      </w:r>
      <w:r w:rsidRPr="00346D5E">
        <w:rPr>
          <w:i/>
        </w:rPr>
        <w:t xml:space="preserve"> 59</w:t>
      </w:r>
      <w:r w:rsidRPr="00346D5E">
        <w:t xml:space="preserve">(5), 2700-2712. </w:t>
      </w:r>
      <w:hyperlink r:id="rId140" w:history="1">
        <w:r w:rsidRPr="00346D5E">
          <w:rPr>
            <w:rStyle w:val="Hyperlink"/>
          </w:rPr>
          <w:t>https://doi.org/10.1128/aac.04447-14</w:t>
        </w:r>
      </w:hyperlink>
      <w:r w:rsidRPr="00346D5E">
        <w:t xml:space="preserve"> </w:t>
      </w:r>
    </w:p>
    <w:p w14:paraId="302EE091" w14:textId="6F75FCB8" w:rsidR="00346D5E" w:rsidRPr="00346D5E" w:rsidRDefault="00346D5E" w:rsidP="00346D5E">
      <w:pPr>
        <w:pStyle w:val="EndNoteBibliography"/>
        <w:spacing w:after="0"/>
        <w:ind w:left="720" w:hanging="720"/>
      </w:pPr>
      <w:r w:rsidRPr="00346D5E">
        <w:t xml:space="preserve">EUCAST. (2019). </w:t>
      </w:r>
      <w:r w:rsidRPr="00346D5E">
        <w:rPr>
          <w:i/>
        </w:rPr>
        <w:t>New definitions of S, I and R from 2019</w:t>
      </w:r>
      <w:r w:rsidRPr="00346D5E">
        <w:t xml:space="preserve">. Retrieved 15/06/2022 from </w:t>
      </w:r>
      <w:hyperlink r:id="rId141" w:history="1">
        <w:r w:rsidRPr="00346D5E">
          <w:rPr>
            <w:rStyle w:val="Hyperlink"/>
          </w:rPr>
          <w:t>https://www.eucast.org/newsiandr/</w:t>
        </w:r>
      </w:hyperlink>
    </w:p>
    <w:p w14:paraId="4E3705E1" w14:textId="77777777" w:rsidR="00346D5E" w:rsidRPr="00346D5E" w:rsidRDefault="00346D5E" w:rsidP="00346D5E">
      <w:pPr>
        <w:pStyle w:val="EndNoteBibliography"/>
        <w:spacing w:after="0"/>
        <w:ind w:left="720" w:hanging="720"/>
      </w:pPr>
      <w:r w:rsidRPr="00346D5E">
        <w:t xml:space="preserve">EUCAST. (2021). </w:t>
      </w:r>
      <w:r w:rsidRPr="00346D5E">
        <w:rPr>
          <w:i/>
        </w:rPr>
        <w:t>Clinical breakpoints - breakpoints and guidance</w:t>
      </w:r>
      <w:r w:rsidRPr="00346D5E">
        <w:t xml:space="preserve">. Retrieved 12/12/2021 from </w:t>
      </w:r>
    </w:p>
    <w:p w14:paraId="29F2DCDC" w14:textId="3AAF8CF9" w:rsidR="00346D5E" w:rsidRPr="00346D5E" w:rsidRDefault="00346D5E" w:rsidP="00346D5E">
      <w:pPr>
        <w:pStyle w:val="EndNoteBibliography"/>
        <w:spacing w:after="0"/>
        <w:ind w:left="720" w:hanging="720"/>
      </w:pPr>
      <w:r w:rsidRPr="00346D5E">
        <w:t xml:space="preserve">EUCAST. (2022). </w:t>
      </w:r>
      <w:r w:rsidRPr="00346D5E">
        <w:rPr>
          <w:i/>
        </w:rPr>
        <w:t>Clinical breakpoints - breakpoints and guidance</w:t>
      </w:r>
      <w:r w:rsidRPr="00346D5E">
        <w:t xml:space="preserve">. Retrieved 05/07/2022 from </w:t>
      </w:r>
      <w:hyperlink r:id="rId142" w:history="1">
        <w:r w:rsidRPr="00346D5E">
          <w:rPr>
            <w:rStyle w:val="Hyperlink"/>
          </w:rPr>
          <w:t>https://www.eucast.org/clinical_breakpoints/</w:t>
        </w:r>
      </w:hyperlink>
    </w:p>
    <w:p w14:paraId="59E14213" w14:textId="59412652" w:rsidR="00346D5E" w:rsidRPr="00346D5E" w:rsidRDefault="00346D5E" w:rsidP="00346D5E">
      <w:pPr>
        <w:pStyle w:val="EndNoteBibliography"/>
        <w:spacing w:after="0"/>
        <w:ind w:left="720" w:hanging="720"/>
      </w:pPr>
      <w:r w:rsidRPr="00346D5E">
        <w:t xml:space="preserve">Faith, D. P. (1992). SYSTEMATICS AND CONSERVATION: ON PREDICTING THE FEATURE DIVERSITY OF SUBSETS OF TAXA. </w:t>
      </w:r>
      <w:r w:rsidRPr="00346D5E">
        <w:rPr>
          <w:i/>
        </w:rPr>
        <w:t>Cladistics</w:t>
      </w:r>
      <w:r w:rsidRPr="00346D5E">
        <w:t>,</w:t>
      </w:r>
      <w:r w:rsidRPr="00346D5E">
        <w:rPr>
          <w:i/>
        </w:rPr>
        <w:t xml:space="preserve"> 8</w:t>
      </w:r>
      <w:r w:rsidRPr="00346D5E">
        <w:t xml:space="preserve">(4), 361-373. </w:t>
      </w:r>
      <w:hyperlink r:id="rId143" w:history="1">
        <w:r w:rsidRPr="00346D5E">
          <w:rPr>
            <w:rStyle w:val="Hyperlink"/>
          </w:rPr>
          <w:t>https://doi.org/10.1111/j.1096-0031.1992.tb00078.x</w:t>
        </w:r>
      </w:hyperlink>
      <w:r w:rsidRPr="00346D5E">
        <w:t xml:space="preserve"> </w:t>
      </w:r>
    </w:p>
    <w:p w14:paraId="1809378E" w14:textId="09A8D1DC" w:rsidR="00346D5E" w:rsidRPr="00346D5E" w:rsidRDefault="00346D5E" w:rsidP="00346D5E">
      <w:pPr>
        <w:pStyle w:val="EndNoteBibliography"/>
        <w:spacing w:after="0"/>
        <w:ind w:left="720" w:hanging="720"/>
      </w:pPr>
      <w:r w:rsidRPr="00346D5E">
        <w:t xml:space="preserve">Faner, R., Sibila, O., Agusti, A., Bernasconi, E., et al. (2017). The microbiome in respiratory medicine: current challenges and future perspectives. </w:t>
      </w:r>
      <w:r w:rsidRPr="00346D5E">
        <w:rPr>
          <w:i/>
        </w:rPr>
        <w:t>Eur Respir J</w:t>
      </w:r>
      <w:r w:rsidRPr="00346D5E">
        <w:t>,</w:t>
      </w:r>
      <w:r w:rsidRPr="00346D5E">
        <w:rPr>
          <w:i/>
        </w:rPr>
        <w:t xml:space="preserve"> 49</w:t>
      </w:r>
      <w:r w:rsidRPr="00346D5E">
        <w:t xml:space="preserve">(4). </w:t>
      </w:r>
      <w:hyperlink r:id="rId144" w:history="1">
        <w:r w:rsidRPr="00346D5E">
          <w:rPr>
            <w:rStyle w:val="Hyperlink"/>
          </w:rPr>
          <w:t>https://doi.org/10.1183/13993003.02086-2016</w:t>
        </w:r>
      </w:hyperlink>
      <w:r w:rsidRPr="00346D5E">
        <w:t xml:space="preserve"> </w:t>
      </w:r>
    </w:p>
    <w:p w14:paraId="37230BE6" w14:textId="56F8F65E" w:rsidR="00346D5E" w:rsidRPr="00346D5E" w:rsidRDefault="00346D5E" w:rsidP="00346D5E">
      <w:pPr>
        <w:pStyle w:val="EndNoteBibliography"/>
        <w:spacing w:after="0"/>
        <w:ind w:left="720" w:hanging="720"/>
      </w:pPr>
      <w:r w:rsidRPr="00346D5E">
        <w:t xml:space="preserve">Ferrand, R. A., McHugh, G., Rehman, A. M., Mujuru, H., et al. (2020). Effect of Once-Weekly Azithromycin vs Placebo in Children With HIV-Associated Chronic Lung Disease: The BREATHE Randomized Clinical Trial. </w:t>
      </w:r>
      <w:r w:rsidRPr="00346D5E">
        <w:rPr>
          <w:i/>
        </w:rPr>
        <w:t>JAMA Network Open</w:t>
      </w:r>
      <w:r w:rsidRPr="00346D5E">
        <w:t>,</w:t>
      </w:r>
      <w:r w:rsidRPr="00346D5E">
        <w:rPr>
          <w:i/>
        </w:rPr>
        <w:t xml:space="preserve"> 3</w:t>
      </w:r>
      <w:r w:rsidRPr="00346D5E">
        <w:t xml:space="preserve">(12), e2028484-e2028484. </w:t>
      </w:r>
      <w:hyperlink r:id="rId145" w:history="1">
        <w:r w:rsidRPr="00346D5E">
          <w:rPr>
            <w:rStyle w:val="Hyperlink"/>
          </w:rPr>
          <w:t>https://doi.org/10.1001/jamanetworkopen.2020.28484</w:t>
        </w:r>
      </w:hyperlink>
      <w:r w:rsidRPr="00346D5E">
        <w:t xml:space="preserve"> </w:t>
      </w:r>
    </w:p>
    <w:p w14:paraId="4458FE63" w14:textId="12664B15" w:rsidR="00346D5E" w:rsidRPr="00346D5E" w:rsidRDefault="00346D5E" w:rsidP="00346D5E">
      <w:pPr>
        <w:pStyle w:val="EndNoteBibliography"/>
        <w:spacing w:after="0"/>
        <w:ind w:left="720" w:hanging="720"/>
      </w:pPr>
      <w:r w:rsidRPr="00346D5E">
        <w:t xml:space="preserve">Feßler, A. T., Wang, Y., Wu, C., &amp; Schwarz, S. (2018). Mobile macrolide resistance genes in staphylococci. </w:t>
      </w:r>
      <w:r w:rsidRPr="00346D5E">
        <w:rPr>
          <w:i/>
        </w:rPr>
        <w:t>Plasmid</w:t>
      </w:r>
      <w:r w:rsidRPr="00346D5E">
        <w:t>,</w:t>
      </w:r>
      <w:r w:rsidRPr="00346D5E">
        <w:rPr>
          <w:i/>
        </w:rPr>
        <w:t xml:space="preserve"> 99</w:t>
      </w:r>
      <w:r w:rsidRPr="00346D5E">
        <w:t xml:space="preserve">, 2-10. </w:t>
      </w:r>
      <w:hyperlink r:id="rId146" w:history="1">
        <w:r w:rsidRPr="00346D5E">
          <w:rPr>
            <w:rStyle w:val="Hyperlink"/>
          </w:rPr>
          <w:t>https://doi.org/10.1016/j.plasmid.2018.05.001</w:t>
        </w:r>
      </w:hyperlink>
      <w:r w:rsidRPr="00346D5E">
        <w:t xml:space="preserve"> </w:t>
      </w:r>
    </w:p>
    <w:p w14:paraId="7473DAA8" w14:textId="4806A5D5" w:rsidR="00346D5E" w:rsidRPr="00346D5E" w:rsidRDefault="00346D5E" w:rsidP="00346D5E">
      <w:pPr>
        <w:pStyle w:val="EndNoteBibliography"/>
        <w:spacing w:after="0"/>
        <w:ind w:left="720" w:hanging="720"/>
      </w:pPr>
      <w:r w:rsidRPr="00346D5E">
        <w:t xml:space="preserve">Filipe, S. R., &amp; Tomasz, A. (2000). Inhibition of the expression of penicillin resistance in Streptococcus pneumoniae by inactivation of cell wall muropeptide branching genes. </w:t>
      </w:r>
      <w:r w:rsidRPr="00346D5E">
        <w:rPr>
          <w:i/>
        </w:rPr>
        <w:t>Proc Natl Acad Sci U S A</w:t>
      </w:r>
      <w:r w:rsidRPr="00346D5E">
        <w:t>,</w:t>
      </w:r>
      <w:r w:rsidRPr="00346D5E">
        <w:rPr>
          <w:i/>
        </w:rPr>
        <w:t xml:space="preserve"> 97</w:t>
      </w:r>
      <w:r w:rsidRPr="00346D5E">
        <w:t xml:space="preserve">(9), 4891-4896. </w:t>
      </w:r>
      <w:hyperlink r:id="rId147" w:history="1">
        <w:r w:rsidRPr="00346D5E">
          <w:rPr>
            <w:rStyle w:val="Hyperlink"/>
          </w:rPr>
          <w:t>https://doi.org/10.1073/pnas.080067697</w:t>
        </w:r>
      </w:hyperlink>
      <w:r w:rsidRPr="00346D5E">
        <w:t xml:space="preserve"> </w:t>
      </w:r>
    </w:p>
    <w:p w14:paraId="77D84708" w14:textId="741DBD78" w:rsidR="00346D5E" w:rsidRPr="00346D5E" w:rsidRDefault="00346D5E" w:rsidP="00346D5E">
      <w:pPr>
        <w:pStyle w:val="EndNoteBibliography"/>
        <w:spacing w:after="0"/>
        <w:ind w:left="720" w:hanging="720"/>
      </w:pPr>
      <w:r w:rsidRPr="00346D5E">
        <w:t xml:space="preserve">Fitriana, T. S., Purba, F. D., Rahmatika, R., Muhaimin, R., et al. (2021). Comparing measurement properties of EQ-5D-Y-3L and EQ-5D-Y-5L in paediatric patients. </w:t>
      </w:r>
      <w:r w:rsidRPr="00346D5E">
        <w:rPr>
          <w:i/>
        </w:rPr>
        <w:t>Health Qual Life Outcomes</w:t>
      </w:r>
      <w:r w:rsidRPr="00346D5E">
        <w:t>,</w:t>
      </w:r>
      <w:r w:rsidRPr="00346D5E">
        <w:rPr>
          <w:i/>
        </w:rPr>
        <w:t xml:space="preserve"> 19</w:t>
      </w:r>
      <w:r w:rsidRPr="00346D5E">
        <w:t xml:space="preserve">(1), 256. </w:t>
      </w:r>
      <w:hyperlink r:id="rId148" w:history="1">
        <w:r w:rsidRPr="00346D5E">
          <w:rPr>
            <w:rStyle w:val="Hyperlink"/>
          </w:rPr>
          <w:t>https://doi.org/10.1186/s12955-021-01889-4</w:t>
        </w:r>
      </w:hyperlink>
      <w:r w:rsidRPr="00346D5E">
        <w:t xml:space="preserve"> </w:t>
      </w:r>
    </w:p>
    <w:p w14:paraId="71A938A3" w14:textId="332C9E28" w:rsidR="00346D5E" w:rsidRPr="00346D5E" w:rsidRDefault="00346D5E" w:rsidP="00346D5E">
      <w:pPr>
        <w:pStyle w:val="EndNoteBibliography"/>
        <w:spacing w:after="0"/>
        <w:ind w:left="720" w:hanging="720"/>
      </w:pPr>
      <w:r w:rsidRPr="00346D5E">
        <w:t xml:space="preserve">Francis, J. J., Johnston, M., Robertson, C., Glidewell, L., et al. (2010). What is an adequate sample size? Operationalising data saturation for theory-based interview studies. </w:t>
      </w:r>
      <w:r w:rsidRPr="00346D5E">
        <w:rPr>
          <w:i/>
        </w:rPr>
        <w:t>Psychol Health</w:t>
      </w:r>
      <w:r w:rsidRPr="00346D5E">
        <w:t>,</w:t>
      </w:r>
      <w:r w:rsidRPr="00346D5E">
        <w:rPr>
          <w:i/>
        </w:rPr>
        <w:t xml:space="preserve"> 25</w:t>
      </w:r>
      <w:r w:rsidRPr="00346D5E">
        <w:t xml:space="preserve">(10), 1229-1245. </w:t>
      </w:r>
      <w:hyperlink r:id="rId149" w:history="1">
        <w:r w:rsidRPr="00346D5E">
          <w:rPr>
            <w:rStyle w:val="Hyperlink"/>
          </w:rPr>
          <w:t>https://doi.org/10.1080/08870440903194015</w:t>
        </w:r>
      </w:hyperlink>
      <w:r w:rsidRPr="00346D5E">
        <w:t xml:space="preserve"> </w:t>
      </w:r>
    </w:p>
    <w:p w14:paraId="76249923" w14:textId="22717DC1" w:rsidR="00346D5E" w:rsidRPr="00346D5E" w:rsidRDefault="00346D5E" w:rsidP="00346D5E">
      <w:pPr>
        <w:pStyle w:val="EndNoteBibliography"/>
        <w:spacing w:after="0"/>
        <w:ind w:left="720" w:hanging="720"/>
      </w:pPr>
      <w:r w:rsidRPr="00346D5E">
        <w:t xml:space="preserve">Françoise, A., &amp; Héry-Arnaud, G. (2020). The Microbiome in Cystic Fibrosis Pulmonary Disease. </w:t>
      </w:r>
      <w:r w:rsidRPr="00346D5E">
        <w:rPr>
          <w:i/>
        </w:rPr>
        <w:t>Genes</w:t>
      </w:r>
      <w:r w:rsidRPr="00346D5E">
        <w:t>,</w:t>
      </w:r>
      <w:r w:rsidRPr="00346D5E">
        <w:rPr>
          <w:i/>
        </w:rPr>
        <w:t xml:space="preserve"> 11</w:t>
      </w:r>
      <w:r w:rsidRPr="00346D5E">
        <w:t xml:space="preserve">(5), 536. </w:t>
      </w:r>
      <w:hyperlink r:id="rId150" w:history="1">
        <w:r w:rsidRPr="00346D5E">
          <w:rPr>
            <w:rStyle w:val="Hyperlink"/>
          </w:rPr>
          <w:t>https://doi.org/10.3390/genes11050536</w:t>
        </w:r>
      </w:hyperlink>
      <w:r w:rsidRPr="00346D5E">
        <w:t xml:space="preserve"> </w:t>
      </w:r>
    </w:p>
    <w:p w14:paraId="38BB7630" w14:textId="2D4FF943" w:rsidR="00346D5E" w:rsidRPr="00346D5E" w:rsidRDefault="00346D5E" w:rsidP="00346D5E">
      <w:pPr>
        <w:pStyle w:val="EndNoteBibliography"/>
        <w:spacing w:after="0"/>
        <w:ind w:left="720" w:hanging="720"/>
      </w:pPr>
      <w:r w:rsidRPr="00346D5E">
        <w:t xml:space="preserve">Gallin, J. I., Buescher, E. S., Seligmann, B. E., Nath, J., et al. (1983). NIH conference. Recent advances in chronic granulomatous disease. </w:t>
      </w:r>
      <w:r w:rsidRPr="00346D5E">
        <w:rPr>
          <w:i/>
        </w:rPr>
        <w:t>Ann Intern Med</w:t>
      </w:r>
      <w:r w:rsidRPr="00346D5E">
        <w:t>,</w:t>
      </w:r>
      <w:r w:rsidRPr="00346D5E">
        <w:rPr>
          <w:i/>
        </w:rPr>
        <w:t xml:space="preserve"> 99</w:t>
      </w:r>
      <w:r w:rsidRPr="00346D5E">
        <w:t xml:space="preserve">(5), 657-674. </w:t>
      </w:r>
      <w:hyperlink r:id="rId151" w:history="1">
        <w:r w:rsidRPr="00346D5E">
          <w:rPr>
            <w:rStyle w:val="Hyperlink"/>
          </w:rPr>
          <w:t>https://doi.org/10.7326/0003-4819-99-5-657</w:t>
        </w:r>
      </w:hyperlink>
      <w:r w:rsidRPr="00346D5E">
        <w:t xml:space="preserve"> </w:t>
      </w:r>
    </w:p>
    <w:p w14:paraId="0A075E5A" w14:textId="20CBA90B" w:rsidR="00346D5E" w:rsidRPr="00346D5E" w:rsidRDefault="00346D5E" w:rsidP="00346D5E">
      <w:pPr>
        <w:pStyle w:val="EndNoteBibliography"/>
        <w:spacing w:after="0"/>
        <w:ind w:left="720" w:hanging="720"/>
      </w:pPr>
      <w:r w:rsidRPr="00346D5E">
        <w:t xml:space="preserve">Gerber, M. A., Baltimore, R. S., Eaton, C. B., Gewitz, M., et al. (2009). Prevention of Rheumatic Fever and Diagnosis and Treatment of Acute Streptococcal Pharyngitis. </w:t>
      </w:r>
      <w:r w:rsidRPr="00346D5E">
        <w:rPr>
          <w:i/>
        </w:rPr>
        <w:t>Circulation</w:t>
      </w:r>
      <w:r w:rsidRPr="00346D5E">
        <w:t>,</w:t>
      </w:r>
      <w:r w:rsidRPr="00346D5E">
        <w:rPr>
          <w:i/>
        </w:rPr>
        <w:t xml:space="preserve"> 119</w:t>
      </w:r>
      <w:r w:rsidRPr="00346D5E">
        <w:t xml:space="preserve">(11), 1541-1551. </w:t>
      </w:r>
      <w:hyperlink r:id="rId152" w:history="1">
        <w:r w:rsidRPr="00346D5E">
          <w:rPr>
            <w:rStyle w:val="Hyperlink"/>
          </w:rPr>
          <w:t>https://doi.org/doi:10.1161/CIRCULATIONAHA.109.191959</w:t>
        </w:r>
      </w:hyperlink>
      <w:r w:rsidRPr="00346D5E">
        <w:t xml:space="preserve"> </w:t>
      </w:r>
    </w:p>
    <w:p w14:paraId="21F4590A" w14:textId="7FD16C80" w:rsidR="00346D5E" w:rsidRPr="00346D5E" w:rsidRDefault="00346D5E" w:rsidP="00346D5E">
      <w:pPr>
        <w:pStyle w:val="EndNoteBibliography"/>
        <w:spacing w:after="0"/>
        <w:ind w:left="720" w:hanging="720"/>
      </w:pPr>
      <w:r w:rsidRPr="00346D5E">
        <w:t xml:space="preserve">Giacomini, M. K., Cook, D. J., &amp; Group, f. t. E.-B. M. W. (2000). Users' Guides to the Medical LiteratureXXIII. Qualitative Research in Health Care A. Are the Results of the Study Valid? </w:t>
      </w:r>
      <w:r w:rsidRPr="00346D5E">
        <w:rPr>
          <w:i/>
        </w:rPr>
        <w:t>Jama</w:t>
      </w:r>
      <w:r w:rsidRPr="00346D5E">
        <w:t>,</w:t>
      </w:r>
      <w:r w:rsidRPr="00346D5E">
        <w:rPr>
          <w:i/>
        </w:rPr>
        <w:t xml:space="preserve"> 284</w:t>
      </w:r>
      <w:r w:rsidRPr="00346D5E">
        <w:t xml:space="preserve">(3), 357-362. </w:t>
      </w:r>
      <w:hyperlink r:id="rId153" w:history="1">
        <w:r w:rsidRPr="00346D5E">
          <w:rPr>
            <w:rStyle w:val="Hyperlink"/>
          </w:rPr>
          <w:t>https://doi.org/10.1001/jama.284.3.357</w:t>
        </w:r>
      </w:hyperlink>
      <w:r w:rsidRPr="00346D5E">
        <w:t xml:space="preserve"> </w:t>
      </w:r>
    </w:p>
    <w:p w14:paraId="50B297F2" w14:textId="6DDD59BF" w:rsidR="00346D5E" w:rsidRPr="00346D5E" w:rsidRDefault="00346D5E" w:rsidP="00346D5E">
      <w:pPr>
        <w:pStyle w:val="EndNoteBibliography"/>
        <w:spacing w:after="0"/>
        <w:ind w:left="720" w:hanging="720"/>
      </w:pPr>
      <w:r w:rsidRPr="00346D5E">
        <w:lastRenderedPageBreak/>
        <w:t xml:space="preserve">Gibson, P. G., Yang, I. A., Upham, J. W., Reynolds, P. N., et al. (2019). Efficacy of azithromycin in severe asthma from the AMAZES randomised trial. </w:t>
      </w:r>
      <w:r w:rsidRPr="00346D5E">
        <w:rPr>
          <w:i/>
        </w:rPr>
        <w:t>ERJ Open Research</w:t>
      </w:r>
      <w:r w:rsidRPr="00346D5E">
        <w:t>,</w:t>
      </w:r>
      <w:r w:rsidRPr="00346D5E">
        <w:rPr>
          <w:i/>
        </w:rPr>
        <w:t xml:space="preserve"> 5</w:t>
      </w:r>
      <w:r w:rsidRPr="00346D5E">
        <w:t xml:space="preserve">(4), 00056-02019. </w:t>
      </w:r>
      <w:hyperlink r:id="rId154" w:history="1">
        <w:r w:rsidRPr="00346D5E">
          <w:rPr>
            <w:rStyle w:val="Hyperlink"/>
          </w:rPr>
          <w:t>https://doi.org/10.1183/23120541.00056-2019</w:t>
        </w:r>
      </w:hyperlink>
      <w:r w:rsidRPr="00346D5E">
        <w:t xml:space="preserve"> </w:t>
      </w:r>
    </w:p>
    <w:p w14:paraId="667B31C3" w14:textId="02D17927" w:rsidR="00346D5E" w:rsidRPr="00346D5E" w:rsidRDefault="00346D5E" w:rsidP="00346D5E">
      <w:pPr>
        <w:pStyle w:val="EndNoteBibliography"/>
        <w:spacing w:after="0"/>
        <w:ind w:left="720" w:hanging="720"/>
      </w:pPr>
      <w:r w:rsidRPr="00346D5E">
        <w:t xml:space="preserve">Gibson, P. G., Yang, I. A., Upham, J. W., Reynolds, P. N., et al. (2017). Effect of azithromycin on asthma exacerbations and quality of life in adults with persistent uncontrolled asthma (AMAZES): a randomised, double-blind, placebo-controlled trial. </w:t>
      </w:r>
      <w:r w:rsidRPr="00346D5E">
        <w:rPr>
          <w:i/>
        </w:rPr>
        <w:t>Lancet</w:t>
      </w:r>
      <w:r w:rsidRPr="00346D5E">
        <w:t>,</w:t>
      </w:r>
      <w:r w:rsidRPr="00346D5E">
        <w:rPr>
          <w:i/>
        </w:rPr>
        <w:t xml:space="preserve"> 390</w:t>
      </w:r>
      <w:r w:rsidRPr="00346D5E">
        <w:t xml:space="preserve">(10095), 659-668. </w:t>
      </w:r>
      <w:hyperlink r:id="rId155" w:history="1">
        <w:r w:rsidRPr="00346D5E">
          <w:rPr>
            <w:rStyle w:val="Hyperlink"/>
          </w:rPr>
          <w:t>https://doi.org/10.1016/s0140-6736(17)31281-3</w:t>
        </w:r>
      </w:hyperlink>
      <w:r w:rsidRPr="00346D5E">
        <w:t xml:space="preserve"> </w:t>
      </w:r>
    </w:p>
    <w:p w14:paraId="77362F2D" w14:textId="45B540F3" w:rsidR="00346D5E" w:rsidRPr="00346D5E" w:rsidRDefault="00346D5E" w:rsidP="00346D5E">
      <w:pPr>
        <w:pStyle w:val="EndNoteBibliography"/>
        <w:spacing w:after="0"/>
        <w:ind w:left="720" w:hanging="720"/>
      </w:pPr>
      <w:r w:rsidRPr="00346D5E">
        <w:t xml:space="preserve">Gilchrist, F. J. (2019). Protracted bacterial bronchitis. </w:t>
      </w:r>
      <w:r w:rsidRPr="00346D5E">
        <w:rPr>
          <w:i/>
        </w:rPr>
        <w:t>Paediatrics and Child Health</w:t>
      </w:r>
      <w:r w:rsidRPr="00346D5E">
        <w:t>,</w:t>
      </w:r>
      <w:r w:rsidRPr="00346D5E">
        <w:rPr>
          <w:i/>
        </w:rPr>
        <w:t xml:space="preserve"> 29</w:t>
      </w:r>
      <w:r w:rsidRPr="00346D5E">
        <w:t xml:space="preserve">(4), 158-160. </w:t>
      </w:r>
      <w:hyperlink r:id="rId156" w:history="1">
        <w:r w:rsidRPr="00346D5E">
          <w:rPr>
            <w:rStyle w:val="Hyperlink"/>
          </w:rPr>
          <w:t>https://doi.org/10.1016/j.paed.2019.01.012</w:t>
        </w:r>
      </w:hyperlink>
      <w:r w:rsidRPr="00346D5E">
        <w:t xml:space="preserve"> </w:t>
      </w:r>
    </w:p>
    <w:p w14:paraId="644D8FD7" w14:textId="6CE4CDD6" w:rsidR="00346D5E" w:rsidRPr="00346D5E" w:rsidRDefault="00346D5E" w:rsidP="00346D5E">
      <w:pPr>
        <w:pStyle w:val="EndNoteBibliography"/>
        <w:spacing w:after="0"/>
        <w:ind w:left="720" w:hanging="720"/>
      </w:pPr>
      <w:r w:rsidRPr="00346D5E">
        <w:t xml:space="preserve">Gladstone, R. A., Jefferies, J. M., Tocheva, A. S., Beard, K. R., et al. (2015). Five winters of pneumococcal serotype replacement in UK carriage following PCV introduction. </w:t>
      </w:r>
      <w:r w:rsidRPr="00346D5E">
        <w:rPr>
          <w:i/>
        </w:rPr>
        <w:t>Vaccine</w:t>
      </w:r>
      <w:r w:rsidRPr="00346D5E">
        <w:t>,</w:t>
      </w:r>
      <w:r w:rsidRPr="00346D5E">
        <w:rPr>
          <w:i/>
        </w:rPr>
        <w:t xml:space="preserve"> 33</w:t>
      </w:r>
      <w:r w:rsidRPr="00346D5E">
        <w:t xml:space="preserve">(17), 2015-2021. </w:t>
      </w:r>
      <w:hyperlink r:id="rId157" w:history="1">
        <w:r w:rsidRPr="00346D5E">
          <w:rPr>
            <w:rStyle w:val="Hyperlink"/>
          </w:rPr>
          <w:t>https://doi.org/10.1016/j.vaccine.2015.03.012</w:t>
        </w:r>
      </w:hyperlink>
      <w:r w:rsidRPr="00346D5E">
        <w:t xml:space="preserve"> </w:t>
      </w:r>
    </w:p>
    <w:p w14:paraId="13963F40" w14:textId="4AD93C3C" w:rsidR="00346D5E" w:rsidRPr="00346D5E" w:rsidRDefault="00346D5E" w:rsidP="00346D5E">
      <w:pPr>
        <w:pStyle w:val="EndNoteBibliography"/>
        <w:spacing w:after="0"/>
        <w:ind w:left="720" w:hanging="720"/>
      </w:pPr>
      <w:r w:rsidRPr="00346D5E">
        <w:t xml:space="preserve">Goyal, V., Grimwood, K., Marchant, J., Masters, I. B., et al. (2014). Does failed chronic wet cough response to antibiotics predict bronchiectasis? </w:t>
      </w:r>
      <w:r w:rsidRPr="00346D5E">
        <w:rPr>
          <w:i/>
        </w:rPr>
        <w:t>Arch Dis Child</w:t>
      </w:r>
      <w:r w:rsidRPr="00346D5E">
        <w:t>,</w:t>
      </w:r>
      <w:r w:rsidRPr="00346D5E">
        <w:rPr>
          <w:i/>
        </w:rPr>
        <w:t xml:space="preserve"> 99</w:t>
      </w:r>
      <w:r w:rsidRPr="00346D5E">
        <w:t xml:space="preserve">(6), 522-525. </w:t>
      </w:r>
      <w:hyperlink r:id="rId158" w:history="1">
        <w:r w:rsidRPr="00346D5E">
          <w:rPr>
            <w:rStyle w:val="Hyperlink"/>
          </w:rPr>
          <w:t>https://doi.org/10.1136/archdischild-2013-304793</w:t>
        </w:r>
      </w:hyperlink>
      <w:r w:rsidRPr="00346D5E">
        <w:t xml:space="preserve"> </w:t>
      </w:r>
    </w:p>
    <w:p w14:paraId="4FA1A0AA" w14:textId="217A593D" w:rsidR="00346D5E" w:rsidRPr="00346D5E" w:rsidRDefault="00346D5E" w:rsidP="00346D5E">
      <w:pPr>
        <w:pStyle w:val="EndNoteBibliography"/>
        <w:spacing w:after="0"/>
        <w:ind w:left="720" w:hanging="720"/>
      </w:pPr>
      <w:r w:rsidRPr="00346D5E">
        <w:t xml:space="preserve">Guest, G., Bunce, A., &amp; Johnson, L. (2006). How Many Interviews Are Enough?: An Experiment with Data Saturation and Variability. </w:t>
      </w:r>
      <w:r w:rsidRPr="00346D5E">
        <w:rPr>
          <w:i/>
        </w:rPr>
        <w:t>Field Methods</w:t>
      </w:r>
      <w:r w:rsidRPr="00346D5E">
        <w:t>,</w:t>
      </w:r>
      <w:r w:rsidRPr="00346D5E">
        <w:rPr>
          <w:i/>
        </w:rPr>
        <w:t xml:space="preserve"> 18</w:t>
      </w:r>
      <w:r w:rsidRPr="00346D5E">
        <w:t xml:space="preserve">(1), 59-82. </w:t>
      </w:r>
      <w:hyperlink r:id="rId159" w:history="1">
        <w:r w:rsidRPr="00346D5E">
          <w:rPr>
            <w:rStyle w:val="Hyperlink"/>
          </w:rPr>
          <w:t>https://doi.org/10.1177/1525822X05279903</w:t>
        </w:r>
      </w:hyperlink>
      <w:r w:rsidRPr="00346D5E">
        <w:t xml:space="preserve"> </w:t>
      </w:r>
    </w:p>
    <w:p w14:paraId="625CDB42" w14:textId="5C309C36" w:rsidR="00346D5E" w:rsidRPr="00346D5E" w:rsidRDefault="00346D5E" w:rsidP="00346D5E">
      <w:pPr>
        <w:pStyle w:val="EndNoteBibliography"/>
        <w:spacing w:after="0"/>
        <w:ind w:left="720" w:hanging="720"/>
      </w:pPr>
      <w:r w:rsidRPr="00346D5E">
        <w:t xml:space="preserve">Gupta, S. K. (2011). Intention-to-treat concept: A review. </w:t>
      </w:r>
      <w:r w:rsidRPr="00346D5E">
        <w:rPr>
          <w:i/>
        </w:rPr>
        <w:t>Perspect Clin Res</w:t>
      </w:r>
      <w:r w:rsidRPr="00346D5E">
        <w:t>,</w:t>
      </w:r>
      <w:r w:rsidRPr="00346D5E">
        <w:rPr>
          <w:i/>
        </w:rPr>
        <w:t xml:space="preserve"> 2</w:t>
      </w:r>
      <w:r w:rsidRPr="00346D5E">
        <w:t xml:space="preserve">(3), 109-112. </w:t>
      </w:r>
      <w:hyperlink r:id="rId160" w:history="1">
        <w:r w:rsidRPr="00346D5E">
          <w:rPr>
            <w:rStyle w:val="Hyperlink"/>
          </w:rPr>
          <w:t>https://doi.org/10.4103/2229-3485.83221</w:t>
        </w:r>
      </w:hyperlink>
      <w:r w:rsidRPr="00346D5E">
        <w:t xml:space="preserve"> </w:t>
      </w:r>
    </w:p>
    <w:p w14:paraId="2B69BFF9" w14:textId="518A781D" w:rsidR="00346D5E" w:rsidRPr="00346D5E" w:rsidRDefault="00346D5E" w:rsidP="00346D5E">
      <w:pPr>
        <w:pStyle w:val="EndNoteBibliography"/>
        <w:spacing w:after="0"/>
        <w:ind w:left="720" w:hanging="720"/>
      </w:pPr>
      <w:r w:rsidRPr="00346D5E">
        <w:t xml:space="preserve">Gupta, V., Yu, K. C., Schranz, J., &amp; Gelone, S. P. (2021). A Multicenter Evaluation of the US Prevalence and Regional Variation in Macrolide-Resistant S. pneumoniae in Ambulatory and Hospitalized Adult Patients in the United States. </w:t>
      </w:r>
      <w:r w:rsidRPr="00346D5E">
        <w:rPr>
          <w:i/>
        </w:rPr>
        <w:t>Open Forum Infect Dis</w:t>
      </w:r>
      <w:r w:rsidRPr="00346D5E">
        <w:t>,</w:t>
      </w:r>
      <w:r w:rsidRPr="00346D5E">
        <w:rPr>
          <w:i/>
        </w:rPr>
        <w:t xml:space="preserve"> 8</w:t>
      </w:r>
      <w:r w:rsidRPr="00346D5E">
        <w:t xml:space="preserve">(7), ofab063. </w:t>
      </w:r>
      <w:hyperlink r:id="rId161" w:history="1">
        <w:r w:rsidRPr="00346D5E">
          <w:rPr>
            <w:rStyle w:val="Hyperlink"/>
          </w:rPr>
          <w:t>https://doi.org/10.1093/ofid/ofab063</w:t>
        </w:r>
      </w:hyperlink>
      <w:r w:rsidRPr="00346D5E">
        <w:t xml:space="preserve"> </w:t>
      </w:r>
    </w:p>
    <w:p w14:paraId="353B4A6C" w14:textId="4EFA8763" w:rsidR="00346D5E" w:rsidRPr="00346D5E" w:rsidRDefault="00346D5E" w:rsidP="00346D5E">
      <w:pPr>
        <w:pStyle w:val="EndNoteBibliography"/>
        <w:spacing w:after="0"/>
        <w:ind w:left="720" w:hanging="720"/>
      </w:pPr>
      <w:r w:rsidRPr="00346D5E">
        <w:t xml:space="preserve">Hakenbeck, R., Grebe, T., Zähner, D., &amp; Stock, J. B. (1999). beta-lactam resistance in Streptococcus pneumoniae: penicillin-binding proteins and non-penicillin-binding proteins. </w:t>
      </w:r>
      <w:r w:rsidRPr="00346D5E">
        <w:rPr>
          <w:i/>
        </w:rPr>
        <w:t>Mol Microbiol</w:t>
      </w:r>
      <w:r w:rsidRPr="00346D5E">
        <w:t>,</w:t>
      </w:r>
      <w:r w:rsidRPr="00346D5E">
        <w:rPr>
          <w:i/>
        </w:rPr>
        <w:t xml:space="preserve"> 33</w:t>
      </w:r>
      <w:r w:rsidRPr="00346D5E">
        <w:t xml:space="preserve">(4), 673-678. </w:t>
      </w:r>
      <w:hyperlink r:id="rId162" w:history="1">
        <w:r w:rsidRPr="00346D5E">
          <w:rPr>
            <w:rStyle w:val="Hyperlink"/>
          </w:rPr>
          <w:t>https://doi.org/10.1046/j.1365-2958.1999.01521.x</w:t>
        </w:r>
      </w:hyperlink>
      <w:r w:rsidRPr="00346D5E">
        <w:t xml:space="preserve"> </w:t>
      </w:r>
    </w:p>
    <w:p w14:paraId="788A936E" w14:textId="10BF9770" w:rsidR="00346D5E" w:rsidRPr="00346D5E" w:rsidRDefault="00346D5E" w:rsidP="00346D5E">
      <w:pPr>
        <w:pStyle w:val="EndNoteBibliography"/>
        <w:spacing w:after="0"/>
        <w:ind w:left="720" w:hanging="720"/>
      </w:pPr>
      <w:r w:rsidRPr="00346D5E">
        <w:t xml:space="preserve">Halls, A., van’t Hoff, C., Little, P., Verheij, T., et al. (2017). Qualitative interview study of parents’ perspectives, concerns and experiences of the management of lower respiratory tract infections in children in primary care. </w:t>
      </w:r>
      <w:r w:rsidRPr="00346D5E">
        <w:rPr>
          <w:i/>
        </w:rPr>
        <w:t>BMJ Open</w:t>
      </w:r>
      <w:r w:rsidRPr="00346D5E">
        <w:t>,</w:t>
      </w:r>
      <w:r w:rsidRPr="00346D5E">
        <w:rPr>
          <w:i/>
        </w:rPr>
        <w:t xml:space="preserve"> 7</w:t>
      </w:r>
      <w:r w:rsidRPr="00346D5E">
        <w:t xml:space="preserve">(9), e015701. </w:t>
      </w:r>
      <w:hyperlink r:id="rId163" w:history="1">
        <w:r w:rsidRPr="00346D5E">
          <w:rPr>
            <w:rStyle w:val="Hyperlink"/>
          </w:rPr>
          <w:t>https://doi.org/10.1136/bmjopen-2016-015701</w:t>
        </w:r>
      </w:hyperlink>
      <w:r w:rsidRPr="00346D5E">
        <w:t xml:space="preserve"> </w:t>
      </w:r>
    </w:p>
    <w:p w14:paraId="72D692D6" w14:textId="7D5063C9" w:rsidR="00346D5E" w:rsidRPr="00346D5E" w:rsidRDefault="00346D5E" w:rsidP="00346D5E">
      <w:pPr>
        <w:pStyle w:val="EndNoteBibliography"/>
        <w:spacing w:after="0"/>
        <w:ind w:left="720" w:hanging="720"/>
      </w:pPr>
      <w:r w:rsidRPr="00346D5E">
        <w:t xml:space="preserve">Hardman, S. J., Shackley, F., Condliffe, A., Ugonna, K., et al. (2021). Parental experience of prophylactic antibiotics. </w:t>
      </w:r>
      <w:r w:rsidRPr="00346D5E">
        <w:rPr>
          <w:i/>
        </w:rPr>
        <w:t>Arch Dis Child</w:t>
      </w:r>
      <w:r w:rsidRPr="00346D5E">
        <w:t>,</w:t>
      </w:r>
      <w:r w:rsidRPr="00346D5E">
        <w:rPr>
          <w:i/>
        </w:rPr>
        <w:t xml:space="preserve"> 106</w:t>
      </w:r>
      <w:r w:rsidRPr="00346D5E">
        <w:t xml:space="preserve">(6), 577-582. </w:t>
      </w:r>
      <w:hyperlink r:id="rId164" w:history="1">
        <w:r w:rsidRPr="00346D5E">
          <w:rPr>
            <w:rStyle w:val="Hyperlink"/>
          </w:rPr>
          <w:t>https://doi.org/10.1136/archdischild-2020-319191</w:t>
        </w:r>
      </w:hyperlink>
      <w:r w:rsidRPr="00346D5E">
        <w:t xml:space="preserve"> </w:t>
      </w:r>
    </w:p>
    <w:p w14:paraId="43755E57" w14:textId="3A22C16A" w:rsidR="00346D5E" w:rsidRPr="00346D5E" w:rsidRDefault="00346D5E" w:rsidP="00346D5E">
      <w:pPr>
        <w:pStyle w:val="EndNoteBibliography"/>
        <w:spacing w:after="0"/>
        <w:ind w:left="720" w:hanging="720"/>
      </w:pPr>
      <w:r w:rsidRPr="00346D5E">
        <w:t xml:space="preserve">Hare, K. M., Grimwood, K., Chang, A. B., Chatfield, M. D., et al. (2015a). Nasopharyngeal carriage and macrolide resistance in Indigenous children with bronchiectasis randomized to long-term azithromycin or placebo. </w:t>
      </w:r>
      <w:r w:rsidRPr="00346D5E">
        <w:rPr>
          <w:i/>
        </w:rPr>
        <w:t>Eur J Clin Microbiol Infect Dis</w:t>
      </w:r>
      <w:r w:rsidRPr="00346D5E">
        <w:t>,</w:t>
      </w:r>
      <w:r w:rsidRPr="00346D5E">
        <w:rPr>
          <w:i/>
        </w:rPr>
        <w:t xml:space="preserve"> 34</w:t>
      </w:r>
      <w:r w:rsidRPr="00346D5E">
        <w:t xml:space="preserve">(11), 2275-2285. </w:t>
      </w:r>
      <w:hyperlink r:id="rId165" w:history="1">
        <w:r w:rsidRPr="00346D5E">
          <w:rPr>
            <w:rStyle w:val="Hyperlink"/>
          </w:rPr>
          <w:t>https://doi.org/10.1007/s10096-015-2480-0</w:t>
        </w:r>
      </w:hyperlink>
      <w:r w:rsidRPr="00346D5E">
        <w:t xml:space="preserve"> </w:t>
      </w:r>
    </w:p>
    <w:p w14:paraId="55A58B38" w14:textId="284F5920" w:rsidR="00346D5E" w:rsidRPr="00346D5E" w:rsidRDefault="00346D5E" w:rsidP="00346D5E">
      <w:pPr>
        <w:pStyle w:val="EndNoteBibliography"/>
        <w:spacing w:after="0"/>
        <w:ind w:left="720" w:hanging="720"/>
      </w:pPr>
      <w:r w:rsidRPr="00346D5E">
        <w:t xml:space="preserve">Hare, K. M., Grimwood, K., Chang, A. B., Chatfield, M. D., et al. (2015b). Nasopharyngeal carriage and macrolide resistance in Indigenous children with bronchiectasis randomized to long-term azithromycin or placebo. </w:t>
      </w:r>
      <w:r w:rsidRPr="00346D5E">
        <w:rPr>
          <w:i/>
        </w:rPr>
        <w:t>European Journal of Clinical Microbiology &amp; Infectious Diseases</w:t>
      </w:r>
      <w:r w:rsidRPr="00346D5E">
        <w:t>,</w:t>
      </w:r>
      <w:r w:rsidRPr="00346D5E">
        <w:rPr>
          <w:i/>
        </w:rPr>
        <w:t xml:space="preserve"> 34</w:t>
      </w:r>
      <w:r w:rsidRPr="00346D5E">
        <w:t xml:space="preserve">(11), 2275-2285. </w:t>
      </w:r>
      <w:hyperlink r:id="rId166" w:history="1">
        <w:r w:rsidRPr="00346D5E">
          <w:rPr>
            <w:rStyle w:val="Hyperlink"/>
          </w:rPr>
          <w:t>https://doi.org/10.1007/s10096-015-2480-0</w:t>
        </w:r>
      </w:hyperlink>
      <w:r w:rsidRPr="00346D5E">
        <w:t xml:space="preserve"> </w:t>
      </w:r>
    </w:p>
    <w:p w14:paraId="49F52DDE" w14:textId="041BABDB" w:rsidR="00346D5E" w:rsidRPr="00346D5E" w:rsidRDefault="00346D5E" w:rsidP="00346D5E">
      <w:pPr>
        <w:pStyle w:val="EndNoteBibliography"/>
        <w:spacing w:after="0"/>
        <w:ind w:left="720" w:hanging="720"/>
      </w:pPr>
      <w:r w:rsidRPr="00346D5E">
        <w:t xml:space="preserve">Havens, L., &amp; Schwartz, M. (2016). Identification of Parents’ Perceptions of Antibiotic Use for Individualized Community Education. </w:t>
      </w:r>
      <w:r w:rsidRPr="00346D5E">
        <w:rPr>
          <w:i/>
        </w:rPr>
        <w:t>Global Pediatric Health</w:t>
      </w:r>
      <w:r w:rsidRPr="00346D5E">
        <w:t>,</w:t>
      </w:r>
      <w:r w:rsidRPr="00346D5E">
        <w:rPr>
          <w:i/>
        </w:rPr>
        <w:t xml:space="preserve"> 3</w:t>
      </w:r>
      <w:r w:rsidRPr="00346D5E">
        <w:t xml:space="preserve">, 2333794X16654067. </w:t>
      </w:r>
      <w:hyperlink r:id="rId167" w:history="1">
        <w:r w:rsidRPr="00346D5E">
          <w:rPr>
            <w:rStyle w:val="Hyperlink"/>
          </w:rPr>
          <w:t>https://doi.org/10.1177/2333794X16654067</w:t>
        </w:r>
      </w:hyperlink>
      <w:r w:rsidRPr="00346D5E">
        <w:t xml:space="preserve"> </w:t>
      </w:r>
    </w:p>
    <w:p w14:paraId="642E4670" w14:textId="00D0562D" w:rsidR="00346D5E" w:rsidRPr="00346D5E" w:rsidRDefault="00346D5E" w:rsidP="00346D5E">
      <w:pPr>
        <w:pStyle w:val="EndNoteBibliography"/>
        <w:spacing w:after="0"/>
        <w:ind w:left="720" w:hanging="720"/>
      </w:pPr>
      <w:r w:rsidRPr="00346D5E">
        <w:t xml:space="preserve">Heijerman, H. G. M., McKone, E. F., Downey, D. G., Van Braeckel, E., et al. (2019). Efficacy and safety of the elexacaftor plus tezacaftor plus ivacaftor combination regimen in people with cystic fibrosis homozygous for the F508del mutation: a double-blind, randomised, phase 3 trial. </w:t>
      </w:r>
      <w:r w:rsidRPr="00346D5E">
        <w:rPr>
          <w:i/>
        </w:rPr>
        <w:t>Lancet</w:t>
      </w:r>
      <w:r w:rsidRPr="00346D5E">
        <w:t>,</w:t>
      </w:r>
      <w:r w:rsidRPr="00346D5E">
        <w:rPr>
          <w:i/>
        </w:rPr>
        <w:t xml:space="preserve"> 394</w:t>
      </w:r>
      <w:r w:rsidRPr="00346D5E">
        <w:t xml:space="preserve">(10212), 1940-1948. </w:t>
      </w:r>
      <w:hyperlink r:id="rId168" w:history="1">
        <w:r w:rsidRPr="00346D5E">
          <w:rPr>
            <w:rStyle w:val="Hyperlink"/>
          </w:rPr>
          <w:t>https://doi.org/10.1016/s0140-6736(19)32597-8</w:t>
        </w:r>
      </w:hyperlink>
      <w:r w:rsidRPr="00346D5E">
        <w:t xml:space="preserve"> </w:t>
      </w:r>
    </w:p>
    <w:p w14:paraId="7CB7F9F1" w14:textId="048211C1" w:rsidR="00346D5E" w:rsidRPr="00346D5E" w:rsidRDefault="00346D5E" w:rsidP="00346D5E">
      <w:pPr>
        <w:pStyle w:val="EndNoteBibliography"/>
        <w:spacing w:after="0"/>
        <w:ind w:left="720" w:hanging="720"/>
      </w:pPr>
      <w:r w:rsidRPr="00346D5E">
        <w:lastRenderedPageBreak/>
        <w:t xml:space="preserve">Hennink, M. M., Kaiser, B. N., &amp; Marconi, V. C. (2017). Code Saturation Versus Meaning Saturation: How Many Interviews Are Enough? </w:t>
      </w:r>
      <w:r w:rsidRPr="00346D5E">
        <w:rPr>
          <w:i/>
        </w:rPr>
        <w:t>Qual Health Res</w:t>
      </w:r>
      <w:r w:rsidRPr="00346D5E">
        <w:t>,</w:t>
      </w:r>
      <w:r w:rsidRPr="00346D5E">
        <w:rPr>
          <w:i/>
        </w:rPr>
        <w:t xml:space="preserve"> 27</w:t>
      </w:r>
      <w:r w:rsidRPr="00346D5E">
        <w:t xml:space="preserve">(4), 591-608. </w:t>
      </w:r>
      <w:hyperlink r:id="rId169" w:history="1">
        <w:r w:rsidRPr="00346D5E">
          <w:rPr>
            <w:rStyle w:val="Hyperlink"/>
          </w:rPr>
          <w:t>https://doi.org/10.1177/1049732316665344</w:t>
        </w:r>
      </w:hyperlink>
      <w:r w:rsidRPr="00346D5E">
        <w:t xml:space="preserve"> </w:t>
      </w:r>
    </w:p>
    <w:p w14:paraId="4DF1B6AA" w14:textId="27AD38A4" w:rsidR="00346D5E" w:rsidRPr="00346D5E" w:rsidRDefault="00346D5E" w:rsidP="00346D5E">
      <w:pPr>
        <w:pStyle w:val="EndNoteBibliography"/>
        <w:spacing w:after="0"/>
        <w:ind w:left="720" w:hanging="720"/>
      </w:pPr>
      <w:r w:rsidRPr="00346D5E">
        <w:t xml:space="preserve">Hill, A. T., Sullivan, A. L., Chalmers, J. D., De Soyza, A., et al. (2019). British Thoracic Society Guideline for bronchiectasis in adults. </w:t>
      </w:r>
      <w:r w:rsidRPr="00346D5E">
        <w:rPr>
          <w:i/>
        </w:rPr>
        <w:t>Thorax</w:t>
      </w:r>
      <w:r w:rsidRPr="00346D5E">
        <w:t>,</w:t>
      </w:r>
      <w:r w:rsidRPr="00346D5E">
        <w:rPr>
          <w:i/>
        </w:rPr>
        <w:t xml:space="preserve"> 74</w:t>
      </w:r>
      <w:r w:rsidRPr="00346D5E">
        <w:t xml:space="preserve">(Suppl 1), 1-69. </w:t>
      </w:r>
      <w:hyperlink r:id="rId170" w:history="1">
        <w:r w:rsidRPr="00346D5E">
          <w:rPr>
            <w:rStyle w:val="Hyperlink"/>
          </w:rPr>
          <w:t>https://doi.org/10.1136/thoraxjnl-2018-212463</w:t>
        </w:r>
      </w:hyperlink>
      <w:r w:rsidRPr="00346D5E">
        <w:t xml:space="preserve"> </w:t>
      </w:r>
    </w:p>
    <w:p w14:paraId="06DD2E4C" w14:textId="023D4584" w:rsidR="00346D5E" w:rsidRPr="00346D5E" w:rsidRDefault="00346D5E" w:rsidP="00346D5E">
      <w:pPr>
        <w:pStyle w:val="EndNoteBibliography"/>
        <w:spacing w:after="0"/>
        <w:ind w:left="720" w:hanging="720"/>
      </w:pPr>
      <w:r w:rsidRPr="00346D5E">
        <w:t xml:space="preserve">Hill, T., L Sullivan, A., D Chalmers, J., De Soyza, A., et al. (2019). British Thoracic Society Guideline for bronchiectasis in adults. </w:t>
      </w:r>
      <w:r w:rsidRPr="00346D5E">
        <w:rPr>
          <w:i/>
        </w:rPr>
        <w:t>Thorax</w:t>
      </w:r>
      <w:r w:rsidRPr="00346D5E">
        <w:t>,</w:t>
      </w:r>
      <w:r w:rsidRPr="00346D5E">
        <w:rPr>
          <w:i/>
        </w:rPr>
        <w:t xml:space="preserve"> 74</w:t>
      </w:r>
      <w:r w:rsidRPr="00346D5E">
        <w:t xml:space="preserve">(Suppl 1), 1-69. </w:t>
      </w:r>
      <w:hyperlink r:id="rId171" w:history="1">
        <w:r w:rsidRPr="00346D5E">
          <w:rPr>
            <w:rStyle w:val="Hyperlink"/>
          </w:rPr>
          <w:t>https://doi.org/10.1136/thoraxjnl-2018-212463</w:t>
        </w:r>
      </w:hyperlink>
      <w:r w:rsidRPr="00346D5E">
        <w:t xml:space="preserve"> </w:t>
      </w:r>
    </w:p>
    <w:p w14:paraId="48FB8C94" w14:textId="729EB288" w:rsidR="00346D5E" w:rsidRPr="00346D5E" w:rsidRDefault="00346D5E" w:rsidP="00346D5E">
      <w:pPr>
        <w:pStyle w:val="EndNoteBibliography"/>
        <w:spacing w:after="0"/>
        <w:ind w:left="720" w:hanging="720"/>
      </w:pPr>
      <w:r w:rsidRPr="00346D5E">
        <w:t xml:space="preserve">Hinks, T. S. C., Cureton, L., Knight, R., Wang, A., et al. (2021). Azithromycin versus standard care in patients with mild-to-moderate COVID-19 (ATOMIC2): an open-label, randomised trial. </w:t>
      </w:r>
      <w:r w:rsidRPr="00346D5E">
        <w:rPr>
          <w:i/>
        </w:rPr>
        <w:t>Lancet Respir Med</w:t>
      </w:r>
      <w:r w:rsidRPr="00346D5E">
        <w:t>,</w:t>
      </w:r>
      <w:r w:rsidRPr="00346D5E">
        <w:rPr>
          <w:i/>
        </w:rPr>
        <w:t xml:space="preserve"> 9</w:t>
      </w:r>
      <w:r w:rsidRPr="00346D5E">
        <w:t xml:space="preserve">(10), 1130-1140. </w:t>
      </w:r>
      <w:hyperlink r:id="rId172" w:history="1">
        <w:r w:rsidRPr="00346D5E">
          <w:rPr>
            <w:rStyle w:val="Hyperlink"/>
          </w:rPr>
          <w:t>https://doi.org/10.1016/s2213-2600(21)00263-0</w:t>
        </w:r>
      </w:hyperlink>
      <w:r w:rsidRPr="00346D5E">
        <w:t xml:space="preserve"> </w:t>
      </w:r>
    </w:p>
    <w:p w14:paraId="59447C3C" w14:textId="2B4FF4BF" w:rsidR="00346D5E" w:rsidRPr="00346D5E" w:rsidRDefault="00346D5E" w:rsidP="00346D5E">
      <w:pPr>
        <w:pStyle w:val="EndNoteBibliography"/>
        <w:spacing w:after="0"/>
        <w:ind w:left="720" w:hanging="720"/>
      </w:pPr>
      <w:r w:rsidRPr="00346D5E">
        <w:t xml:space="preserve">Hoberman, A., Greenfield, S. P., Mattoo, T. K., Keren, R., et al. (2014). Antimicrobial prophylaxis for children with vesicoureteral reflux. </w:t>
      </w:r>
      <w:r w:rsidRPr="00346D5E">
        <w:rPr>
          <w:i/>
        </w:rPr>
        <w:t>N Engl J Med</w:t>
      </w:r>
      <w:r w:rsidRPr="00346D5E">
        <w:t>,</w:t>
      </w:r>
      <w:r w:rsidRPr="00346D5E">
        <w:rPr>
          <w:i/>
        </w:rPr>
        <w:t xml:space="preserve"> 370</w:t>
      </w:r>
      <w:r w:rsidRPr="00346D5E">
        <w:t xml:space="preserve">(25), 2367-2376. </w:t>
      </w:r>
      <w:hyperlink r:id="rId173" w:history="1">
        <w:r w:rsidRPr="00346D5E">
          <w:rPr>
            <w:rStyle w:val="Hyperlink"/>
          </w:rPr>
          <w:t>https://doi.org/10.1056/NEJMoa1401811</w:t>
        </w:r>
      </w:hyperlink>
      <w:r w:rsidRPr="00346D5E">
        <w:t xml:space="preserve"> </w:t>
      </w:r>
    </w:p>
    <w:p w14:paraId="783A6385" w14:textId="49A1A5F2" w:rsidR="00346D5E" w:rsidRPr="00346D5E" w:rsidRDefault="00346D5E" w:rsidP="00346D5E">
      <w:pPr>
        <w:pStyle w:val="EndNoteBibliography"/>
        <w:spacing w:after="0"/>
        <w:ind w:left="720" w:hanging="720"/>
      </w:pPr>
      <w:r w:rsidRPr="00346D5E">
        <w:t xml:space="preserve">Hodgson, D., Anderson, J., Reynolds, C., Oborne, J., et al. (2016). The Effects of Azithromycin in Treatment-Resistant Cough: A Randomized, Double-Blind, Placebo-Controlled Trial. </w:t>
      </w:r>
      <w:r w:rsidRPr="00346D5E">
        <w:rPr>
          <w:i/>
        </w:rPr>
        <w:t>Chest</w:t>
      </w:r>
      <w:r w:rsidRPr="00346D5E">
        <w:t>,</w:t>
      </w:r>
      <w:r w:rsidRPr="00346D5E">
        <w:rPr>
          <w:i/>
        </w:rPr>
        <w:t xml:space="preserve"> 149</w:t>
      </w:r>
      <w:r w:rsidRPr="00346D5E">
        <w:t xml:space="preserve">(4), 1052-1060. </w:t>
      </w:r>
      <w:hyperlink r:id="rId174" w:history="1">
        <w:r w:rsidRPr="00346D5E">
          <w:rPr>
            <w:rStyle w:val="Hyperlink"/>
          </w:rPr>
          <w:t>https://doi.org/10.1016/j.chest.2015.12.036</w:t>
        </w:r>
      </w:hyperlink>
      <w:r w:rsidRPr="00346D5E">
        <w:t xml:space="preserve"> </w:t>
      </w:r>
    </w:p>
    <w:p w14:paraId="37EF6A57" w14:textId="5D5C1598" w:rsidR="00346D5E" w:rsidRPr="00346D5E" w:rsidRDefault="00346D5E" w:rsidP="00346D5E">
      <w:pPr>
        <w:pStyle w:val="EndNoteBibliography"/>
        <w:spacing w:after="0"/>
        <w:ind w:left="720" w:hanging="720"/>
      </w:pPr>
      <w:r w:rsidRPr="00346D5E">
        <w:t xml:space="preserve">Hu, T., Chitnis, N., Monos, D., &amp; Dinh, A. (2021). Next-generation sequencing technologies: An overview. </w:t>
      </w:r>
      <w:r w:rsidRPr="00346D5E">
        <w:rPr>
          <w:i/>
        </w:rPr>
        <w:t>Hum Immunol</w:t>
      </w:r>
      <w:r w:rsidRPr="00346D5E">
        <w:t xml:space="preserve">. </w:t>
      </w:r>
      <w:hyperlink r:id="rId175" w:history="1">
        <w:r w:rsidRPr="00346D5E">
          <w:rPr>
            <w:rStyle w:val="Hyperlink"/>
          </w:rPr>
          <w:t>https://doi.org/10.1016/j.humimm.2021.02.012</w:t>
        </w:r>
      </w:hyperlink>
      <w:r w:rsidRPr="00346D5E">
        <w:t xml:space="preserve"> </w:t>
      </w:r>
    </w:p>
    <w:p w14:paraId="544EACB6" w14:textId="4AC0AB6B" w:rsidR="00346D5E" w:rsidRPr="00346D5E" w:rsidRDefault="00346D5E" w:rsidP="00346D5E">
      <w:pPr>
        <w:pStyle w:val="EndNoteBibliography"/>
        <w:spacing w:after="0"/>
        <w:ind w:left="720" w:hanging="720"/>
      </w:pPr>
      <w:r w:rsidRPr="00346D5E">
        <w:t xml:space="preserve">Huang, Y. J., &amp; LiPuma, J. J. (2016). The Microbiome in Cystic Fibrosis. </w:t>
      </w:r>
      <w:r w:rsidRPr="00346D5E">
        <w:rPr>
          <w:i/>
        </w:rPr>
        <w:t>Clin Chest Med</w:t>
      </w:r>
      <w:r w:rsidRPr="00346D5E">
        <w:t>,</w:t>
      </w:r>
      <w:r w:rsidRPr="00346D5E">
        <w:rPr>
          <w:i/>
        </w:rPr>
        <w:t xml:space="preserve"> 37</w:t>
      </w:r>
      <w:r w:rsidRPr="00346D5E">
        <w:t xml:space="preserve">(1), 59-67. </w:t>
      </w:r>
      <w:hyperlink r:id="rId176" w:history="1">
        <w:r w:rsidRPr="00346D5E">
          <w:rPr>
            <w:rStyle w:val="Hyperlink"/>
          </w:rPr>
          <w:t>https://doi.org/10.1016/j.ccm.2015.10.003</w:t>
        </w:r>
      </w:hyperlink>
      <w:r w:rsidRPr="00346D5E">
        <w:t xml:space="preserve"> </w:t>
      </w:r>
    </w:p>
    <w:p w14:paraId="2141CFC9" w14:textId="4936AB71" w:rsidR="00346D5E" w:rsidRPr="00346D5E" w:rsidRDefault="00346D5E" w:rsidP="00346D5E">
      <w:pPr>
        <w:pStyle w:val="EndNoteBibliography"/>
        <w:spacing w:after="0"/>
        <w:ind w:left="720" w:hanging="720"/>
      </w:pPr>
      <w:r w:rsidRPr="00346D5E">
        <w:t xml:space="preserve">Ichimiya, T., Takeoka, K., Hiramatsu, K., Hirai, K., et al. (1996). The influence of azithromycin on the biofilm formation of Pseudomonas aeruginosa in vitro. </w:t>
      </w:r>
      <w:r w:rsidRPr="00346D5E">
        <w:rPr>
          <w:i/>
        </w:rPr>
        <w:t>Chemotherapy</w:t>
      </w:r>
      <w:r w:rsidRPr="00346D5E">
        <w:t>,</w:t>
      </w:r>
      <w:r w:rsidRPr="00346D5E">
        <w:rPr>
          <w:i/>
        </w:rPr>
        <w:t xml:space="preserve"> 42</w:t>
      </w:r>
      <w:r w:rsidRPr="00346D5E">
        <w:t xml:space="preserve">(3), 186-191. </w:t>
      </w:r>
      <w:hyperlink r:id="rId177" w:history="1">
        <w:r w:rsidRPr="00346D5E">
          <w:rPr>
            <w:rStyle w:val="Hyperlink"/>
          </w:rPr>
          <w:t>https://doi.org/10.1159/000239440</w:t>
        </w:r>
      </w:hyperlink>
      <w:r w:rsidRPr="00346D5E">
        <w:t xml:space="preserve"> </w:t>
      </w:r>
    </w:p>
    <w:p w14:paraId="7C12FFDE" w14:textId="410BD4B2" w:rsidR="00346D5E" w:rsidRPr="00346D5E" w:rsidRDefault="00346D5E" w:rsidP="00346D5E">
      <w:pPr>
        <w:pStyle w:val="EndNoteBibliography"/>
        <w:spacing w:after="0"/>
        <w:ind w:left="720" w:hanging="720"/>
      </w:pPr>
      <w:r w:rsidRPr="00346D5E">
        <w:t xml:space="preserve">Imperi, F., Leoni, L., &amp; Visca, P. (2014). Antivirulence activity of azithromycin in Pseudomonas aeruginosa [Mini Review]. </w:t>
      </w:r>
      <w:r w:rsidRPr="00346D5E">
        <w:rPr>
          <w:i/>
        </w:rPr>
        <w:t>Frontiers in Microbiology</w:t>
      </w:r>
      <w:r w:rsidRPr="00346D5E">
        <w:t>,</w:t>
      </w:r>
      <w:r w:rsidRPr="00346D5E">
        <w:rPr>
          <w:i/>
        </w:rPr>
        <w:t xml:space="preserve"> 5</w:t>
      </w:r>
      <w:r w:rsidRPr="00346D5E">
        <w:t xml:space="preserve">(178). </w:t>
      </w:r>
      <w:hyperlink r:id="rId178" w:history="1">
        <w:r w:rsidRPr="00346D5E">
          <w:rPr>
            <w:rStyle w:val="Hyperlink"/>
          </w:rPr>
          <w:t>https://doi.org/10.3389/fmicb.2014.00178</w:t>
        </w:r>
      </w:hyperlink>
      <w:r w:rsidRPr="00346D5E">
        <w:t xml:space="preserve"> </w:t>
      </w:r>
    </w:p>
    <w:p w14:paraId="4572E69D" w14:textId="2A546E57" w:rsidR="00346D5E" w:rsidRPr="00346D5E" w:rsidRDefault="00346D5E" w:rsidP="00346D5E">
      <w:pPr>
        <w:pStyle w:val="EndNoteBibliography"/>
        <w:spacing w:after="0"/>
        <w:ind w:left="720" w:hanging="720"/>
      </w:pPr>
      <w:r w:rsidRPr="00346D5E">
        <w:t xml:space="preserve">Ingerski, L. M., Hente, E. A., Modi, A. C., &amp; Hommel, K. A. (2011). Electronic measurement of medication adherence in pediatric chronic illness: a review of measures. </w:t>
      </w:r>
      <w:r w:rsidRPr="00346D5E">
        <w:rPr>
          <w:i/>
        </w:rPr>
        <w:t>J Pediatr</w:t>
      </w:r>
      <w:r w:rsidRPr="00346D5E">
        <w:t>,</w:t>
      </w:r>
      <w:r w:rsidRPr="00346D5E">
        <w:rPr>
          <w:i/>
        </w:rPr>
        <w:t xml:space="preserve"> 159</w:t>
      </w:r>
      <w:r w:rsidRPr="00346D5E">
        <w:t xml:space="preserve">(4), 528-534. </w:t>
      </w:r>
      <w:hyperlink r:id="rId179" w:history="1">
        <w:r w:rsidRPr="00346D5E">
          <w:rPr>
            <w:rStyle w:val="Hyperlink"/>
          </w:rPr>
          <w:t>https://doi.org/10.1016/j.jpeds.2011.05.018</w:t>
        </w:r>
      </w:hyperlink>
      <w:r w:rsidRPr="00346D5E">
        <w:t xml:space="preserve"> </w:t>
      </w:r>
    </w:p>
    <w:p w14:paraId="077000C3" w14:textId="49EDE832" w:rsidR="00346D5E" w:rsidRPr="00346D5E" w:rsidRDefault="00346D5E" w:rsidP="00346D5E">
      <w:pPr>
        <w:pStyle w:val="EndNoteBibliography"/>
        <w:spacing w:after="0"/>
        <w:ind w:left="720" w:hanging="720"/>
      </w:pPr>
      <w:r w:rsidRPr="00346D5E">
        <w:t xml:space="preserve">Ingram, J., Cabral, C., Hay, A. D., Lucas, P. J., et al. (2013). Parents’ information needs, self-efficacy and influences on consulting for childhood respiratory tract infections: a qualitative study. </w:t>
      </w:r>
      <w:r w:rsidRPr="00346D5E">
        <w:rPr>
          <w:i/>
        </w:rPr>
        <w:t>BMC Family Practice</w:t>
      </w:r>
      <w:r w:rsidRPr="00346D5E">
        <w:t>,</w:t>
      </w:r>
      <w:r w:rsidRPr="00346D5E">
        <w:rPr>
          <w:i/>
        </w:rPr>
        <w:t xml:space="preserve"> 14</w:t>
      </w:r>
      <w:r w:rsidRPr="00346D5E">
        <w:t xml:space="preserve">(1), 106. </w:t>
      </w:r>
      <w:hyperlink r:id="rId180" w:history="1">
        <w:r w:rsidRPr="00346D5E">
          <w:rPr>
            <w:rStyle w:val="Hyperlink"/>
          </w:rPr>
          <w:t>https://doi.org/10.1186/1471-2296-14-106</w:t>
        </w:r>
      </w:hyperlink>
      <w:r w:rsidRPr="00346D5E">
        <w:t xml:space="preserve"> </w:t>
      </w:r>
    </w:p>
    <w:p w14:paraId="3ACFBFA4" w14:textId="22A08847" w:rsidR="00346D5E" w:rsidRPr="00346D5E" w:rsidRDefault="00346D5E" w:rsidP="00346D5E">
      <w:pPr>
        <w:pStyle w:val="EndNoteBibliography"/>
        <w:spacing w:after="0"/>
        <w:ind w:left="720" w:hanging="720"/>
      </w:pPr>
      <w:r w:rsidRPr="00346D5E">
        <w:t xml:space="preserve">Institute of Medicine. (2001). </w:t>
      </w:r>
      <w:r w:rsidRPr="00346D5E">
        <w:rPr>
          <w:i/>
        </w:rPr>
        <w:t>Health and Behavior</w:t>
      </w:r>
      <w:r w:rsidRPr="00346D5E">
        <w:t xml:space="preserve">. National Academies Press (US). </w:t>
      </w:r>
      <w:r w:rsidR="009273EB">
        <w:rPr>
          <w:i/>
          <w:iCs/>
        </w:rPr>
        <w:t xml:space="preserve">The Interplay of Biological, Behavioral, and Societal Influences. </w:t>
      </w:r>
      <w:r w:rsidR="009273EB">
        <w:t xml:space="preserve">Washington (DC). </w:t>
      </w:r>
      <w:r w:rsidR="009273EB" w:rsidRPr="008B4F68">
        <w:t>National Academies Press (US).</w:t>
      </w:r>
      <w:r w:rsidR="009273EB" w:rsidRPr="009273EB">
        <w:rPr>
          <w:color w:val="0000FF"/>
          <w:u w:val="single"/>
        </w:rPr>
        <w:t xml:space="preserve"> </w:t>
      </w:r>
      <w:r w:rsidR="009273EB" w:rsidRPr="003D23A8">
        <w:rPr>
          <w:color w:val="0000FF"/>
          <w:u w:val="single"/>
        </w:rPr>
        <w:t>https://www.ncbi.nlm.nih.gov/books/NBK43732/#a2000495eddd00014</w:t>
      </w:r>
    </w:p>
    <w:p w14:paraId="060AD089" w14:textId="079C5118" w:rsidR="00346D5E" w:rsidRPr="00346D5E" w:rsidRDefault="00346D5E" w:rsidP="00346D5E">
      <w:pPr>
        <w:pStyle w:val="EndNoteBibliography"/>
        <w:spacing w:after="0"/>
        <w:ind w:left="720" w:hanging="720"/>
      </w:pPr>
      <w:r w:rsidRPr="00346D5E">
        <w:t xml:space="preserve">Ishak, A., &amp; Everard, M. L. (2017). Persistent and Recurrent Bacterial Bronchitis-A Paradigm Shift in Our Understanding of Chronic Respiratory Disease. </w:t>
      </w:r>
      <w:r w:rsidRPr="00346D5E">
        <w:rPr>
          <w:i/>
        </w:rPr>
        <w:t>Frontiers in pediatrics</w:t>
      </w:r>
      <w:r w:rsidRPr="00346D5E">
        <w:t>,</w:t>
      </w:r>
      <w:r w:rsidRPr="00346D5E">
        <w:rPr>
          <w:i/>
        </w:rPr>
        <w:t xml:space="preserve"> 5</w:t>
      </w:r>
      <w:r w:rsidRPr="00346D5E">
        <w:t xml:space="preserve">, 19. </w:t>
      </w:r>
      <w:hyperlink r:id="rId181" w:history="1">
        <w:r w:rsidRPr="00346D5E">
          <w:rPr>
            <w:rStyle w:val="Hyperlink"/>
          </w:rPr>
          <w:t>https://doi.org/10.3389/fped.2017.00019</w:t>
        </w:r>
      </w:hyperlink>
      <w:r w:rsidRPr="00346D5E">
        <w:t xml:space="preserve"> </w:t>
      </w:r>
    </w:p>
    <w:p w14:paraId="4FC41860" w14:textId="77777777" w:rsidR="00346D5E" w:rsidRPr="00346D5E" w:rsidRDefault="00346D5E" w:rsidP="00346D5E">
      <w:pPr>
        <w:pStyle w:val="EndNoteBibliography"/>
        <w:spacing w:after="0"/>
        <w:ind w:left="720" w:hanging="720"/>
      </w:pPr>
      <w:r w:rsidRPr="00346D5E">
        <w:t xml:space="preserve">J Smith, P. F., M Larkin. (2009). Interpretative phenomenological analysis: theory, method and research [Book]. (Sage publications) </w:t>
      </w:r>
    </w:p>
    <w:p w14:paraId="540A5154" w14:textId="00A21E0B" w:rsidR="00346D5E" w:rsidRPr="00346D5E" w:rsidRDefault="00346D5E" w:rsidP="00346D5E">
      <w:pPr>
        <w:pStyle w:val="EndNoteBibliography"/>
        <w:spacing w:after="0"/>
        <w:ind w:left="720" w:hanging="720"/>
      </w:pPr>
      <w:r w:rsidRPr="00346D5E">
        <w:t xml:space="preserve">Jia, X., Ren, H., Nie, X., Li, Y., et al. (2019). Antibiotic Resistance and Azithromycin Resistance Mechanism of Legionella pneumophila Serogroup 1 in China. </w:t>
      </w:r>
      <w:r w:rsidRPr="00346D5E">
        <w:rPr>
          <w:i/>
        </w:rPr>
        <w:t>Antimicrob Agents Chemother</w:t>
      </w:r>
      <w:r w:rsidRPr="00346D5E">
        <w:t>,</w:t>
      </w:r>
      <w:r w:rsidRPr="00346D5E">
        <w:rPr>
          <w:i/>
        </w:rPr>
        <w:t xml:space="preserve"> 63</w:t>
      </w:r>
      <w:r w:rsidRPr="00346D5E">
        <w:t xml:space="preserve">(10). </w:t>
      </w:r>
      <w:hyperlink r:id="rId182" w:history="1">
        <w:r w:rsidRPr="00346D5E">
          <w:rPr>
            <w:rStyle w:val="Hyperlink"/>
          </w:rPr>
          <w:t>https://doi.org/10.1128/aac.00768-19</w:t>
        </w:r>
      </w:hyperlink>
      <w:r w:rsidRPr="00346D5E">
        <w:t xml:space="preserve"> </w:t>
      </w:r>
    </w:p>
    <w:p w14:paraId="52607AB1" w14:textId="1C71A4DB" w:rsidR="00346D5E" w:rsidRPr="00346D5E" w:rsidRDefault="00346D5E" w:rsidP="00346D5E">
      <w:pPr>
        <w:pStyle w:val="EndNoteBibliography"/>
        <w:spacing w:after="0"/>
        <w:ind w:left="720" w:hanging="720"/>
      </w:pPr>
      <w:r w:rsidRPr="00346D5E">
        <w:t>Johnson, J., Bouchillon, S., &amp; Pontani, D. (1999). The effect of carbon dioxide on susceptibility testing of azithromycin, clarithromycin and roxithromycin against clinical isolates of Streptococcus pneumoniae and Streptococcus pyogenes by broth microdilution and the Etest: Artemis Project-</w:t>
      </w:r>
      <w:r w:rsidRPr="00346D5E">
        <w:lastRenderedPageBreak/>
        <w:t xml:space="preserve">first-phase study. </w:t>
      </w:r>
      <w:r w:rsidRPr="00346D5E">
        <w:rPr>
          <w:i/>
        </w:rPr>
        <w:t>Clin Microbiol Infect</w:t>
      </w:r>
      <w:r w:rsidRPr="00346D5E">
        <w:t>,</w:t>
      </w:r>
      <w:r w:rsidRPr="00346D5E">
        <w:rPr>
          <w:i/>
        </w:rPr>
        <w:t xml:space="preserve"> 5</w:t>
      </w:r>
      <w:r w:rsidRPr="00346D5E">
        <w:t xml:space="preserve">(6), 327-330. </w:t>
      </w:r>
      <w:hyperlink r:id="rId183" w:history="1">
        <w:r w:rsidRPr="00346D5E">
          <w:rPr>
            <w:rStyle w:val="Hyperlink"/>
          </w:rPr>
          <w:t>https://doi.org/10.1111/j.1469-0691.1999.tb00151.x</w:t>
        </w:r>
      </w:hyperlink>
      <w:r w:rsidRPr="00346D5E">
        <w:t xml:space="preserve"> </w:t>
      </w:r>
    </w:p>
    <w:p w14:paraId="7EA13DFB" w14:textId="7E13E9EB" w:rsidR="00346D5E" w:rsidRPr="00346D5E" w:rsidRDefault="00346D5E" w:rsidP="00346D5E">
      <w:pPr>
        <w:pStyle w:val="EndNoteBibliography"/>
        <w:spacing w:after="0"/>
        <w:ind w:left="720" w:hanging="720"/>
      </w:pPr>
      <w:r w:rsidRPr="00346D5E">
        <w:t xml:space="preserve">Jorgensen, J. H., Howell, A. W., &amp; Maher, L. A. (1991). Quantitative antimicrobial susceptibility testing of Haemophilus influenzae and Streptococcus pneumoniae by using the E-test. </w:t>
      </w:r>
      <w:r w:rsidRPr="00346D5E">
        <w:rPr>
          <w:i/>
        </w:rPr>
        <w:t>J Clin Microbiol</w:t>
      </w:r>
      <w:r w:rsidRPr="00346D5E">
        <w:t>,</w:t>
      </w:r>
      <w:r w:rsidRPr="00346D5E">
        <w:rPr>
          <w:i/>
        </w:rPr>
        <w:t xml:space="preserve"> 29</w:t>
      </w:r>
      <w:r w:rsidRPr="00346D5E">
        <w:t xml:space="preserve">(1), 109-114. </w:t>
      </w:r>
      <w:hyperlink r:id="rId184" w:history="1">
        <w:r w:rsidRPr="00346D5E">
          <w:rPr>
            <w:rStyle w:val="Hyperlink"/>
          </w:rPr>
          <w:t>https://doi.org/10.1128/jcm.29.1.109-114.1991</w:t>
        </w:r>
      </w:hyperlink>
      <w:r w:rsidRPr="00346D5E">
        <w:t xml:space="preserve"> </w:t>
      </w:r>
    </w:p>
    <w:p w14:paraId="5E114481" w14:textId="4B7BC10E" w:rsidR="00346D5E" w:rsidRPr="00346D5E" w:rsidRDefault="00346D5E" w:rsidP="00346D5E">
      <w:pPr>
        <w:pStyle w:val="EndNoteBibliography"/>
        <w:spacing w:after="0"/>
        <w:ind w:left="720" w:hanging="720"/>
      </w:pPr>
      <w:r w:rsidRPr="00346D5E">
        <w:t xml:space="preserve">Kabra, S. K., Pawaiya, R., Lodha, R., Kapil, A., et al. (2010). Long-term daily high and low doses of azithromycin in children with cystic fibrosis: a randomized controlled trial. </w:t>
      </w:r>
      <w:r w:rsidRPr="00346D5E">
        <w:rPr>
          <w:i/>
        </w:rPr>
        <w:t>J Cyst Fibros</w:t>
      </w:r>
      <w:r w:rsidRPr="00346D5E">
        <w:t>,</w:t>
      </w:r>
      <w:r w:rsidRPr="00346D5E">
        <w:rPr>
          <w:i/>
        </w:rPr>
        <w:t xml:space="preserve"> 9</w:t>
      </w:r>
      <w:r w:rsidRPr="00346D5E">
        <w:t xml:space="preserve">(1), 17-23. </w:t>
      </w:r>
      <w:hyperlink r:id="rId185" w:history="1">
        <w:r w:rsidRPr="00346D5E">
          <w:rPr>
            <w:rStyle w:val="Hyperlink"/>
          </w:rPr>
          <w:t>https://doi.org/10.1016/j.jcf.2009.09.001</w:t>
        </w:r>
      </w:hyperlink>
      <w:r w:rsidRPr="00346D5E">
        <w:t xml:space="preserve"> </w:t>
      </w:r>
    </w:p>
    <w:p w14:paraId="335B58D7" w14:textId="6A58DAF8" w:rsidR="00346D5E" w:rsidRDefault="00346D5E" w:rsidP="00346D5E">
      <w:pPr>
        <w:pStyle w:val="EndNoteBibliography"/>
        <w:spacing w:after="0"/>
        <w:ind w:left="720" w:hanging="720"/>
      </w:pPr>
      <w:r w:rsidRPr="00346D5E">
        <w:t xml:space="preserve">Kadambari, S., Goldacre, R., Morris, E., Goldacre, M. J., et al. (2022). Indirect effects of the covid-19 pandemic on childhood infection in England: population based observational study. </w:t>
      </w:r>
      <w:r w:rsidRPr="00346D5E">
        <w:rPr>
          <w:i/>
        </w:rPr>
        <w:t>BMJ</w:t>
      </w:r>
      <w:r w:rsidRPr="00346D5E">
        <w:t>,</w:t>
      </w:r>
      <w:r w:rsidRPr="00346D5E">
        <w:rPr>
          <w:i/>
        </w:rPr>
        <w:t xml:space="preserve"> 376</w:t>
      </w:r>
      <w:r w:rsidRPr="00346D5E">
        <w:t xml:space="preserve">, e067519. </w:t>
      </w:r>
      <w:hyperlink r:id="rId186" w:history="1">
        <w:r w:rsidRPr="00346D5E">
          <w:rPr>
            <w:rStyle w:val="Hyperlink"/>
          </w:rPr>
          <w:t>https://doi.org/10.1136/bmj-2021-067519</w:t>
        </w:r>
      </w:hyperlink>
      <w:r w:rsidRPr="00346D5E">
        <w:t xml:space="preserve"> </w:t>
      </w:r>
    </w:p>
    <w:p w14:paraId="6DD53DF3" w14:textId="198BFDE3" w:rsidR="00594A27" w:rsidRPr="00D12708" w:rsidRDefault="00594A27" w:rsidP="00D12708">
      <w:pPr>
        <w:rPr>
          <w:rFonts w:asciiTheme="minorHAnsi" w:hAnsiTheme="minorHAnsi" w:cstheme="minorHAnsi"/>
          <w:sz w:val="22"/>
          <w:szCs w:val="22"/>
        </w:rPr>
      </w:pPr>
      <w:proofErr w:type="spellStart"/>
      <w:r w:rsidRPr="00D12708">
        <w:rPr>
          <w:rFonts w:asciiTheme="minorHAnsi" w:hAnsiTheme="minorHAnsi" w:cstheme="minorHAnsi"/>
          <w:sz w:val="22"/>
          <w:szCs w:val="22"/>
        </w:rPr>
        <w:t>Kansra</w:t>
      </w:r>
      <w:proofErr w:type="spellEnd"/>
      <w:r w:rsidRPr="00D12708">
        <w:rPr>
          <w:rFonts w:asciiTheme="minorHAnsi" w:hAnsiTheme="minorHAnsi" w:cstheme="minorHAnsi"/>
          <w:sz w:val="22"/>
          <w:szCs w:val="22"/>
        </w:rPr>
        <w:t xml:space="preserve">, S., Scott, A. </w:t>
      </w:r>
      <w:r w:rsidR="00D12708" w:rsidRPr="00D12708">
        <w:rPr>
          <w:rFonts w:asciiTheme="minorHAnsi" w:hAnsiTheme="minorHAnsi" w:cstheme="minorHAnsi"/>
          <w:sz w:val="22"/>
          <w:szCs w:val="22"/>
        </w:rPr>
        <w:t xml:space="preserve">(2018). </w:t>
      </w:r>
      <w:r w:rsidRPr="00D12708">
        <w:rPr>
          <w:rFonts w:asciiTheme="minorHAnsi" w:hAnsiTheme="minorHAnsi" w:cstheme="minorHAnsi"/>
          <w:sz w:val="22"/>
          <w:szCs w:val="22"/>
        </w:rPr>
        <w:t>Diagnosis and Management of C</w:t>
      </w:r>
      <w:r w:rsidR="00D12708" w:rsidRPr="00D12708">
        <w:rPr>
          <w:rFonts w:asciiTheme="minorHAnsi" w:hAnsiTheme="minorHAnsi" w:cstheme="minorHAnsi"/>
          <w:sz w:val="22"/>
          <w:szCs w:val="22"/>
        </w:rPr>
        <w:t>hild</w:t>
      </w:r>
      <w:r w:rsidRPr="00D12708">
        <w:rPr>
          <w:rFonts w:asciiTheme="minorHAnsi" w:hAnsiTheme="minorHAnsi" w:cstheme="minorHAnsi"/>
          <w:sz w:val="22"/>
          <w:szCs w:val="22"/>
        </w:rPr>
        <w:t xml:space="preserve">ren with Protracted Bacterial </w:t>
      </w:r>
      <w:r w:rsidR="00D12708" w:rsidRPr="00D12708">
        <w:rPr>
          <w:rFonts w:asciiTheme="minorHAnsi" w:hAnsiTheme="minorHAnsi" w:cstheme="minorHAnsi"/>
          <w:sz w:val="22"/>
          <w:szCs w:val="22"/>
        </w:rPr>
        <w:t xml:space="preserve">Bronchitis. </w:t>
      </w:r>
      <w:r w:rsidR="00D12708">
        <w:rPr>
          <w:rFonts w:asciiTheme="minorHAnsi" w:hAnsiTheme="minorHAnsi" w:cstheme="minorHAnsi"/>
          <w:sz w:val="22"/>
          <w:szCs w:val="22"/>
        </w:rPr>
        <w:tab/>
      </w:r>
      <w:r w:rsidR="00D12708" w:rsidRPr="00D12708">
        <w:rPr>
          <w:rFonts w:asciiTheme="minorHAnsi" w:hAnsiTheme="minorHAnsi" w:cstheme="minorHAnsi"/>
          <w:sz w:val="22"/>
          <w:szCs w:val="22"/>
        </w:rPr>
        <w:t xml:space="preserve">Sheffield Children's Hospital NHS Foundation Trust Clinical guidelines. Available at </w:t>
      </w:r>
      <w:r w:rsidR="00D12708" w:rsidRPr="00D12708">
        <w:rPr>
          <w:rFonts w:asciiTheme="minorHAnsi" w:hAnsiTheme="minorHAnsi" w:cstheme="minorHAnsi"/>
          <w:sz w:val="22"/>
          <w:szCs w:val="22"/>
        </w:rPr>
        <w:tab/>
      </w:r>
      <w:r w:rsidR="00D12708" w:rsidRPr="00D12708">
        <w:rPr>
          <w:rFonts w:asciiTheme="minorHAnsi" w:hAnsiTheme="minorHAnsi" w:cstheme="minorHAnsi"/>
          <w:color w:val="3254FC"/>
          <w:sz w:val="22"/>
          <w:szCs w:val="22"/>
          <w:u w:val="single"/>
        </w:rPr>
        <w:t>http://www.sheffieldchildrens.nhs.uk</w:t>
      </w:r>
    </w:p>
    <w:p w14:paraId="69891BF6" w14:textId="5EB5A1E5" w:rsidR="00346D5E" w:rsidRPr="00346D5E" w:rsidRDefault="00346D5E" w:rsidP="00346D5E">
      <w:pPr>
        <w:pStyle w:val="EndNoteBibliography"/>
        <w:spacing w:after="0"/>
        <w:ind w:left="720" w:hanging="720"/>
      </w:pPr>
      <w:r w:rsidRPr="00346D5E">
        <w:t xml:space="preserve">Kantar, A., Chang, A. B., Shields, M. D., Marchant, J. M., et al. (2017). ERS statement on protracted bacterial bronchitis in children. </w:t>
      </w:r>
      <w:r w:rsidRPr="00346D5E">
        <w:rPr>
          <w:i/>
        </w:rPr>
        <w:t>European Respiratory Journal</w:t>
      </w:r>
      <w:r w:rsidRPr="00346D5E">
        <w:t>,</w:t>
      </w:r>
      <w:r w:rsidRPr="00346D5E">
        <w:rPr>
          <w:i/>
        </w:rPr>
        <w:t xml:space="preserve"> 50</w:t>
      </w:r>
      <w:r w:rsidRPr="00346D5E">
        <w:t xml:space="preserve">(2), 1602139. </w:t>
      </w:r>
      <w:hyperlink r:id="rId187" w:history="1">
        <w:r w:rsidRPr="00346D5E">
          <w:rPr>
            <w:rStyle w:val="Hyperlink"/>
          </w:rPr>
          <w:t>https://doi.org/10.1183/13993003.02139-2016</w:t>
        </w:r>
      </w:hyperlink>
      <w:r w:rsidRPr="00346D5E">
        <w:t xml:space="preserve"> </w:t>
      </w:r>
    </w:p>
    <w:p w14:paraId="0AB55ED9" w14:textId="32C478EB" w:rsidR="00346D5E" w:rsidRPr="00346D5E" w:rsidRDefault="00346D5E" w:rsidP="00346D5E">
      <w:pPr>
        <w:pStyle w:val="EndNoteBibliography"/>
        <w:spacing w:after="0"/>
        <w:ind w:left="720" w:hanging="720"/>
      </w:pPr>
      <w:r w:rsidRPr="00346D5E">
        <w:t xml:space="preserve">Keenan, J. D., Bailey, R. L., West, S. K., Arzika, A. M., et al. (2018). Azithromycin to Reduce Childhood Mortality in Sub-Saharan Africa. </w:t>
      </w:r>
      <w:r w:rsidRPr="00346D5E">
        <w:rPr>
          <w:i/>
        </w:rPr>
        <w:t>New England Journal of Medicine</w:t>
      </w:r>
      <w:r w:rsidRPr="00346D5E">
        <w:t>,</w:t>
      </w:r>
      <w:r w:rsidRPr="00346D5E">
        <w:rPr>
          <w:i/>
        </w:rPr>
        <w:t xml:space="preserve"> 378</w:t>
      </w:r>
      <w:r w:rsidRPr="00346D5E">
        <w:t xml:space="preserve">(17), 1583-1592. </w:t>
      </w:r>
      <w:hyperlink r:id="rId188" w:history="1">
        <w:r w:rsidRPr="00346D5E">
          <w:rPr>
            <w:rStyle w:val="Hyperlink"/>
          </w:rPr>
          <w:t>https://doi.org/10.1056/NEJMoa1715474</w:t>
        </w:r>
      </w:hyperlink>
      <w:r w:rsidRPr="00346D5E">
        <w:t xml:space="preserve"> </w:t>
      </w:r>
    </w:p>
    <w:p w14:paraId="0F110DA9" w14:textId="5008A082" w:rsidR="00346D5E" w:rsidRPr="00346D5E" w:rsidRDefault="00346D5E" w:rsidP="00346D5E">
      <w:pPr>
        <w:pStyle w:val="EndNoteBibliography"/>
        <w:spacing w:after="0"/>
        <w:ind w:left="720" w:hanging="720"/>
      </w:pPr>
      <w:r w:rsidRPr="00346D5E">
        <w:t xml:space="preserve">Kinrys, G., Gold, A. K., Worthington, J. J., &amp; Nierenberg, A. A. (2018). Medication disposal practices: Increasing patient and clinician education on safe methods. </w:t>
      </w:r>
      <w:r w:rsidRPr="00346D5E">
        <w:rPr>
          <w:i/>
        </w:rPr>
        <w:t>The Journal of international medical research</w:t>
      </w:r>
      <w:r w:rsidRPr="00346D5E">
        <w:t>,</w:t>
      </w:r>
      <w:r w:rsidRPr="00346D5E">
        <w:rPr>
          <w:i/>
        </w:rPr>
        <w:t xml:space="preserve"> 46</w:t>
      </w:r>
      <w:r w:rsidRPr="00346D5E">
        <w:t xml:space="preserve">(3), 927-939. </w:t>
      </w:r>
      <w:hyperlink r:id="rId189" w:history="1">
        <w:r w:rsidRPr="00346D5E">
          <w:rPr>
            <w:rStyle w:val="Hyperlink"/>
          </w:rPr>
          <w:t>https://doi.org/10.1177/0300060517738681</w:t>
        </w:r>
      </w:hyperlink>
      <w:r w:rsidRPr="00346D5E">
        <w:t xml:space="preserve"> </w:t>
      </w:r>
    </w:p>
    <w:p w14:paraId="3D3764A8" w14:textId="4A27E776" w:rsidR="00346D5E" w:rsidRPr="00346D5E" w:rsidRDefault="00346D5E" w:rsidP="00346D5E">
      <w:pPr>
        <w:pStyle w:val="EndNoteBibliography"/>
        <w:spacing w:after="0"/>
        <w:ind w:left="720" w:hanging="720"/>
      </w:pPr>
      <w:r w:rsidRPr="00346D5E">
        <w:t xml:space="preserve">Knafl, K. A., Darney, B. G., Gallo, A. M., &amp; Angst, D. B. (2010). Parental perceptions of the outcome and meaning of normalization. </w:t>
      </w:r>
      <w:r w:rsidRPr="00346D5E">
        <w:rPr>
          <w:i/>
        </w:rPr>
        <w:t>Res Nurs Health</w:t>
      </w:r>
      <w:r w:rsidRPr="00346D5E">
        <w:t>,</w:t>
      </w:r>
      <w:r w:rsidRPr="00346D5E">
        <w:rPr>
          <w:i/>
        </w:rPr>
        <w:t xml:space="preserve"> 33</w:t>
      </w:r>
      <w:r w:rsidRPr="00346D5E">
        <w:t xml:space="preserve">(2), 87-98. </w:t>
      </w:r>
      <w:hyperlink r:id="rId190" w:history="1">
        <w:r w:rsidRPr="00346D5E">
          <w:rPr>
            <w:rStyle w:val="Hyperlink"/>
          </w:rPr>
          <w:t>https://doi.org/10.1002/nur.20367</w:t>
        </w:r>
      </w:hyperlink>
      <w:r w:rsidRPr="00346D5E">
        <w:t xml:space="preserve"> </w:t>
      </w:r>
    </w:p>
    <w:p w14:paraId="202AFFA2" w14:textId="2EAC83C1" w:rsidR="00346D5E" w:rsidRPr="00346D5E" w:rsidRDefault="00346D5E" w:rsidP="009273EB">
      <w:pPr>
        <w:pStyle w:val="EndNoteBibliography"/>
        <w:spacing w:after="0"/>
        <w:ind w:left="720" w:hanging="720"/>
      </w:pPr>
      <w:r w:rsidRPr="00346D5E">
        <w:t xml:space="preserve">Kobbernagel, H. E., Buchvald, F. F., Haarman, E. G., Casaulta, C., et al. (2020). Efficacy and safety of azithromycin maintenance therapy in primary ciliary dyskinesia (BESTCILIA): a multicentre, double-blind, randomised, placebo-controlled phase 3 trial. </w:t>
      </w:r>
      <w:r w:rsidRPr="00346D5E">
        <w:rPr>
          <w:i/>
        </w:rPr>
        <w:t>Lancet Respir Med</w:t>
      </w:r>
      <w:r w:rsidRPr="00346D5E">
        <w:t>,</w:t>
      </w:r>
      <w:r w:rsidRPr="00346D5E">
        <w:rPr>
          <w:i/>
        </w:rPr>
        <w:t xml:space="preserve"> 8</w:t>
      </w:r>
      <w:r w:rsidRPr="00346D5E">
        <w:t xml:space="preserve">(5), 493-505. </w:t>
      </w:r>
      <w:hyperlink r:id="rId191" w:history="1">
        <w:r w:rsidRPr="00346D5E">
          <w:rPr>
            <w:rStyle w:val="Hyperlink"/>
          </w:rPr>
          <w:t>https://doi.org/10.1016/s2213-2600(20)30058-8</w:t>
        </w:r>
      </w:hyperlink>
      <w:r w:rsidRPr="00346D5E">
        <w:t xml:space="preserve"> </w:t>
      </w:r>
    </w:p>
    <w:p w14:paraId="753782D5" w14:textId="12C65C3D" w:rsidR="00346D5E" w:rsidRPr="00346D5E" w:rsidRDefault="00346D5E" w:rsidP="00346D5E">
      <w:pPr>
        <w:pStyle w:val="EndNoteBibliography"/>
        <w:spacing w:after="0"/>
        <w:ind w:left="720" w:hanging="720"/>
      </w:pPr>
      <w:r w:rsidRPr="00346D5E">
        <w:t xml:space="preserve">Konstan, M. W., Wagener, J. S., &amp; VanDevanter, D. R. (2009). Characterizing aggressiveness and predicting future progression of CF lung disease. </w:t>
      </w:r>
      <w:r w:rsidRPr="00346D5E">
        <w:rPr>
          <w:i/>
        </w:rPr>
        <w:t>J Cyst Fibros</w:t>
      </w:r>
      <w:r w:rsidRPr="00346D5E">
        <w:t>,</w:t>
      </w:r>
      <w:r w:rsidRPr="00346D5E">
        <w:rPr>
          <w:i/>
        </w:rPr>
        <w:t xml:space="preserve"> 8 Suppl 1</w:t>
      </w:r>
      <w:r w:rsidRPr="00346D5E">
        <w:t xml:space="preserve">, S15-19. </w:t>
      </w:r>
      <w:hyperlink r:id="rId192" w:history="1">
        <w:r w:rsidRPr="00346D5E">
          <w:rPr>
            <w:rStyle w:val="Hyperlink"/>
          </w:rPr>
          <w:t>https://doi.org/10.1016/s1569-1993(09)60006-0</w:t>
        </w:r>
      </w:hyperlink>
      <w:r w:rsidRPr="00346D5E">
        <w:t xml:space="preserve"> </w:t>
      </w:r>
    </w:p>
    <w:p w14:paraId="7A9A79E1" w14:textId="70DC52B9" w:rsidR="00346D5E" w:rsidRPr="00346D5E" w:rsidRDefault="00346D5E" w:rsidP="00346D5E">
      <w:pPr>
        <w:pStyle w:val="EndNoteBibliography"/>
        <w:spacing w:after="0"/>
        <w:ind w:left="720" w:hanging="720"/>
      </w:pPr>
      <w:r w:rsidRPr="00346D5E">
        <w:t xml:space="preserve">Korpela, K., Salonen, A., Virta, L. J., Kekkonen, R. A., et al. (2016). Intestinal microbiome is related to lifetime antibiotic use in Finnish pre-school children. </w:t>
      </w:r>
      <w:r w:rsidRPr="00346D5E">
        <w:rPr>
          <w:i/>
        </w:rPr>
        <w:t>Nature Communications</w:t>
      </w:r>
      <w:r w:rsidRPr="00346D5E">
        <w:t>,</w:t>
      </w:r>
      <w:r w:rsidRPr="00346D5E">
        <w:rPr>
          <w:i/>
        </w:rPr>
        <w:t xml:space="preserve"> 7</w:t>
      </w:r>
      <w:r w:rsidRPr="00346D5E">
        <w:t xml:space="preserve">(1), 10410. </w:t>
      </w:r>
      <w:hyperlink r:id="rId193" w:history="1">
        <w:r w:rsidRPr="00346D5E">
          <w:rPr>
            <w:rStyle w:val="Hyperlink"/>
          </w:rPr>
          <w:t>https://doi.org/10.1038/ncomms10410</w:t>
        </w:r>
      </w:hyperlink>
      <w:r w:rsidRPr="00346D5E">
        <w:t xml:space="preserve"> </w:t>
      </w:r>
    </w:p>
    <w:p w14:paraId="211BFF62" w14:textId="5715EDF5" w:rsidR="00346D5E" w:rsidRPr="00346D5E" w:rsidRDefault="00346D5E" w:rsidP="00346D5E">
      <w:pPr>
        <w:pStyle w:val="EndNoteBibliography"/>
        <w:spacing w:after="0"/>
        <w:ind w:left="720" w:hanging="720"/>
      </w:pPr>
      <w:r w:rsidRPr="00346D5E">
        <w:t xml:space="preserve">Kuruvilla, M., &amp; de la Morena, M. T. (2013). Antibiotic prophylaxis in primary immune deficiency disorders. </w:t>
      </w:r>
      <w:r w:rsidRPr="00346D5E">
        <w:rPr>
          <w:i/>
        </w:rPr>
        <w:t>J Allergy Clin Immunol Pract</w:t>
      </w:r>
      <w:r w:rsidRPr="00346D5E">
        <w:t>,</w:t>
      </w:r>
      <w:r w:rsidRPr="00346D5E">
        <w:rPr>
          <w:i/>
        </w:rPr>
        <w:t xml:space="preserve"> 1</w:t>
      </w:r>
      <w:r w:rsidRPr="00346D5E">
        <w:t xml:space="preserve">(6), 573-582. </w:t>
      </w:r>
      <w:hyperlink r:id="rId194" w:history="1">
        <w:r w:rsidRPr="00346D5E">
          <w:rPr>
            <w:rStyle w:val="Hyperlink"/>
          </w:rPr>
          <w:t>https://doi.org/10.1016/j.jaip.2013.09.013</w:t>
        </w:r>
      </w:hyperlink>
      <w:r w:rsidRPr="00346D5E">
        <w:t xml:space="preserve"> </w:t>
      </w:r>
    </w:p>
    <w:p w14:paraId="3292CC15" w14:textId="3EA6242D" w:rsidR="00346D5E" w:rsidRPr="00346D5E" w:rsidRDefault="00346D5E" w:rsidP="00346D5E">
      <w:pPr>
        <w:pStyle w:val="EndNoteBibliography"/>
        <w:spacing w:after="0"/>
        <w:ind w:left="720" w:hanging="720"/>
      </w:pPr>
      <w:r w:rsidRPr="00346D5E">
        <w:t xml:space="preserve">Ladhani, S. N., Collins, S., Djennad, A., Sheppard, C. L., et al. (2018). Rapid increase in non-vaccine serotypes causing invasive pneumococcal disease in England and Wales, 2000-17: a prospective national observational cohort study. </w:t>
      </w:r>
      <w:r w:rsidRPr="00346D5E">
        <w:rPr>
          <w:i/>
        </w:rPr>
        <w:t>Lancet Infect Dis</w:t>
      </w:r>
      <w:r w:rsidRPr="00346D5E">
        <w:t>,</w:t>
      </w:r>
      <w:r w:rsidRPr="00346D5E">
        <w:rPr>
          <w:i/>
        </w:rPr>
        <w:t xml:space="preserve"> 18</w:t>
      </w:r>
      <w:r w:rsidRPr="00346D5E">
        <w:t xml:space="preserve">(4), 441-451. </w:t>
      </w:r>
      <w:hyperlink r:id="rId195" w:history="1">
        <w:r w:rsidRPr="00346D5E">
          <w:rPr>
            <w:rStyle w:val="Hyperlink"/>
          </w:rPr>
          <w:t>https://doi.org/10.1016/s1473-3099(18)30052-5</w:t>
        </w:r>
      </w:hyperlink>
      <w:r w:rsidRPr="00346D5E">
        <w:t xml:space="preserve"> </w:t>
      </w:r>
    </w:p>
    <w:p w14:paraId="178FF453" w14:textId="77777777" w:rsidR="00346D5E" w:rsidRPr="00346D5E" w:rsidRDefault="00346D5E" w:rsidP="00346D5E">
      <w:pPr>
        <w:pStyle w:val="EndNoteBibliography"/>
        <w:spacing w:after="0"/>
        <w:ind w:left="720" w:hanging="720"/>
      </w:pPr>
      <w:r w:rsidRPr="00346D5E">
        <w:t xml:space="preserve">Lancaster GA, D. S., Williamson PR et al,. (2004). Design and analysis of pilot studies: recommendations for good practice. </w:t>
      </w:r>
      <w:r w:rsidRPr="00346D5E">
        <w:rPr>
          <w:i/>
        </w:rPr>
        <w:t xml:space="preserve">Journal of Evaluation in Clinical practice </w:t>
      </w:r>
      <w:r w:rsidRPr="00346D5E">
        <w:t xml:space="preserve">10:307-310. </w:t>
      </w:r>
    </w:p>
    <w:p w14:paraId="0A078909" w14:textId="22540421" w:rsidR="00346D5E" w:rsidRPr="00346D5E" w:rsidRDefault="00346D5E" w:rsidP="00346D5E">
      <w:pPr>
        <w:pStyle w:val="EndNoteBibliography"/>
        <w:spacing w:after="0"/>
        <w:ind w:left="720" w:hanging="720"/>
      </w:pPr>
      <w:r w:rsidRPr="00346D5E">
        <w:t xml:space="preserve">Lande, R. (1996). Statistics and Partitioning of Species Diversity, and Similarity among Multiple Communities. </w:t>
      </w:r>
      <w:r w:rsidRPr="00346D5E">
        <w:rPr>
          <w:i/>
        </w:rPr>
        <w:t>Oikos</w:t>
      </w:r>
      <w:r w:rsidRPr="00346D5E">
        <w:t>,</w:t>
      </w:r>
      <w:r w:rsidRPr="00346D5E">
        <w:rPr>
          <w:i/>
        </w:rPr>
        <w:t xml:space="preserve"> 76</w:t>
      </w:r>
      <w:r w:rsidRPr="00346D5E">
        <w:t xml:space="preserve">(1), 5-13. </w:t>
      </w:r>
      <w:hyperlink r:id="rId196" w:history="1">
        <w:r w:rsidRPr="00346D5E">
          <w:rPr>
            <w:rStyle w:val="Hyperlink"/>
          </w:rPr>
          <w:t>https://doi.org/10.2307/3545743</w:t>
        </w:r>
      </w:hyperlink>
      <w:r w:rsidRPr="00346D5E">
        <w:t xml:space="preserve"> </w:t>
      </w:r>
    </w:p>
    <w:p w14:paraId="04DE0EBE" w14:textId="7EC4BFC7" w:rsidR="00346D5E" w:rsidRPr="00346D5E" w:rsidRDefault="00346D5E" w:rsidP="00346D5E">
      <w:pPr>
        <w:pStyle w:val="EndNoteBibliography"/>
        <w:spacing w:after="0"/>
        <w:ind w:left="720" w:hanging="720"/>
      </w:pPr>
      <w:r w:rsidRPr="00346D5E">
        <w:lastRenderedPageBreak/>
        <w:t xml:space="preserve">Langdon, A., Crook, N., &amp; Dantas, G. (2016). The effects of antibiotics on the microbiome throughout development and alternative approaches for therapeutic modulation. </w:t>
      </w:r>
      <w:r w:rsidRPr="00346D5E">
        <w:rPr>
          <w:i/>
        </w:rPr>
        <w:t>Genome Med</w:t>
      </w:r>
      <w:r w:rsidRPr="00346D5E">
        <w:t>,</w:t>
      </w:r>
      <w:r w:rsidRPr="00346D5E">
        <w:rPr>
          <w:i/>
        </w:rPr>
        <w:t xml:space="preserve"> 8</w:t>
      </w:r>
      <w:r w:rsidRPr="00346D5E">
        <w:t xml:space="preserve">(1), 39. </w:t>
      </w:r>
      <w:hyperlink r:id="rId197" w:history="1">
        <w:r w:rsidRPr="00346D5E">
          <w:rPr>
            <w:rStyle w:val="Hyperlink"/>
          </w:rPr>
          <w:t>https://doi.org/10.1186/s13073-016-0294-z</w:t>
        </w:r>
      </w:hyperlink>
      <w:r w:rsidRPr="00346D5E">
        <w:t xml:space="preserve"> </w:t>
      </w:r>
    </w:p>
    <w:p w14:paraId="3C561728" w14:textId="405EFC2F" w:rsidR="00346D5E" w:rsidRPr="00346D5E" w:rsidRDefault="00346D5E" w:rsidP="00346D5E">
      <w:pPr>
        <w:pStyle w:val="EndNoteBibliography"/>
        <w:spacing w:after="0"/>
        <w:ind w:left="720" w:hanging="720"/>
      </w:pPr>
      <w:r w:rsidRPr="00346D5E">
        <w:t xml:space="preserve">Le Polain de Waroux, O., Flasche, S., Prieto-Merino, D., &amp; Edmunds, W. J. (2014). Age-dependent prevalence of nasopharyngeal carriage of streptococcus pneumoniae before conjugate vaccine introduction: a prediction model based on a meta-analysis. </w:t>
      </w:r>
      <w:r w:rsidRPr="00346D5E">
        <w:rPr>
          <w:i/>
        </w:rPr>
        <w:t>PloS one</w:t>
      </w:r>
      <w:r w:rsidRPr="00346D5E">
        <w:t>,</w:t>
      </w:r>
      <w:r w:rsidRPr="00346D5E">
        <w:rPr>
          <w:i/>
        </w:rPr>
        <w:t xml:space="preserve"> 9</w:t>
      </w:r>
      <w:r w:rsidRPr="00346D5E">
        <w:t xml:space="preserve">(1), e86136. </w:t>
      </w:r>
      <w:hyperlink r:id="rId198" w:history="1">
        <w:r w:rsidRPr="00346D5E">
          <w:rPr>
            <w:rStyle w:val="Hyperlink"/>
          </w:rPr>
          <w:t>https://doi.org/10.1371/journal.pone.0086136</w:t>
        </w:r>
      </w:hyperlink>
      <w:r w:rsidRPr="00346D5E">
        <w:t xml:space="preserve"> </w:t>
      </w:r>
    </w:p>
    <w:p w14:paraId="3A040B51" w14:textId="60160620" w:rsidR="00346D5E" w:rsidRPr="00346D5E" w:rsidRDefault="00346D5E" w:rsidP="00346D5E">
      <w:pPr>
        <w:pStyle w:val="EndNoteBibliography"/>
        <w:spacing w:after="0"/>
        <w:ind w:left="720" w:hanging="720"/>
      </w:pPr>
      <w:r w:rsidRPr="00346D5E">
        <w:t xml:space="preserve">Leclercq, R. (2002). Mechanisms of resistance to macrolides and lincosamides: nature of the resistance elements and their clinical implications. </w:t>
      </w:r>
      <w:r w:rsidRPr="00346D5E">
        <w:rPr>
          <w:i/>
        </w:rPr>
        <w:t>Clin Infect Dis</w:t>
      </w:r>
      <w:r w:rsidRPr="00346D5E">
        <w:t>,</w:t>
      </w:r>
      <w:r w:rsidRPr="00346D5E">
        <w:rPr>
          <w:i/>
        </w:rPr>
        <w:t xml:space="preserve"> 34</w:t>
      </w:r>
      <w:r w:rsidRPr="00346D5E">
        <w:t xml:space="preserve">(4), 482-492. </w:t>
      </w:r>
      <w:hyperlink r:id="rId199" w:history="1">
        <w:r w:rsidRPr="00346D5E">
          <w:rPr>
            <w:rStyle w:val="Hyperlink"/>
          </w:rPr>
          <w:t>https://doi.org/10.1086/324626</w:t>
        </w:r>
      </w:hyperlink>
      <w:r w:rsidRPr="00346D5E">
        <w:t xml:space="preserve"> </w:t>
      </w:r>
    </w:p>
    <w:p w14:paraId="3C726285" w14:textId="30FFE4EA" w:rsidR="00346D5E" w:rsidRPr="00346D5E" w:rsidRDefault="00346D5E" w:rsidP="00346D5E">
      <w:pPr>
        <w:pStyle w:val="EndNoteBibliography"/>
        <w:spacing w:after="0"/>
        <w:ind w:left="720" w:hanging="720"/>
      </w:pPr>
      <w:r w:rsidRPr="00346D5E">
        <w:t xml:space="preserve">Leonardi, G. S., Houthuijs, D., Nikiforov, B., Volf, J., et al. (2002). Respiratory symptoms, bronchitis and asthma in children of Central and Eastern Europe. </w:t>
      </w:r>
      <w:r w:rsidRPr="00346D5E">
        <w:rPr>
          <w:i/>
        </w:rPr>
        <w:t>European Respiratory Journal</w:t>
      </w:r>
      <w:r w:rsidRPr="00346D5E">
        <w:t>,</w:t>
      </w:r>
      <w:r w:rsidRPr="00346D5E">
        <w:rPr>
          <w:i/>
        </w:rPr>
        <w:t xml:space="preserve"> 20</w:t>
      </w:r>
      <w:r w:rsidRPr="00346D5E">
        <w:t xml:space="preserve">(4), 890-898. </w:t>
      </w:r>
      <w:hyperlink r:id="rId200" w:history="1">
        <w:r w:rsidRPr="00346D5E">
          <w:rPr>
            <w:rStyle w:val="Hyperlink"/>
          </w:rPr>
          <w:t>https://doi.org/10.1183/09031936.02.00260802</w:t>
        </w:r>
      </w:hyperlink>
      <w:r w:rsidRPr="00346D5E">
        <w:t xml:space="preserve"> </w:t>
      </w:r>
    </w:p>
    <w:p w14:paraId="198F127D" w14:textId="1A487C79" w:rsidR="00346D5E" w:rsidRPr="00346D5E" w:rsidRDefault="00346D5E" w:rsidP="00346D5E">
      <w:pPr>
        <w:pStyle w:val="EndNoteBibliography"/>
        <w:spacing w:after="0"/>
        <w:ind w:left="720" w:hanging="720"/>
      </w:pPr>
      <w:r w:rsidRPr="00346D5E">
        <w:t xml:space="preserve">Levine, A., Kori, M., Kierkus, J., Sigall Boneh, R., et al. (2019). Azithromycin and metronidazole versus metronidazole-based therapy for the induction of remission in mild to moderate paediatric Crohn’s disease : a randomised controlled trial. </w:t>
      </w:r>
      <w:r w:rsidRPr="00346D5E">
        <w:rPr>
          <w:i/>
        </w:rPr>
        <w:t>Gut</w:t>
      </w:r>
      <w:r w:rsidRPr="00346D5E">
        <w:t>,</w:t>
      </w:r>
      <w:r w:rsidRPr="00346D5E">
        <w:rPr>
          <w:i/>
        </w:rPr>
        <w:t xml:space="preserve"> 68</w:t>
      </w:r>
      <w:r w:rsidRPr="00346D5E">
        <w:t xml:space="preserve">(2), 239. </w:t>
      </w:r>
      <w:hyperlink r:id="rId201" w:history="1">
        <w:r w:rsidRPr="00346D5E">
          <w:rPr>
            <w:rStyle w:val="Hyperlink"/>
          </w:rPr>
          <w:t>https://doi.org/10.1136/gutjnl-2017-315199</w:t>
        </w:r>
      </w:hyperlink>
      <w:r w:rsidRPr="00346D5E">
        <w:t xml:space="preserve"> </w:t>
      </w:r>
    </w:p>
    <w:p w14:paraId="7EDA0E13" w14:textId="319EDDAB" w:rsidR="00346D5E" w:rsidRPr="00346D5E" w:rsidRDefault="00346D5E" w:rsidP="00346D5E">
      <w:pPr>
        <w:pStyle w:val="EndNoteBibliography"/>
        <w:spacing w:after="0"/>
        <w:ind w:left="720" w:hanging="720"/>
      </w:pPr>
      <w:r w:rsidRPr="00346D5E">
        <w:t xml:space="preserve">Levy, M., Kolodziejczyk, A. A., Thaiss, C. A., &amp; Elinav, E. (2017). Dysbiosis and the immune system. </w:t>
      </w:r>
      <w:r w:rsidRPr="00346D5E">
        <w:rPr>
          <w:i/>
        </w:rPr>
        <w:t>Nature Reviews Immunology</w:t>
      </w:r>
      <w:r w:rsidRPr="00346D5E">
        <w:t>,</w:t>
      </w:r>
      <w:r w:rsidRPr="00346D5E">
        <w:rPr>
          <w:i/>
        </w:rPr>
        <w:t xml:space="preserve"> 17</w:t>
      </w:r>
      <w:r w:rsidRPr="00346D5E">
        <w:t xml:space="preserve">(4), 219-232. </w:t>
      </w:r>
      <w:hyperlink r:id="rId202" w:history="1">
        <w:r w:rsidRPr="00346D5E">
          <w:rPr>
            <w:rStyle w:val="Hyperlink"/>
          </w:rPr>
          <w:t>https://doi.org/10.1038/nri.2017.7</w:t>
        </w:r>
      </w:hyperlink>
      <w:r w:rsidRPr="00346D5E">
        <w:t xml:space="preserve"> </w:t>
      </w:r>
    </w:p>
    <w:p w14:paraId="43BD929B" w14:textId="307B6440" w:rsidR="00346D5E" w:rsidRPr="00346D5E" w:rsidRDefault="00346D5E" w:rsidP="00346D5E">
      <w:pPr>
        <w:pStyle w:val="EndNoteBibliography"/>
        <w:spacing w:after="0"/>
        <w:ind w:left="720" w:hanging="720"/>
      </w:pPr>
      <w:r w:rsidRPr="00346D5E">
        <w:t xml:space="preserve">Li, H., Liu, D.-H., Chen, L.-L., Zhao, Q., et al. (2014). Meta-analysis of the adverse effects of long-term azithromycin use in patients with chronic lung diseases. </w:t>
      </w:r>
      <w:r w:rsidRPr="00346D5E">
        <w:rPr>
          <w:i/>
        </w:rPr>
        <w:t>Antimicrobial Agents and Chemotherapy</w:t>
      </w:r>
      <w:r w:rsidRPr="00346D5E">
        <w:t>,</w:t>
      </w:r>
      <w:r w:rsidRPr="00346D5E">
        <w:rPr>
          <w:i/>
        </w:rPr>
        <w:t xml:space="preserve"> 58</w:t>
      </w:r>
      <w:r w:rsidRPr="00346D5E">
        <w:t xml:space="preserve">(1), 511-517. </w:t>
      </w:r>
      <w:hyperlink r:id="rId203" w:history="1">
        <w:r w:rsidRPr="00346D5E">
          <w:rPr>
            <w:rStyle w:val="Hyperlink"/>
          </w:rPr>
          <w:t>https://doi.org/10.1128/AAC.02067-13</w:t>
        </w:r>
      </w:hyperlink>
      <w:r w:rsidRPr="00346D5E">
        <w:t xml:space="preserve"> </w:t>
      </w:r>
    </w:p>
    <w:p w14:paraId="45023FAF" w14:textId="1A07165C" w:rsidR="00346D5E" w:rsidRPr="00346D5E" w:rsidRDefault="00346D5E" w:rsidP="00346D5E">
      <w:pPr>
        <w:pStyle w:val="EndNoteBibliography"/>
        <w:spacing w:after="0"/>
        <w:ind w:left="720" w:hanging="720"/>
      </w:pPr>
      <w:r w:rsidRPr="00346D5E">
        <w:t xml:space="preserve">Lin, H., &amp; Peddada, S. D. (2020). Analysis of microbial compositions: a review of normalization and differential abundance analysis. </w:t>
      </w:r>
      <w:r w:rsidRPr="00346D5E">
        <w:rPr>
          <w:i/>
        </w:rPr>
        <w:t>npj Biofilms and Microbiomes</w:t>
      </w:r>
      <w:r w:rsidRPr="00346D5E">
        <w:t>,</w:t>
      </w:r>
      <w:r w:rsidRPr="00346D5E">
        <w:rPr>
          <w:i/>
        </w:rPr>
        <w:t xml:space="preserve"> 6</w:t>
      </w:r>
      <w:r w:rsidRPr="00346D5E">
        <w:t xml:space="preserve">(1), 60. </w:t>
      </w:r>
      <w:hyperlink r:id="rId204" w:history="1">
        <w:r w:rsidRPr="00346D5E">
          <w:rPr>
            <w:rStyle w:val="Hyperlink"/>
          </w:rPr>
          <w:t>https://doi.org/10.1038/s41522-020-00160-w</w:t>
        </w:r>
      </w:hyperlink>
      <w:r w:rsidRPr="00346D5E">
        <w:t xml:space="preserve"> </w:t>
      </w:r>
    </w:p>
    <w:p w14:paraId="08073FE9" w14:textId="7E9AE41C" w:rsidR="00346D5E" w:rsidRPr="00346D5E" w:rsidRDefault="00346D5E" w:rsidP="00346D5E">
      <w:pPr>
        <w:pStyle w:val="EndNoteBibliography"/>
        <w:spacing w:after="0"/>
        <w:ind w:left="720" w:hanging="720"/>
      </w:pPr>
      <w:r w:rsidRPr="00346D5E">
        <w:t xml:space="preserve">Little, P., Francis, N. A., Stuart, B., O'Reilly, G., et al. (2021). Antibiotics for lower respiratory tract infection in children presenting in primary care in England (ARTIC PC): a double-blind, randomised, placebo-controlled trial. </w:t>
      </w:r>
      <w:r w:rsidRPr="00346D5E">
        <w:rPr>
          <w:i/>
        </w:rPr>
        <w:t>Lancet</w:t>
      </w:r>
      <w:r w:rsidRPr="00346D5E">
        <w:t>,</w:t>
      </w:r>
      <w:r w:rsidRPr="00346D5E">
        <w:rPr>
          <w:i/>
        </w:rPr>
        <w:t xml:space="preserve"> 398</w:t>
      </w:r>
      <w:r w:rsidRPr="00346D5E">
        <w:t xml:space="preserve">(10309), 1417-1426. </w:t>
      </w:r>
      <w:hyperlink r:id="rId205" w:history="1">
        <w:r w:rsidRPr="00346D5E">
          <w:rPr>
            <w:rStyle w:val="Hyperlink"/>
          </w:rPr>
          <w:t>https://doi.org/10.1016/s0140-6736(21)01431-8</w:t>
        </w:r>
      </w:hyperlink>
      <w:r w:rsidRPr="00346D5E">
        <w:t xml:space="preserve"> </w:t>
      </w:r>
    </w:p>
    <w:p w14:paraId="41C6F794" w14:textId="0202AD69" w:rsidR="00346D5E" w:rsidRPr="00346D5E" w:rsidRDefault="00346D5E" w:rsidP="00346D5E">
      <w:pPr>
        <w:pStyle w:val="EndNoteBibliography"/>
        <w:spacing w:after="0"/>
        <w:ind w:left="720" w:hanging="720"/>
      </w:pPr>
      <w:r w:rsidRPr="00346D5E">
        <w:t xml:space="preserve">Lloyd-Price, J., Arze, C., Ananthakrishnan, A. N., Schirmer, M., et al. (2019). Multi-omics of the gut microbial ecosystem in inflammatory bowel diseases. </w:t>
      </w:r>
      <w:r w:rsidRPr="00346D5E">
        <w:rPr>
          <w:i/>
        </w:rPr>
        <w:t>Nature</w:t>
      </w:r>
      <w:r w:rsidRPr="00346D5E">
        <w:t>,</w:t>
      </w:r>
      <w:r w:rsidRPr="00346D5E">
        <w:rPr>
          <w:i/>
        </w:rPr>
        <w:t xml:space="preserve"> 569</w:t>
      </w:r>
      <w:r w:rsidRPr="00346D5E">
        <w:t xml:space="preserve">(7758), 655-662. </w:t>
      </w:r>
      <w:hyperlink r:id="rId206" w:history="1">
        <w:r w:rsidRPr="00346D5E">
          <w:rPr>
            <w:rStyle w:val="Hyperlink"/>
          </w:rPr>
          <w:t>https://doi.org/10.1038/s41586-019-1237-9</w:t>
        </w:r>
      </w:hyperlink>
      <w:r w:rsidRPr="00346D5E">
        <w:t xml:space="preserve"> </w:t>
      </w:r>
    </w:p>
    <w:p w14:paraId="30A6A253" w14:textId="7060B626" w:rsidR="00346D5E" w:rsidRPr="00346D5E" w:rsidRDefault="00346D5E" w:rsidP="00346D5E">
      <w:pPr>
        <w:pStyle w:val="EndNoteBibliography"/>
        <w:spacing w:after="0"/>
        <w:ind w:left="720" w:hanging="720"/>
      </w:pPr>
      <w:r w:rsidRPr="00346D5E">
        <w:t xml:space="preserve">Lockhart, S. R., Ghannoum, M. A., &amp; Alexander, B. D. (2017). Establishment and Use of Epidemiological Cutoff Values for Molds and Yeasts by Use of the Clinical and Laboratory Standards Institute M57 Standard. </w:t>
      </w:r>
      <w:r w:rsidRPr="00346D5E">
        <w:rPr>
          <w:i/>
        </w:rPr>
        <w:t>Journal of Clinical Microbiology</w:t>
      </w:r>
      <w:r w:rsidRPr="00346D5E">
        <w:t>,</w:t>
      </w:r>
      <w:r w:rsidRPr="00346D5E">
        <w:rPr>
          <w:i/>
        </w:rPr>
        <w:t xml:space="preserve"> 55</w:t>
      </w:r>
      <w:r w:rsidRPr="00346D5E">
        <w:t xml:space="preserve">(5), 1262-1268. </w:t>
      </w:r>
      <w:hyperlink r:id="rId207" w:history="1">
        <w:r w:rsidRPr="00346D5E">
          <w:rPr>
            <w:rStyle w:val="Hyperlink"/>
          </w:rPr>
          <w:t>https://doi.org/10.1128/JCM.02416-16</w:t>
        </w:r>
      </w:hyperlink>
      <w:r w:rsidRPr="00346D5E">
        <w:t xml:space="preserve"> </w:t>
      </w:r>
    </w:p>
    <w:p w14:paraId="264AE7E7" w14:textId="5BB8F8AD" w:rsidR="00346D5E" w:rsidRPr="00346D5E" w:rsidRDefault="00346D5E" w:rsidP="00346D5E">
      <w:pPr>
        <w:pStyle w:val="EndNoteBibliography"/>
        <w:spacing w:after="0"/>
        <w:ind w:left="720" w:hanging="720"/>
      </w:pPr>
      <w:r w:rsidRPr="00346D5E">
        <w:t xml:space="preserve">Loebinger, M. R., Wells, A. U., Hansell, D. M., Chinyanganya, N., et al. (2009). Mortality in bronchiectasis: a long-term study assessing the factors influencing survival. </w:t>
      </w:r>
      <w:r w:rsidRPr="00346D5E">
        <w:rPr>
          <w:i/>
        </w:rPr>
        <w:t>European Respiratory Journal</w:t>
      </w:r>
      <w:r w:rsidRPr="00346D5E">
        <w:t>,</w:t>
      </w:r>
      <w:r w:rsidRPr="00346D5E">
        <w:rPr>
          <w:i/>
        </w:rPr>
        <w:t xml:space="preserve"> 34</w:t>
      </w:r>
      <w:r w:rsidRPr="00346D5E">
        <w:t xml:space="preserve">(4), 843-849. </w:t>
      </w:r>
      <w:hyperlink r:id="rId208" w:history="1">
        <w:r w:rsidRPr="00346D5E">
          <w:rPr>
            <w:rStyle w:val="Hyperlink"/>
          </w:rPr>
          <w:t>https://doi.org/10.1183/09031936.00003709</w:t>
        </w:r>
      </w:hyperlink>
      <w:r w:rsidRPr="00346D5E">
        <w:t xml:space="preserve"> </w:t>
      </w:r>
    </w:p>
    <w:p w14:paraId="6F00491B" w14:textId="77777777" w:rsidR="00346D5E" w:rsidRPr="00346D5E" w:rsidRDefault="00346D5E" w:rsidP="00346D5E">
      <w:pPr>
        <w:pStyle w:val="EndNoteBibliography"/>
        <w:spacing w:after="0"/>
        <w:ind w:left="720" w:hanging="720"/>
      </w:pPr>
      <w:r w:rsidRPr="00346D5E">
        <w:t xml:space="preserve">MA, H. (2008). Considerations in determining sample size for pilot studies. </w:t>
      </w:r>
      <w:r w:rsidRPr="00346D5E">
        <w:rPr>
          <w:i/>
        </w:rPr>
        <w:t>Research in Nursing and Health</w:t>
      </w:r>
      <w:r w:rsidRPr="00346D5E">
        <w:t xml:space="preserve">, 31:180-191. </w:t>
      </w:r>
    </w:p>
    <w:p w14:paraId="48989AB4" w14:textId="77777777" w:rsidR="00346D5E" w:rsidRPr="00346D5E" w:rsidRDefault="00346D5E" w:rsidP="00346D5E">
      <w:pPr>
        <w:pStyle w:val="EndNoteBibliography"/>
        <w:spacing w:after="0"/>
        <w:ind w:left="720" w:hanging="720"/>
      </w:pPr>
      <w:r w:rsidRPr="00346D5E">
        <w:t xml:space="preserve">Mack N, W. C., MacQueen KM, Guest G and Namey E. (2005). Qualitative Research Methods: A data collector's field guide. </w:t>
      </w:r>
    </w:p>
    <w:p w14:paraId="38DCC8A3" w14:textId="0F919CCA" w:rsidR="00346D5E" w:rsidRPr="00346D5E" w:rsidRDefault="00346D5E" w:rsidP="00346D5E">
      <w:pPr>
        <w:pStyle w:val="EndNoteBibliography"/>
        <w:spacing w:after="0"/>
        <w:ind w:left="720" w:hanging="720"/>
      </w:pPr>
      <w:r w:rsidRPr="00346D5E">
        <w:t xml:space="preserve">Malhotra-Kumar, S., Lammens, C., Coenen, S., Van Herck, K., et al. (2007). Effect of azithromycin and clarithromycin therapy on pharyngeal carriage of macrolide-resistant streptococci in healthy volunteers: a randomised, double-blind, placebo-controlled study. </w:t>
      </w:r>
      <w:r w:rsidRPr="00346D5E">
        <w:rPr>
          <w:i/>
        </w:rPr>
        <w:t>Lancet</w:t>
      </w:r>
      <w:r w:rsidRPr="00346D5E">
        <w:t>,</w:t>
      </w:r>
      <w:r w:rsidRPr="00346D5E">
        <w:rPr>
          <w:i/>
        </w:rPr>
        <w:t xml:space="preserve"> 369</w:t>
      </w:r>
      <w:r w:rsidRPr="00346D5E">
        <w:t xml:space="preserve">(9560), 482-490. </w:t>
      </w:r>
      <w:hyperlink r:id="rId209" w:history="1">
        <w:r w:rsidRPr="00346D5E">
          <w:rPr>
            <w:rStyle w:val="Hyperlink"/>
          </w:rPr>
          <w:t>https://doi.org/10.1016/s0140-6736(07)60235-9</w:t>
        </w:r>
      </w:hyperlink>
      <w:r w:rsidRPr="00346D5E">
        <w:t xml:space="preserve"> </w:t>
      </w:r>
    </w:p>
    <w:p w14:paraId="49B8F8E7" w14:textId="7E616BA7" w:rsidR="00346D5E" w:rsidRPr="00346D5E" w:rsidRDefault="00346D5E" w:rsidP="00346D5E">
      <w:pPr>
        <w:pStyle w:val="EndNoteBibliography"/>
        <w:spacing w:after="0"/>
        <w:ind w:left="720" w:hanging="720"/>
      </w:pPr>
      <w:r w:rsidRPr="00346D5E">
        <w:lastRenderedPageBreak/>
        <w:t xml:space="preserve">Man, W. H., de Steenhuijsen Piters, W. A., &amp; Bogaert, D. (2017). The microbiota of the respiratory tract: gatekeeper to respiratory health. </w:t>
      </w:r>
      <w:r w:rsidRPr="00346D5E">
        <w:rPr>
          <w:i/>
        </w:rPr>
        <w:t>Nat Rev Microbiol</w:t>
      </w:r>
      <w:r w:rsidRPr="00346D5E">
        <w:t>,</w:t>
      </w:r>
      <w:r w:rsidRPr="00346D5E">
        <w:rPr>
          <w:i/>
        </w:rPr>
        <w:t xml:space="preserve"> 15</w:t>
      </w:r>
      <w:r w:rsidRPr="00346D5E">
        <w:t xml:space="preserve">(5), 259-270. </w:t>
      </w:r>
      <w:hyperlink r:id="rId210" w:history="1">
        <w:r w:rsidRPr="00346D5E">
          <w:rPr>
            <w:rStyle w:val="Hyperlink"/>
          </w:rPr>
          <w:t>https://doi.org/10.1038/nrmicro.2017.14</w:t>
        </w:r>
      </w:hyperlink>
      <w:r w:rsidRPr="00346D5E">
        <w:t xml:space="preserve"> </w:t>
      </w:r>
    </w:p>
    <w:p w14:paraId="2C22572B" w14:textId="7B7A80D9" w:rsidR="00346D5E" w:rsidRPr="00346D5E" w:rsidRDefault="00346D5E" w:rsidP="00346D5E">
      <w:pPr>
        <w:pStyle w:val="EndNoteBibliography"/>
        <w:spacing w:after="0"/>
        <w:ind w:left="720" w:hanging="720"/>
      </w:pPr>
      <w:r w:rsidRPr="00346D5E">
        <w:t xml:space="preserve">Man, W. H., van Houten, M. A., Merelle, M. E., Vlieger, A. M., et al. (2019). Bacterial and viral respiratory tract microbiota and host characteristics in children with lower respiratory tract infections: a matched case-control study. </w:t>
      </w:r>
      <w:r w:rsidRPr="00346D5E">
        <w:rPr>
          <w:i/>
        </w:rPr>
        <w:t>Lancet Respir Med</w:t>
      </w:r>
      <w:r w:rsidRPr="00346D5E">
        <w:t>,</w:t>
      </w:r>
      <w:r w:rsidRPr="00346D5E">
        <w:rPr>
          <w:i/>
        </w:rPr>
        <w:t xml:space="preserve"> 7</w:t>
      </w:r>
      <w:r w:rsidRPr="00346D5E">
        <w:t xml:space="preserve">(5), 417-426. </w:t>
      </w:r>
      <w:hyperlink r:id="rId211" w:history="1">
        <w:r w:rsidRPr="00346D5E">
          <w:rPr>
            <w:rStyle w:val="Hyperlink"/>
          </w:rPr>
          <w:t>https://doi.org/10.1016/s2213-2600(18)30449-1</w:t>
        </w:r>
      </w:hyperlink>
      <w:r w:rsidRPr="00346D5E">
        <w:t xml:space="preserve"> </w:t>
      </w:r>
    </w:p>
    <w:p w14:paraId="338EC6ED" w14:textId="23A1B948" w:rsidR="00346D5E" w:rsidRPr="00346D5E" w:rsidRDefault="00346D5E" w:rsidP="00346D5E">
      <w:pPr>
        <w:pStyle w:val="EndNoteBibliography"/>
        <w:spacing w:after="0"/>
        <w:ind w:left="720" w:hanging="720"/>
      </w:pPr>
      <w:r w:rsidRPr="00346D5E">
        <w:t xml:space="preserve">Marchant, J. M., Masters, I. B., Taylor, S. M., Cox, N. C., et al. (2006). Evaluation and outcome of young children with chronic cough. </w:t>
      </w:r>
      <w:r w:rsidRPr="00346D5E">
        <w:rPr>
          <w:i/>
        </w:rPr>
        <w:t>Chest</w:t>
      </w:r>
      <w:r w:rsidRPr="00346D5E">
        <w:t>,</w:t>
      </w:r>
      <w:r w:rsidRPr="00346D5E">
        <w:rPr>
          <w:i/>
        </w:rPr>
        <w:t xml:space="preserve"> 129</w:t>
      </w:r>
      <w:r w:rsidRPr="00346D5E">
        <w:t xml:space="preserve">(5), 1132-1141. </w:t>
      </w:r>
      <w:hyperlink r:id="rId212" w:history="1">
        <w:r w:rsidRPr="00346D5E">
          <w:rPr>
            <w:rStyle w:val="Hyperlink"/>
          </w:rPr>
          <w:t>https://doi.org/10.1378/chest.129.5.1132</w:t>
        </w:r>
      </w:hyperlink>
      <w:r w:rsidRPr="00346D5E">
        <w:t xml:space="preserve"> </w:t>
      </w:r>
    </w:p>
    <w:p w14:paraId="23F12227" w14:textId="0D3AE681" w:rsidR="00346D5E" w:rsidRPr="00346D5E" w:rsidRDefault="00346D5E" w:rsidP="00346D5E">
      <w:pPr>
        <w:pStyle w:val="EndNoteBibliography"/>
        <w:spacing w:after="0"/>
        <w:ind w:left="720" w:hanging="720"/>
      </w:pPr>
      <w:r w:rsidRPr="00346D5E">
        <w:t xml:space="preserve">Marchant, J. M., Newcombe, P. A., Juniper, E. F., Sheffield, J. K., et al. (2008). What is the burden of chronic cough for families? </w:t>
      </w:r>
      <w:r w:rsidRPr="00346D5E">
        <w:rPr>
          <w:i/>
        </w:rPr>
        <w:t>Chest</w:t>
      </w:r>
      <w:r w:rsidRPr="00346D5E">
        <w:t>,</w:t>
      </w:r>
      <w:r w:rsidRPr="00346D5E">
        <w:rPr>
          <w:i/>
        </w:rPr>
        <w:t xml:space="preserve"> 134</w:t>
      </w:r>
      <w:r w:rsidRPr="00346D5E">
        <w:t xml:space="preserve">(2), 303-309. </w:t>
      </w:r>
      <w:hyperlink r:id="rId213" w:history="1">
        <w:r w:rsidRPr="00346D5E">
          <w:rPr>
            <w:rStyle w:val="Hyperlink"/>
          </w:rPr>
          <w:t>https://doi.org/10.1378/chest.07-2236</w:t>
        </w:r>
      </w:hyperlink>
      <w:r w:rsidRPr="00346D5E">
        <w:t xml:space="preserve"> </w:t>
      </w:r>
    </w:p>
    <w:p w14:paraId="4B1CFCB0" w14:textId="79226B56" w:rsidR="00346D5E" w:rsidRPr="00346D5E" w:rsidRDefault="00346D5E" w:rsidP="00346D5E">
      <w:pPr>
        <w:pStyle w:val="EndNoteBibliography"/>
        <w:spacing w:after="0"/>
        <w:ind w:left="720" w:hanging="720"/>
      </w:pPr>
      <w:r w:rsidRPr="00346D5E">
        <w:t xml:space="preserve">Marsh, R. L., Kaestli, M., Chang, A. B., Binks, M. J., et al. (2016). The microbiota in bronchoalveolar lavage from young children with chronic lung disease includes taxa present in both the oropharynx and nasopharynx. </w:t>
      </w:r>
      <w:r w:rsidRPr="00346D5E">
        <w:rPr>
          <w:i/>
        </w:rPr>
        <w:t>Microbiome</w:t>
      </w:r>
      <w:r w:rsidRPr="00346D5E">
        <w:t>,</w:t>
      </w:r>
      <w:r w:rsidRPr="00346D5E">
        <w:rPr>
          <w:i/>
        </w:rPr>
        <w:t xml:space="preserve"> 4</w:t>
      </w:r>
      <w:r w:rsidRPr="00346D5E">
        <w:t xml:space="preserve">(1), 37. </w:t>
      </w:r>
      <w:hyperlink r:id="rId214" w:history="1">
        <w:r w:rsidRPr="00346D5E">
          <w:rPr>
            <w:rStyle w:val="Hyperlink"/>
          </w:rPr>
          <w:t>https://doi.org/10.1186/s40168-016-0182-1</w:t>
        </w:r>
      </w:hyperlink>
      <w:r w:rsidRPr="00346D5E">
        <w:t xml:space="preserve"> </w:t>
      </w:r>
    </w:p>
    <w:p w14:paraId="76128CC2" w14:textId="5382C560" w:rsidR="00346D5E" w:rsidRPr="00346D5E" w:rsidRDefault="00346D5E" w:rsidP="00346D5E">
      <w:pPr>
        <w:pStyle w:val="EndNoteBibliography"/>
        <w:spacing w:after="0"/>
        <w:ind w:left="720" w:hanging="720"/>
      </w:pPr>
      <w:r w:rsidRPr="00346D5E">
        <w:t xml:space="preserve">Marsh, R. L., Smith-Vaughan, H. C., Chen, A. C. H., Marchant, J. M., et al. (2019). Multiple Respiratory Microbiota Profiles Are Associated With Lower Airway Inflammation in Children With Protracted Bacterial Bronchitis. </w:t>
      </w:r>
      <w:r w:rsidRPr="00346D5E">
        <w:rPr>
          <w:i/>
        </w:rPr>
        <w:t>Chest</w:t>
      </w:r>
      <w:r w:rsidRPr="00346D5E">
        <w:t>,</w:t>
      </w:r>
      <w:r w:rsidRPr="00346D5E">
        <w:rPr>
          <w:i/>
        </w:rPr>
        <w:t xml:space="preserve"> 155</w:t>
      </w:r>
      <w:r w:rsidRPr="00346D5E">
        <w:t xml:space="preserve">(4), 778-786. </w:t>
      </w:r>
      <w:hyperlink r:id="rId215" w:history="1">
        <w:r w:rsidRPr="00346D5E">
          <w:rPr>
            <w:rStyle w:val="Hyperlink"/>
          </w:rPr>
          <w:t>https://doi.org/10.1016/j.chest.2019.01.002</w:t>
        </w:r>
      </w:hyperlink>
      <w:r w:rsidRPr="00346D5E">
        <w:t xml:space="preserve"> </w:t>
      </w:r>
    </w:p>
    <w:p w14:paraId="2BF62683" w14:textId="6CF748FA" w:rsidR="00346D5E" w:rsidRPr="00346D5E" w:rsidRDefault="00346D5E" w:rsidP="00346D5E">
      <w:pPr>
        <w:pStyle w:val="EndNoteBibliography"/>
        <w:spacing w:after="0"/>
        <w:ind w:left="720" w:hanging="720"/>
      </w:pPr>
      <w:r w:rsidRPr="00346D5E">
        <w:t xml:space="preserve">Martin, M. J., Lee, H., Clayton, C., Pointon, K., et al. (2019). Idiopathic chronic productive cough and response to open-label macrolide therapy: An observational study. </w:t>
      </w:r>
      <w:r w:rsidRPr="00346D5E">
        <w:rPr>
          <w:i/>
        </w:rPr>
        <w:t>Respirology</w:t>
      </w:r>
      <w:r w:rsidRPr="00346D5E">
        <w:t>,</w:t>
      </w:r>
      <w:r w:rsidRPr="00346D5E">
        <w:rPr>
          <w:i/>
        </w:rPr>
        <w:t xml:space="preserve"> 24</w:t>
      </w:r>
      <w:r w:rsidRPr="00346D5E">
        <w:t xml:space="preserve">(6), 558-565. </w:t>
      </w:r>
      <w:hyperlink r:id="rId216" w:history="1">
        <w:r w:rsidRPr="00346D5E">
          <w:rPr>
            <w:rStyle w:val="Hyperlink"/>
          </w:rPr>
          <w:t>https://doi.org/10.1111/resp.13483</w:t>
        </w:r>
      </w:hyperlink>
      <w:r w:rsidRPr="00346D5E">
        <w:t xml:space="preserve"> </w:t>
      </w:r>
    </w:p>
    <w:p w14:paraId="199B6EFB" w14:textId="09F998F6" w:rsidR="00346D5E" w:rsidRPr="00346D5E" w:rsidRDefault="00346D5E" w:rsidP="00346D5E">
      <w:pPr>
        <w:pStyle w:val="EndNoteBibliography"/>
        <w:spacing w:after="0"/>
        <w:ind w:left="720" w:hanging="720"/>
      </w:pPr>
      <w:r w:rsidRPr="00346D5E">
        <w:t xml:space="preserve">Masekela, R., Anderson, R., Gongxeka, H., Steel, H., et al. (2013). Lack of Efficacy of an Immunomodulatory Macrolide in Childhood HIV Related Bronchiectasis: A Randomised, Placebo-Controlled Trial. </w:t>
      </w:r>
      <w:r w:rsidRPr="00346D5E">
        <w:rPr>
          <w:i/>
        </w:rPr>
        <w:t>Journal of Antivirals and Antiretrovirals</w:t>
      </w:r>
      <w:r w:rsidRPr="00346D5E">
        <w:t xml:space="preserve">(5), 44-49. </w:t>
      </w:r>
      <w:hyperlink r:id="rId217" w:history="1">
        <w:r w:rsidRPr="00346D5E">
          <w:rPr>
            <w:rStyle w:val="Hyperlink"/>
          </w:rPr>
          <w:t>https://doi.org/DOI:10.4172/jaa.1000062</w:t>
        </w:r>
      </w:hyperlink>
      <w:r w:rsidRPr="00346D5E">
        <w:t xml:space="preserve"> </w:t>
      </w:r>
    </w:p>
    <w:p w14:paraId="2988E75A" w14:textId="4A1A362F" w:rsidR="00346D5E" w:rsidRPr="00346D5E" w:rsidRDefault="00346D5E" w:rsidP="00346D5E">
      <w:pPr>
        <w:pStyle w:val="EndNoteBibliography"/>
        <w:spacing w:after="0"/>
        <w:ind w:left="720" w:hanging="720"/>
      </w:pPr>
      <w:r w:rsidRPr="00346D5E">
        <w:t xml:space="preserve">Massip, C., Descours, G., Ginevra, C., Doublet, P., et al. (2017). Macrolide resistance in Legionella pneumophila: the role of LpeAB efflux pump. </w:t>
      </w:r>
      <w:r w:rsidRPr="00346D5E">
        <w:rPr>
          <w:i/>
        </w:rPr>
        <w:t>J Antimicrob Chemother</w:t>
      </w:r>
      <w:r w:rsidRPr="00346D5E">
        <w:t>,</w:t>
      </w:r>
      <w:r w:rsidRPr="00346D5E">
        <w:rPr>
          <w:i/>
        </w:rPr>
        <w:t xml:space="preserve"> 72</w:t>
      </w:r>
      <w:r w:rsidRPr="00346D5E">
        <w:t xml:space="preserve">(5), 1327-1333. </w:t>
      </w:r>
      <w:hyperlink r:id="rId218" w:history="1">
        <w:r w:rsidRPr="00346D5E">
          <w:rPr>
            <w:rStyle w:val="Hyperlink"/>
          </w:rPr>
          <w:t>https://doi.org/10.1093/jac/dkw594</w:t>
        </w:r>
      </w:hyperlink>
      <w:r w:rsidRPr="00346D5E">
        <w:t xml:space="preserve"> </w:t>
      </w:r>
    </w:p>
    <w:p w14:paraId="69FA76BC" w14:textId="08270698" w:rsidR="00346D5E" w:rsidRPr="00346D5E" w:rsidRDefault="00346D5E" w:rsidP="00346D5E">
      <w:pPr>
        <w:pStyle w:val="EndNoteBibliography"/>
        <w:spacing w:after="0"/>
        <w:ind w:left="720" w:hanging="720"/>
      </w:pPr>
      <w:r w:rsidRPr="00346D5E">
        <w:t xml:space="preserve">Mayer, E. A., Nance, K., &amp; Chen, S. (2022). The Gut-Brain Axis. </w:t>
      </w:r>
      <w:r w:rsidRPr="00346D5E">
        <w:rPr>
          <w:i/>
        </w:rPr>
        <w:t>Annu Rev Med</w:t>
      </w:r>
      <w:r w:rsidRPr="00346D5E">
        <w:t>,</w:t>
      </w:r>
      <w:r w:rsidRPr="00346D5E">
        <w:rPr>
          <w:i/>
        </w:rPr>
        <w:t xml:space="preserve"> 73</w:t>
      </w:r>
      <w:r w:rsidRPr="00346D5E">
        <w:t xml:space="preserve">, 439-453. </w:t>
      </w:r>
      <w:hyperlink r:id="rId219" w:history="1">
        <w:r w:rsidRPr="00346D5E">
          <w:rPr>
            <w:rStyle w:val="Hyperlink"/>
          </w:rPr>
          <w:t>https://doi.org/10.1146/annurev-med-042320-014032</w:t>
        </w:r>
      </w:hyperlink>
      <w:r w:rsidRPr="00346D5E">
        <w:t xml:space="preserve"> </w:t>
      </w:r>
    </w:p>
    <w:p w14:paraId="4313BFCD" w14:textId="2EB1A692" w:rsidR="00346D5E" w:rsidRPr="00346D5E" w:rsidRDefault="00346D5E" w:rsidP="00346D5E">
      <w:pPr>
        <w:pStyle w:val="EndNoteBibliography"/>
        <w:spacing w:after="0"/>
        <w:ind w:left="720" w:hanging="720"/>
      </w:pPr>
      <w:r w:rsidRPr="00346D5E">
        <w:t xml:space="preserve">McCavit, T. L., Gilbert, M., &amp; Buchanan, G. R. (2013). Prophylactic penicillin after 5 years of age in patients with sickle cell disease: a survey of sickle cell disease experts. </w:t>
      </w:r>
      <w:r w:rsidRPr="00346D5E">
        <w:rPr>
          <w:i/>
        </w:rPr>
        <w:t>Pediatr Blood Cancer</w:t>
      </w:r>
      <w:r w:rsidRPr="00346D5E">
        <w:t>,</w:t>
      </w:r>
      <w:r w:rsidRPr="00346D5E">
        <w:rPr>
          <w:i/>
        </w:rPr>
        <w:t xml:space="preserve"> 60</w:t>
      </w:r>
      <w:r w:rsidRPr="00346D5E">
        <w:t xml:space="preserve">(6), 935-939. </w:t>
      </w:r>
      <w:hyperlink r:id="rId220" w:history="1">
        <w:r w:rsidRPr="00346D5E">
          <w:rPr>
            <w:rStyle w:val="Hyperlink"/>
          </w:rPr>
          <w:t>https://doi.org/10.1002/pbc.24395</w:t>
        </w:r>
      </w:hyperlink>
      <w:r w:rsidRPr="00346D5E">
        <w:t xml:space="preserve"> </w:t>
      </w:r>
    </w:p>
    <w:p w14:paraId="1DA1B9D5" w14:textId="1D31BD11" w:rsidR="00346D5E" w:rsidRPr="00346D5E" w:rsidRDefault="00346D5E" w:rsidP="00346D5E">
      <w:pPr>
        <w:pStyle w:val="EndNoteBibliography"/>
        <w:spacing w:after="0"/>
        <w:ind w:left="720" w:hanging="720"/>
      </w:pPr>
      <w:r w:rsidRPr="00346D5E">
        <w:t xml:space="preserve">McCormack, J., Bell, S., Senini, S., Walmsley, K., et al. (2007). Daily versus weekly azithromycin in cystic fibrosis patients. </w:t>
      </w:r>
      <w:r w:rsidRPr="00346D5E">
        <w:rPr>
          <w:i/>
        </w:rPr>
        <w:t>European Respiratory Journal</w:t>
      </w:r>
      <w:r w:rsidRPr="00346D5E">
        <w:t>,</w:t>
      </w:r>
      <w:r w:rsidRPr="00346D5E">
        <w:rPr>
          <w:i/>
        </w:rPr>
        <w:t xml:space="preserve"> 30</w:t>
      </w:r>
      <w:r w:rsidRPr="00346D5E">
        <w:t xml:space="preserve">(3), 487-495. </w:t>
      </w:r>
      <w:hyperlink r:id="rId221" w:history="1">
        <w:r w:rsidRPr="00346D5E">
          <w:rPr>
            <w:rStyle w:val="Hyperlink"/>
          </w:rPr>
          <w:t>https://doi.org/10.1183/09031936.00163306</w:t>
        </w:r>
      </w:hyperlink>
      <w:r w:rsidRPr="00346D5E">
        <w:t xml:space="preserve"> </w:t>
      </w:r>
    </w:p>
    <w:p w14:paraId="4D34E9E6" w14:textId="590C4DDD" w:rsidR="00346D5E" w:rsidRPr="00346D5E" w:rsidRDefault="00346D5E" w:rsidP="00346D5E">
      <w:pPr>
        <w:pStyle w:val="EndNoteBibliography"/>
        <w:spacing w:after="0"/>
        <w:ind w:left="720" w:hanging="720"/>
      </w:pPr>
      <w:r w:rsidRPr="00346D5E">
        <w:t xml:space="preserve">McGrady, M. E., &amp; Hommel, K. A. (2013). Medication adherence and health care utilization in pediatric chronic illness: a systematic review. </w:t>
      </w:r>
      <w:r w:rsidRPr="00346D5E">
        <w:rPr>
          <w:i/>
        </w:rPr>
        <w:t>Pediatrics</w:t>
      </w:r>
      <w:r w:rsidRPr="00346D5E">
        <w:t>,</w:t>
      </w:r>
      <w:r w:rsidRPr="00346D5E">
        <w:rPr>
          <w:i/>
        </w:rPr>
        <w:t xml:space="preserve"> 132</w:t>
      </w:r>
      <w:r w:rsidRPr="00346D5E">
        <w:t xml:space="preserve">(4), 730-740. </w:t>
      </w:r>
      <w:hyperlink r:id="rId222" w:history="1">
        <w:r w:rsidRPr="00346D5E">
          <w:rPr>
            <w:rStyle w:val="Hyperlink"/>
          </w:rPr>
          <w:t>https://doi.org/10.1542/peds.2013-1451</w:t>
        </w:r>
      </w:hyperlink>
      <w:r w:rsidRPr="00346D5E">
        <w:t xml:space="preserve"> </w:t>
      </w:r>
    </w:p>
    <w:p w14:paraId="07A5C993" w14:textId="03422A27" w:rsidR="00346D5E" w:rsidRPr="00346D5E" w:rsidRDefault="00346D5E" w:rsidP="00346D5E">
      <w:pPr>
        <w:pStyle w:val="EndNoteBibliography"/>
        <w:spacing w:after="0"/>
        <w:ind w:left="720" w:hanging="720"/>
      </w:pPr>
      <w:r w:rsidRPr="00346D5E">
        <w:t xml:space="preserve">McNulty, C. A. M., Collin, S. M., Cooper, E., Lecky, D. M., et al. (2019). Public understanding and use of antibiotics in England: findings from a household survey in 2017. </w:t>
      </w:r>
      <w:r w:rsidRPr="00346D5E">
        <w:rPr>
          <w:i/>
        </w:rPr>
        <w:t>BMJ Open</w:t>
      </w:r>
      <w:r w:rsidRPr="00346D5E">
        <w:t>,</w:t>
      </w:r>
      <w:r w:rsidRPr="00346D5E">
        <w:rPr>
          <w:i/>
        </w:rPr>
        <w:t xml:space="preserve"> 9</w:t>
      </w:r>
      <w:r w:rsidRPr="00346D5E">
        <w:t xml:space="preserve">(10), e030845. </w:t>
      </w:r>
      <w:hyperlink r:id="rId223" w:history="1">
        <w:r w:rsidRPr="00346D5E">
          <w:rPr>
            <w:rStyle w:val="Hyperlink"/>
          </w:rPr>
          <w:t>https://doi.org/10.1136/bmjopen-2019-030845</w:t>
        </w:r>
      </w:hyperlink>
      <w:r w:rsidRPr="00346D5E">
        <w:t xml:space="preserve"> </w:t>
      </w:r>
    </w:p>
    <w:p w14:paraId="3FE4FD57" w14:textId="4BFB318F" w:rsidR="00346D5E" w:rsidRPr="00346D5E" w:rsidRDefault="00346D5E" w:rsidP="00346D5E">
      <w:pPr>
        <w:pStyle w:val="EndNoteBibliography"/>
        <w:spacing w:after="0"/>
        <w:ind w:left="720" w:hanging="720"/>
      </w:pPr>
      <w:r w:rsidRPr="00346D5E">
        <w:t xml:space="preserve">Metaxa, D., Hajnal, A., Giggins, C., &amp; Cattaneo, E. (2019). G508(P) Prophylactic azithromycin dosing regimes in children at risk of lower respiratory tract infections: a literature review and survey in the east of england region. </w:t>
      </w:r>
      <w:r w:rsidRPr="00346D5E">
        <w:rPr>
          <w:i/>
        </w:rPr>
        <w:t>Archives of Disease in Childhood</w:t>
      </w:r>
      <w:r w:rsidRPr="00346D5E">
        <w:t>,</w:t>
      </w:r>
      <w:r w:rsidRPr="00346D5E">
        <w:rPr>
          <w:i/>
        </w:rPr>
        <w:t xml:space="preserve"> 104</w:t>
      </w:r>
      <w:r w:rsidRPr="00346D5E">
        <w:t xml:space="preserve">(Suppl 2), A205-A205. </w:t>
      </w:r>
      <w:hyperlink r:id="rId224" w:history="1">
        <w:r w:rsidRPr="00346D5E">
          <w:rPr>
            <w:rStyle w:val="Hyperlink"/>
          </w:rPr>
          <w:t>https://doi.org/10.1136/archdischild-2019-rcpch.492</w:t>
        </w:r>
      </w:hyperlink>
      <w:r w:rsidRPr="00346D5E">
        <w:t xml:space="preserve"> </w:t>
      </w:r>
    </w:p>
    <w:p w14:paraId="647846EB" w14:textId="1DAEA8C4" w:rsidR="00346D5E" w:rsidRPr="00346D5E" w:rsidRDefault="00346D5E" w:rsidP="00346D5E">
      <w:pPr>
        <w:pStyle w:val="EndNoteBibliography"/>
        <w:spacing w:after="0"/>
        <w:ind w:left="720" w:hanging="720"/>
      </w:pPr>
      <w:r w:rsidRPr="00346D5E">
        <w:t xml:space="preserve">Metzger, M. I., Graeber, S. Y., Stahl, M., Sommerburg, O., et al. (2021). A Volatile and Dynamic Longitudinal Microbiome Is Associated With Less Reduction in Lung Function in Adolescents </w:t>
      </w:r>
      <w:r w:rsidRPr="00346D5E">
        <w:lastRenderedPageBreak/>
        <w:t xml:space="preserve">With Cystic Fibrosis. </w:t>
      </w:r>
      <w:r w:rsidRPr="00346D5E">
        <w:rPr>
          <w:i/>
        </w:rPr>
        <w:t>Frontiers in cellular and infection microbiology</w:t>
      </w:r>
      <w:r w:rsidRPr="00346D5E">
        <w:t>,</w:t>
      </w:r>
      <w:r w:rsidRPr="00346D5E">
        <w:rPr>
          <w:i/>
        </w:rPr>
        <w:t xml:space="preserve"> 11</w:t>
      </w:r>
      <w:r w:rsidRPr="00346D5E">
        <w:t xml:space="preserve">, 763121-763121. </w:t>
      </w:r>
      <w:hyperlink r:id="rId225" w:history="1">
        <w:r w:rsidRPr="00346D5E">
          <w:rPr>
            <w:rStyle w:val="Hyperlink"/>
          </w:rPr>
          <w:t>https://doi.org/10.3389/fcimb.2021.763121</w:t>
        </w:r>
      </w:hyperlink>
      <w:r w:rsidRPr="00346D5E">
        <w:t xml:space="preserve"> </w:t>
      </w:r>
    </w:p>
    <w:p w14:paraId="6C81BC1C" w14:textId="1EC5DA7D" w:rsidR="00346D5E" w:rsidRPr="00346D5E" w:rsidRDefault="00346D5E" w:rsidP="00346D5E">
      <w:pPr>
        <w:pStyle w:val="EndNoteBibliography"/>
        <w:spacing w:after="0"/>
        <w:ind w:left="720" w:hanging="720"/>
      </w:pPr>
      <w:r w:rsidRPr="00346D5E">
        <w:t xml:space="preserve">Milito, C., Pulvirenti, F., Cinetto, F., Lougaris, V., et al. (2019). Double-blind, placebo-controlled, randomized trial on low-dose azithromycin prophylaxis in patients with primary antibody deficiencies. </w:t>
      </w:r>
      <w:r w:rsidRPr="00346D5E">
        <w:rPr>
          <w:i/>
        </w:rPr>
        <w:t>J Allergy Clin Immunol</w:t>
      </w:r>
      <w:r w:rsidRPr="00346D5E">
        <w:t>,</w:t>
      </w:r>
      <w:r w:rsidRPr="00346D5E">
        <w:rPr>
          <w:i/>
        </w:rPr>
        <w:t xml:space="preserve"> 144</w:t>
      </w:r>
      <w:r w:rsidRPr="00346D5E">
        <w:t xml:space="preserve">(2), 584-593.e587. </w:t>
      </w:r>
      <w:hyperlink r:id="rId226" w:history="1">
        <w:r w:rsidRPr="00346D5E">
          <w:rPr>
            <w:rStyle w:val="Hyperlink"/>
          </w:rPr>
          <w:t>https://doi.org/10.1016/j.jaci.2019.01.051</w:t>
        </w:r>
      </w:hyperlink>
      <w:r w:rsidRPr="00346D5E">
        <w:t xml:space="preserve"> </w:t>
      </w:r>
    </w:p>
    <w:p w14:paraId="29CC9F09" w14:textId="5233C031" w:rsidR="00346D5E" w:rsidRPr="00346D5E" w:rsidRDefault="00346D5E" w:rsidP="00346D5E">
      <w:pPr>
        <w:pStyle w:val="EndNoteBibliography"/>
        <w:spacing w:after="0"/>
        <w:ind w:left="720" w:hanging="720"/>
      </w:pPr>
      <w:r w:rsidRPr="00346D5E">
        <w:t xml:space="preserve">Miller, E., Andrews, N. J., Waight, P. A., Slack, M. P., et al. (2011). Herd immunity and serotype replacement 4 years after seven-valent pneumococcal conjugate vaccination in England and Wales: an observational cohort study. </w:t>
      </w:r>
      <w:r w:rsidRPr="00346D5E">
        <w:rPr>
          <w:i/>
        </w:rPr>
        <w:t>Lancet Infect Dis</w:t>
      </w:r>
      <w:r w:rsidRPr="00346D5E">
        <w:t>,</w:t>
      </w:r>
      <w:r w:rsidRPr="00346D5E">
        <w:rPr>
          <w:i/>
        </w:rPr>
        <w:t xml:space="preserve"> 11</w:t>
      </w:r>
      <w:r w:rsidRPr="00346D5E">
        <w:t xml:space="preserve">(10), 760-768. </w:t>
      </w:r>
      <w:hyperlink r:id="rId227" w:history="1">
        <w:r w:rsidRPr="00346D5E">
          <w:rPr>
            <w:rStyle w:val="Hyperlink"/>
          </w:rPr>
          <w:t>https://doi.org/10.1016/s1473-3099(11)70090-1</w:t>
        </w:r>
      </w:hyperlink>
      <w:r w:rsidRPr="00346D5E">
        <w:t xml:space="preserve"> </w:t>
      </w:r>
    </w:p>
    <w:p w14:paraId="54DABD11" w14:textId="66427622" w:rsidR="00346D5E" w:rsidRPr="00346D5E" w:rsidRDefault="00346D5E" w:rsidP="00346D5E">
      <w:pPr>
        <w:pStyle w:val="EndNoteBibliography"/>
        <w:spacing w:after="0"/>
        <w:ind w:left="720" w:hanging="720"/>
      </w:pPr>
      <w:r w:rsidRPr="00346D5E">
        <w:t xml:space="preserve">Morice, A. H., Millqvist, E., Bieksiene, K., Birring, S. S., et al. (2020). ERS guidelines on the diagnosis and treatment of chronic cough in adults and children. </w:t>
      </w:r>
      <w:r w:rsidRPr="00346D5E">
        <w:rPr>
          <w:i/>
        </w:rPr>
        <w:t>European Respiratory Journal</w:t>
      </w:r>
      <w:r w:rsidRPr="00346D5E">
        <w:t>,</w:t>
      </w:r>
      <w:r w:rsidRPr="00346D5E">
        <w:rPr>
          <w:i/>
        </w:rPr>
        <w:t xml:space="preserve"> 55</w:t>
      </w:r>
      <w:r w:rsidRPr="00346D5E">
        <w:t xml:space="preserve">(1), 1901136. </w:t>
      </w:r>
      <w:hyperlink r:id="rId228" w:history="1">
        <w:r w:rsidRPr="00346D5E">
          <w:rPr>
            <w:rStyle w:val="Hyperlink"/>
          </w:rPr>
          <w:t>https://doi.org/10.1183/13993003.01136-2019</w:t>
        </w:r>
      </w:hyperlink>
      <w:r w:rsidRPr="00346D5E">
        <w:t xml:space="preserve"> </w:t>
      </w:r>
    </w:p>
    <w:p w14:paraId="3F392921" w14:textId="7A8EAFF3" w:rsidR="00346D5E" w:rsidRPr="00346D5E" w:rsidRDefault="00346D5E" w:rsidP="00346D5E">
      <w:pPr>
        <w:pStyle w:val="EndNoteBibliography"/>
        <w:ind w:left="720" w:hanging="720"/>
      </w:pPr>
      <w:r w:rsidRPr="00346D5E">
        <w:t xml:space="preserve">Mosleh, M. N., Gharibi, M., Alikhani, M. Y., Saidijam, M., et al. (2014). Antimicrobial susceptibility and analysis of macrolide resistance genes in Streptococcus pneumoniae isolated in Hamadan. </w:t>
      </w:r>
      <w:r w:rsidRPr="00346D5E">
        <w:rPr>
          <w:i/>
        </w:rPr>
        <w:t>Iranian journal of basic medical sciences</w:t>
      </w:r>
      <w:r w:rsidRPr="00346D5E">
        <w:t>,</w:t>
      </w:r>
      <w:r w:rsidRPr="00346D5E">
        <w:rPr>
          <w:i/>
        </w:rPr>
        <w:t xml:space="preserve"> 17</w:t>
      </w:r>
      <w:r w:rsidRPr="00346D5E">
        <w:t xml:space="preserve">(8), 595-599. </w:t>
      </w:r>
      <w:hyperlink r:id="rId229" w:history="1">
        <w:r w:rsidRPr="00346D5E">
          <w:rPr>
            <w:rStyle w:val="Hyperlink"/>
          </w:rPr>
          <w:t>https://pubmed.ncbi.nlm.nih.gov/25422753</w:t>
        </w:r>
      </w:hyperlink>
    </w:p>
    <w:p w14:paraId="494A1CBC" w14:textId="55533F4B" w:rsidR="00346D5E" w:rsidRPr="00346D5E" w:rsidRDefault="00346D5E" w:rsidP="00346D5E">
      <w:pPr>
        <w:pStyle w:val="EndNoteBibliography"/>
        <w:spacing w:after="0"/>
        <w:ind w:left="720" w:hanging="720"/>
      </w:pPr>
      <w:r w:rsidRPr="00346D5E">
        <w:t xml:space="preserve">Munita, J. M., &amp; Arias, C. A. (2016). Mechanisms of Antibiotic Resistance. </w:t>
      </w:r>
      <w:r w:rsidRPr="00346D5E">
        <w:rPr>
          <w:i/>
        </w:rPr>
        <w:t>Microbiol Spectr</w:t>
      </w:r>
      <w:r w:rsidRPr="00346D5E">
        <w:t>,</w:t>
      </w:r>
      <w:r w:rsidRPr="00346D5E">
        <w:rPr>
          <w:i/>
        </w:rPr>
        <w:t xml:space="preserve"> 4</w:t>
      </w:r>
      <w:r w:rsidRPr="00346D5E">
        <w:t xml:space="preserve">(2). </w:t>
      </w:r>
      <w:hyperlink r:id="rId230" w:history="1">
        <w:r w:rsidRPr="00346D5E">
          <w:rPr>
            <w:rStyle w:val="Hyperlink"/>
          </w:rPr>
          <w:t>https://doi.org/10.1128/microbiolspec.VMBF-0016-2015</w:t>
        </w:r>
      </w:hyperlink>
      <w:r w:rsidRPr="00346D5E">
        <w:t xml:space="preserve"> </w:t>
      </w:r>
    </w:p>
    <w:p w14:paraId="2F3EE30A" w14:textId="30BBD81E" w:rsidR="00346D5E" w:rsidRPr="00346D5E" w:rsidRDefault="00346D5E" w:rsidP="00346D5E">
      <w:pPr>
        <w:pStyle w:val="EndNoteBibliography"/>
        <w:spacing w:after="0"/>
        <w:ind w:left="720" w:hanging="720"/>
      </w:pPr>
      <w:r w:rsidRPr="00346D5E">
        <w:t xml:space="preserve">Namey, E., Guest, G., McKenna, K., &amp; Chen, M. (2016). Evaluating Bang for the Buck: A Cost-Effectiveness Comparison Between Individual Interviews and Focus Groups Based on Thematic Saturation Levels. </w:t>
      </w:r>
      <w:r w:rsidRPr="00346D5E">
        <w:rPr>
          <w:i/>
        </w:rPr>
        <w:t>American Journal of Evaluation</w:t>
      </w:r>
      <w:r w:rsidRPr="00346D5E">
        <w:t>,</w:t>
      </w:r>
      <w:r w:rsidRPr="00346D5E">
        <w:rPr>
          <w:i/>
        </w:rPr>
        <w:t xml:space="preserve"> 37</w:t>
      </w:r>
      <w:r w:rsidRPr="00346D5E">
        <w:t xml:space="preserve">(3), 425-440. </w:t>
      </w:r>
      <w:hyperlink r:id="rId231" w:history="1">
        <w:r w:rsidRPr="00346D5E">
          <w:rPr>
            <w:rStyle w:val="Hyperlink"/>
          </w:rPr>
          <w:t>https://doi.org/10.1177/1098214016630406</w:t>
        </w:r>
      </w:hyperlink>
      <w:r w:rsidRPr="00346D5E">
        <w:t xml:space="preserve"> </w:t>
      </w:r>
    </w:p>
    <w:p w14:paraId="5C14C42C" w14:textId="190D5556" w:rsidR="00346D5E" w:rsidRPr="00346D5E" w:rsidRDefault="00346D5E" w:rsidP="00346D5E">
      <w:pPr>
        <w:pStyle w:val="EndNoteBibliography"/>
        <w:spacing w:after="0"/>
        <w:ind w:left="720" w:hanging="720"/>
      </w:pPr>
      <w:r w:rsidRPr="00346D5E">
        <w:t xml:space="preserve">Newcombe, P. A., Sheffield, J. K., Juniper, E. F., Petsky, H. L., et al. (2010). Validation of a parent-proxy quality of life questionnaire for paediatric chronic cough (PC-QOL). </w:t>
      </w:r>
      <w:r w:rsidRPr="00346D5E">
        <w:rPr>
          <w:i/>
        </w:rPr>
        <w:t>Thorax</w:t>
      </w:r>
      <w:r w:rsidRPr="00346D5E">
        <w:t>,</w:t>
      </w:r>
      <w:r w:rsidRPr="00346D5E">
        <w:rPr>
          <w:i/>
        </w:rPr>
        <w:t xml:space="preserve"> 65</w:t>
      </w:r>
      <w:r w:rsidRPr="00346D5E">
        <w:t xml:space="preserve">(9), 819. </w:t>
      </w:r>
      <w:hyperlink r:id="rId232" w:history="1">
        <w:r w:rsidRPr="00346D5E">
          <w:rPr>
            <w:rStyle w:val="Hyperlink"/>
          </w:rPr>
          <w:t>https://doi.org/10.1136/thx.2009.133868</w:t>
        </w:r>
      </w:hyperlink>
      <w:r w:rsidRPr="00346D5E">
        <w:t xml:space="preserve"> </w:t>
      </w:r>
    </w:p>
    <w:p w14:paraId="1142BBF8" w14:textId="77777777" w:rsidR="00346D5E" w:rsidRPr="00346D5E" w:rsidRDefault="00346D5E" w:rsidP="00346D5E">
      <w:pPr>
        <w:pStyle w:val="EndNoteBibliography"/>
        <w:ind w:left="720" w:hanging="720"/>
      </w:pPr>
      <w:r w:rsidRPr="00346D5E">
        <w:t xml:space="preserve">NICE (2008). National Institute for Health and Clinical Excellence: Guidance. In </w:t>
      </w:r>
      <w:r w:rsidRPr="00346D5E">
        <w:rPr>
          <w:i/>
        </w:rPr>
        <w:t>Prophylaxis Against Infective Endocarditis: Antimicrobial Prophylaxis Against Infective Endocarditis in Adults and Children Undergoing Interventional Procedures</w:t>
      </w:r>
      <w:r w:rsidRPr="00346D5E">
        <w:t>. National Institute for Health and Clinical Excellence (UK)</w:t>
      </w:r>
    </w:p>
    <w:p w14:paraId="51CFC37D" w14:textId="77777777" w:rsidR="00346D5E" w:rsidRPr="00346D5E" w:rsidRDefault="00346D5E" w:rsidP="00346D5E">
      <w:pPr>
        <w:pStyle w:val="EndNoteBibliography"/>
        <w:spacing w:after="0"/>
        <w:ind w:left="720" w:hanging="720"/>
      </w:pPr>
      <w:r w:rsidRPr="00346D5E">
        <w:t xml:space="preserve">National Institute for Health and Clinical Excellence. </w:t>
      </w:r>
    </w:p>
    <w:p w14:paraId="3DC47C00" w14:textId="78C3BA37" w:rsidR="00346D5E" w:rsidRPr="00346D5E" w:rsidRDefault="00346D5E" w:rsidP="00346D5E">
      <w:pPr>
        <w:pStyle w:val="EndNoteBibliography"/>
        <w:spacing w:after="0"/>
        <w:ind w:left="720" w:hanging="720"/>
      </w:pPr>
      <w:r w:rsidRPr="00346D5E">
        <w:t xml:space="preserve">NICE. (2019). </w:t>
      </w:r>
      <w:r w:rsidRPr="00346D5E">
        <w:rPr>
          <w:i/>
        </w:rPr>
        <w:t>National Institute for Clincal Health Care Excellence. Pneumonia (community-acquired): antimicrobial prescribing</w:t>
      </w:r>
      <w:r w:rsidRPr="00346D5E">
        <w:t xml:space="preserve">. Retrieved NG138 from </w:t>
      </w:r>
      <w:hyperlink r:id="rId233" w:history="1">
        <w:r w:rsidRPr="00346D5E">
          <w:rPr>
            <w:rStyle w:val="Hyperlink"/>
          </w:rPr>
          <w:t>https://www.nice.org.uk/guidance/ng138/chapter/Recommendations</w:t>
        </w:r>
      </w:hyperlink>
    </w:p>
    <w:p w14:paraId="343C1501" w14:textId="1166A30A" w:rsidR="00346D5E" w:rsidRPr="00346D5E" w:rsidRDefault="00346D5E" w:rsidP="00346D5E">
      <w:pPr>
        <w:pStyle w:val="EndNoteBibliography"/>
        <w:spacing w:after="0"/>
        <w:ind w:left="720" w:hanging="720"/>
      </w:pPr>
      <w:r w:rsidRPr="00346D5E">
        <w:t xml:space="preserve">Nikolaou, E., Kamilari, E., Savkov, D., Sergeev, A., et al. (2020). Intestinal microbiome analysis demonstrates azithromycin post-treatment effects improve when combined with lactulose. </w:t>
      </w:r>
      <w:r w:rsidRPr="00346D5E">
        <w:rPr>
          <w:i/>
        </w:rPr>
        <w:t>World J Pediatr</w:t>
      </w:r>
      <w:r w:rsidRPr="00346D5E">
        <w:t>,</w:t>
      </w:r>
      <w:r w:rsidRPr="00346D5E">
        <w:rPr>
          <w:i/>
        </w:rPr>
        <w:t xml:space="preserve"> 16</w:t>
      </w:r>
      <w:r w:rsidRPr="00346D5E">
        <w:t xml:space="preserve">(2), 168-176. </w:t>
      </w:r>
      <w:hyperlink r:id="rId234" w:history="1">
        <w:r w:rsidRPr="00346D5E">
          <w:rPr>
            <w:rStyle w:val="Hyperlink"/>
          </w:rPr>
          <w:t>https://doi.org/10.1007/s12519-019-00315-6</w:t>
        </w:r>
      </w:hyperlink>
      <w:r w:rsidRPr="00346D5E">
        <w:t xml:space="preserve"> </w:t>
      </w:r>
    </w:p>
    <w:p w14:paraId="7268AA4A" w14:textId="601DBF26" w:rsidR="00346D5E" w:rsidRPr="00346D5E" w:rsidRDefault="00346D5E" w:rsidP="00346D5E">
      <w:pPr>
        <w:pStyle w:val="EndNoteBibliography"/>
        <w:spacing w:after="0"/>
        <w:ind w:left="720" w:hanging="720"/>
      </w:pPr>
      <w:r w:rsidRPr="00346D5E">
        <w:t xml:space="preserve">Nzoyikorera, N., Diawara, I., Fresia, P., Maaloum, F., et al. (2021). Whole genomic comparative analysis of Streptococcus pneumoniae serotype 1 isolates causing invasive and non-invasive infections among children under 5 years in Casablanca, Morocco. </w:t>
      </w:r>
      <w:r w:rsidRPr="00346D5E">
        <w:rPr>
          <w:i/>
        </w:rPr>
        <w:t>BMC Genomics</w:t>
      </w:r>
      <w:r w:rsidRPr="00346D5E">
        <w:t>,</w:t>
      </w:r>
      <w:r w:rsidRPr="00346D5E">
        <w:rPr>
          <w:i/>
        </w:rPr>
        <w:t xml:space="preserve"> 22</w:t>
      </w:r>
      <w:r w:rsidRPr="00346D5E">
        <w:t xml:space="preserve">(1), 39. </w:t>
      </w:r>
      <w:hyperlink r:id="rId235" w:history="1">
        <w:r w:rsidRPr="00346D5E">
          <w:rPr>
            <w:rStyle w:val="Hyperlink"/>
          </w:rPr>
          <w:t>https://doi.org/10.1186/s12864-020-07316-0</w:t>
        </w:r>
      </w:hyperlink>
      <w:r w:rsidRPr="00346D5E">
        <w:t xml:space="preserve"> </w:t>
      </w:r>
    </w:p>
    <w:p w14:paraId="257F6DCE" w14:textId="7E1A7AEC" w:rsidR="00346D5E" w:rsidRPr="00346D5E" w:rsidRDefault="00346D5E" w:rsidP="00346D5E">
      <w:pPr>
        <w:pStyle w:val="EndNoteBibliography"/>
        <w:spacing w:after="0"/>
        <w:ind w:left="720" w:hanging="720"/>
      </w:pPr>
      <w:r w:rsidRPr="00346D5E">
        <w:t xml:space="preserve">O'Brien, K. L., Millar, E. V., Zell, E. R., Bronsdon, M., et al. (2007). Effect of pneumococcal conjugate vaccine on nasopharyngeal colonization among immunized and unimmunized children in a community-randomized trial. </w:t>
      </w:r>
      <w:r w:rsidRPr="00346D5E">
        <w:rPr>
          <w:i/>
        </w:rPr>
        <w:t>J Infect Dis</w:t>
      </w:r>
      <w:r w:rsidRPr="00346D5E">
        <w:t>,</w:t>
      </w:r>
      <w:r w:rsidRPr="00346D5E">
        <w:rPr>
          <w:i/>
        </w:rPr>
        <w:t xml:space="preserve"> 196</w:t>
      </w:r>
      <w:r w:rsidRPr="00346D5E">
        <w:t xml:space="preserve">(8), 1211-1220. </w:t>
      </w:r>
      <w:hyperlink r:id="rId236" w:history="1">
        <w:r w:rsidRPr="00346D5E">
          <w:rPr>
            <w:rStyle w:val="Hyperlink"/>
          </w:rPr>
          <w:t>https://doi.org/10.1086/521833</w:t>
        </w:r>
      </w:hyperlink>
      <w:r w:rsidRPr="00346D5E">
        <w:t xml:space="preserve"> </w:t>
      </w:r>
    </w:p>
    <w:p w14:paraId="4DB338F8" w14:textId="5740845D" w:rsidR="00346D5E" w:rsidRPr="00346D5E" w:rsidRDefault="00346D5E" w:rsidP="00346D5E">
      <w:pPr>
        <w:pStyle w:val="EndNoteBibliography"/>
        <w:spacing w:after="0"/>
        <w:ind w:left="720" w:hanging="720"/>
      </w:pPr>
      <w:r w:rsidRPr="00346D5E">
        <w:t xml:space="preserve">O'Neill, J. (2014). Antimicrobial resistance: Tackling a crisis for the health and wealth of nations. </w:t>
      </w:r>
      <w:hyperlink r:id="rId237" w:history="1">
        <w:r w:rsidRPr="00346D5E">
          <w:rPr>
            <w:rStyle w:val="Hyperlink"/>
          </w:rPr>
          <w:t>https://amr-review.org/</w:t>
        </w:r>
      </w:hyperlink>
      <w:r w:rsidRPr="00346D5E">
        <w:t xml:space="preserve"> </w:t>
      </w:r>
    </w:p>
    <w:p w14:paraId="3A201990" w14:textId="63977D23" w:rsidR="00346D5E" w:rsidRPr="00346D5E" w:rsidRDefault="00346D5E" w:rsidP="00346D5E">
      <w:pPr>
        <w:pStyle w:val="EndNoteBibliography"/>
        <w:spacing w:after="0"/>
        <w:ind w:left="720" w:hanging="720"/>
      </w:pPr>
      <w:r w:rsidRPr="00346D5E">
        <w:lastRenderedPageBreak/>
        <w:t xml:space="preserve">Oldenburg, C. E., Pinsky, B. A., Brogdon, J., Chen, C., et al. (2021). Effect of Oral Azithromycin vs Placebo on COVID-19 Symptoms in Outpatients With SARS-CoV-2 Infection: A Randomized Clinical Trial. </w:t>
      </w:r>
      <w:r w:rsidRPr="00346D5E">
        <w:rPr>
          <w:i/>
        </w:rPr>
        <w:t>Jama</w:t>
      </w:r>
      <w:r w:rsidRPr="00346D5E">
        <w:t>,</w:t>
      </w:r>
      <w:r w:rsidRPr="00346D5E">
        <w:rPr>
          <w:i/>
        </w:rPr>
        <w:t xml:space="preserve"> 326</w:t>
      </w:r>
      <w:r w:rsidRPr="00346D5E">
        <w:t xml:space="preserve">(6), 490-498. </w:t>
      </w:r>
      <w:hyperlink r:id="rId238" w:history="1">
        <w:r w:rsidRPr="00346D5E">
          <w:rPr>
            <w:rStyle w:val="Hyperlink"/>
          </w:rPr>
          <w:t>https://doi.org/10.1001/jama.2021.11517</w:t>
        </w:r>
      </w:hyperlink>
      <w:r w:rsidRPr="00346D5E">
        <w:t xml:space="preserve"> </w:t>
      </w:r>
    </w:p>
    <w:p w14:paraId="1DC103AC" w14:textId="416EF2D3" w:rsidR="00346D5E" w:rsidRDefault="00346D5E" w:rsidP="00346D5E">
      <w:pPr>
        <w:pStyle w:val="EndNoteBibliography"/>
        <w:spacing w:after="0"/>
        <w:ind w:left="720" w:hanging="720"/>
      </w:pPr>
      <w:r w:rsidRPr="00346D5E">
        <w:t xml:space="preserve">Palinkas, L. A., Horwitz, S. M., Green, C. A., Wisdom, J. P., et al. (2015). Purposeful Sampling for Qualitative Data Collection and Analysis in Mixed Method Implementation Research. </w:t>
      </w:r>
      <w:r w:rsidRPr="00346D5E">
        <w:rPr>
          <w:i/>
        </w:rPr>
        <w:t>Adm Policy Ment Health</w:t>
      </w:r>
      <w:r w:rsidRPr="00346D5E">
        <w:t>,</w:t>
      </w:r>
      <w:r w:rsidRPr="00346D5E">
        <w:rPr>
          <w:i/>
        </w:rPr>
        <w:t xml:space="preserve"> 42</w:t>
      </w:r>
      <w:r w:rsidRPr="00346D5E">
        <w:t xml:space="preserve">(5), 533-544. </w:t>
      </w:r>
      <w:hyperlink r:id="rId239" w:history="1">
        <w:r w:rsidRPr="00346D5E">
          <w:rPr>
            <w:rStyle w:val="Hyperlink"/>
          </w:rPr>
          <w:t>https://doi.org/10.1007/s10488-013-0528-y</w:t>
        </w:r>
      </w:hyperlink>
      <w:r w:rsidRPr="00346D5E">
        <w:t xml:space="preserve"> </w:t>
      </w:r>
    </w:p>
    <w:p w14:paraId="58666809" w14:textId="4D8555EA" w:rsidR="009273EB" w:rsidRPr="00346D5E" w:rsidRDefault="009273EB" w:rsidP="00346D5E">
      <w:pPr>
        <w:pStyle w:val="EndNoteBibliography"/>
        <w:spacing w:after="0"/>
        <w:ind w:left="720" w:hanging="720"/>
      </w:pPr>
      <w:r>
        <w:t xml:space="preserve">Panel on Opportunistic Infections in HIV-exposed and HIV-infected Children. Guidelines for the Prevention and Treatment of Opportunistic Infections in HIV-Exposed and HIV-Infected Children. Department of Health and HUman Services. Available at </w:t>
      </w:r>
      <w:r w:rsidRPr="009273EB">
        <w:rPr>
          <w:color w:val="3333FF"/>
          <w:u w:val="single"/>
        </w:rPr>
        <w:t>http://aidsinfo.nih.gov/contentfiles/lvguidelines/ oi_guidelines_pediatrics.pdf. Section accessed 01/02/2020</w:t>
      </w:r>
    </w:p>
    <w:p w14:paraId="3D1776BA" w14:textId="041DC6DF" w:rsidR="00346D5E" w:rsidRPr="00346D5E" w:rsidRDefault="00346D5E" w:rsidP="00346D5E">
      <w:pPr>
        <w:pStyle w:val="EndNoteBibliography"/>
        <w:spacing w:after="0"/>
        <w:ind w:left="720" w:hanging="720"/>
      </w:pPr>
      <w:r w:rsidRPr="00346D5E">
        <w:t xml:space="preserve">Parker, E. P. K., Praharaj, I., John, J., Kaliappan, S. P., et al. (2017). Changes in the intestinal microbiota following the administration of azithromycin in a randomised placebo-controlled trial among infants in south India. </w:t>
      </w:r>
      <w:r w:rsidRPr="00346D5E">
        <w:rPr>
          <w:i/>
        </w:rPr>
        <w:t>Scientific reports</w:t>
      </w:r>
      <w:r w:rsidRPr="00346D5E">
        <w:t>,</w:t>
      </w:r>
      <w:r w:rsidRPr="00346D5E">
        <w:rPr>
          <w:i/>
        </w:rPr>
        <w:t xml:space="preserve"> 7</w:t>
      </w:r>
      <w:r w:rsidRPr="00346D5E">
        <w:t xml:space="preserve">(1), 9168-9168. </w:t>
      </w:r>
      <w:hyperlink r:id="rId240" w:history="1">
        <w:r w:rsidRPr="00346D5E">
          <w:rPr>
            <w:rStyle w:val="Hyperlink"/>
          </w:rPr>
          <w:t>https://doi.org/10.1038/s41598-017-06862-0</w:t>
        </w:r>
      </w:hyperlink>
      <w:r w:rsidRPr="00346D5E">
        <w:t xml:space="preserve"> </w:t>
      </w:r>
    </w:p>
    <w:p w14:paraId="598EED76" w14:textId="548EBAEC" w:rsidR="00346D5E" w:rsidRPr="00346D5E" w:rsidRDefault="00346D5E" w:rsidP="00346D5E">
      <w:pPr>
        <w:pStyle w:val="EndNoteBibliography"/>
        <w:spacing w:after="0"/>
        <w:ind w:left="720" w:hanging="720"/>
      </w:pPr>
      <w:r w:rsidRPr="00346D5E">
        <w:t xml:space="preserve">Pärnänen, K. M. M., Narciso-da-Rocha, C., Kneis, D., Berendonk, T. U., et al. (2019). Antibiotic resistance in European wastewater treatment plants mirrors the pattern of clinical antibiotic resistance prevalence. </w:t>
      </w:r>
      <w:r w:rsidRPr="00346D5E">
        <w:rPr>
          <w:i/>
        </w:rPr>
        <w:t>Science Advances</w:t>
      </w:r>
      <w:r w:rsidRPr="00346D5E">
        <w:t>,</w:t>
      </w:r>
      <w:r w:rsidRPr="00346D5E">
        <w:rPr>
          <w:i/>
        </w:rPr>
        <w:t xml:space="preserve"> 5</w:t>
      </w:r>
      <w:r w:rsidRPr="00346D5E">
        <w:t xml:space="preserve">(3), eaau9124. </w:t>
      </w:r>
      <w:hyperlink r:id="rId241" w:history="1">
        <w:r w:rsidRPr="00346D5E">
          <w:rPr>
            <w:rStyle w:val="Hyperlink"/>
          </w:rPr>
          <w:t>https://doi.org/10.1126/sciadv.aau9124</w:t>
        </w:r>
      </w:hyperlink>
      <w:r w:rsidRPr="00346D5E">
        <w:t xml:space="preserve"> </w:t>
      </w:r>
    </w:p>
    <w:p w14:paraId="6FAD22A5" w14:textId="1BD08550" w:rsidR="00346D5E" w:rsidRPr="00346D5E" w:rsidRDefault="00346D5E" w:rsidP="00346D5E">
      <w:pPr>
        <w:pStyle w:val="EndNoteBibliography"/>
        <w:spacing w:after="0"/>
        <w:ind w:left="720" w:hanging="720"/>
      </w:pPr>
      <w:r w:rsidRPr="00346D5E">
        <w:t xml:space="preserve">Pascal, M., Perez-Gordo, M., Caballero, T., Escribese, M. M., et al. (2018). Microbiome and Allergic Diseases. </w:t>
      </w:r>
      <w:r w:rsidRPr="00346D5E">
        <w:rPr>
          <w:i/>
        </w:rPr>
        <w:t>Frontiers in immunology</w:t>
      </w:r>
      <w:r w:rsidRPr="00346D5E">
        <w:t>,</w:t>
      </w:r>
      <w:r w:rsidRPr="00346D5E">
        <w:rPr>
          <w:i/>
        </w:rPr>
        <w:t xml:space="preserve"> 9</w:t>
      </w:r>
      <w:r w:rsidRPr="00346D5E">
        <w:t xml:space="preserve">, 1584. </w:t>
      </w:r>
      <w:hyperlink r:id="rId242" w:history="1">
        <w:r w:rsidRPr="00346D5E">
          <w:rPr>
            <w:rStyle w:val="Hyperlink"/>
          </w:rPr>
          <w:t>https://doi.org/10.3389/fimmu.2018.01584</w:t>
        </w:r>
      </w:hyperlink>
      <w:r w:rsidRPr="00346D5E">
        <w:t xml:space="preserve"> </w:t>
      </w:r>
    </w:p>
    <w:p w14:paraId="6C30F204" w14:textId="1ED3E711" w:rsidR="00346D5E" w:rsidRPr="00346D5E" w:rsidRDefault="00346D5E" w:rsidP="00346D5E">
      <w:pPr>
        <w:pStyle w:val="EndNoteBibliography"/>
        <w:spacing w:after="0"/>
        <w:ind w:left="720" w:hanging="720"/>
      </w:pPr>
      <w:r w:rsidRPr="00346D5E">
        <w:t xml:space="preserve">Pasteur, M. C., Bilton, D., &amp; Hill, A. T. (2010). British Thoracic Society guideline for non-CF bronchiectasis. </w:t>
      </w:r>
      <w:r w:rsidRPr="00346D5E">
        <w:rPr>
          <w:i/>
        </w:rPr>
        <w:t>Thorax</w:t>
      </w:r>
      <w:r w:rsidRPr="00346D5E">
        <w:t>,</w:t>
      </w:r>
      <w:r w:rsidRPr="00346D5E">
        <w:rPr>
          <w:i/>
        </w:rPr>
        <w:t xml:space="preserve"> 65 Suppl 1</w:t>
      </w:r>
      <w:r w:rsidRPr="00346D5E">
        <w:t xml:space="preserve">, i1-58. </w:t>
      </w:r>
      <w:hyperlink r:id="rId243" w:history="1">
        <w:r w:rsidRPr="00346D5E">
          <w:rPr>
            <w:rStyle w:val="Hyperlink"/>
          </w:rPr>
          <w:t>https://doi.org/10.1136/thx.2010.136119</w:t>
        </w:r>
      </w:hyperlink>
      <w:r w:rsidRPr="00346D5E">
        <w:t xml:space="preserve"> </w:t>
      </w:r>
    </w:p>
    <w:p w14:paraId="2F27D9F1" w14:textId="555F2B46" w:rsidR="00346D5E" w:rsidRPr="00346D5E" w:rsidRDefault="00346D5E" w:rsidP="00346D5E">
      <w:pPr>
        <w:pStyle w:val="EndNoteBibliography"/>
        <w:spacing w:after="0"/>
        <w:ind w:left="720" w:hanging="720"/>
      </w:pPr>
      <w:r w:rsidRPr="00346D5E">
        <w:t xml:space="preserve">Pasteur, M. C., Helliwell, S. M., Houghton, S. J., Webb, S. C., et al. (2000). An investigation into causative factors in patients with bronchiectasis. </w:t>
      </w:r>
      <w:r w:rsidRPr="00346D5E">
        <w:rPr>
          <w:i/>
        </w:rPr>
        <w:t>Am J Respir Crit Care Med</w:t>
      </w:r>
      <w:r w:rsidRPr="00346D5E">
        <w:t>,</w:t>
      </w:r>
      <w:r w:rsidRPr="00346D5E">
        <w:rPr>
          <w:i/>
        </w:rPr>
        <w:t xml:space="preserve"> 162</w:t>
      </w:r>
      <w:r w:rsidRPr="00346D5E">
        <w:t xml:space="preserve">(4 Pt 1), 1277-1284. </w:t>
      </w:r>
      <w:hyperlink r:id="rId244" w:history="1">
        <w:r w:rsidRPr="00346D5E">
          <w:rPr>
            <w:rStyle w:val="Hyperlink"/>
          </w:rPr>
          <w:t>https://doi.org/10.1164/ajrccm.162.4.9906120</w:t>
        </w:r>
      </w:hyperlink>
      <w:r w:rsidRPr="00346D5E">
        <w:t xml:space="preserve"> </w:t>
      </w:r>
    </w:p>
    <w:p w14:paraId="53E1C67A" w14:textId="1D41DF63" w:rsidR="00346D5E" w:rsidRPr="00346D5E" w:rsidRDefault="00346D5E" w:rsidP="00346D5E">
      <w:pPr>
        <w:pStyle w:val="EndNoteBibliography"/>
        <w:spacing w:after="0"/>
        <w:ind w:left="720" w:hanging="720"/>
      </w:pPr>
      <w:r w:rsidRPr="00346D5E">
        <w:t xml:space="preserve">Patel, S. D., Bono, T. R., Rowe, S. M., &amp; Solomon, G. M. (2020). CFTR targeted therapies: recent advances in cystic fibrosis and possibilities in other diseases of the airways. </w:t>
      </w:r>
      <w:r w:rsidRPr="00346D5E">
        <w:rPr>
          <w:i/>
        </w:rPr>
        <w:t>Eur Respir Rev</w:t>
      </w:r>
      <w:r w:rsidRPr="00346D5E">
        <w:t>,</w:t>
      </w:r>
      <w:r w:rsidRPr="00346D5E">
        <w:rPr>
          <w:i/>
        </w:rPr>
        <w:t xml:space="preserve"> 29</w:t>
      </w:r>
      <w:r w:rsidRPr="00346D5E">
        <w:t xml:space="preserve">(156). </w:t>
      </w:r>
      <w:hyperlink r:id="rId245" w:history="1">
        <w:r w:rsidRPr="00346D5E">
          <w:rPr>
            <w:rStyle w:val="Hyperlink"/>
          </w:rPr>
          <w:t>https://doi.org/10.1183/16000617.0068-2019</w:t>
        </w:r>
      </w:hyperlink>
      <w:r w:rsidRPr="00346D5E">
        <w:t xml:space="preserve"> </w:t>
      </w:r>
    </w:p>
    <w:p w14:paraId="3A6A8C7F" w14:textId="0933A40F" w:rsidR="00346D5E" w:rsidRPr="00346D5E" w:rsidRDefault="00346D5E" w:rsidP="00346D5E">
      <w:pPr>
        <w:pStyle w:val="EndNoteBibliography"/>
        <w:spacing w:after="0"/>
        <w:ind w:left="720" w:hanging="720"/>
      </w:pPr>
      <w:r w:rsidRPr="00346D5E">
        <w:t xml:space="preserve">Pattenden, S., Antova, T., Neuberger, M., Nikiforov, B., et al. (2006). Parental smoking and children's respiratory health: independent effects of prenatal and postnatal exposure. </w:t>
      </w:r>
      <w:r w:rsidRPr="00346D5E">
        <w:rPr>
          <w:i/>
        </w:rPr>
        <w:t>Tobacco control</w:t>
      </w:r>
      <w:r w:rsidRPr="00346D5E">
        <w:t>,</w:t>
      </w:r>
      <w:r w:rsidRPr="00346D5E">
        <w:rPr>
          <w:i/>
        </w:rPr>
        <w:t xml:space="preserve"> 15</w:t>
      </w:r>
      <w:r w:rsidRPr="00346D5E">
        <w:t xml:space="preserve">(4), 294-301. </w:t>
      </w:r>
      <w:hyperlink r:id="rId246" w:history="1">
        <w:r w:rsidRPr="00346D5E">
          <w:rPr>
            <w:rStyle w:val="Hyperlink"/>
          </w:rPr>
          <w:t>https://doi.org/10.1136/tc.2005.015065</w:t>
        </w:r>
      </w:hyperlink>
      <w:r w:rsidRPr="00346D5E">
        <w:t xml:space="preserve"> </w:t>
      </w:r>
    </w:p>
    <w:p w14:paraId="168FCF38" w14:textId="030C8926" w:rsidR="00346D5E" w:rsidRPr="00346D5E" w:rsidRDefault="00346D5E" w:rsidP="00346D5E">
      <w:pPr>
        <w:pStyle w:val="EndNoteBibliography"/>
        <w:spacing w:after="0"/>
        <w:ind w:left="720" w:hanging="720"/>
      </w:pPr>
      <w:r w:rsidRPr="00346D5E">
        <w:t xml:space="preserve">Paulson, J. N., Stine, O. C., Bravo, H. C., &amp; Pop, M. (2013). Differential abundance analysis for microbial marker-gene surveys. </w:t>
      </w:r>
      <w:r w:rsidRPr="00346D5E">
        <w:rPr>
          <w:i/>
        </w:rPr>
        <w:t>Nature methods</w:t>
      </w:r>
      <w:r w:rsidRPr="00346D5E">
        <w:t>,</w:t>
      </w:r>
      <w:r w:rsidRPr="00346D5E">
        <w:rPr>
          <w:i/>
        </w:rPr>
        <w:t xml:space="preserve"> 10</w:t>
      </w:r>
      <w:r w:rsidRPr="00346D5E">
        <w:t xml:space="preserve">(12), 1200-1202. </w:t>
      </w:r>
      <w:hyperlink r:id="rId247" w:history="1">
        <w:r w:rsidRPr="00346D5E">
          <w:rPr>
            <w:rStyle w:val="Hyperlink"/>
          </w:rPr>
          <w:t>https://doi.org/10.1038/nmeth.2658</w:t>
        </w:r>
      </w:hyperlink>
      <w:r w:rsidRPr="00346D5E">
        <w:t xml:space="preserve"> </w:t>
      </w:r>
    </w:p>
    <w:p w14:paraId="26753406" w14:textId="77777777" w:rsidR="00346D5E" w:rsidRPr="00346D5E" w:rsidRDefault="00346D5E" w:rsidP="00346D5E">
      <w:pPr>
        <w:pStyle w:val="EndNoteBibliography"/>
        <w:spacing w:after="0"/>
        <w:ind w:left="720" w:hanging="720"/>
      </w:pPr>
      <w:r w:rsidRPr="00346D5E">
        <w:t xml:space="preserve">Peat, G. R., A. Smith J. (2018). Interpretive phenomenolgical analysis applied to healthcare research. </w:t>
      </w:r>
      <w:r w:rsidRPr="00346D5E">
        <w:rPr>
          <w:i/>
        </w:rPr>
        <w:t>Evidence based Nursing</w:t>
      </w:r>
      <w:r w:rsidRPr="00346D5E">
        <w:t>,</w:t>
      </w:r>
      <w:r w:rsidRPr="00346D5E">
        <w:rPr>
          <w:i/>
        </w:rPr>
        <w:t xml:space="preserve"> 22</w:t>
      </w:r>
      <w:r w:rsidRPr="00346D5E">
        <w:t xml:space="preserve">(1), 7-9. </w:t>
      </w:r>
    </w:p>
    <w:p w14:paraId="7B0812C0" w14:textId="6CC99234" w:rsidR="00346D5E" w:rsidRPr="00346D5E" w:rsidRDefault="00346D5E" w:rsidP="00346D5E">
      <w:pPr>
        <w:pStyle w:val="EndNoteBibliography"/>
        <w:spacing w:after="0"/>
        <w:ind w:left="720" w:hanging="720"/>
      </w:pPr>
      <w:r w:rsidRPr="00346D5E">
        <w:t xml:space="preserve">Pick, H., Daniel, P., Rodrigo, C., Bewick, T., et al. (2020). Pneumococcal serotype trends, surveillance and risk factors in UK adult pneumonia, 2013-18. </w:t>
      </w:r>
      <w:r w:rsidRPr="00346D5E">
        <w:rPr>
          <w:i/>
        </w:rPr>
        <w:t>Thorax</w:t>
      </w:r>
      <w:r w:rsidRPr="00346D5E">
        <w:t>,</w:t>
      </w:r>
      <w:r w:rsidRPr="00346D5E">
        <w:rPr>
          <w:i/>
        </w:rPr>
        <w:t xml:space="preserve"> 75</w:t>
      </w:r>
      <w:r w:rsidRPr="00346D5E">
        <w:t xml:space="preserve">(1), 38-49. </w:t>
      </w:r>
      <w:hyperlink r:id="rId248" w:history="1">
        <w:r w:rsidRPr="00346D5E">
          <w:rPr>
            <w:rStyle w:val="Hyperlink"/>
          </w:rPr>
          <w:t>https://doi.org/10.1136/thoraxjnl-2019-213725</w:t>
        </w:r>
      </w:hyperlink>
      <w:r w:rsidRPr="00346D5E">
        <w:t xml:space="preserve"> </w:t>
      </w:r>
    </w:p>
    <w:p w14:paraId="2EBDA694" w14:textId="67DFD5D1" w:rsidR="00346D5E" w:rsidRPr="00346D5E" w:rsidRDefault="00346D5E" w:rsidP="00346D5E">
      <w:pPr>
        <w:pStyle w:val="EndNoteBibliography"/>
        <w:spacing w:after="0"/>
        <w:ind w:left="720" w:hanging="720"/>
      </w:pPr>
      <w:r w:rsidRPr="00346D5E">
        <w:t xml:space="preserve">Pittman, J. E., Wylie, K. M., Akers, K., Storch, G. A., et al. (2017). Association of Antibiotics, Airway Microbiome, and Inflammation in Infants with Cystic Fibrosis. </w:t>
      </w:r>
      <w:r w:rsidRPr="00346D5E">
        <w:rPr>
          <w:i/>
        </w:rPr>
        <w:t>Annals of the American Thoracic Society</w:t>
      </w:r>
      <w:r w:rsidRPr="00346D5E">
        <w:t>,</w:t>
      </w:r>
      <w:r w:rsidRPr="00346D5E">
        <w:rPr>
          <w:i/>
        </w:rPr>
        <w:t xml:space="preserve"> 14</w:t>
      </w:r>
      <w:r w:rsidRPr="00346D5E">
        <w:t xml:space="preserve">(10), 1548-1555. </w:t>
      </w:r>
      <w:hyperlink r:id="rId249" w:history="1">
        <w:r w:rsidRPr="00346D5E">
          <w:rPr>
            <w:rStyle w:val="Hyperlink"/>
          </w:rPr>
          <w:t>https://doi.org/10.1513/AnnalsATS.201702-121OC</w:t>
        </w:r>
      </w:hyperlink>
      <w:r w:rsidRPr="00346D5E">
        <w:t xml:space="preserve"> </w:t>
      </w:r>
    </w:p>
    <w:p w14:paraId="31E6E94E" w14:textId="266FD4D9" w:rsidR="00346D5E" w:rsidRPr="00346D5E" w:rsidRDefault="00346D5E" w:rsidP="00346D5E">
      <w:pPr>
        <w:pStyle w:val="EndNoteBibliography"/>
        <w:spacing w:after="0"/>
        <w:ind w:left="720" w:hanging="720"/>
      </w:pPr>
      <w:r w:rsidRPr="00346D5E">
        <w:t xml:space="preserve">Platt, L. (2016). </w:t>
      </w:r>
      <w:r w:rsidRPr="00346D5E">
        <w:rPr>
          <w:i/>
        </w:rPr>
        <w:t>Conducting qualitative and quantitative research with children of different ages</w:t>
      </w:r>
      <w:r w:rsidRPr="00346D5E">
        <w:t xml:space="preserve">. Global Kids Online. </w:t>
      </w:r>
      <w:hyperlink r:id="rId250" w:history="1">
        <w:r w:rsidRPr="00346D5E">
          <w:rPr>
            <w:rStyle w:val="Hyperlink"/>
          </w:rPr>
          <w:t>http://globalkidsonline.net/wp-content/uploads/2016/05/Guide-5-Research-with-children-of-different-ages-Platt.pdf</w:t>
        </w:r>
      </w:hyperlink>
    </w:p>
    <w:p w14:paraId="0C5593C2" w14:textId="5BB32B52" w:rsidR="00346D5E" w:rsidRPr="00346D5E" w:rsidRDefault="00346D5E" w:rsidP="00346D5E">
      <w:pPr>
        <w:pStyle w:val="EndNoteBibliography"/>
        <w:spacing w:after="0"/>
        <w:ind w:left="720" w:hanging="720"/>
      </w:pPr>
      <w:r w:rsidRPr="00346D5E">
        <w:t xml:space="preserve">Pletz, M. W., Ewig, S., Rohde, G., Schuette, H., et al. (2016). Impact of pneumococcal vaccination in children on serotype distribution in adult community-acquired pneumonia using the serotype-specific multiplex urinary antigen detection assay. </w:t>
      </w:r>
      <w:r w:rsidRPr="00346D5E">
        <w:rPr>
          <w:i/>
        </w:rPr>
        <w:t>Vaccine</w:t>
      </w:r>
      <w:r w:rsidRPr="00346D5E">
        <w:t>,</w:t>
      </w:r>
      <w:r w:rsidRPr="00346D5E">
        <w:rPr>
          <w:i/>
        </w:rPr>
        <w:t xml:space="preserve"> 34</w:t>
      </w:r>
      <w:r w:rsidRPr="00346D5E">
        <w:t xml:space="preserve">(20), 2342-2348. </w:t>
      </w:r>
      <w:hyperlink r:id="rId251" w:history="1">
        <w:r w:rsidRPr="00346D5E">
          <w:rPr>
            <w:rStyle w:val="Hyperlink"/>
          </w:rPr>
          <w:t>https://doi.org/10.1016/j.vaccine.2016.03.052</w:t>
        </w:r>
      </w:hyperlink>
      <w:r w:rsidRPr="00346D5E">
        <w:t xml:space="preserve"> </w:t>
      </w:r>
    </w:p>
    <w:p w14:paraId="35760846" w14:textId="45DA1CA9" w:rsidR="00346D5E" w:rsidRPr="00346D5E" w:rsidRDefault="00346D5E" w:rsidP="00346D5E">
      <w:pPr>
        <w:pStyle w:val="EndNoteBibliography"/>
        <w:spacing w:after="0"/>
        <w:ind w:left="720" w:hanging="720"/>
      </w:pPr>
      <w:r w:rsidRPr="00346D5E">
        <w:lastRenderedPageBreak/>
        <w:t xml:space="preserve">Pollock, J., &amp; Chalmers, J. D. (2021). The immunomodulatory effects of macrolide antibiotics in respiratory disease. </w:t>
      </w:r>
      <w:r w:rsidRPr="00346D5E">
        <w:rPr>
          <w:i/>
        </w:rPr>
        <w:t>Pulm Pharmacol Ther</w:t>
      </w:r>
      <w:r w:rsidRPr="00346D5E">
        <w:t>,</w:t>
      </w:r>
      <w:r w:rsidRPr="00346D5E">
        <w:rPr>
          <w:i/>
        </w:rPr>
        <w:t xml:space="preserve"> 71</w:t>
      </w:r>
      <w:r w:rsidRPr="00346D5E">
        <w:t xml:space="preserve">, 102095. </w:t>
      </w:r>
      <w:hyperlink r:id="rId252" w:history="1">
        <w:r w:rsidRPr="00346D5E">
          <w:rPr>
            <w:rStyle w:val="Hyperlink"/>
          </w:rPr>
          <w:t>https://doi.org/10.1016/j.pupt.2021.102095</w:t>
        </w:r>
      </w:hyperlink>
      <w:r w:rsidRPr="00346D5E">
        <w:t xml:space="preserve"> </w:t>
      </w:r>
    </w:p>
    <w:p w14:paraId="6360667D" w14:textId="3B9A8B9F" w:rsidR="00346D5E" w:rsidRPr="00346D5E" w:rsidRDefault="00346D5E" w:rsidP="00346D5E">
      <w:pPr>
        <w:pStyle w:val="EndNoteBibliography"/>
        <w:spacing w:after="0"/>
        <w:ind w:left="720" w:hanging="720"/>
      </w:pPr>
      <w:r w:rsidRPr="00346D5E">
        <w:t xml:space="preserve">Powell, C. V., McNamara, P., Solis, A., &amp; Shaw, N. J. (2002). A parent completed questionnaire to describe the patterns of wheezing and other respiratory symptoms in infants and preschool children. </w:t>
      </w:r>
      <w:r w:rsidRPr="00346D5E">
        <w:rPr>
          <w:i/>
        </w:rPr>
        <w:t>Arch Dis Child</w:t>
      </w:r>
      <w:r w:rsidRPr="00346D5E">
        <w:t>,</w:t>
      </w:r>
      <w:r w:rsidRPr="00346D5E">
        <w:rPr>
          <w:i/>
        </w:rPr>
        <w:t xml:space="preserve"> 87</w:t>
      </w:r>
      <w:r w:rsidRPr="00346D5E">
        <w:t xml:space="preserve">(5), 376-379. </w:t>
      </w:r>
      <w:hyperlink r:id="rId253" w:history="1">
        <w:r w:rsidRPr="00346D5E">
          <w:rPr>
            <w:rStyle w:val="Hyperlink"/>
          </w:rPr>
          <w:t>https://doi.org/10.1136/adc.87.5.376</w:t>
        </w:r>
      </w:hyperlink>
      <w:r w:rsidRPr="00346D5E">
        <w:t xml:space="preserve"> </w:t>
      </w:r>
    </w:p>
    <w:p w14:paraId="6022FA1F" w14:textId="4F78144E" w:rsidR="00346D5E" w:rsidRPr="00346D5E" w:rsidRDefault="00346D5E" w:rsidP="00346D5E">
      <w:pPr>
        <w:pStyle w:val="EndNoteBibliography"/>
        <w:spacing w:after="0"/>
        <w:ind w:left="720" w:hanging="720"/>
      </w:pPr>
      <w:r w:rsidRPr="00346D5E">
        <w:t xml:space="preserve">Qiagen. (2020). </w:t>
      </w:r>
      <w:r w:rsidRPr="00346D5E">
        <w:rPr>
          <w:i/>
        </w:rPr>
        <w:t>DNeasy Blood &amp; Tissue Handbook</w:t>
      </w:r>
      <w:r w:rsidRPr="00346D5E">
        <w:t xml:space="preserve">. </w:t>
      </w:r>
      <w:hyperlink r:id="rId254" w:history="1">
        <w:r w:rsidRPr="00346D5E">
          <w:rPr>
            <w:rStyle w:val="Hyperlink"/>
          </w:rPr>
          <w:t>https://www.qiagen.com/gb/resources/resourcedetail?id=63e22fd7-6eed-4bcb-8097-7ec77bcd4de6&amp;lang=en</w:t>
        </w:r>
      </w:hyperlink>
      <w:r w:rsidRPr="00346D5E">
        <w:t xml:space="preserve"> </w:t>
      </w:r>
    </w:p>
    <w:p w14:paraId="50448125" w14:textId="4F573210" w:rsidR="00346D5E" w:rsidRPr="00346D5E" w:rsidRDefault="00346D5E" w:rsidP="00346D5E">
      <w:pPr>
        <w:pStyle w:val="EndNoteBibliography"/>
        <w:spacing w:after="0"/>
        <w:ind w:left="720" w:hanging="720"/>
      </w:pPr>
      <w:r w:rsidRPr="00346D5E">
        <w:t xml:space="preserve">Quint, J. K., Millett, E. R., Joshi, M., Navaratnam, V., et al. (2016). Changes in the incidence, prevalence and mortality of bronchiectasis in the UK from 2004 to 2013: a population-based cohort study. </w:t>
      </w:r>
      <w:r w:rsidRPr="00346D5E">
        <w:rPr>
          <w:i/>
        </w:rPr>
        <w:t>Eur Respir J</w:t>
      </w:r>
      <w:r w:rsidRPr="00346D5E">
        <w:t>,</w:t>
      </w:r>
      <w:r w:rsidRPr="00346D5E">
        <w:rPr>
          <w:i/>
        </w:rPr>
        <w:t xml:space="preserve"> 47</w:t>
      </w:r>
      <w:r w:rsidRPr="00346D5E">
        <w:t xml:space="preserve">(1), 186-193. </w:t>
      </w:r>
      <w:hyperlink r:id="rId255" w:history="1">
        <w:r w:rsidRPr="00346D5E">
          <w:rPr>
            <w:rStyle w:val="Hyperlink"/>
          </w:rPr>
          <w:t>https://doi.org/10.1183/13993003.01033-2015</w:t>
        </w:r>
      </w:hyperlink>
      <w:r w:rsidRPr="00346D5E">
        <w:t xml:space="preserve"> </w:t>
      </w:r>
    </w:p>
    <w:p w14:paraId="331DB2A8" w14:textId="02F09980" w:rsidR="00346D5E" w:rsidRPr="00346D5E" w:rsidRDefault="00346D5E" w:rsidP="00346D5E">
      <w:pPr>
        <w:pStyle w:val="EndNoteBibliography"/>
        <w:spacing w:after="0"/>
        <w:ind w:left="720" w:hanging="720"/>
      </w:pPr>
      <w:r w:rsidRPr="00346D5E">
        <w:t xml:space="preserve">Raita, Y., Toivonen, L., Schuez-Havupalo, L., Karppinen, S., et al. (2021). Maturation of nasal microbiota and antibiotic exposures during early childhood: a population-based cohort study. </w:t>
      </w:r>
      <w:r w:rsidRPr="00346D5E">
        <w:rPr>
          <w:i/>
        </w:rPr>
        <w:t>Clin Microbiol Infect</w:t>
      </w:r>
      <w:r w:rsidRPr="00346D5E">
        <w:t>,</w:t>
      </w:r>
      <w:r w:rsidRPr="00346D5E">
        <w:rPr>
          <w:i/>
        </w:rPr>
        <w:t xml:space="preserve"> 27</w:t>
      </w:r>
      <w:r w:rsidRPr="00346D5E">
        <w:t xml:space="preserve">(2), 283.e281-283.e287. </w:t>
      </w:r>
      <w:hyperlink r:id="rId256" w:history="1">
        <w:r w:rsidRPr="00346D5E">
          <w:rPr>
            <w:rStyle w:val="Hyperlink"/>
          </w:rPr>
          <w:t>https://doi.org/10.1016/j.cmi.2020.05.033</w:t>
        </w:r>
      </w:hyperlink>
      <w:r w:rsidRPr="00346D5E">
        <w:t xml:space="preserve"> </w:t>
      </w:r>
    </w:p>
    <w:p w14:paraId="160D619B" w14:textId="086E0C9F" w:rsidR="00346D5E" w:rsidRPr="00346D5E" w:rsidRDefault="00346D5E" w:rsidP="00346D5E">
      <w:pPr>
        <w:pStyle w:val="EndNoteBibliography"/>
        <w:spacing w:after="0"/>
        <w:ind w:left="720" w:hanging="720"/>
      </w:pPr>
      <w:r w:rsidRPr="00346D5E">
        <w:t xml:space="preserve">Rankine-Mullings, A. E., &amp; Owusu-Ofori, S. (2017). Prophylactic antibiotics for preventing pneumococcal infection in children with sickle cell disease. </w:t>
      </w:r>
      <w:r w:rsidRPr="00346D5E">
        <w:rPr>
          <w:i/>
        </w:rPr>
        <w:t>Cochrane Database Syst Rev</w:t>
      </w:r>
      <w:r w:rsidRPr="00346D5E">
        <w:t>,</w:t>
      </w:r>
      <w:r w:rsidRPr="00346D5E">
        <w:rPr>
          <w:i/>
        </w:rPr>
        <w:t xml:space="preserve"> 10</w:t>
      </w:r>
      <w:r w:rsidRPr="00346D5E">
        <w:t xml:space="preserve">, Cd003427. </w:t>
      </w:r>
      <w:hyperlink r:id="rId257" w:history="1">
        <w:r w:rsidRPr="00346D5E">
          <w:rPr>
            <w:rStyle w:val="Hyperlink"/>
          </w:rPr>
          <w:t>https://doi.org/10.1002/14651858.CD003427.pub4</w:t>
        </w:r>
      </w:hyperlink>
      <w:r w:rsidRPr="00346D5E">
        <w:t xml:space="preserve"> </w:t>
      </w:r>
    </w:p>
    <w:p w14:paraId="54B2A5A0" w14:textId="61B3122E" w:rsidR="00346D5E" w:rsidRPr="00346D5E" w:rsidRDefault="00346D5E" w:rsidP="00346D5E">
      <w:pPr>
        <w:pStyle w:val="EndNoteBibliography"/>
        <w:spacing w:after="0"/>
        <w:ind w:left="720" w:hanging="720"/>
      </w:pPr>
      <w:r w:rsidRPr="00346D5E">
        <w:t xml:space="preserve">Rankine‐Mullings, A. E., &amp; Owusu‐Ofori, S. (2017). Prophylactic antibiotics for preventing pneumococcal infection in children with sickle cell disease. </w:t>
      </w:r>
      <w:r w:rsidRPr="00346D5E">
        <w:rPr>
          <w:i/>
        </w:rPr>
        <w:t>Cochrane Database of Systematic Reviews</w:t>
      </w:r>
      <w:r w:rsidRPr="00346D5E">
        <w:t xml:space="preserve">(10). </w:t>
      </w:r>
      <w:hyperlink r:id="rId258" w:history="1">
        <w:r w:rsidRPr="00346D5E">
          <w:rPr>
            <w:rStyle w:val="Hyperlink"/>
          </w:rPr>
          <w:t>https://doi.org/10.1002/14651858.CD003427.pub4</w:t>
        </w:r>
      </w:hyperlink>
      <w:r w:rsidRPr="00346D5E">
        <w:t xml:space="preserve"> </w:t>
      </w:r>
    </w:p>
    <w:p w14:paraId="4499C474" w14:textId="3F9A8775" w:rsidR="00346D5E" w:rsidRPr="00346D5E" w:rsidRDefault="00346D5E" w:rsidP="00346D5E">
      <w:pPr>
        <w:pStyle w:val="EndNoteBibliography"/>
        <w:spacing w:after="0"/>
        <w:ind w:left="720" w:hanging="720"/>
      </w:pPr>
      <w:r w:rsidRPr="00346D5E">
        <w:t xml:space="preserve">Rennie, R. P., &amp; Ibrahim, K. H. (2005). Antimicrobial resistance in Haemophilus influenzae: how can we prevent the inevitable? Commentary on antimicrobial resistance in H. influenzae based on data from the TARGETed surveillance program. </w:t>
      </w:r>
      <w:r w:rsidRPr="00346D5E">
        <w:rPr>
          <w:i/>
        </w:rPr>
        <w:t>Clin Infect Dis</w:t>
      </w:r>
      <w:r w:rsidRPr="00346D5E">
        <w:t>,</w:t>
      </w:r>
      <w:r w:rsidRPr="00346D5E">
        <w:rPr>
          <w:i/>
        </w:rPr>
        <w:t xml:space="preserve"> 41 Suppl 4</w:t>
      </w:r>
      <w:r w:rsidRPr="00346D5E">
        <w:t xml:space="preserve">, S234-238. </w:t>
      </w:r>
      <w:hyperlink r:id="rId259" w:history="1">
        <w:r w:rsidRPr="00346D5E">
          <w:rPr>
            <w:rStyle w:val="Hyperlink"/>
          </w:rPr>
          <w:t>https://doi.org/10.1086/430783</w:t>
        </w:r>
      </w:hyperlink>
      <w:r w:rsidRPr="00346D5E">
        <w:t xml:space="preserve"> </w:t>
      </w:r>
    </w:p>
    <w:p w14:paraId="62C2C7E4" w14:textId="7B0C0CDF" w:rsidR="00346D5E" w:rsidRPr="00346D5E" w:rsidRDefault="00346D5E" w:rsidP="00346D5E">
      <w:pPr>
        <w:pStyle w:val="EndNoteBibliography"/>
        <w:spacing w:after="0"/>
        <w:ind w:left="720" w:hanging="720"/>
      </w:pPr>
      <w:r w:rsidRPr="00346D5E">
        <w:t xml:space="preserve">Reyman, M., van Houten, M. A., van Baarle, D., Bosch, A. A. T. M., et al. (2019). Impact of delivery mode-associated gut microbiota dynamics on health in the first year of life. </w:t>
      </w:r>
      <w:r w:rsidRPr="00346D5E">
        <w:rPr>
          <w:i/>
        </w:rPr>
        <w:t>Nature Communications</w:t>
      </w:r>
      <w:r w:rsidRPr="00346D5E">
        <w:t>,</w:t>
      </w:r>
      <w:r w:rsidRPr="00346D5E">
        <w:rPr>
          <w:i/>
        </w:rPr>
        <w:t xml:space="preserve"> 10</w:t>
      </w:r>
      <w:r w:rsidRPr="00346D5E">
        <w:t xml:space="preserve">(1), 4997-4997. </w:t>
      </w:r>
      <w:hyperlink r:id="rId260" w:history="1">
        <w:r w:rsidRPr="00346D5E">
          <w:rPr>
            <w:rStyle w:val="Hyperlink"/>
          </w:rPr>
          <w:t>https://doi.org/10.1038/s41467-019-13014-7</w:t>
        </w:r>
      </w:hyperlink>
      <w:r w:rsidRPr="00346D5E">
        <w:t xml:space="preserve"> </w:t>
      </w:r>
    </w:p>
    <w:p w14:paraId="5A2573CB" w14:textId="77777777" w:rsidR="00346D5E" w:rsidRPr="00346D5E" w:rsidRDefault="00346D5E" w:rsidP="00346D5E">
      <w:pPr>
        <w:pStyle w:val="EndNoteBibliography"/>
        <w:spacing w:after="0"/>
        <w:ind w:left="720" w:hanging="720"/>
      </w:pPr>
      <w:r w:rsidRPr="00346D5E">
        <w:t xml:space="preserve">RHD Australia. (2012). </w:t>
      </w:r>
      <w:r w:rsidRPr="00346D5E">
        <w:rPr>
          <w:i/>
        </w:rPr>
        <w:t>Australian guideline for prevention, diagnosis and management of acute rheumatic fever and rheumatic heart disease (2nd edition)</w:t>
      </w:r>
      <w:r w:rsidRPr="00346D5E">
        <w:t xml:space="preserve">. </w:t>
      </w:r>
    </w:p>
    <w:p w14:paraId="653774CD" w14:textId="07CCD06F" w:rsidR="00346D5E" w:rsidRPr="00346D5E" w:rsidRDefault="00346D5E" w:rsidP="00346D5E">
      <w:pPr>
        <w:pStyle w:val="EndNoteBibliography"/>
        <w:spacing w:after="0"/>
        <w:ind w:left="720" w:hanging="720"/>
      </w:pPr>
      <w:r w:rsidRPr="00346D5E">
        <w:t xml:space="preserve">Richardson, H., Dicker, A. J., Barclay, H., &amp; Chalmers, J. D. (2019). The microbiome in bronchiectasis. </w:t>
      </w:r>
      <w:r w:rsidRPr="00346D5E">
        <w:rPr>
          <w:i/>
        </w:rPr>
        <w:t>European Respiratory Review</w:t>
      </w:r>
      <w:r w:rsidRPr="00346D5E">
        <w:t>,</w:t>
      </w:r>
      <w:r w:rsidRPr="00346D5E">
        <w:rPr>
          <w:i/>
        </w:rPr>
        <w:t xml:space="preserve"> 28</w:t>
      </w:r>
      <w:r w:rsidRPr="00346D5E">
        <w:t xml:space="preserve">(153), 190048. </w:t>
      </w:r>
      <w:hyperlink r:id="rId261" w:history="1">
        <w:r w:rsidRPr="00346D5E">
          <w:rPr>
            <w:rStyle w:val="Hyperlink"/>
          </w:rPr>
          <w:t>https://doi.org/10.1183/16000617.0048-2019</w:t>
        </w:r>
      </w:hyperlink>
      <w:r w:rsidRPr="00346D5E">
        <w:t xml:space="preserve"> </w:t>
      </w:r>
    </w:p>
    <w:p w14:paraId="68A6F722" w14:textId="13A3F3A0" w:rsidR="00346D5E" w:rsidRPr="00346D5E" w:rsidRDefault="00346D5E" w:rsidP="00346D5E">
      <w:pPr>
        <w:pStyle w:val="EndNoteBibliography"/>
        <w:spacing w:after="0"/>
        <w:ind w:left="720" w:hanging="720"/>
      </w:pPr>
      <w:r w:rsidRPr="00346D5E">
        <w:t xml:space="preserve">Ricotta, C. (2017). Of beta diversity, variance, evenness, and dissimilarity. </w:t>
      </w:r>
      <w:r w:rsidRPr="00346D5E">
        <w:rPr>
          <w:i/>
        </w:rPr>
        <w:t>Ecology and Evolution</w:t>
      </w:r>
      <w:r w:rsidRPr="00346D5E">
        <w:t>,</w:t>
      </w:r>
      <w:r w:rsidRPr="00346D5E">
        <w:rPr>
          <w:i/>
        </w:rPr>
        <w:t xml:space="preserve"> 7</w:t>
      </w:r>
      <w:r w:rsidRPr="00346D5E">
        <w:t xml:space="preserve">(13), 4835-4843. </w:t>
      </w:r>
      <w:hyperlink r:id="rId262" w:history="1">
        <w:r w:rsidRPr="00346D5E">
          <w:rPr>
            <w:rStyle w:val="Hyperlink"/>
          </w:rPr>
          <w:t>https://doi.org/10.1002/ece3.2980</w:t>
        </w:r>
      </w:hyperlink>
      <w:r w:rsidRPr="00346D5E">
        <w:t xml:space="preserve"> </w:t>
      </w:r>
    </w:p>
    <w:p w14:paraId="6137D4A2" w14:textId="6FC9E369" w:rsidR="00346D5E" w:rsidRPr="00346D5E" w:rsidRDefault="00346D5E" w:rsidP="00346D5E">
      <w:pPr>
        <w:pStyle w:val="EndNoteBibliography"/>
        <w:spacing w:after="0"/>
        <w:ind w:left="720" w:hanging="720"/>
      </w:pPr>
      <w:r w:rsidRPr="00346D5E">
        <w:t xml:space="preserve">Rizzo, L., Manaia, C., Merlin, C., Schwartz, T., et al. (2013). Urban wastewater treatment plants as hotspots for antibiotic resistant bacteria and genes spread into the environment: a review. </w:t>
      </w:r>
      <w:r w:rsidRPr="00346D5E">
        <w:rPr>
          <w:i/>
        </w:rPr>
        <w:t>Sci Total Environ</w:t>
      </w:r>
      <w:r w:rsidRPr="00346D5E">
        <w:t>,</w:t>
      </w:r>
      <w:r w:rsidRPr="00346D5E">
        <w:rPr>
          <w:i/>
        </w:rPr>
        <w:t xml:space="preserve"> 447</w:t>
      </w:r>
      <w:r w:rsidRPr="00346D5E">
        <w:t xml:space="preserve">, 345-360. </w:t>
      </w:r>
      <w:hyperlink r:id="rId263" w:history="1">
        <w:r w:rsidRPr="00346D5E">
          <w:rPr>
            <w:rStyle w:val="Hyperlink"/>
          </w:rPr>
          <w:t>https://doi.org/10.1016/j.scitotenv.2013.01.032</w:t>
        </w:r>
      </w:hyperlink>
      <w:r w:rsidRPr="00346D5E">
        <w:t xml:space="preserve"> </w:t>
      </w:r>
    </w:p>
    <w:p w14:paraId="3BA3A021" w14:textId="3E95404A" w:rsidR="00346D5E" w:rsidRPr="00346D5E" w:rsidRDefault="00346D5E" w:rsidP="00346D5E">
      <w:pPr>
        <w:pStyle w:val="EndNoteBibliography"/>
        <w:spacing w:after="0"/>
        <w:ind w:left="720" w:hanging="720"/>
      </w:pPr>
      <w:r w:rsidRPr="00346D5E">
        <w:t xml:space="preserve">Robinson, P., Schechter, M. S., Sly, P. D., Winfield, K., et al. (2012). Clarithromycin therapy for patients with cystic fibrosis: a randomized controlled trial. </w:t>
      </w:r>
      <w:r w:rsidRPr="00346D5E">
        <w:rPr>
          <w:i/>
        </w:rPr>
        <w:t>Pediatr Pulmonol</w:t>
      </w:r>
      <w:r w:rsidRPr="00346D5E">
        <w:t>,</w:t>
      </w:r>
      <w:r w:rsidRPr="00346D5E">
        <w:rPr>
          <w:i/>
        </w:rPr>
        <w:t xml:space="preserve"> 47</w:t>
      </w:r>
      <w:r w:rsidRPr="00346D5E">
        <w:t xml:space="preserve">(6), 551-557. </w:t>
      </w:r>
      <w:hyperlink r:id="rId264" w:history="1">
        <w:r w:rsidRPr="00346D5E">
          <w:rPr>
            <w:rStyle w:val="Hyperlink"/>
          </w:rPr>
          <w:t>https://doi.org/10.1002/ppul.21613</w:t>
        </w:r>
      </w:hyperlink>
      <w:r w:rsidRPr="00346D5E">
        <w:t xml:space="preserve"> </w:t>
      </w:r>
    </w:p>
    <w:p w14:paraId="4C89E8E6" w14:textId="3A58B3AF" w:rsidR="00346D5E" w:rsidRPr="00346D5E" w:rsidRDefault="00346D5E" w:rsidP="00346D5E">
      <w:pPr>
        <w:pStyle w:val="EndNoteBibliography"/>
        <w:spacing w:after="0"/>
        <w:ind w:left="720" w:hanging="720"/>
      </w:pPr>
      <w:r w:rsidRPr="00346D5E">
        <w:t xml:space="preserve">Rogers, G. B., Bruce, K. D., Martin, M. L., Burr, L. D., et al. (2014). The effect of long-term macrolide treatment on respiratory microbiota composition in non-cystic fibrosis bronchiectasis: an analysis from the randomised, double-blind, placebo-controlled BLESS trial. </w:t>
      </w:r>
      <w:r w:rsidRPr="00346D5E">
        <w:rPr>
          <w:i/>
        </w:rPr>
        <w:t>Lancet Respir Med</w:t>
      </w:r>
      <w:r w:rsidRPr="00346D5E">
        <w:t>,</w:t>
      </w:r>
      <w:r w:rsidRPr="00346D5E">
        <w:rPr>
          <w:i/>
        </w:rPr>
        <w:t xml:space="preserve"> 2</w:t>
      </w:r>
      <w:r w:rsidRPr="00346D5E">
        <w:t xml:space="preserve">(12), 988-996. </w:t>
      </w:r>
      <w:hyperlink r:id="rId265" w:history="1">
        <w:r w:rsidRPr="00346D5E">
          <w:rPr>
            <w:rStyle w:val="Hyperlink"/>
          </w:rPr>
          <w:t>https://doi.org/10.1016/s2213-2600(14)70213-9</w:t>
        </w:r>
      </w:hyperlink>
      <w:r w:rsidRPr="00346D5E">
        <w:t xml:space="preserve"> </w:t>
      </w:r>
    </w:p>
    <w:p w14:paraId="48A9CABB" w14:textId="6DCEFF8F" w:rsidR="00346D5E" w:rsidRPr="00346D5E" w:rsidRDefault="00346D5E" w:rsidP="00346D5E">
      <w:pPr>
        <w:pStyle w:val="EndNoteBibliography"/>
        <w:spacing w:after="0"/>
        <w:ind w:left="720" w:hanging="720"/>
      </w:pPr>
      <w:r w:rsidRPr="00346D5E">
        <w:t xml:space="preserve">Rose, M. A., Laurenz, M., Sprenger, R., Imöhl, M., et al. (2021). Nasopharyngeal Carriage in Children After the Introduction of Generalized Infant Pneumococcal Conjugate Vaccine Immunization in Germany [Original Research]. </w:t>
      </w:r>
      <w:r w:rsidRPr="00346D5E">
        <w:rPr>
          <w:i/>
        </w:rPr>
        <w:t>Frontiers in Medicine</w:t>
      </w:r>
      <w:r w:rsidRPr="00346D5E">
        <w:t>,</w:t>
      </w:r>
      <w:r w:rsidRPr="00346D5E">
        <w:rPr>
          <w:i/>
        </w:rPr>
        <w:t xml:space="preserve"> 8</w:t>
      </w:r>
      <w:r w:rsidRPr="00346D5E">
        <w:t xml:space="preserve">. </w:t>
      </w:r>
      <w:hyperlink r:id="rId266" w:history="1">
        <w:r w:rsidRPr="00346D5E">
          <w:rPr>
            <w:rStyle w:val="Hyperlink"/>
          </w:rPr>
          <w:t>https://doi.org/10.3389/fmed.2021.719481</w:t>
        </w:r>
      </w:hyperlink>
      <w:r w:rsidRPr="00346D5E">
        <w:t xml:space="preserve"> </w:t>
      </w:r>
    </w:p>
    <w:p w14:paraId="10BB6AFE" w14:textId="4E8D59CB" w:rsidR="00346D5E" w:rsidRPr="00346D5E" w:rsidRDefault="00346D5E" w:rsidP="00346D5E">
      <w:pPr>
        <w:pStyle w:val="EndNoteBibliography"/>
        <w:spacing w:after="0"/>
        <w:ind w:left="720" w:hanging="720"/>
      </w:pPr>
      <w:r w:rsidRPr="00346D5E">
        <w:lastRenderedPageBreak/>
        <w:t xml:space="preserve">Ruffles, T. J. C., Marchant, J. M., Masters, I. B., Yerkovich, S. T., et al. (2021). Outcomes of protracted bacterial bronchitis in children: A 5-year prospective cohort study. </w:t>
      </w:r>
      <w:r w:rsidRPr="00346D5E">
        <w:rPr>
          <w:i/>
        </w:rPr>
        <w:t>Respirology</w:t>
      </w:r>
      <w:r w:rsidRPr="00346D5E">
        <w:t>,</w:t>
      </w:r>
      <w:r w:rsidRPr="00346D5E">
        <w:rPr>
          <w:i/>
        </w:rPr>
        <w:t xml:space="preserve"> 26</w:t>
      </w:r>
      <w:r w:rsidRPr="00346D5E">
        <w:t xml:space="preserve">(3), 241-248. </w:t>
      </w:r>
      <w:hyperlink r:id="rId267" w:history="1">
        <w:r w:rsidRPr="00346D5E">
          <w:rPr>
            <w:rStyle w:val="Hyperlink"/>
          </w:rPr>
          <w:t>https://doi.org/10.1111/resp.13950</w:t>
        </w:r>
      </w:hyperlink>
      <w:r w:rsidRPr="00346D5E">
        <w:t xml:space="preserve"> </w:t>
      </w:r>
    </w:p>
    <w:p w14:paraId="17DAF5DD" w14:textId="073BE324" w:rsidR="00346D5E" w:rsidRPr="00346D5E" w:rsidRDefault="00346D5E" w:rsidP="00346D5E">
      <w:pPr>
        <w:pStyle w:val="EndNoteBibliography"/>
        <w:spacing w:after="0"/>
        <w:ind w:left="720" w:hanging="720"/>
      </w:pPr>
      <w:r w:rsidRPr="00346D5E">
        <w:t xml:space="preserve">Saiman, L., Anstead, M., Mayer-Hamblett, N., Lands, L. C., et al. (2010). Effect of azithromycin on pulmonary function in patients with cystic fibrosis uninfected with Pseudomonas aeruginosa: a randomized controlled trial. </w:t>
      </w:r>
      <w:r w:rsidRPr="00346D5E">
        <w:rPr>
          <w:i/>
        </w:rPr>
        <w:t>Jama</w:t>
      </w:r>
      <w:r w:rsidRPr="00346D5E">
        <w:t>,</w:t>
      </w:r>
      <w:r w:rsidRPr="00346D5E">
        <w:rPr>
          <w:i/>
        </w:rPr>
        <w:t xml:space="preserve"> 303</w:t>
      </w:r>
      <w:r w:rsidRPr="00346D5E">
        <w:t xml:space="preserve">(17), 1707-1715. </w:t>
      </w:r>
      <w:hyperlink r:id="rId268" w:history="1">
        <w:r w:rsidRPr="00346D5E">
          <w:rPr>
            <w:rStyle w:val="Hyperlink"/>
          </w:rPr>
          <w:t>https://doi.org/10.1001/jama.2010.563</w:t>
        </w:r>
      </w:hyperlink>
      <w:r w:rsidRPr="00346D5E">
        <w:t xml:space="preserve"> </w:t>
      </w:r>
    </w:p>
    <w:p w14:paraId="340DDA48" w14:textId="50282C90" w:rsidR="00346D5E" w:rsidRPr="00346D5E" w:rsidRDefault="00346D5E" w:rsidP="00346D5E">
      <w:pPr>
        <w:pStyle w:val="EndNoteBibliography"/>
        <w:spacing w:after="0"/>
        <w:ind w:left="720" w:hanging="720"/>
      </w:pPr>
      <w:r w:rsidRPr="00346D5E">
        <w:t xml:space="preserve">Sakwinska, O., Bastic Schmid, V., Berger, B., Bruttin, A., et al. (2014). Nasopharyngeal microbiota in healthy children and pneumonia patients. </w:t>
      </w:r>
      <w:r w:rsidRPr="00346D5E">
        <w:rPr>
          <w:i/>
        </w:rPr>
        <w:t>Journal of Clinical Microbiology</w:t>
      </w:r>
      <w:r w:rsidRPr="00346D5E">
        <w:t>,</w:t>
      </w:r>
      <w:r w:rsidRPr="00346D5E">
        <w:rPr>
          <w:i/>
        </w:rPr>
        <w:t xml:space="preserve"> 52</w:t>
      </w:r>
      <w:r w:rsidRPr="00346D5E">
        <w:t xml:space="preserve">(5), 1590-1594. </w:t>
      </w:r>
      <w:hyperlink r:id="rId269" w:history="1">
        <w:r w:rsidRPr="00346D5E">
          <w:rPr>
            <w:rStyle w:val="Hyperlink"/>
          </w:rPr>
          <w:t>https://doi.org/10.1128/JCM.03280-13</w:t>
        </w:r>
      </w:hyperlink>
      <w:r w:rsidRPr="00346D5E">
        <w:t xml:space="preserve"> </w:t>
      </w:r>
    </w:p>
    <w:p w14:paraId="30918E8E" w14:textId="77777777" w:rsidR="00346D5E" w:rsidRPr="00346D5E" w:rsidRDefault="00346D5E" w:rsidP="00346D5E">
      <w:pPr>
        <w:pStyle w:val="EndNoteBibliography"/>
        <w:spacing w:after="0"/>
        <w:ind w:left="720" w:hanging="720"/>
      </w:pPr>
      <w:r w:rsidRPr="00346D5E">
        <w:t xml:space="preserve">Saldana, J. (2015). The coding manual for qualitative researchers. (Sage publications) </w:t>
      </w:r>
    </w:p>
    <w:p w14:paraId="3CF5529C" w14:textId="1CB52DA8" w:rsidR="00346D5E" w:rsidRPr="00346D5E" w:rsidRDefault="00346D5E" w:rsidP="00346D5E">
      <w:pPr>
        <w:pStyle w:val="EndNoteBibliography"/>
        <w:spacing w:after="0"/>
        <w:ind w:left="720" w:hanging="720"/>
      </w:pPr>
      <w:r w:rsidRPr="00346D5E">
        <w:t xml:space="preserve">Salter, S. J., Cox, M. J., Turek, E. M., Calus, S. T., et al. (2014). Reagent and laboratory contamination can critically impact sequence-based microbiome analyses. </w:t>
      </w:r>
      <w:r w:rsidRPr="00346D5E">
        <w:rPr>
          <w:i/>
        </w:rPr>
        <w:t>BMC Biology</w:t>
      </w:r>
      <w:r w:rsidRPr="00346D5E">
        <w:t>,</w:t>
      </w:r>
      <w:r w:rsidRPr="00346D5E">
        <w:rPr>
          <w:i/>
        </w:rPr>
        <w:t xml:space="preserve"> 12</w:t>
      </w:r>
      <w:r w:rsidRPr="00346D5E">
        <w:t xml:space="preserve">(1), 87. </w:t>
      </w:r>
      <w:hyperlink r:id="rId270" w:history="1">
        <w:r w:rsidRPr="00346D5E">
          <w:rPr>
            <w:rStyle w:val="Hyperlink"/>
          </w:rPr>
          <w:t>https://doi.org/10.1186/s12915-014-0087-z</w:t>
        </w:r>
      </w:hyperlink>
      <w:r w:rsidRPr="00346D5E">
        <w:t xml:space="preserve"> </w:t>
      </w:r>
    </w:p>
    <w:p w14:paraId="79FFE278" w14:textId="242888E4" w:rsidR="00346D5E" w:rsidRPr="00346D5E" w:rsidRDefault="00346D5E" w:rsidP="00346D5E">
      <w:pPr>
        <w:pStyle w:val="EndNoteBibliography"/>
        <w:spacing w:after="0"/>
        <w:ind w:left="720" w:hanging="720"/>
      </w:pPr>
      <w:r w:rsidRPr="00346D5E">
        <w:t xml:space="preserve">Samson, C., Tamalet, A., Thien, H. V., Taytard, J., et al. (2016). Long-term effects of azithromycin in patients with cystic fibrosis. </w:t>
      </w:r>
      <w:r w:rsidRPr="00346D5E">
        <w:rPr>
          <w:i/>
        </w:rPr>
        <w:t>Respir Med</w:t>
      </w:r>
      <w:r w:rsidRPr="00346D5E">
        <w:t>,</w:t>
      </w:r>
      <w:r w:rsidRPr="00346D5E">
        <w:rPr>
          <w:i/>
        </w:rPr>
        <w:t xml:space="preserve"> 117</w:t>
      </w:r>
      <w:r w:rsidRPr="00346D5E">
        <w:t xml:space="preserve">, 1-6. </w:t>
      </w:r>
      <w:hyperlink r:id="rId271" w:history="1">
        <w:r w:rsidRPr="00346D5E">
          <w:rPr>
            <w:rStyle w:val="Hyperlink"/>
          </w:rPr>
          <w:t>https://doi.org/10.1016/j.rmed.2016.05.025</w:t>
        </w:r>
      </w:hyperlink>
      <w:r w:rsidRPr="00346D5E">
        <w:t xml:space="preserve"> </w:t>
      </w:r>
    </w:p>
    <w:p w14:paraId="3FA573F4" w14:textId="18C851B5" w:rsidR="00346D5E" w:rsidRPr="00346D5E" w:rsidRDefault="00346D5E" w:rsidP="00346D5E">
      <w:pPr>
        <w:pStyle w:val="EndNoteBibliography"/>
        <w:spacing w:after="0"/>
        <w:ind w:left="720" w:hanging="720"/>
      </w:pPr>
      <w:r w:rsidRPr="00346D5E">
        <w:t xml:space="preserve">Santer, M., Ring, N., Yardley, L., Geraghty, A. W. A., et al. (2014). Treatment non-adherence in pediatric long-term medical conditions: systematic review and synthesis of qualitative studies of caregivers' views. </w:t>
      </w:r>
      <w:r w:rsidRPr="00346D5E">
        <w:rPr>
          <w:i/>
        </w:rPr>
        <w:t>BMC pediatrics</w:t>
      </w:r>
      <w:r w:rsidRPr="00346D5E">
        <w:t>,</w:t>
      </w:r>
      <w:r w:rsidRPr="00346D5E">
        <w:rPr>
          <w:i/>
        </w:rPr>
        <w:t xml:space="preserve"> 14</w:t>
      </w:r>
      <w:r w:rsidRPr="00346D5E">
        <w:t xml:space="preserve">, 63-63. </w:t>
      </w:r>
      <w:hyperlink r:id="rId272" w:history="1">
        <w:r w:rsidRPr="00346D5E">
          <w:rPr>
            <w:rStyle w:val="Hyperlink"/>
          </w:rPr>
          <w:t>https://doi.org/10.1186/1471-2431-14-63</w:t>
        </w:r>
      </w:hyperlink>
      <w:r w:rsidRPr="00346D5E">
        <w:t xml:space="preserve"> </w:t>
      </w:r>
    </w:p>
    <w:p w14:paraId="0FB25155" w14:textId="6D52B63C" w:rsidR="00346D5E" w:rsidRPr="00346D5E" w:rsidRDefault="00346D5E" w:rsidP="00346D5E">
      <w:pPr>
        <w:pStyle w:val="EndNoteBibliography"/>
        <w:spacing w:after="0"/>
        <w:ind w:left="720" w:hanging="720"/>
      </w:pPr>
      <w:r w:rsidRPr="00346D5E">
        <w:t xml:space="preserve">Sawires, H., Abdelaziz, H., Ahmed, H. M., Botrous, O., et al. (2019). Randomized controlled trial on immunomodulatory effects of azithromycin in children with steroid-dependent nephrotic syndrome. </w:t>
      </w:r>
      <w:r w:rsidRPr="00346D5E">
        <w:rPr>
          <w:i/>
        </w:rPr>
        <w:t>Pediatr Nephrol</w:t>
      </w:r>
      <w:r w:rsidRPr="00346D5E">
        <w:t>,</w:t>
      </w:r>
      <w:r w:rsidRPr="00346D5E">
        <w:rPr>
          <w:i/>
        </w:rPr>
        <w:t xml:space="preserve"> 34</w:t>
      </w:r>
      <w:r w:rsidRPr="00346D5E">
        <w:t xml:space="preserve">(9), 1591-1597. </w:t>
      </w:r>
      <w:hyperlink r:id="rId273" w:history="1">
        <w:r w:rsidRPr="00346D5E">
          <w:rPr>
            <w:rStyle w:val="Hyperlink"/>
          </w:rPr>
          <w:t>https://doi.org/10.1007/s00467-019-04251-5</w:t>
        </w:r>
      </w:hyperlink>
      <w:r w:rsidRPr="00346D5E">
        <w:t xml:space="preserve"> </w:t>
      </w:r>
    </w:p>
    <w:p w14:paraId="5C002EA9" w14:textId="6E5A8B69" w:rsidR="00346D5E" w:rsidRPr="00346D5E" w:rsidRDefault="00346D5E" w:rsidP="00346D5E">
      <w:pPr>
        <w:pStyle w:val="EndNoteBibliography"/>
        <w:spacing w:after="0"/>
        <w:ind w:left="720" w:hanging="720"/>
      </w:pPr>
      <w:r w:rsidRPr="00346D5E">
        <w:t xml:space="preserve">Schroeder, M. R., &amp; Stephens, D. S. (2016). Macrolide Resistance in Streptococcus pneumoniae. </w:t>
      </w:r>
      <w:r w:rsidRPr="00346D5E">
        <w:rPr>
          <w:i/>
        </w:rPr>
        <w:t>Frontiers in cellular and infection microbiology</w:t>
      </w:r>
      <w:r w:rsidRPr="00346D5E">
        <w:t>,</w:t>
      </w:r>
      <w:r w:rsidRPr="00346D5E">
        <w:rPr>
          <w:i/>
        </w:rPr>
        <w:t xml:space="preserve"> 6</w:t>
      </w:r>
      <w:r w:rsidRPr="00346D5E">
        <w:t xml:space="preserve">, 98-98. </w:t>
      </w:r>
      <w:hyperlink r:id="rId274" w:history="1">
        <w:r w:rsidRPr="00346D5E">
          <w:rPr>
            <w:rStyle w:val="Hyperlink"/>
          </w:rPr>
          <w:t>https://doi.org/10.3389/fcimb.2016.00098</w:t>
        </w:r>
      </w:hyperlink>
      <w:r w:rsidRPr="00346D5E">
        <w:t xml:space="preserve"> </w:t>
      </w:r>
    </w:p>
    <w:p w14:paraId="278FD595" w14:textId="0FCACB7B" w:rsidR="00346D5E" w:rsidRPr="00346D5E" w:rsidRDefault="00346D5E" w:rsidP="00346D5E">
      <w:pPr>
        <w:pStyle w:val="EndNoteBibliography"/>
        <w:spacing w:after="0"/>
        <w:ind w:left="720" w:hanging="720"/>
      </w:pPr>
      <w:r w:rsidRPr="00346D5E">
        <w:t xml:space="preserve">Segal, L. N., Clemente, J. C., Wu, B. G., Wikoff, W. R., et al. (2017). Randomised, double-blind, placebo-controlled trial with azithromycin selects for anti-inflammatory microbial metabolites in the emphysematous lung. </w:t>
      </w:r>
      <w:r w:rsidRPr="00346D5E">
        <w:rPr>
          <w:i/>
        </w:rPr>
        <w:t>Thorax</w:t>
      </w:r>
      <w:r w:rsidRPr="00346D5E">
        <w:t>,</w:t>
      </w:r>
      <w:r w:rsidRPr="00346D5E">
        <w:rPr>
          <w:i/>
        </w:rPr>
        <w:t xml:space="preserve"> 72</w:t>
      </w:r>
      <w:r w:rsidRPr="00346D5E">
        <w:t xml:space="preserve">(1), 13-22. </w:t>
      </w:r>
      <w:hyperlink r:id="rId275" w:history="1">
        <w:r w:rsidRPr="00346D5E">
          <w:rPr>
            <w:rStyle w:val="Hyperlink"/>
          </w:rPr>
          <w:t>https://doi.org/10.1136/thoraxjnl-2016-208599</w:t>
        </w:r>
      </w:hyperlink>
      <w:r w:rsidRPr="00346D5E">
        <w:t xml:space="preserve"> </w:t>
      </w:r>
    </w:p>
    <w:p w14:paraId="5D72DD81" w14:textId="60ABCD0F" w:rsidR="00346D5E" w:rsidRPr="00346D5E" w:rsidRDefault="00346D5E" w:rsidP="00346D5E">
      <w:pPr>
        <w:pStyle w:val="EndNoteBibliography"/>
        <w:spacing w:after="0"/>
        <w:ind w:left="720" w:hanging="720"/>
      </w:pPr>
      <w:r w:rsidRPr="00346D5E">
        <w:t xml:space="preserve">Serisier, D. J., Martin, M. L., McGuckin, M. A., Lourie, R., et al. (2013). Effect of long-term, low-dose erythromycin on pulmonary exacerbations among patients with non-cystic fibrosis bronchiectasis: the BLESS randomized controlled trial. </w:t>
      </w:r>
      <w:r w:rsidRPr="00346D5E">
        <w:rPr>
          <w:i/>
        </w:rPr>
        <w:t>Jama</w:t>
      </w:r>
      <w:r w:rsidRPr="00346D5E">
        <w:t>,</w:t>
      </w:r>
      <w:r w:rsidRPr="00346D5E">
        <w:rPr>
          <w:i/>
        </w:rPr>
        <w:t xml:space="preserve"> 309</w:t>
      </w:r>
      <w:r w:rsidRPr="00346D5E">
        <w:t xml:space="preserve">(12), 1260-1267. </w:t>
      </w:r>
      <w:hyperlink r:id="rId276" w:history="1">
        <w:r w:rsidRPr="00346D5E">
          <w:rPr>
            <w:rStyle w:val="Hyperlink"/>
          </w:rPr>
          <w:t>https://doi.org/10.1001/jama.2013.2290</w:t>
        </w:r>
      </w:hyperlink>
      <w:r w:rsidRPr="00346D5E">
        <w:t xml:space="preserve"> </w:t>
      </w:r>
    </w:p>
    <w:p w14:paraId="65AF7FC5" w14:textId="77777777" w:rsidR="00346D5E" w:rsidRPr="00346D5E" w:rsidRDefault="00346D5E" w:rsidP="00346D5E">
      <w:pPr>
        <w:pStyle w:val="EndNoteBibliography"/>
        <w:spacing w:after="0"/>
        <w:ind w:left="720" w:hanging="720"/>
      </w:pPr>
      <w:r w:rsidRPr="00346D5E">
        <w:t xml:space="preserve">Shields MD, B. A., Everard ML et al,. (2008). Recommendations for the assessment and management of cough in children. </w:t>
      </w:r>
      <w:r w:rsidRPr="00346D5E">
        <w:rPr>
          <w:i/>
        </w:rPr>
        <w:t>Thorax</w:t>
      </w:r>
      <w:r w:rsidRPr="00346D5E">
        <w:t xml:space="preserve">, 63:iii61-iii15. </w:t>
      </w:r>
    </w:p>
    <w:p w14:paraId="41DE304F" w14:textId="04F5F4C9" w:rsidR="00346D5E" w:rsidRPr="00346D5E" w:rsidRDefault="00346D5E" w:rsidP="00346D5E">
      <w:pPr>
        <w:pStyle w:val="EndNoteBibliography"/>
        <w:spacing w:after="0"/>
        <w:ind w:left="720" w:hanging="720"/>
      </w:pPr>
      <w:r w:rsidRPr="00346D5E">
        <w:t xml:space="preserve">Silveira, C. B., Cobián-Güemes, A. G., Uranga, C., Baker, J. L., et al. (2021). Multi-Omics Study of Keystone Species in a Cystic Fibrosis Microbiome. </w:t>
      </w:r>
      <w:r w:rsidRPr="00346D5E">
        <w:rPr>
          <w:i/>
        </w:rPr>
        <w:t>International journal of molecular sciences</w:t>
      </w:r>
      <w:r w:rsidRPr="00346D5E">
        <w:t>,</w:t>
      </w:r>
      <w:r w:rsidRPr="00346D5E">
        <w:rPr>
          <w:i/>
        </w:rPr>
        <w:t xml:space="preserve"> 22</w:t>
      </w:r>
      <w:r w:rsidRPr="00346D5E">
        <w:t xml:space="preserve">(21), 12050. </w:t>
      </w:r>
      <w:hyperlink r:id="rId277" w:history="1">
        <w:r w:rsidRPr="00346D5E">
          <w:rPr>
            <w:rStyle w:val="Hyperlink"/>
          </w:rPr>
          <w:t>https://doi.org/10.3390/ijms222112050</w:t>
        </w:r>
      </w:hyperlink>
      <w:r w:rsidRPr="00346D5E">
        <w:t xml:space="preserve"> </w:t>
      </w:r>
    </w:p>
    <w:p w14:paraId="2CB8AFD8" w14:textId="77777777" w:rsidR="00346D5E" w:rsidRPr="00346D5E" w:rsidRDefault="00346D5E" w:rsidP="00346D5E">
      <w:pPr>
        <w:pStyle w:val="EndNoteBibliography"/>
        <w:spacing w:after="0"/>
        <w:ind w:left="720" w:hanging="720"/>
      </w:pPr>
      <w:r w:rsidRPr="00346D5E">
        <w:t xml:space="preserve">Singlas, E. (1995). [Clinical pharmacokinetics of azithromycin]. </w:t>
      </w:r>
      <w:r w:rsidRPr="00346D5E">
        <w:rPr>
          <w:i/>
        </w:rPr>
        <w:t>Pathol Biol (Paris)</w:t>
      </w:r>
      <w:r w:rsidRPr="00346D5E">
        <w:t>,</w:t>
      </w:r>
      <w:r w:rsidRPr="00346D5E">
        <w:rPr>
          <w:i/>
        </w:rPr>
        <w:t xml:space="preserve"> 43</w:t>
      </w:r>
      <w:r w:rsidRPr="00346D5E">
        <w:t xml:space="preserve">(6), 505-511. (Pharmacocinetique clinique de l'azithromycine.) </w:t>
      </w:r>
    </w:p>
    <w:p w14:paraId="04CE139C" w14:textId="05F43897" w:rsidR="00346D5E" w:rsidRPr="00346D5E" w:rsidRDefault="00346D5E" w:rsidP="00346D5E">
      <w:pPr>
        <w:pStyle w:val="EndNoteBibliography"/>
        <w:spacing w:after="0"/>
        <w:ind w:left="720" w:hanging="720"/>
      </w:pPr>
      <w:r w:rsidRPr="00346D5E">
        <w:t xml:space="preserve">Slater, M., Rivett, D. W., Williams, L., Martin, M., et al. (2014). The impact of azithromycin therapy on the airway microbiota in asthma. </w:t>
      </w:r>
      <w:r w:rsidRPr="00346D5E">
        <w:rPr>
          <w:i/>
        </w:rPr>
        <w:t>Thorax</w:t>
      </w:r>
      <w:r w:rsidRPr="00346D5E">
        <w:t>,</w:t>
      </w:r>
      <w:r w:rsidRPr="00346D5E">
        <w:rPr>
          <w:i/>
        </w:rPr>
        <w:t xml:space="preserve"> 69</w:t>
      </w:r>
      <w:r w:rsidRPr="00346D5E">
        <w:t xml:space="preserve">(7), 673-674. </w:t>
      </w:r>
      <w:hyperlink r:id="rId278" w:history="1">
        <w:r w:rsidRPr="00346D5E">
          <w:rPr>
            <w:rStyle w:val="Hyperlink"/>
          </w:rPr>
          <w:t>https://doi.org/10.1136/thoraxjnl-2013-204517</w:t>
        </w:r>
      </w:hyperlink>
      <w:r w:rsidRPr="00346D5E">
        <w:t xml:space="preserve"> </w:t>
      </w:r>
    </w:p>
    <w:p w14:paraId="4A15AC56" w14:textId="6C9789DE" w:rsidR="00346D5E" w:rsidRPr="00346D5E" w:rsidRDefault="00346D5E" w:rsidP="00346D5E">
      <w:pPr>
        <w:pStyle w:val="EndNoteBibliography"/>
        <w:spacing w:after="0"/>
        <w:ind w:left="720" w:hanging="720"/>
      </w:pPr>
      <w:r w:rsidRPr="00346D5E">
        <w:t xml:space="preserve">Smith, A., &amp; Klugman, K. (2001). Alterations in MurM, a cell wall muropeptide branching enzyme, increase high-level penicillin and cephalosporin resistance in Streptococcus pneumoniae. </w:t>
      </w:r>
      <w:r w:rsidRPr="00346D5E">
        <w:rPr>
          <w:i/>
        </w:rPr>
        <w:t>Antimicrob Agents Chemother</w:t>
      </w:r>
      <w:r w:rsidRPr="00346D5E">
        <w:t>,</w:t>
      </w:r>
      <w:r w:rsidRPr="00346D5E">
        <w:rPr>
          <w:i/>
        </w:rPr>
        <w:t xml:space="preserve"> 45</w:t>
      </w:r>
      <w:r w:rsidRPr="00346D5E">
        <w:t xml:space="preserve">(8), 2393-2396. </w:t>
      </w:r>
      <w:hyperlink r:id="rId279" w:history="1">
        <w:r w:rsidRPr="00346D5E">
          <w:rPr>
            <w:rStyle w:val="Hyperlink"/>
          </w:rPr>
          <w:t>https://doi.org/10.1128/aac.45.8.2393-2396.2001</w:t>
        </w:r>
      </w:hyperlink>
      <w:r w:rsidRPr="00346D5E">
        <w:t xml:space="preserve"> </w:t>
      </w:r>
    </w:p>
    <w:p w14:paraId="6760D4E1" w14:textId="64B132D0" w:rsidR="00346D5E" w:rsidRPr="00346D5E" w:rsidRDefault="00346D5E" w:rsidP="00346D5E">
      <w:pPr>
        <w:pStyle w:val="EndNoteBibliography"/>
        <w:spacing w:after="0"/>
        <w:ind w:left="720" w:hanging="720"/>
      </w:pPr>
      <w:r w:rsidRPr="00346D5E">
        <w:t xml:space="preserve">Smith, D., Du Rand, I., Addy, C. L., Collyns, T., et al. (2020). British Thoracic Society guideline for the use of long-term macrolides in adults with respiratory disease. </w:t>
      </w:r>
      <w:r w:rsidRPr="00346D5E">
        <w:rPr>
          <w:i/>
        </w:rPr>
        <w:t>Thorax</w:t>
      </w:r>
      <w:r w:rsidRPr="00346D5E">
        <w:t>,</w:t>
      </w:r>
      <w:r w:rsidRPr="00346D5E">
        <w:rPr>
          <w:i/>
        </w:rPr>
        <w:t xml:space="preserve"> 75</w:t>
      </w:r>
      <w:r w:rsidRPr="00346D5E">
        <w:t xml:space="preserve">(5), 370-404. </w:t>
      </w:r>
      <w:hyperlink r:id="rId280" w:history="1">
        <w:r w:rsidRPr="00346D5E">
          <w:rPr>
            <w:rStyle w:val="Hyperlink"/>
          </w:rPr>
          <w:t>https://doi.org/10.1136/thoraxjnl-2019-213929</w:t>
        </w:r>
      </w:hyperlink>
      <w:r w:rsidRPr="00346D5E">
        <w:t xml:space="preserve"> </w:t>
      </w:r>
    </w:p>
    <w:p w14:paraId="008FF09D" w14:textId="0E390B36" w:rsidR="00346D5E" w:rsidRPr="00346D5E" w:rsidRDefault="00346D5E" w:rsidP="00346D5E">
      <w:pPr>
        <w:pStyle w:val="EndNoteBibliography"/>
        <w:spacing w:after="0"/>
        <w:ind w:left="720" w:hanging="720"/>
      </w:pPr>
      <w:r w:rsidRPr="00346D5E">
        <w:lastRenderedPageBreak/>
        <w:t xml:space="preserve">Smith, J. F., A. (1999). Antimicrobial prophylaxis. </w:t>
      </w:r>
      <w:r w:rsidRPr="00346D5E">
        <w:rPr>
          <w:i/>
        </w:rPr>
        <w:t>Archives of Disease in Childhood</w:t>
      </w:r>
      <w:r w:rsidRPr="00346D5E">
        <w:t>,</w:t>
      </w:r>
      <w:r w:rsidRPr="00346D5E">
        <w:rPr>
          <w:i/>
        </w:rPr>
        <w:t xml:space="preserve"> 80</w:t>
      </w:r>
      <w:r w:rsidRPr="00346D5E">
        <w:t xml:space="preserve">(4), 388. </w:t>
      </w:r>
      <w:hyperlink r:id="rId281" w:history="1">
        <w:r w:rsidRPr="00346D5E">
          <w:rPr>
            <w:rStyle w:val="Hyperlink"/>
          </w:rPr>
          <w:t>https://doi.org/10.1136/adc.80.4.388</w:t>
        </w:r>
      </w:hyperlink>
      <w:r w:rsidRPr="00346D5E">
        <w:t xml:space="preserve"> </w:t>
      </w:r>
    </w:p>
    <w:p w14:paraId="1E2A08FB" w14:textId="77777777" w:rsidR="00346D5E" w:rsidRPr="00346D5E" w:rsidRDefault="00346D5E" w:rsidP="00346D5E">
      <w:pPr>
        <w:pStyle w:val="EndNoteBibliography"/>
        <w:spacing w:after="0"/>
        <w:ind w:left="720" w:hanging="720"/>
      </w:pPr>
      <w:r w:rsidRPr="00346D5E">
        <w:t xml:space="preserve">Smith, J. F., P; Larkin, M. (2009). Interpretative phenomenological analysis: theory, method and research [Book]. (Sage publications) </w:t>
      </w:r>
    </w:p>
    <w:p w14:paraId="24BC62F5" w14:textId="0D4FCAFE" w:rsidR="00346D5E" w:rsidRPr="00346D5E" w:rsidRDefault="00346D5E" w:rsidP="00346D5E">
      <w:pPr>
        <w:pStyle w:val="EndNoteBibliography"/>
        <w:spacing w:after="0"/>
        <w:ind w:left="720" w:hanging="720"/>
      </w:pPr>
      <w:r w:rsidRPr="00346D5E">
        <w:t xml:space="preserve">Southern, J., Andrews, N., Sandu, P., Sheppard, C. L., et al. (2018). Pneumococcal carriage in children and their household contacts six years after introduction of the 13-valent pneumococcal conjugate vaccine in England. </w:t>
      </w:r>
      <w:r w:rsidRPr="00346D5E">
        <w:rPr>
          <w:i/>
        </w:rPr>
        <w:t>PLoS One</w:t>
      </w:r>
      <w:r w:rsidRPr="00346D5E">
        <w:t>,</w:t>
      </w:r>
      <w:r w:rsidRPr="00346D5E">
        <w:rPr>
          <w:i/>
        </w:rPr>
        <w:t xml:space="preserve"> 13</w:t>
      </w:r>
      <w:r w:rsidRPr="00346D5E">
        <w:t xml:space="preserve">(5), e0195799-e0195799. </w:t>
      </w:r>
      <w:hyperlink r:id="rId282" w:history="1">
        <w:r w:rsidRPr="00346D5E">
          <w:rPr>
            <w:rStyle w:val="Hyperlink"/>
          </w:rPr>
          <w:t>https://doi.org/10.1371/journal.pone.0195799</w:t>
        </w:r>
      </w:hyperlink>
      <w:r w:rsidRPr="00346D5E">
        <w:t xml:space="preserve"> </w:t>
      </w:r>
    </w:p>
    <w:p w14:paraId="4145C916" w14:textId="03F95DD0" w:rsidR="00346D5E" w:rsidRPr="00346D5E" w:rsidRDefault="00346D5E" w:rsidP="00346D5E">
      <w:pPr>
        <w:pStyle w:val="EndNoteBibliography"/>
        <w:spacing w:after="0"/>
        <w:ind w:left="720" w:hanging="720"/>
      </w:pPr>
      <w:r w:rsidRPr="00346D5E">
        <w:t xml:space="preserve">Southern, K. W., Barker, P. M., Solis-Moya, A., &amp; Patel, L. (2012). Macrolide antibiotics for cystic fibrosis. </w:t>
      </w:r>
      <w:r w:rsidRPr="00346D5E">
        <w:rPr>
          <w:i/>
        </w:rPr>
        <w:t>Cochrane Database Syst Rev</w:t>
      </w:r>
      <w:r w:rsidRPr="00346D5E">
        <w:t>,</w:t>
      </w:r>
      <w:r w:rsidRPr="00346D5E">
        <w:rPr>
          <w:i/>
        </w:rPr>
        <w:t xml:space="preserve"> 11</w:t>
      </w:r>
      <w:r w:rsidRPr="00346D5E">
        <w:t xml:space="preserve">(11), Cd002203. </w:t>
      </w:r>
      <w:hyperlink r:id="rId283" w:history="1">
        <w:r w:rsidRPr="00346D5E">
          <w:rPr>
            <w:rStyle w:val="Hyperlink"/>
          </w:rPr>
          <w:t>https://doi.org/10.1002/14651858.CD002203.pub4</w:t>
        </w:r>
      </w:hyperlink>
      <w:r w:rsidRPr="00346D5E">
        <w:t xml:space="preserve"> </w:t>
      </w:r>
    </w:p>
    <w:p w14:paraId="4EBB8532" w14:textId="087CE4AB" w:rsidR="00346D5E" w:rsidRPr="00346D5E" w:rsidRDefault="00346D5E" w:rsidP="00346D5E">
      <w:pPr>
        <w:pStyle w:val="EndNoteBibliography"/>
        <w:spacing w:after="0"/>
        <w:ind w:left="720" w:hanging="720"/>
      </w:pPr>
      <w:r w:rsidRPr="00346D5E">
        <w:t xml:space="preserve">Southern, K. W., Barker, P. M., Solis‐Moya, A., &amp; Patel, L. (2012). Macrolide antibiotics for cystic fibrosis. </w:t>
      </w:r>
      <w:r w:rsidRPr="00346D5E">
        <w:rPr>
          <w:i/>
        </w:rPr>
        <w:t>Cochrane Database of Systematic Reviews</w:t>
      </w:r>
      <w:r w:rsidRPr="00346D5E">
        <w:t xml:space="preserve">(11). </w:t>
      </w:r>
      <w:hyperlink r:id="rId284" w:history="1">
        <w:r w:rsidRPr="00346D5E">
          <w:rPr>
            <w:rStyle w:val="Hyperlink"/>
          </w:rPr>
          <w:t>https://doi.org/10.1002/14651858.CD002203.pub4</w:t>
        </w:r>
      </w:hyperlink>
      <w:r w:rsidRPr="00346D5E">
        <w:t xml:space="preserve"> </w:t>
      </w:r>
    </w:p>
    <w:p w14:paraId="668884FF" w14:textId="6DA5F30B" w:rsidR="00346D5E" w:rsidRPr="00346D5E" w:rsidRDefault="00346D5E" w:rsidP="00346D5E">
      <w:pPr>
        <w:pStyle w:val="EndNoteBibliography"/>
        <w:spacing w:after="0"/>
        <w:ind w:left="720" w:hanging="720"/>
      </w:pPr>
      <w:r w:rsidRPr="00346D5E">
        <w:t xml:space="preserve">Stevens, E., Morse, D. J., Bonini, D., Duggan, S., et al. (2020). Targeted control of toxin production by a mobile genetic element in &lt;em&gt;Streptococcus pneumoniae&lt;/em&gt;. </w:t>
      </w:r>
      <w:r w:rsidRPr="00346D5E">
        <w:rPr>
          <w:i/>
        </w:rPr>
        <w:t>bioRxiv</w:t>
      </w:r>
      <w:r w:rsidRPr="00346D5E">
        <w:t xml:space="preserve">, 2020.2006.2016.154153. </w:t>
      </w:r>
      <w:hyperlink r:id="rId285" w:history="1">
        <w:r w:rsidRPr="00346D5E">
          <w:rPr>
            <w:rStyle w:val="Hyperlink"/>
          </w:rPr>
          <w:t>https://doi.org/10.1101/2020.06.16.154153</w:t>
        </w:r>
      </w:hyperlink>
      <w:r w:rsidRPr="00346D5E">
        <w:t xml:space="preserve"> </w:t>
      </w:r>
    </w:p>
    <w:p w14:paraId="046AAE3D" w14:textId="6D2DCE9B" w:rsidR="00346D5E" w:rsidRPr="00346D5E" w:rsidRDefault="00346D5E" w:rsidP="00346D5E">
      <w:pPr>
        <w:pStyle w:val="EndNoteBibliography"/>
        <w:spacing w:after="0"/>
        <w:ind w:left="720" w:hanging="720"/>
      </w:pPr>
      <w:r w:rsidRPr="00346D5E">
        <w:t xml:space="preserve">Stick, S. M., Foti, A., Ware, R. S., Tiddens, H., et al. (2022). The effect of azithromycin on structural lung disease in infants with cystic fibrosis (COMBAT CF): a phase 3, randomised, double-blind, placebo-controlled clinical trial. </w:t>
      </w:r>
      <w:r w:rsidRPr="00346D5E">
        <w:rPr>
          <w:i/>
        </w:rPr>
        <w:t>Lancet Respir Med</w:t>
      </w:r>
      <w:r w:rsidRPr="00346D5E">
        <w:t>,</w:t>
      </w:r>
      <w:r w:rsidRPr="00346D5E">
        <w:rPr>
          <w:i/>
        </w:rPr>
        <w:t xml:space="preserve"> 10</w:t>
      </w:r>
      <w:r w:rsidRPr="00346D5E">
        <w:t xml:space="preserve">(8), 776-784. </w:t>
      </w:r>
      <w:hyperlink r:id="rId286" w:history="1">
        <w:r w:rsidRPr="00346D5E">
          <w:rPr>
            <w:rStyle w:val="Hyperlink"/>
          </w:rPr>
          <w:t>https://doi.org/10.1016/s2213-2600(22)00165-5</w:t>
        </w:r>
      </w:hyperlink>
      <w:r w:rsidRPr="00346D5E">
        <w:t xml:space="preserve"> </w:t>
      </w:r>
    </w:p>
    <w:p w14:paraId="4318A5A0" w14:textId="439BB92A" w:rsidR="00346D5E" w:rsidRPr="00346D5E" w:rsidRDefault="00346D5E" w:rsidP="00346D5E">
      <w:pPr>
        <w:pStyle w:val="EndNoteBibliography"/>
        <w:spacing w:after="0"/>
        <w:ind w:left="720" w:hanging="720"/>
      </w:pPr>
      <w:r w:rsidRPr="00346D5E">
        <w:t xml:space="preserve">Subramanian, S., Huq, S., Yatsunenko, T., Haque, R., et al. (2014). Persistent gut microbiota immaturity in malnourished Bangladeshi children. </w:t>
      </w:r>
      <w:r w:rsidRPr="00346D5E">
        <w:rPr>
          <w:i/>
        </w:rPr>
        <w:t>Nature</w:t>
      </w:r>
      <w:r w:rsidRPr="00346D5E">
        <w:t>,</w:t>
      </w:r>
      <w:r w:rsidRPr="00346D5E">
        <w:rPr>
          <w:i/>
        </w:rPr>
        <w:t xml:space="preserve"> 510</w:t>
      </w:r>
      <w:r w:rsidRPr="00346D5E">
        <w:t xml:space="preserve">(7505), 417-421. </w:t>
      </w:r>
      <w:hyperlink r:id="rId287" w:history="1">
        <w:r w:rsidRPr="00346D5E">
          <w:rPr>
            <w:rStyle w:val="Hyperlink"/>
          </w:rPr>
          <w:t>https://doi.org/10.1038/nature13421</w:t>
        </w:r>
      </w:hyperlink>
      <w:r w:rsidRPr="00346D5E">
        <w:t xml:space="preserve"> </w:t>
      </w:r>
    </w:p>
    <w:p w14:paraId="28DAE897" w14:textId="45FE3496" w:rsidR="00346D5E" w:rsidRPr="00346D5E" w:rsidRDefault="00346D5E" w:rsidP="00346D5E">
      <w:pPr>
        <w:pStyle w:val="EndNoteBibliography"/>
        <w:spacing w:after="0"/>
        <w:ind w:left="720" w:hanging="720"/>
      </w:pPr>
      <w:r w:rsidRPr="00346D5E">
        <w:t xml:space="preserve">Szymczak, J. E., Klieger, S. B., Miller, M., Fiks, A. G., et al. (2018). What Parents Think About the Risks and Benefits of Antibiotics for Their Child's Acute Respiratory Tract Infection. </w:t>
      </w:r>
      <w:r w:rsidRPr="00346D5E">
        <w:rPr>
          <w:i/>
        </w:rPr>
        <w:t>J Pediatric Infect Dis Soc</w:t>
      </w:r>
      <w:r w:rsidRPr="00346D5E">
        <w:t>,</w:t>
      </w:r>
      <w:r w:rsidRPr="00346D5E">
        <w:rPr>
          <w:i/>
        </w:rPr>
        <w:t xml:space="preserve"> 7</w:t>
      </w:r>
      <w:r w:rsidRPr="00346D5E">
        <w:t xml:space="preserve">(4), 303-309. </w:t>
      </w:r>
      <w:hyperlink r:id="rId288" w:history="1">
        <w:r w:rsidRPr="00346D5E">
          <w:rPr>
            <w:rStyle w:val="Hyperlink"/>
          </w:rPr>
          <w:t>https://doi.org/10.1093/jpids/pix073</w:t>
        </w:r>
      </w:hyperlink>
      <w:r w:rsidRPr="00346D5E">
        <w:t xml:space="preserve"> </w:t>
      </w:r>
    </w:p>
    <w:p w14:paraId="16B37D8D" w14:textId="3EAB0EA0" w:rsidR="00346D5E" w:rsidRPr="00346D5E" w:rsidRDefault="00346D5E" w:rsidP="00346D5E">
      <w:pPr>
        <w:pStyle w:val="EndNoteBibliography"/>
        <w:spacing w:after="0"/>
        <w:ind w:left="720" w:hanging="720"/>
      </w:pPr>
      <w:r w:rsidRPr="00346D5E">
        <w:t xml:space="preserve">T Hill, A., L Sullivan, A., D Chalmers, J., De Soyza, A., et al. (2019). British Thoracic Society Guideline for bronchiectasis in adults. </w:t>
      </w:r>
      <w:r w:rsidRPr="00346D5E">
        <w:rPr>
          <w:i/>
        </w:rPr>
        <w:t>Thorax</w:t>
      </w:r>
      <w:r w:rsidRPr="00346D5E">
        <w:t>,</w:t>
      </w:r>
      <w:r w:rsidRPr="00346D5E">
        <w:rPr>
          <w:i/>
        </w:rPr>
        <w:t xml:space="preserve"> 74</w:t>
      </w:r>
      <w:r w:rsidRPr="00346D5E">
        <w:t xml:space="preserve">(Suppl 1), 1-69. </w:t>
      </w:r>
      <w:hyperlink r:id="rId289" w:history="1">
        <w:r w:rsidRPr="00346D5E">
          <w:rPr>
            <w:rStyle w:val="Hyperlink"/>
          </w:rPr>
          <w:t>https://doi.org/10.1136/thoraxjnl-2018-212463</w:t>
        </w:r>
      </w:hyperlink>
      <w:r w:rsidRPr="00346D5E">
        <w:t xml:space="preserve"> </w:t>
      </w:r>
    </w:p>
    <w:p w14:paraId="73FF1E64" w14:textId="123FF706" w:rsidR="00346D5E" w:rsidRPr="00346D5E" w:rsidRDefault="00346D5E" w:rsidP="00346D5E">
      <w:pPr>
        <w:pStyle w:val="EndNoteBibliography"/>
        <w:spacing w:after="0"/>
        <w:ind w:left="720" w:hanging="720"/>
      </w:pPr>
      <w:r w:rsidRPr="00346D5E">
        <w:t xml:space="preserve">Taylor, L. (2021). Covid-19: Antimicrobial misuse in Americas sees drug resistant infections surge, says WHO. </w:t>
      </w:r>
      <w:r w:rsidRPr="00346D5E">
        <w:rPr>
          <w:i/>
        </w:rPr>
        <w:t>BMJ</w:t>
      </w:r>
      <w:r w:rsidRPr="00346D5E">
        <w:t>,</w:t>
      </w:r>
      <w:r w:rsidRPr="00346D5E">
        <w:rPr>
          <w:i/>
        </w:rPr>
        <w:t xml:space="preserve"> 375</w:t>
      </w:r>
      <w:r w:rsidRPr="00346D5E">
        <w:t xml:space="preserve">, n2845. </w:t>
      </w:r>
      <w:hyperlink r:id="rId290" w:history="1">
        <w:r w:rsidRPr="00346D5E">
          <w:rPr>
            <w:rStyle w:val="Hyperlink"/>
          </w:rPr>
          <w:t>https://doi.org/10.1136/bmj.n2845</w:t>
        </w:r>
      </w:hyperlink>
      <w:r w:rsidRPr="00346D5E">
        <w:t xml:space="preserve"> </w:t>
      </w:r>
    </w:p>
    <w:p w14:paraId="0C29C12F" w14:textId="37D3BAE2" w:rsidR="00346D5E" w:rsidRPr="00346D5E" w:rsidRDefault="00346D5E" w:rsidP="00346D5E">
      <w:pPr>
        <w:pStyle w:val="EndNoteBibliography"/>
        <w:spacing w:after="0"/>
        <w:ind w:left="720" w:hanging="720"/>
      </w:pPr>
      <w:r w:rsidRPr="00346D5E">
        <w:t xml:space="preserve">Taylor, S. L., Leong, L. E. X., Mobegi, F. M., Choo, J. M., et al. (2019). Long-Term Azithromycin Reduces Haemophilus influenzae and Increases Antibiotic Resistance in Severe Asthma. </w:t>
      </w:r>
      <w:r w:rsidRPr="00346D5E">
        <w:rPr>
          <w:i/>
        </w:rPr>
        <w:t>Am J Respir Crit Care Med</w:t>
      </w:r>
      <w:r w:rsidRPr="00346D5E">
        <w:t>,</w:t>
      </w:r>
      <w:r w:rsidRPr="00346D5E">
        <w:rPr>
          <w:i/>
        </w:rPr>
        <w:t xml:space="preserve"> 200</w:t>
      </w:r>
      <w:r w:rsidRPr="00346D5E">
        <w:t xml:space="preserve">(3), 309-317. </w:t>
      </w:r>
      <w:hyperlink r:id="rId291" w:history="1">
        <w:r w:rsidRPr="00346D5E">
          <w:rPr>
            <w:rStyle w:val="Hyperlink"/>
          </w:rPr>
          <w:t>https://doi.org/10.1164/rccm.201809-1739OC</w:t>
        </w:r>
      </w:hyperlink>
      <w:r w:rsidRPr="00346D5E">
        <w:t xml:space="preserve"> </w:t>
      </w:r>
    </w:p>
    <w:p w14:paraId="0C457990" w14:textId="31CAD2C1" w:rsidR="00346D5E" w:rsidRPr="00346D5E" w:rsidRDefault="00346D5E" w:rsidP="00346D5E">
      <w:pPr>
        <w:pStyle w:val="EndNoteBibliography"/>
        <w:spacing w:after="0"/>
        <w:ind w:left="720" w:hanging="720"/>
      </w:pPr>
      <w:r w:rsidRPr="00346D5E">
        <w:t xml:space="preserve">Teo, Shu M., Mok, D., Pham, K., Kusel, M., et al. (2015). The Infant Nasopharyngeal Microbiome Impacts Severity of Lower Respiratory Infection and Risk of Asthma Development. </w:t>
      </w:r>
      <w:r w:rsidRPr="00346D5E">
        <w:rPr>
          <w:i/>
        </w:rPr>
        <w:t>Cell Host &amp; Microbe</w:t>
      </w:r>
      <w:r w:rsidRPr="00346D5E">
        <w:t>,</w:t>
      </w:r>
      <w:r w:rsidRPr="00346D5E">
        <w:rPr>
          <w:i/>
        </w:rPr>
        <w:t xml:space="preserve"> 17</w:t>
      </w:r>
      <w:r w:rsidRPr="00346D5E">
        <w:t xml:space="preserve">(5), 704-715. </w:t>
      </w:r>
      <w:hyperlink r:id="rId292" w:history="1">
        <w:r w:rsidRPr="00346D5E">
          <w:rPr>
            <w:rStyle w:val="Hyperlink"/>
          </w:rPr>
          <w:t>https://doi.org/https://doi.org/10.1016/j.chom.2015.03.008</w:t>
        </w:r>
      </w:hyperlink>
      <w:r w:rsidRPr="00346D5E">
        <w:t xml:space="preserve"> </w:t>
      </w:r>
    </w:p>
    <w:p w14:paraId="705EF645" w14:textId="6CBF5969" w:rsidR="00346D5E" w:rsidRPr="00346D5E" w:rsidRDefault="00346D5E" w:rsidP="00346D5E">
      <w:pPr>
        <w:pStyle w:val="EndNoteBibliography"/>
        <w:spacing w:after="0"/>
        <w:ind w:left="720" w:hanging="720"/>
      </w:pPr>
      <w:r w:rsidRPr="00346D5E">
        <w:t xml:space="preserve">Terpstra, L. C., Altenburg, J., Mohamed Hoesein, F. A., Bronsveld, I., et al. (2022). The effect of maintenance azithromycin on radiological features in patients with bronchiectasis - Analysis from the BAT randomized controlled trial. </w:t>
      </w:r>
      <w:r w:rsidRPr="00346D5E">
        <w:rPr>
          <w:i/>
        </w:rPr>
        <w:t>Respir Med</w:t>
      </w:r>
      <w:r w:rsidRPr="00346D5E">
        <w:t>,</w:t>
      </w:r>
      <w:r w:rsidRPr="00346D5E">
        <w:rPr>
          <w:i/>
        </w:rPr>
        <w:t xml:space="preserve"> 192</w:t>
      </w:r>
      <w:r w:rsidRPr="00346D5E">
        <w:t xml:space="preserve">, 106718. </w:t>
      </w:r>
      <w:hyperlink r:id="rId293" w:history="1">
        <w:r w:rsidRPr="00346D5E">
          <w:rPr>
            <w:rStyle w:val="Hyperlink"/>
          </w:rPr>
          <w:t>https://doi.org/10.1016/j.rmed.2021.106718</w:t>
        </w:r>
      </w:hyperlink>
      <w:r w:rsidRPr="00346D5E">
        <w:t xml:space="preserve"> </w:t>
      </w:r>
    </w:p>
    <w:p w14:paraId="5C9D53DA" w14:textId="6DD996E8" w:rsidR="00346D5E" w:rsidRPr="00346D5E" w:rsidRDefault="00346D5E" w:rsidP="00346D5E">
      <w:pPr>
        <w:pStyle w:val="EndNoteBibliography"/>
        <w:spacing w:after="0"/>
        <w:ind w:left="720" w:hanging="720"/>
      </w:pPr>
      <w:r w:rsidRPr="00346D5E">
        <w:t xml:space="preserve">Tettelin, H., Nelson, K. E., Paulsen, I. T., Eisen, J. A., et al. (2001). Complete genome sequence of a virulent isolate of Streptococcus pneumoniae. </w:t>
      </w:r>
      <w:r w:rsidRPr="00346D5E">
        <w:rPr>
          <w:i/>
        </w:rPr>
        <w:t>Science</w:t>
      </w:r>
      <w:r w:rsidRPr="00346D5E">
        <w:t>,</w:t>
      </w:r>
      <w:r w:rsidRPr="00346D5E">
        <w:rPr>
          <w:i/>
        </w:rPr>
        <w:t xml:space="preserve"> 293</w:t>
      </w:r>
      <w:r w:rsidRPr="00346D5E">
        <w:t xml:space="preserve">(5529), 498-506. </w:t>
      </w:r>
      <w:hyperlink r:id="rId294" w:history="1">
        <w:r w:rsidRPr="00346D5E">
          <w:rPr>
            <w:rStyle w:val="Hyperlink"/>
          </w:rPr>
          <w:t>https://doi.org/10.1126/science.1061217</w:t>
        </w:r>
      </w:hyperlink>
      <w:r w:rsidRPr="00346D5E">
        <w:t xml:space="preserve"> </w:t>
      </w:r>
    </w:p>
    <w:p w14:paraId="19C9269C" w14:textId="1948F98D" w:rsidR="00346D5E" w:rsidRPr="00346D5E" w:rsidRDefault="00346D5E" w:rsidP="00346D5E">
      <w:pPr>
        <w:pStyle w:val="EndNoteBibliography"/>
        <w:spacing w:after="0"/>
        <w:ind w:left="720" w:hanging="720"/>
      </w:pPr>
      <w:r w:rsidRPr="00346D5E">
        <w:t xml:space="preserve">Thorsen, J., Stokholm, J., Rasmussen, M. A., Mortensen, M. S., et al. (2021). The Airway Microbiota Modulates Effect of Azithromycin Treatment for Episodes of Recurrent Asthma-like Symptoms in </w:t>
      </w:r>
      <w:r w:rsidRPr="00346D5E">
        <w:lastRenderedPageBreak/>
        <w:t xml:space="preserve">Preschool Children: A Randomized Clinical Trial. </w:t>
      </w:r>
      <w:r w:rsidRPr="00346D5E">
        <w:rPr>
          <w:i/>
        </w:rPr>
        <w:t>Am J Respir Crit Care Med</w:t>
      </w:r>
      <w:r w:rsidRPr="00346D5E">
        <w:t>,</w:t>
      </w:r>
      <w:r w:rsidRPr="00346D5E">
        <w:rPr>
          <w:i/>
        </w:rPr>
        <w:t xml:space="preserve"> 204</w:t>
      </w:r>
      <w:r w:rsidRPr="00346D5E">
        <w:t xml:space="preserve">(2), 149-158. </w:t>
      </w:r>
      <w:hyperlink r:id="rId295" w:history="1">
        <w:r w:rsidRPr="00346D5E">
          <w:rPr>
            <w:rStyle w:val="Hyperlink"/>
          </w:rPr>
          <w:t>https://doi.org/10.1164/rccm.202008-3226OC</w:t>
        </w:r>
      </w:hyperlink>
      <w:r w:rsidRPr="00346D5E">
        <w:t xml:space="preserve"> </w:t>
      </w:r>
    </w:p>
    <w:p w14:paraId="748BE5F5" w14:textId="3BA04720" w:rsidR="00346D5E" w:rsidRPr="00346D5E" w:rsidRDefault="00346D5E" w:rsidP="00346D5E">
      <w:pPr>
        <w:pStyle w:val="EndNoteBibliography"/>
        <w:spacing w:after="0"/>
        <w:ind w:left="720" w:hanging="720"/>
      </w:pPr>
      <w:r w:rsidRPr="00346D5E">
        <w:t xml:space="preserve">Toivonen, L., Karppinen, S., Schuez-Havupalo, L., Waris, M., et al. (2020). Longitudinal Changes in Early Nasal Microbiota and the Risk of Childhood Asthma. </w:t>
      </w:r>
      <w:r w:rsidRPr="00346D5E">
        <w:rPr>
          <w:i/>
        </w:rPr>
        <w:t>Pediatrics</w:t>
      </w:r>
      <w:r w:rsidRPr="00346D5E">
        <w:t>,</w:t>
      </w:r>
      <w:r w:rsidRPr="00346D5E">
        <w:rPr>
          <w:i/>
        </w:rPr>
        <w:t xml:space="preserve"> 146</w:t>
      </w:r>
      <w:r w:rsidRPr="00346D5E">
        <w:t xml:space="preserve">(4), e20200421. </w:t>
      </w:r>
      <w:hyperlink r:id="rId296" w:history="1">
        <w:r w:rsidRPr="00346D5E">
          <w:rPr>
            <w:rStyle w:val="Hyperlink"/>
          </w:rPr>
          <w:t>https://doi.org/10.1542/peds.2020-0421</w:t>
        </w:r>
      </w:hyperlink>
      <w:r w:rsidRPr="00346D5E">
        <w:t xml:space="preserve"> </w:t>
      </w:r>
    </w:p>
    <w:p w14:paraId="1A1A4A7A" w14:textId="3EFA62B7" w:rsidR="00346D5E" w:rsidRPr="00346D5E" w:rsidRDefault="00346D5E" w:rsidP="00346D5E">
      <w:pPr>
        <w:pStyle w:val="EndNoteBibliography"/>
        <w:spacing w:after="0"/>
        <w:ind w:left="720" w:hanging="720"/>
      </w:pPr>
      <w:r w:rsidRPr="00346D5E">
        <w:t xml:space="preserve">Toivonen, L., Schuez-Havupalo, L., Karppinen, S., Waris, M., et al. (2021). Antibiotic Treatments During Infancy, Changes in Nasal Microbiota, and Asthma Development: Population-based Cohort Study. </w:t>
      </w:r>
      <w:r w:rsidRPr="00346D5E">
        <w:rPr>
          <w:i/>
        </w:rPr>
        <w:t>Clin Infect Dis</w:t>
      </w:r>
      <w:r w:rsidRPr="00346D5E">
        <w:t>,</w:t>
      </w:r>
      <w:r w:rsidRPr="00346D5E">
        <w:rPr>
          <w:i/>
        </w:rPr>
        <w:t xml:space="preserve"> 72</w:t>
      </w:r>
      <w:r w:rsidRPr="00346D5E">
        <w:t xml:space="preserve">(9), 1546-1554. </w:t>
      </w:r>
      <w:hyperlink r:id="rId297" w:history="1">
        <w:r w:rsidRPr="00346D5E">
          <w:rPr>
            <w:rStyle w:val="Hyperlink"/>
          </w:rPr>
          <w:t>https://doi.org/10.1093/cid/ciaa262</w:t>
        </w:r>
      </w:hyperlink>
      <w:r w:rsidRPr="00346D5E">
        <w:t xml:space="preserve"> </w:t>
      </w:r>
    </w:p>
    <w:p w14:paraId="7121422B" w14:textId="4FBF4511" w:rsidR="00346D5E" w:rsidRPr="00346D5E" w:rsidRDefault="00346D5E" w:rsidP="00346D5E">
      <w:pPr>
        <w:pStyle w:val="EndNoteBibliography"/>
        <w:spacing w:after="0"/>
        <w:ind w:left="720" w:hanging="720"/>
      </w:pPr>
      <w:r w:rsidRPr="00346D5E">
        <w:t xml:space="preserve">Torumkuney, D., Mokaddas, E., Jiman-Fatani, A., Ageel, A., et al. (2020). Results from the Survey of Antibiotic Resistance (SOAR) 2015-17 in the Middle East (Kuwait, Lebanon and Saudi Arabia): data based on CLSI, EUCAST (dose-specific) and pharmacokinetic/pharmacodynamic (PK/PD) breakpoints. </w:t>
      </w:r>
      <w:r w:rsidRPr="00346D5E">
        <w:rPr>
          <w:i/>
        </w:rPr>
        <w:t>J Antimicrob Chemother</w:t>
      </w:r>
      <w:r w:rsidRPr="00346D5E">
        <w:t>,</w:t>
      </w:r>
      <w:r w:rsidRPr="00346D5E">
        <w:rPr>
          <w:i/>
        </w:rPr>
        <w:t xml:space="preserve"> 75</w:t>
      </w:r>
      <w:r w:rsidRPr="00346D5E">
        <w:t xml:space="preserve">(Suppl 1), i60-i75. </w:t>
      </w:r>
      <w:hyperlink r:id="rId298" w:history="1">
        <w:r w:rsidRPr="00346D5E">
          <w:rPr>
            <w:rStyle w:val="Hyperlink"/>
          </w:rPr>
          <w:t>https://doi.org/10.1093/jac/dkaa084</w:t>
        </w:r>
      </w:hyperlink>
      <w:r w:rsidRPr="00346D5E">
        <w:t xml:space="preserve"> </w:t>
      </w:r>
    </w:p>
    <w:p w14:paraId="6F0DBB1C" w14:textId="180FA226" w:rsidR="00346D5E" w:rsidRPr="00346D5E" w:rsidRDefault="00346D5E" w:rsidP="00346D5E">
      <w:pPr>
        <w:pStyle w:val="EndNoteBibliography"/>
        <w:spacing w:after="0"/>
        <w:ind w:left="720" w:hanging="720"/>
      </w:pPr>
      <w:r w:rsidRPr="00346D5E">
        <w:t xml:space="preserve">Torumkuney, D., Papaparaskevas, J., &amp; Morrissey, I. (2018). Results from the Survey of Antibiotic Resistance (SOAR) 2014-16 in Greece. </w:t>
      </w:r>
      <w:r w:rsidRPr="00346D5E">
        <w:rPr>
          <w:i/>
        </w:rPr>
        <w:t>J Antimicrob Chemother</w:t>
      </w:r>
      <w:r w:rsidRPr="00346D5E">
        <w:t>,</w:t>
      </w:r>
      <w:r w:rsidRPr="00346D5E">
        <w:rPr>
          <w:i/>
        </w:rPr>
        <w:t xml:space="preserve"> 73</w:t>
      </w:r>
      <w:r w:rsidRPr="00346D5E">
        <w:t xml:space="preserve">(suppl_5), v36-v42. </w:t>
      </w:r>
      <w:hyperlink r:id="rId299" w:history="1">
        <w:r w:rsidRPr="00346D5E">
          <w:rPr>
            <w:rStyle w:val="Hyperlink"/>
          </w:rPr>
          <w:t>https://doi.org/10.1093/jac/dky068</w:t>
        </w:r>
      </w:hyperlink>
      <w:r w:rsidRPr="00346D5E">
        <w:t xml:space="preserve"> </w:t>
      </w:r>
    </w:p>
    <w:p w14:paraId="41123084" w14:textId="1D62717E" w:rsidR="00346D5E" w:rsidRPr="00346D5E" w:rsidRDefault="00346D5E" w:rsidP="00346D5E">
      <w:pPr>
        <w:pStyle w:val="EndNoteBibliography"/>
        <w:spacing w:after="0"/>
        <w:ind w:left="720" w:hanging="720"/>
      </w:pPr>
      <w:r w:rsidRPr="00346D5E">
        <w:t xml:space="preserve">Tran, V. T., Porcher, R., Tran, V. C., &amp; Ravaud, P. (2017). Predicting data saturation in qualitative surveys with mathematical models from ecological research. </w:t>
      </w:r>
      <w:r w:rsidRPr="00346D5E">
        <w:rPr>
          <w:i/>
        </w:rPr>
        <w:t>J Clin Epidemiol</w:t>
      </w:r>
      <w:r w:rsidRPr="00346D5E">
        <w:t>,</w:t>
      </w:r>
      <w:r w:rsidRPr="00346D5E">
        <w:rPr>
          <w:i/>
        </w:rPr>
        <w:t xml:space="preserve"> 82</w:t>
      </w:r>
      <w:r w:rsidRPr="00346D5E">
        <w:t xml:space="preserve">, 71-78.e72. </w:t>
      </w:r>
      <w:hyperlink r:id="rId300" w:history="1">
        <w:r w:rsidRPr="00346D5E">
          <w:rPr>
            <w:rStyle w:val="Hyperlink"/>
          </w:rPr>
          <w:t>https://doi.org/10.1016/j.jclinepi.2016.10.001</w:t>
        </w:r>
      </w:hyperlink>
      <w:r w:rsidRPr="00346D5E">
        <w:t xml:space="preserve"> </w:t>
      </w:r>
    </w:p>
    <w:p w14:paraId="5271E323" w14:textId="5100A39A" w:rsidR="00346D5E" w:rsidRPr="00346D5E" w:rsidRDefault="00346D5E" w:rsidP="00346D5E">
      <w:pPr>
        <w:pStyle w:val="EndNoteBibliography"/>
        <w:spacing w:after="0"/>
        <w:ind w:left="720" w:hanging="720"/>
      </w:pPr>
      <w:r w:rsidRPr="00346D5E">
        <w:t xml:space="preserve">Trinick, R., Southern, K. W., &amp; McNamara, P. S. (2012). Assessing the Liverpool Respiratory Symptom Questionnaire in children with cystic fibrosis. </w:t>
      </w:r>
      <w:r w:rsidRPr="00346D5E">
        <w:rPr>
          <w:i/>
        </w:rPr>
        <w:t>European Respiratory Journal</w:t>
      </w:r>
      <w:r w:rsidRPr="00346D5E">
        <w:t>,</w:t>
      </w:r>
      <w:r w:rsidRPr="00346D5E">
        <w:rPr>
          <w:i/>
        </w:rPr>
        <w:t xml:space="preserve"> 39</w:t>
      </w:r>
      <w:r w:rsidRPr="00346D5E">
        <w:t xml:space="preserve">(4), 899. </w:t>
      </w:r>
      <w:hyperlink r:id="rId301" w:history="1">
        <w:r w:rsidRPr="00346D5E">
          <w:rPr>
            <w:rStyle w:val="Hyperlink"/>
          </w:rPr>
          <w:t>https://doi.org/10.1183/09031936.00070311</w:t>
        </w:r>
      </w:hyperlink>
      <w:r w:rsidRPr="00346D5E">
        <w:t xml:space="preserve"> </w:t>
      </w:r>
    </w:p>
    <w:p w14:paraId="58F62636" w14:textId="7CD6F628" w:rsidR="00346D5E" w:rsidRPr="00346D5E" w:rsidRDefault="00346D5E" w:rsidP="00346D5E">
      <w:pPr>
        <w:pStyle w:val="EndNoteBibliography"/>
        <w:spacing w:after="0"/>
        <w:ind w:left="720" w:hanging="720"/>
      </w:pPr>
      <w:r w:rsidRPr="00346D5E">
        <w:t xml:space="preserve">Tristram, S., Jacobs, M. R., &amp; Appelbaum, P. C. (2007). Antimicrobial resistance in Haemophilus influenzae. </w:t>
      </w:r>
      <w:r w:rsidRPr="00346D5E">
        <w:rPr>
          <w:i/>
        </w:rPr>
        <w:t>Clinical microbiology reviews</w:t>
      </w:r>
      <w:r w:rsidRPr="00346D5E">
        <w:t>,</w:t>
      </w:r>
      <w:r w:rsidRPr="00346D5E">
        <w:rPr>
          <w:i/>
        </w:rPr>
        <w:t xml:space="preserve"> 20</w:t>
      </w:r>
      <w:r w:rsidRPr="00346D5E">
        <w:t xml:space="preserve">(2), 368-389. </w:t>
      </w:r>
      <w:hyperlink r:id="rId302" w:history="1">
        <w:r w:rsidRPr="00346D5E">
          <w:rPr>
            <w:rStyle w:val="Hyperlink"/>
          </w:rPr>
          <w:t>https://doi.org/10.1128/CMR.00040-06</w:t>
        </w:r>
      </w:hyperlink>
      <w:r w:rsidRPr="00346D5E">
        <w:t xml:space="preserve"> </w:t>
      </w:r>
    </w:p>
    <w:p w14:paraId="35DA136C" w14:textId="6FE3B8ED" w:rsidR="00346D5E" w:rsidRPr="00346D5E" w:rsidRDefault="00346D5E" w:rsidP="00346D5E">
      <w:pPr>
        <w:pStyle w:val="EndNoteBibliography"/>
        <w:spacing w:after="0"/>
        <w:ind w:left="720" w:hanging="720"/>
      </w:pPr>
      <w:r w:rsidRPr="00346D5E">
        <w:t xml:space="preserve">Trivedi, A. (2017). Communicating with parents and involving children in medicines optimisation. </w:t>
      </w:r>
      <w:r w:rsidRPr="00346D5E">
        <w:rPr>
          <w:i/>
        </w:rPr>
        <w:t>The Pharmaceutical Journal</w:t>
      </w:r>
      <w:r w:rsidRPr="00346D5E">
        <w:t xml:space="preserve">. </w:t>
      </w:r>
      <w:hyperlink r:id="rId303" w:history="1">
        <w:r w:rsidRPr="00346D5E">
          <w:rPr>
            <w:rStyle w:val="Hyperlink"/>
          </w:rPr>
          <w:t>https://doi.org/DOI</w:t>
        </w:r>
      </w:hyperlink>
      <w:r w:rsidRPr="00346D5E">
        <w:t xml:space="preserve">: 10.1211/PJ.2017.20203683 </w:t>
      </w:r>
    </w:p>
    <w:p w14:paraId="4675F484" w14:textId="60FFD8C8" w:rsidR="00346D5E" w:rsidRPr="00346D5E" w:rsidRDefault="00346D5E" w:rsidP="00346D5E">
      <w:pPr>
        <w:pStyle w:val="EndNoteBibliography"/>
        <w:spacing w:after="0"/>
        <w:ind w:left="720" w:hanging="720"/>
      </w:pPr>
      <w:r w:rsidRPr="00346D5E">
        <w:t xml:space="preserve">Tuffour, I. (2017). A Critical Overview of Interpretative Phenomenological Analysis: A Contemporary Qualitative Research Approach. </w:t>
      </w:r>
      <w:r w:rsidRPr="00346D5E">
        <w:rPr>
          <w:i/>
        </w:rPr>
        <w:t>Journal of Healthcare Communications</w:t>
      </w:r>
      <w:r w:rsidRPr="00346D5E">
        <w:t>,</w:t>
      </w:r>
      <w:r w:rsidRPr="00346D5E">
        <w:rPr>
          <w:i/>
        </w:rPr>
        <w:t xml:space="preserve"> 2</w:t>
      </w:r>
      <w:r w:rsidRPr="00346D5E">
        <w:t xml:space="preserve">(4). </w:t>
      </w:r>
      <w:hyperlink r:id="rId304" w:history="1">
        <w:r w:rsidRPr="00346D5E">
          <w:rPr>
            <w:rStyle w:val="Hyperlink"/>
          </w:rPr>
          <w:t>https://doi.org/10.4172/2472-1654.100093</w:t>
        </w:r>
      </w:hyperlink>
      <w:r w:rsidRPr="00346D5E">
        <w:t xml:space="preserve"> </w:t>
      </w:r>
    </w:p>
    <w:p w14:paraId="3F7607E5" w14:textId="6649AFA5" w:rsidR="00346D5E" w:rsidRPr="00346D5E" w:rsidRDefault="00346D5E" w:rsidP="00346D5E">
      <w:pPr>
        <w:pStyle w:val="EndNoteBibliography"/>
        <w:spacing w:after="0"/>
        <w:ind w:left="720" w:hanging="720"/>
      </w:pPr>
      <w:r w:rsidRPr="00346D5E">
        <w:t xml:space="preserve">Turner, D. (2017). An introduction to interpretative phenomenological analysis.  </w:t>
      </w:r>
      <w:hyperlink r:id="rId305" w:history="1">
        <w:r w:rsidRPr="00346D5E">
          <w:rPr>
            <w:rStyle w:val="Hyperlink"/>
          </w:rPr>
          <w:t>https://www.quirkos.com/blog/post/intro-interpretative-phenomenological-analysis-summary/</w:t>
        </w:r>
      </w:hyperlink>
    </w:p>
    <w:p w14:paraId="268E3ABD" w14:textId="2886B727" w:rsidR="00346D5E" w:rsidRPr="00346D5E" w:rsidRDefault="00346D5E" w:rsidP="00346D5E">
      <w:pPr>
        <w:pStyle w:val="EndNoteBibliography"/>
        <w:spacing w:after="0"/>
        <w:ind w:left="720" w:hanging="720"/>
      </w:pPr>
      <w:r w:rsidRPr="00346D5E">
        <w:t xml:space="preserve">Ul Mustafa, Z., Salman, M., Aldeyab, M., Kow, C. S., et al. (2021). Antimicrobial consumption among hospitalized patients with COVID-19 in Pakistan. </w:t>
      </w:r>
      <w:r w:rsidRPr="00346D5E">
        <w:rPr>
          <w:i/>
        </w:rPr>
        <w:t>SN Compr Clin Med</w:t>
      </w:r>
      <w:r w:rsidRPr="00346D5E">
        <w:t xml:space="preserve">, 1-5. </w:t>
      </w:r>
      <w:hyperlink r:id="rId306" w:history="1">
        <w:r w:rsidRPr="00346D5E">
          <w:rPr>
            <w:rStyle w:val="Hyperlink"/>
          </w:rPr>
          <w:t>https://doi.org/10.1007/s42399-021-00966-5</w:t>
        </w:r>
      </w:hyperlink>
      <w:r w:rsidRPr="00346D5E">
        <w:t xml:space="preserve"> </w:t>
      </w:r>
    </w:p>
    <w:p w14:paraId="75097A34" w14:textId="7427B8BD" w:rsidR="00346D5E" w:rsidRPr="00346D5E" w:rsidRDefault="00346D5E" w:rsidP="00346D5E">
      <w:pPr>
        <w:pStyle w:val="EndNoteBibliography"/>
        <w:spacing w:after="0"/>
        <w:ind w:left="720" w:hanging="720"/>
      </w:pPr>
      <w:r w:rsidRPr="00346D5E">
        <w:t xml:space="preserve">Uluseker, C., Kaster, K. M., Thorsen, K., Basiry, D., et al. (2021). A Review on Occurrence and Spread of Antibiotic Resistance in Wastewaters and in Wastewater Treatment Plants: Mechanisms and Perspectives [Review]. </w:t>
      </w:r>
      <w:r w:rsidRPr="00346D5E">
        <w:rPr>
          <w:i/>
        </w:rPr>
        <w:t>Frontiers in Microbiology</w:t>
      </w:r>
      <w:r w:rsidRPr="00346D5E">
        <w:t>,</w:t>
      </w:r>
      <w:r w:rsidRPr="00346D5E">
        <w:rPr>
          <w:i/>
        </w:rPr>
        <w:t xml:space="preserve"> 12</w:t>
      </w:r>
      <w:r w:rsidRPr="00346D5E">
        <w:t xml:space="preserve">. </w:t>
      </w:r>
      <w:hyperlink r:id="rId307" w:history="1">
        <w:r w:rsidRPr="00346D5E">
          <w:rPr>
            <w:rStyle w:val="Hyperlink"/>
          </w:rPr>
          <w:t>https://doi.org/10.3389/fmicb.2021.717809</w:t>
        </w:r>
      </w:hyperlink>
      <w:r w:rsidRPr="00346D5E">
        <w:t xml:space="preserve"> </w:t>
      </w:r>
    </w:p>
    <w:p w14:paraId="3AC24B1F" w14:textId="7A42E3D9" w:rsidR="00346D5E" w:rsidRPr="00346D5E" w:rsidRDefault="00346D5E" w:rsidP="00346D5E">
      <w:pPr>
        <w:pStyle w:val="EndNoteBibliography"/>
        <w:spacing w:after="0"/>
        <w:ind w:left="720" w:hanging="720"/>
      </w:pPr>
      <w:r w:rsidRPr="00346D5E">
        <w:t xml:space="preserve">Uzun, S., Djamin, R. S., Kluytmans, J. A., Mulder, P. G., et al. (2014). Azithromycin maintenance treatment in patients with frequent exacerbations of chronic obstructive pulmonary disease (COLUMBUS): a randomised, double-blind, placebo-controlled trial. </w:t>
      </w:r>
      <w:r w:rsidRPr="00346D5E">
        <w:rPr>
          <w:i/>
        </w:rPr>
        <w:t>Lancet Respir Med</w:t>
      </w:r>
      <w:r w:rsidRPr="00346D5E">
        <w:t>,</w:t>
      </w:r>
      <w:r w:rsidRPr="00346D5E">
        <w:rPr>
          <w:i/>
        </w:rPr>
        <w:t xml:space="preserve"> 2</w:t>
      </w:r>
      <w:r w:rsidRPr="00346D5E">
        <w:t xml:space="preserve">(5), 361-368. </w:t>
      </w:r>
      <w:hyperlink r:id="rId308" w:history="1">
        <w:r w:rsidRPr="00346D5E">
          <w:rPr>
            <w:rStyle w:val="Hyperlink"/>
          </w:rPr>
          <w:t>https://doi.org/10.1016/s2213-2600(14)70019-0</w:t>
        </w:r>
      </w:hyperlink>
      <w:r w:rsidRPr="00346D5E">
        <w:t xml:space="preserve"> </w:t>
      </w:r>
    </w:p>
    <w:p w14:paraId="05CEC155" w14:textId="6AE5A9B5" w:rsidR="00346D5E" w:rsidRPr="00346D5E" w:rsidRDefault="00346D5E" w:rsidP="00346D5E">
      <w:pPr>
        <w:pStyle w:val="EndNoteBibliography"/>
        <w:spacing w:after="0"/>
        <w:ind w:left="720" w:hanging="720"/>
      </w:pPr>
      <w:r w:rsidRPr="00346D5E">
        <w:t xml:space="preserve">Valery, P. C., Morris, P. S., Byrnes, C. A., Grimwood, K., et al. (2013). Long-term azithromycin for Indigenous children with non-cystic-fibrosis bronchiectasis or chronic suppurative lung disease (Bronchiectasis Intervention Study): a multicentre, double-blind, randomised controlled trial. </w:t>
      </w:r>
      <w:r w:rsidRPr="00346D5E">
        <w:rPr>
          <w:i/>
        </w:rPr>
        <w:t>Lancet Respir Med</w:t>
      </w:r>
      <w:r w:rsidRPr="00346D5E">
        <w:t>,</w:t>
      </w:r>
      <w:r w:rsidRPr="00346D5E">
        <w:rPr>
          <w:i/>
        </w:rPr>
        <w:t xml:space="preserve"> 1</w:t>
      </w:r>
      <w:r w:rsidRPr="00346D5E">
        <w:t xml:space="preserve">(8), 610-620. </w:t>
      </w:r>
      <w:hyperlink r:id="rId309" w:history="1">
        <w:r w:rsidRPr="00346D5E">
          <w:rPr>
            <w:rStyle w:val="Hyperlink"/>
          </w:rPr>
          <w:t>https://doi.org/10.1016/s2213-2600(13)70185-1</w:t>
        </w:r>
      </w:hyperlink>
      <w:r w:rsidRPr="00346D5E">
        <w:t xml:space="preserve"> </w:t>
      </w:r>
    </w:p>
    <w:p w14:paraId="2A91EB84" w14:textId="351C2D45" w:rsidR="00346D5E" w:rsidRPr="00346D5E" w:rsidRDefault="00346D5E" w:rsidP="00346D5E">
      <w:pPr>
        <w:pStyle w:val="EndNoteBibliography"/>
        <w:spacing w:after="0"/>
        <w:ind w:left="720" w:hanging="720"/>
      </w:pPr>
      <w:r w:rsidRPr="00346D5E">
        <w:lastRenderedPageBreak/>
        <w:t xml:space="preserve">van der Gast, C. J., Cuthbertson, L., Rogers, G. B., Pope, C., et al. (2014). Three clinically distinct chronic pediatric airway infections share a common core microbiota. </w:t>
      </w:r>
      <w:r w:rsidRPr="00346D5E">
        <w:rPr>
          <w:i/>
        </w:rPr>
        <w:t>Ann Am Thorac Soc</w:t>
      </w:r>
      <w:r w:rsidRPr="00346D5E">
        <w:t>,</w:t>
      </w:r>
      <w:r w:rsidRPr="00346D5E">
        <w:rPr>
          <w:i/>
        </w:rPr>
        <w:t xml:space="preserve"> 11</w:t>
      </w:r>
      <w:r w:rsidRPr="00346D5E">
        <w:t xml:space="preserve">(7), 1039-1048. </w:t>
      </w:r>
      <w:hyperlink r:id="rId310" w:history="1">
        <w:r w:rsidRPr="00346D5E">
          <w:rPr>
            <w:rStyle w:val="Hyperlink"/>
          </w:rPr>
          <w:t>https://doi.org/10.1513/AnnalsATS.201312-456OC</w:t>
        </w:r>
      </w:hyperlink>
      <w:r w:rsidRPr="00346D5E">
        <w:t xml:space="preserve"> </w:t>
      </w:r>
    </w:p>
    <w:p w14:paraId="4E209006" w14:textId="17CAB1D4" w:rsidR="00346D5E" w:rsidRPr="00346D5E" w:rsidRDefault="00346D5E" w:rsidP="00346D5E">
      <w:pPr>
        <w:pStyle w:val="EndNoteBibliography"/>
        <w:spacing w:after="0"/>
        <w:ind w:left="720" w:hanging="720"/>
      </w:pPr>
      <w:r w:rsidRPr="00346D5E">
        <w:t xml:space="preserve">van der Gast, C. J., Walker, A. W., Stressmann, F. A., Rogers, G. B., et al. (2011). Partitioning core and satellite taxa from within cystic fibrosis lung bacterial communities. </w:t>
      </w:r>
      <w:r w:rsidRPr="00346D5E">
        <w:rPr>
          <w:i/>
        </w:rPr>
        <w:t>The ISME Journal</w:t>
      </w:r>
      <w:r w:rsidRPr="00346D5E">
        <w:t>,</w:t>
      </w:r>
      <w:r w:rsidRPr="00346D5E">
        <w:rPr>
          <w:i/>
        </w:rPr>
        <w:t xml:space="preserve"> 5</w:t>
      </w:r>
      <w:r w:rsidRPr="00346D5E">
        <w:t xml:space="preserve">(5), 780-791. </w:t>
      </w:r>
      <w:hyperlink r:id="rId311" w:history="1">
        <w:r w:rsidRPr="00346D5E">
          <w:rPr>
            <w:rStyle w:val="Hyperlink"/>
          </w:rPr>
          <w:t>https://doi.org/10.1038/ismej.2010.175</w:t>
        </w:r>
      </w:hyperlink>
      <w:r w:rsidRPr="00346D5E">
        <w:t xml:space="preserve"> </w:t>
      </w:r>
    </w:p>
    <w:p w14:paraId="206434AB" w14:textId="65452D16" w:rsidR="00346D5E" w:rsidRPr="00346D5E" w:rsidRDefault="00346D5E" w:rsidP="00346D5E">
      <w:pPr>
        <w:pStyle w:val="EndNoteBibliography"/>
        <w:spacing w:after="0"/>
        <w:ind w:left="720" w:hanging="720"/>
      </w:pPr>
      <w:r w:rsidRPr="00346D5E">
        <w:t xml:space="preserve">Van Hecke, O., Butler, C. C., Wang, K., &amp; Tonkin-Crine, S. (2019). Parents' perceptions of antibiotic use and antibiotic resistance (PAUSE): a qualitative interview study. </w:t>
      </w:r>
      <w:r w:rsidRPr="00346D5E">
        <w:rPr>
          <w:i/>
        </w:rPr>
        <w:t>J Antimicrob Chemother</w:t>
      </w:r>
      <w:r w:rsidRPr="00346D5E">
        <w:t>,</w:t>
      </w:r>
      <w:r w:rsidRPr="00346D5E">
        <w:rPr>
          <w:i/>
        </w:rPr>
        <w:t xml:space="preserve"> 74</w:t>
      </w:r>
      <w:r w:rsidRPr="00346D5E">
        <w:t xml:space="preserve">(6), 1741-1747. </w:t>
      </w:r>
      <w:hyperlink r:id="rId312" w:history="1">
        <w:r w:rsidRPr="00346D5E">
          <w:rPr>
            <w:rStyle w:val="Hyperlink"/>
          </w:rPr>
          <w:t>https://doi.org/10.1093/jac/dkz091</w:t>
        </w:r>
      </w:hyperlink>
      <w:r w:rsidRPr="00346D5E">
        <w:t xml:space="preserve"> </w:t>
      </w:r>
    </w:p>
    <w:p w14:paraId="2E963243" w14:textId="76E0B51F" w:rsidR="00346D5E" w:rsidRPr="00346D5E" w:rsidRDefault="00346D5E" w:rsidP="00346D5E">
      <w:pPr>
        <w:pStyle w:val="EndNoteBibliography"/>
        <w:spacing w:after="0"/>
        <w:ind w:left="720" w:hanging="720"/>
      </w:pPr>
      <w:r w:rsidRPr="00346D5E">
        <w:t xml:space="preserve">VanDevanter, D. R., &amp; Konstan, M. W. (2012). Outcome measures for clinical trials assessing treatment of cystic fibrosis lung disease. </w:t>
      </w:r>
      <w:r w:rsidRPr="00346D5E">
        <w:rPr>
          <w:i/>
        </w:rPr>
        <w:t>Clinical investigation</w:t>
      </w:r>
      <w:r w:rsidRPr="00346D5E">
        <w:t>,</w:t>
      </w:r>
      <w:r w:rsidRPr="00346D5E">
        <w:rPr>
          <w:i/>
        </w:rPr>
        <w:t xml:space="preserve"> 2</w:t>
      </w:r>
      <w:r w:rsidRPr="00346D5E">
        <w:t xml:space="preserve">(2), 163-175. </w:t>
      </w:r>
      <w:hyperlink r:id="rId313" w:history="1">
        <w:r w:rsidRPr="00346D5E">
          <w:rPr>
            <w:rStyle w:val="Hyperlink"/>
          </w:rPr>
          <w:t>https://doi.org/10.4155/cli.11.174</w:t>
        </w:r>
      </w:hyperlink>
      <w:r w:rsidRPr="00346D5E">
        <w:t xml:space="preserve"> </w:t>
      </w:r>
    </w:p>
    <w:p w14:paraId="3B592630" w14:textId="6F89F8AE" w:rsidR="00346D5E" w:rsidRPr="00346D5E" w:rsidRDefault="00346D5E" w:rsidP="00346D5E">
      <w:pPr>
        <w:pStyle w:val="EndNoteBibliography"/>
        <w:spacing w:after="0"/>
        <w:ind w:left="720" w:hanging="720"/>
      </w:pPr>
      <w:r w:rsidRPr="00346D5E">
        <w:t xml:space="preserve">Wang, C. Y., Chen, Y. H., Fang, C., Zhou, M. M., et al. (2019). Antibiotic resistance profiles and multidrug resistance patterns of Streptococcus pneumoniae in pediatrics: A multicenter retrospective study in mainland China. </w:t>
      </w:r>
      <w:r w:rsidRPr="00346D5E">
        <w:rPr>
          <w:i/>
        </w:rPr>
        <w:t>Medicine (Baltimore)</w:t>
      </w:r>
      <w:r w:rsidRPr="00346D5E">
        <w:t>,</w:t>
      </w:r>
      <w:r w:rsidRPr="00346D5E">
        <w:rPr>
          <w:i/>
        </w:rPr>
        <w:t xml:space="preserve"> 98</w:t>
      </w:r>
      <w:r w:rsidRPr="00346D5E">
        <w:t xml:space="preserve">(24), e15942. </w:t>
      </w:r>
      <w:hyperlink r:id="rId314" w:history="1">
        <w:r w:rsidRPr="00346D5E">
          <w:rPr>
            <w:rStyle w:val="Hyperlink"/>
          </w:rPr>
          <w:t>https://doi.org/10.1097/md.0000000000015942</w:t>
        </w:r>
      </w:hyperlink>
      <w:r w:rsidRPr="00346D5E">
        <w:t xml:space="preserve"> </w:t>
      </w:r>
    </w:p>
    <w:p w14:paraId="46278998" w14:textId="7B703878" w:rsidR="00346D5E" w:rsidRPr="00346D5E" w:rsidRDefault="00346D5E" w:rsidP="00346D5E">
      <w:pPr>
        <w:pStyle w:val="EndNoteBibliography"/>
        <w:spacing w:after="0"/>
        <w:ind w:left="720" w:hanging="720"/>
      </w:pPr>
      <w:r w:rsidRPr="00346D5E">
        <w:t xml:space="preserve">Wang, D., Fu, W., &amp; Dai, J. (2019). Meta-analysis of macrolide maintenance therapy for prevention of disease exacerbations in patients with noncystic fibrosis bronchiectasis. </w:t>
      </w:r>
      <w:r w:rsidRPr="00346D5E">
        <w:rPr>
          <w:i/>
        </w:rPr>
        <w:t>Medicine (Baltimore)</w:t>
      </w:r>
      <w:r w:rsidRPr="00346D5E">
        <w:t>,</w:t>
      </w:r>
      <w:r w:rsidRPr="00346D5E">
        <w:rPr>
          <w:i/>
        </w:rPr>
        <w:t xml:space="preserve"> 98</w:t>
      </w:r>
      <w:r w:rsidRPr="00346D5E">
        <w:t xml:space="preserve">(17), e15285. </w:t>
      </w:r>
      <w:hyperlink r:id="rId315" w:history="1">
        <w:r w:rsidRPr="00346D5E">
          <w:rPr>
            <w:rStyle w:val="Hyperlink"/>
          </w:rPr>
          <w:t>https://doi.org/10.1097/md.0000000000015285</w:t>
        </w:r>
      </w:hyperlink>
      <w:r w:rsidRPr="00346D5E">
        <w:t xml:space="preserve"> </w:t>
      </w:r>
    </w:p>
    <w:p w14:paraId="068AB989" w14:textId="52A3E611" w:rsidR="00346D5E" w:rsidRPr="00346D5E" w:rsidRDefault="00346D5E" w:rsidP="00346D5E">
      <w:pPr>
        <w:pStyle w:val="EndNoteBibliography"/>
        <w:spacing w:after="0"/>
        <w:ind w:left="720" w:hanging="720"/>
      </w:pPr>
      <w:r w:rsidRPr="00346D5E">
        <w:t xml:space="preserve">Wang, Q., Garrity, G. M., Tiedje, J. M., &amp; Cole, J. R. (2007). Naive Bayesian classifier for rapid assignment of rRNA sequences into the new bacterial taxonomy. </w:t>
      </w:r>
      <w:r w:rsidRPr="00346D5E">
        <w:rPr>
          <w:i/>
        </w:rPr>
        <w:t>Appl Environ Microbiol</w:t>
      </w:r>
      <w:r w:rsidRPr="00346D5E">
        <w:t>,</w:t>
      </w:r>
      <w:r w:rsidRPr="00346D5E">
        <w:rPr>
          <w:i/>
        </w:rPr>
        <w:t xml:space="preserve"> 73</w:t>
      </w:r>
      <w:r w:rsidRPr="00346D5E">
        <w:t xml:space="preserve">(16), 5261-5267. </w:t>
      </w:r>
      <w:hyperlink r:id="rId316" w:history="1">
        <w:r w:rsidRPr="00346D5E">
          <w:rPr>
            <w:rStyle w:val="Hyperlink"/>
          </w:rPr>
          <w:t>https://doi.org/10.1128/aem.00062-07</w:t>
        </w:r>
      </w:hyperlink>
      <w:r w:rsidRPr="00346D5E">
        <w:t xml:space="preserve"> </w:t>
      </w:r>
    </w:p>
    <w:p w14:paraId="0160D31B" w14:textId="6FA08352" w:rsidR="00346D5E" w:rsidRPr="00346D5E" w:rsidRDefault="00346D5E" w:rsidP="00346D5E">
      <w:pPr>
        <w:pStyle w:val="EndNoteBibliography"/>
        <w:spacing w:after="0"/>
        <w:ind w:left="720" w:hanging="720"/>
      </w:pPr>
      <w:r w:rsidRPr="00346D5E">
        <w:t xml:space="preserve">Wang, Y., Hao, C., Chi, F., Yu, X., et al. (2015). Clinical characteristics of protracted bacterial bronchitis in Chinese infants. </w:t>
      </w:r>
      <w:r w:rsidRPr="00346D5E">
        <w:rPr>
          <w:i/>
        </w:rPr>
        <w:t>Scientific reports</w:t>
      </w:r>
      <w:r w:rsidRPr="00346D5E">
        <w:t>,</w:t>
      </w:r>
      <w:r w:rsidRPr="00346D5E">
        <w:rPr>
          <w:i/>
        </w:rPr>
        <w:t xml:space="preserve"> 5</w:t>
      </w:r>
      <w:r w:rsidRPr="00346D5E">
        <w:t xml:space="preserve">(1), 13731. </w:t>
      </w:r>
      <w:hyperlink r:id="rId317" w:history="1">
        <w:r w:rsidRPr="00346D5E">
          <w:rPr>
            <w:rStyle w:val="Hyperlink"/>
          </w:rPr>
          <w:t>https://doi.org/10.1038/srep13731</w:t>
        </w:r>
      </w:hyperlink>
      <w:r w:rsidRPr="00346D5E">
        <w:t xml:space="preserve"> </w:t>
      </w:r>
    </w:p>
    <w:p w14:paraId="6580744A" w14:textId="2E1224D7" w:rsidR="00346D5E" w:rsidRPr="00346D5E" w:rsidRDefault="00346D5E" w:rsidP="00346D5E">
      <w:pPr>
        <w:pStyle w:val="EndNoteBibliography"/>
        <w:spacing w:after="0"/>
        <w:ind w:left="720" w:hanging="720"/>
      </w:pPr>
      <w:r w:rsidRPr="00346D5E">
        <w:t xml:space="preserve">Wang, Y., Hao, C., Ji, W., Lu, Y., et al. (2019). Detecting respiratory viruses in children with protracted bacterial bronchitis. </w:t>
      </w:r>
      <w:r w:rsidRPr="00346D5E">
        <w:rPr>
          <w:i/>
        </w:rPr>
        <w:t>Respir Med</w:t>
      </w:r>
      <w:r w:rsidRPr="00346D5E">
        <w:t>,</w:t>
      </w:r>
      <w:r w:rsidRPr="00346D5E">
        <w:rPr>
          <w:i/>
        </w:rPr>
        <w:t xml:space="preserve"> 151</w:t>
      </w:r>
      <w:r w:rsidRPr="00346D5E">
        <w:t xml:space="preserve">, 55-58. </w:t>
      </w:r>
      <w:hyperlink r:id="rId318" w:history="1">
        <w:r w:rsidRPr="00346D5E">
          <w:rPr>
            <w:rStyle w:val="Hyperlink"/>
          </w:rPr>
          <w:t>https://doi.org/10.1016/j.rmed.2019.04.003</w:t>
        </w:r>
      </w:hyperlink>
      <w:r w:rsidRPr="00346D5E">
        <w:t xml:space="preserve"> </w:t>
      </w:r>
    </w:p>
    <w:p w14:paraId="4F5A8D70" w14:textId="346F51B3" w:rsidR="00346D5E" w:rsidRPr="00346D5E" w:rsidRDefault="00346D5E" w:rsidP="00346D5E">
      <w:pPr>
        <w:pStyle w:val="EndNoteBibliography"/>
        <w:spacing w:after="0"/>
        <w:ind w:left="720" w:hanging="720"/>
      </w:pPr>
      <w:r w:rsidRPr="00346D5E">
        <w:t xml:space="preserve">Wei, S., Mortensen, M. S., Stokholm, J., Brejnrod, A. D., et al. (2018). Short- and long-term impacts of azithromycin treatment on the gut microbiota in children: A double-blind, randomized, placebo-controlled trial. </w:t>
      </w:r>
      <w:r w:rsidRPr="00346D5E">
        <w:rPr>
          <w:i/>
        </w:rPr>
        <w:t>EBioMedicine</w:t>
      </w:r>
      <w:r w:rsidRPr="00346D5E">
        <w:t>,</w:t>
      </w:r>
      <w:r w:rsidRPr="00346D5E">
        <w:rPr>
          <w:i/>
        </w:rPr>
        <w:t xml:space="preserve"> 38</w:t>
      </w:r>
      <w:r w:rsidRPr="00346D5E">
        <w:t xml:space="preserve">, 265-272. </w:t>
      </w:r>
      <w:hyperlink r:id="rId319" w:history="1">
        <w:r w:rsidRPr="00346D5E">
          <w:rPr>
            <w:rStyle w:val="Hyperlink"/>
          </w:rPr>
          <w:t>https://doi.org/10.1016/j.ebiom.2018.11.035</w:t>
        </w:r>
      </w:hyperlink>
      <w:r w:rsidRPr="00346D5E">
        <w:t xml:space="preserve"> </w:t>
      </w:r>
    </w:p>
    <w:p w14:paraId="37870BAE" w14:textId="038D634E" w:rsidR="00346D5E" w:rsidRPr="00346D5E" w:rsidRDefault="00346D5E" w:rsidP="00346D5E">
      <w:pPr>
        <w:pStyle w:val="EndNoteBibliography"/>
        <w:spacing w:after="0"/>
        <w:ind w:left="720" w:hanging="720"/>
      </w:pPr>
      <w:r w:rsidRPr="00346D5E">
        <w:t xml:space="preserve">Weinstock, G. M. (2012). Genomic approaches to studying the human microbiota. </w:t>
      </w:r>
      <w:r w:rsidRPr="00346D5E">
        <w:rPr>
          <w:i/>
        </w:rPr>
        <w:t>Nature</w:t>
      </w:r>
      <w:r w:rsidRPr="00346D5E">
        <w:t>,</w:t>
      </w:r>
      <w:r w:rsidRPr="00346D5E">
        <w:rPr>
          <w:i/>
        </w:rPr>
        <w:t xml:space="preserve"> 489</w:t>
      </w:r>
      <w:r w:rsidRPr="00346D5E">
        <w:t xml:space="preserve">(7415), 250-256. </w:t>
      </w:r>
      <w:hyperlink r:id="rId320" w:history="1">
        <w:r w:rsidRPr="00346D5E">
          <w:rPr>
            <w:rStyle w:val="Hyperlink"/>
          </w:rPr>
          <w:t>https://doi.org/10.1038/nature11553</w:t>
        </w:r>
      </w:hyperlink>
      <w:r w:rsidRPr="00346D5E">
        <w:t xml:space="preserve"> </w:t>
      </w:r>
    </w:p>
    <w:p w14:paraId="6E932AAA" w14:textId="2F0767E4" w:rsidR="00346D5E" w:rsidRPr="00346D5E" w:rsidRDefault="00346D5E" w:rsidP="00346D5E">
      <w:pPr>
        <w:pStyle w:val="EndNoteBibliography"/>
        <w:spacing w:after="0"/>
        <w:ind w:left="720" w:hanging="720"/>
      </w:pPr>
      <w:r w:rsidRPr="00346D5E">
        <w:t xml:space="preserve">Whittles, L. K., White, P. J., Paul, J., &amp; Didelot, X. (2018). Epidemiological Trends of Antibiotic Resistant Gonorrhoea in the United Kingdom. </w:t>
      </w:r>
      <w:r w:rsidRPr="00346D5E">
        <w:rPr>
          <w:i/>
        </w:rPr>
        <w:t>Antibiotics (Basel, Switzerland)</w:t>
      </w:r>
      <w:r w:rsidRPr="00346D5E">
        <w:t>,</w:t>
      </w:r>
      <w:r w:rsidRPr="00346D5E">
        <w:rPr>
          <w:i/>
        </w:rPr>
        <w:t xml:space="preserve"> 7</w:t>
      </w:r>
      <w:r w:rsidRPr="00346D5E">
        <w:t xml:space="preserve">(3). </w:t>
      </w:r>
      <w:hyperlink r:id="rId321" w:history="1">
        <w:r w:rsidRPr="00346D5E">
          <w:rPr>
            <w:rStyle w:val="Hyperlink"/>
          </w:rPr>
          <w:t>https://doi.org/10.3390/antibiotics7030060</w:t>
        </w:r>
      </w:hyperlink>
      <w:r w:rsidRPr="00346D5E">
        <w:t xml:space="preserve"> </w:t>
      </w:r>
    </w:p>
    <w:p w14:paraId="4A8E5AB0" w14:textId="77777777" w:rsidR="00346D5E" w:rsidRPr="00346D5E" w:rsidRDefault="00346D5E" w:rsidP="00346D5E">
      <w:pPr>
        <w:pStyle w:val="EndNoteBibliography"/>
        <w:spacing w:after="0"/>
        <w:ind w:left="720" w:hanging="720"/>
      </w:pPr>
      <w:r w:rsidRPr="00346D5E">
        <w:t xml:space="preserve">WHO. (2006). Guidelines on co-trimoxazole prophylaxis for HIV-related infections among children, adolescents and adults in resource-limited settings : recommendations for a public health approach. </w:t>
      </w:r>
    </w:p>
    <w:p w14:paraId="113418B2" w14:textId="6403FB49" w:rsidR="00346D5E" w:rsidRPr="00346D5E" w:rsidRDefault="00346D5E" w:rsidP="00346D5E">
      <w:pPr>
        <w:pStyle w:val="EndNoteBibliography"/>
        <w:spacing w:after="0"/>
        <w:ind w:left="720" w:hanging="720"/>
      </w:pPr>
      <w:r w:rsidRPr="00346D5E">
        <w:t xml:space="preserve">WHO. (2020). </w:t>
      </w:r>
      <w:r w:rsidRPr="00346D5E">
        <w:rPr>
          <w:i/>
        </w:rPr>
        <w:t>Antibiotic resistance</w:t>
      </w:r>
      <w:r w:rsidRPr="00346D5E">
        <w:t xml:space="preserve">. </w:t>
      </w:r>
      <w:hyperlink r:id="rId322" w:history="1">
        <w:r w:rsidRPr="00346D5E">
          <w:rPr>
            <w:rStyle w:val="Hyperlink"/>
          </w:rPr>
          <w:t>https://www.who.int/news-room/fact-sheets/detail/antibiotic-resistance</w:t>
        </w:r>
      </w:hyperlink>
    </w:p>
    <w:p w14:paraId="3A4D872C" w14:textId="77801E33" w:rsidR="00346D5E" w:rsidRPr="00346D5E" w:rsidRDefault="00346D5E" w:rsidP="00346D5E">
      <w:pPr>
        <w:pStyle w:val="EndNoteBibliography"/>
        <w:spacing w:after="0"/>
        <w:ind w:left="720" w:hanging="720"/>
      </w:pPr>
      <w:r w:rsidRPr="00346D5E">
        <w:t xml:space="preserve">WHO. (2021). </w:t>
      </w:r>
      <w:r w:rsidRPr="00346D5E">
        <w:rPr>
          <w:i/>
        </w:rPr>
        <w:t>Pneumonia</w:t>
      </w:r>
      <w:r w:rsidRPr="00346D5E">
        <w:t xml:space="preserve">. Retrieved 28/06/2022 from </w:t>
      </w:r>
      <w:hyperlink r:id="rId323" w:history="1">
        <w:r w:rsidRPr="00346D5E">
          <w:rPr>
            <w:rStyle w:val="Hyperlink"/>
          </w:rPr>
          <w:t>https://www.who.int/news-room/fact-sheets/detail/pneumonia</w:t>
        </w:r>
      </w:hyperlink>
    </w:p>
    <w:p w14:paraId="0FD1A4BC" w14:textId="37D7CE13" w:rsidR="00346D5E" w:rsidRPr="00346D5E" w:rsidRDefault="00346D5E" w:rsidP="00346D5E">
      <w:pPr>
        <w:pStyle w:val="EndNoteBibliography"/>
        <w:spacing w:after="0"/>
        <w:ind w:left="720" w:hanging="720"/>
      </w:pPr>
      <w:r w:rsidRPr="00346D5E">
        <w:t xml:space="preserve">Willis, A. D. (2019a). Rarefaction, Alpha Diversity, and Statistics [Perspective]. </w:t>
      </w:r>
      <w:r w:rsidRPr="00346D5E">
        <w:rPr>
          <w:i/>
        </w:rPr>
        <w:t>Frontiers in Microbiology</w:t>
      </w:r>
      <w:r w:rsidRPr="00346D5E">
        <w:t>,</w:t>
      </w:r>
      <w:r w:rsidRPr="00346D5E">
        <w:rPr>
          <w:i/>
        </w:rPr>
        <w:t xml:space="preserve"> 10</w:t>
      </w:r>
      <w:r w:rsidRPr="00346D5E">
        <w:t xml:space="preserve">(2407). </w:t>
      </w:r>
      <w:hyperlink r:id="rId324" w:history="1">
        <w:r w:rsidRPr="00346D5E">
          <w:rPr>
            <w:rStyle w:val="Hyperlink"/>
          </w:rPr>
          <w:t>https://doi.org/10.3389/fmicb.2019.02407</w:t>
        </w:r>
      </w:hyperlink>
      <w:r w:rsidRPr="00346D5E">
        <w:t xml:space="preserve"> </w:t>
      </w:r>
    </w:p>
    <w:p w14:paraId="75F36D0C" w14:textId="70D9F1F3" w:rsidR="00346D5E" w:rsidRPr="00346D5E" w:rsidRDefault="00346D5E" w:rsidP="00346D5E">
      <w:pPr>
        <w:pStyle w:val="EndNoteBibliography"/>
        <w:spacing w:after="0"/>
        <w:ind w:left="720" w:hanging="720"/>
      </w:pPr>
      <w:r w:rsidRPr="00346D5E">
        <w:t xml:space="preserve">Willis, A. D. (2019b). Rarefaction, Alpha Diversity, and Statistics [Perspective]. </w:t>
      </w:r>
      <w:r w:rsidRPr="00346D5E">
        <w:rPr>
          <w:i/>
        </w:rPr>
        <w:t>Frontiers in Microbiology</w:t>
      </w:r>
      <w:r w:rsidRPr="00346D5E">
        <w:t>,</w:t>
      </w:r>
      <w:r w:rsidRPr="00346D5E">
        <w:rPr>
          <w:i/>
        </w:rPr>
        <w:t xml:space="preserve"> 10</w:t>
      </w:r>
      <w:r w:rsidRPr="00346D5E">
        <w:t xml:space="preserve">. </w:t>
      </w:r>
      <w:hyperlink r:id="rId325" w:history="1">
        <w:r w:rsidRPr="00346D5E">
          <w:rPr>
            <w:rStyle w:val="Hyperlink"/>
          </w:rPr>
          <w:t>https://doi.org/10.3389/fmicb.2019.02407</w:t>
        </w:r>
      </w:hyperlink>
      <w:r w:rsidRPr="00346D5E">
        <w:t xml:space="preserve"> </w:t>
      </w:r>
    </w:p>
    <w:p w14:paraId="3F29AFA8" w14:textId="0C8246A0" w:rsidR="00346D5E" w:rsidRPr="00346D5E" w:rsidRDefault="00346D5E" w:rsidP="00346D5E">
      <w:pPr>
        <w:pStyle w:val="EndNoteBibliography"/>
        <w:spacing w:after="0"/>
        <w:ind w:left="720" w:hanging="720"/>
      </w:pPr>
      <w:r w:rsidRPr="00346D5E">
        <w:t xml:space="preserve">Wilson, W., Taubert, K. A., Gewitz, M., Lockhart, P. B., et al. (2007). Prevention of Infective Endocarditis. </w:t>
      </w:r>
      <w:r w:rsidRPr="00346D5E">
        <w:rPr>
          <w:i/>
        </w:rPr>
        <w:t>Circulation</w:t>
      </w:r>
      <w:r w:rsidRPr="00346D5E">
        <w:t>,</w:t>
      </w:r>
      <w:r w:rsidRPr="00346D5E">
        <w:rPr>
          <w:i/>
        </w:rPr>
        <w:t xml:space="preserve"> 116</w:t>
      </w:r>
      <w:r w:rsidRPr="00346D5E">
        <w:t xml:space="preserve">(15), 1736-1754. </w:t>
      </w:r>
      <w:hyperlink r:id="rId326" w:history="1">
        <w:r w:rsidRPr="00346D5E">
          <w:rPr>
            <w:rStyle w:val="Hyperlink"/>
          </w:rPr>
          <w:t>https://doi.org/doi:10.1161/CIRCULATIONAHA.106.183095</w:t>
        </w:r>
      </w:hyperlink>
      <w:r w:rsidRPr="00346D5E">
        <w:t xml:space="preserve"> </w:t>
      </w:r>
    </w:p>
    <w:p w14:paraId="1F069BE0" w14:textId="2738AD12" w:rsidR="00346D5E" w:rsidRPr="00346D5E" w:rsidRDefault="00346D5E" w:rsidP="00346D5E">
      <w:pPr>
        <w:pStyle w:val="EndNoteBibliography"/>
        <w:spacing w:after="0"/>
        <w:ind w:left="720" w:hanging="720"/>
      </w:pPr>
      <w:r w:rsidRPr="00346D5E">
        <w:lastRenderedPageBreak/>
        <w:t xml:space="preserve">Wong, C., Jayaram, L., Karalus, N., Eaton, T., et al. (2012). Azithromycin for prevention of exacerbations in non-cystic fibrosis bronchiectasis (EMBRACE): a randomised, double-blind, placebo-controlled trial. </w:t>
      </w:r>
      <w:r w:rsidRPr="00346D5E">
        <w:rPr>
          <w:i/>
        </w:rPr>
        <w:t>Lancet</w:t>
      </w:r>
      <w:r w:rsidRPr="00346D5E">
        <w:t>,</w:t>
      </w:r>
      <w:r w:rsidRPr="00346D5E">
        <w:rPr>
          <w:i/>
        </w:rPr>
        <w:t xml:space="preserve"> 380</w:t>
      </w:r>
      <w:r w:rsidRPr="00346D5E">
        <w:t xml:space="preserve">(9842), 660-667. </w:t>
      </w:r>
      <w:hyperlink r:id="rId327" w:history="1">
        <w:r w:rsidRPr="00346D5E">
          <w:rPr>
            <w:rStyle w:val="Hyperlink"/>
          </w:rPr>
          <w:t>https://doi.org/10.1016/s0140-6736(12)60953-2</w:t>
        </w:r>
      </w:hyperlink>
      <w:r w:rsidRPr="00346D5E">
        <w:t xml:space="preserve"> </w:t>
      </w:r>
    </w:p>
    <w:p w14:paraId="18FF8388" w14:textId="5369DD94" w:rsidR="00346D5E" w:rsidRPr="00346D5E" w:rsidRDefault="00346D5E" w:rsidP="00346D5E">
      <w:pPr>
        <w:pStyle w:val="EndNoteBibliography"/>
        <w:spacing w:after="0"/>
        <w:ind w:left="720" w:hanging="720"/>
      </w:pPr>
      <w:r w:rsidRPr="00346D5E">
        <w:t xml:space="preserve">Woo, T. E., Lim, R., Heirali, A. A., Acosta, N., et al. (2019). A longitudinal characterization of the Non-Cystic Fibrosis Bronchiectasis airway microbiome. </w:t>
      </w:r>
      <w:r w:rsidRPr="00346D5E">
        <w:rPr>
          <w:i/>
        </w:rPr>
        <w:t>Scientific reports</w:t>
      </w:r>
      <w:r w:rsidRPr="00346D5E">
        <w:t>,</w:t>
      </w:r>
      <w:r w:rsidRPr="00346D5E">
        <w:rPr>
          <w:i/>
        </w:rPr>
        <w:t xml:space="preserve"> 9</w:t>
      </w:r>
      <w:r w:rsidRPr="00346D5E">
        <w:t xml:space="preserve">(1), 6871. </w:t>
      </w:r>
      <w:hyperlink r:id="rId328" w:history="1">
        <w:r w:rsidRPr="00346D5E">
          <w:rPr>
            <w:rStyle w:val="Hyperlink"/>
          </w:rPr>
          <w:t>https://doi.org/10.1038/s41598-019-42862-y</w:t>
        </w:r>
      </w:hyperlink>
      <w:r w:rsidRPr="00346D5E">
        <w:t xml:space="preserve"> </w:t>
      </w:r>
    </w:p>
    <w:p w14:paraId="62651EB5" w14:textId="37FF81C2" w:rsidR="00346D5E" w:rsidRPr="00346D5E" w:rsidRDefault="00346D5E" w:rsidP="00346D5E">
      <w:pPr>
        <w:pStyle w:val="EndNoteBibliography"/>
        <w:spacing w:after="0"/>
        <w:ind w:left="720" w:hanging="720"/>
      </w:pPr>
      <w:r w:rsidRPr="00346D5E">
        <w:t xml:space="preserve">Wouters, I., Van Heirstraeten, L., Desmet, S., Blaizot, S., et al. (2018). Nasopharyngeal s. pneumoniae carriage and density in Belgian infants after 9 years of pneumococcal conjugate vaccine programme. </w:t>
      </w:r>
      <w:r w:rsidRPr="00346D5E">
        <w:rPr>
          <w:i/>
        </w:rPr>
        <w:t>Vaccine</w:t>
      </w:r>
      <w:r w:rsidRPr="00346D5E">
        <w:t>,</w:t>
      </w:r>
      <w:r w:rsidRPr="00346D5E">
        <w:rPr>
          <w:i/>
        </w:rPr>
        <w:t xml:space="preserve"> 36</w:t>
      </w:r>
      <w:r w:rsidRPr="00346D5E">
        <w:t xml:space="preserve">(1), 15-22. </w:t>
      </w:r>
      <w:hyperlink r:id="rId329" w:history="1">
        <w:r w:rsidRPr="00346D5E">
          <w:rPr>
            <w:rStyle w:val="Hyperlink"/>
          </w:rPr>
          <w:t>https://doi.org/https://doi.org/10.1016/j.vaccine.2017.11.052</w:t>
        </w:r>
      </w:hyperlink>
      <w:r w:rsidRPr="00346D5E">
        <w:t xml:space="preserve"> </w:t>
      </w:r>
    </w:p>
    <w:p w14:paraId="574CAF0F" w14:textId="6FF89B09" w:rsidR="00346D5E" w:rsidRPr="00346D5E" w:rsidRDefault="00346D5E" w:rsidP="00346D5E">
      <w:pPr>
        <w:pStyle w:val="EndNoteBibliography"/>
        <w:spacing w:after="0"/>
        <w:ind w:left="720" w:hanging="720"/>
      </w:pPr>
      <w:r w:rsidRPr="00346D5E">
        <w:t xml:space="preserve">Wurzel, D. F., Marchant, J. M., Yerkovich, S. T., Upham, J. W., et al. (2016). Protracted Bacterial Bronchitis in Children: Natural History and Risk Factors for Bronchiectasis. </w:t>
      </w:r>
      <w:r w:rsidRPr="00346D5E">
        <w:rPr>
          <w:i/>
        </w:rPr>
        <w:t>Chest</w:t>
      </w:r>
      <w:r w:rsidRPr="00346D5E">
        <w:t>,</w:t>
      </w:r>
      <w:r w:rsidRPr="00346D5E">
        <w:rPr>
          <w:i/>
        </w:rPr>
        <w:t xml:space="preserve"> 150</w:t>
      </w:r>
      <w:r w:rsidRPr="00346D5E">
        <w:t xml:space="preserve">(5), 1101-1108. </w:t>
      </w:r>
      <w:hyperlink r:id="rId330" w:history="1">
        <w:r w:rsidRPr="00346D5E">
          <w:rPr>
            <w:rStyle w:val="Hyperlink"/>
          </w:rPr>
          <w:t>https://doi.org/10.1016/j.chest.2016.06.030</w:t>
        </w:r>
      </w:hyperlink>
      <w:r w:rsidRPr="00346D5E">
        <w:t xml:space="preserve"> </w:t>
      </w:r>
    </w:p>
    <w:p w14:paraId="27A2CB13" w14:textId="1E379BDE" w:rsidR="00346D5E" w:rsidRPr="00346D5E" w:rsidRDefault="00346D5E" w:rsidP="00346D5E">
      <w:pPr>
        <w:pStyle w:val="EndNoteBibliography"/>
        <w:spacing w:after="0"/>
        <w:ind w:left="720" w:hanging="720"/>
      </w:pPr>
      <w:r w:rsidRPr="00346D5E">
        <w:t xml:space="preserve">Yahiaoui, R. Y., Casper, D. J. d. H., Evelien, M. E. v. B., Paget, W. J., et al. (2016). Prevalence and antibiotic resistance of commensal &lt;i&gt;Streptococcus pneumoniae&lt;/i&gt; in nine European countries. </w:t>
      </w:r>
      <w:r w:rsidRPr="00346D5E">
        <w:rPr>
          <w:i/>
        </w:rPr>
        <w:t>Future Microbiology</w:t>
      </w:r>
      <w:r w:rsidRPr="00346D5E">
        <w:t>,</w:t>
      </w:r>
      <w:r w:rsidRPr="00346D5E">
        <w:rPr>
          <w:i/>
        </w:rPr>
        <w:t xml:space="preserve"> 11</w:t>
      </w:r>
      <w:r w:rsidRPr="00346D5E">
        <w:t xml:space="preserve">(6), 737-737–744. </w:t>
      </w:r>
      <w:hyperlink r:id="rId331" w:history="1">
        <w:r w:rsidRPr="00346D5E">
          <w:rPr>
            <w:rStyle w:val="Hyperlink"/>
          </w:rPr>
          <w:t>https://doi.org/http://dx.doi.org/10.2217/fmb-2015-0011</w:t>
        </w:r>
      </w:hyperlink>
      <w:r w:rsidRPr="00346D5E">
        <w:t xml:space="preserve"> </w:t>
      </w:r>
    </w:p>
    <w:p w14:paraId="0073EA77" w14:textId="24979227" w:rsidR="00346D5E" w:rsidRPr="00346D5E" w:rsidRDefault="00346D5E" w:rsidP="00346D5E">
      <w:pPr>
        <w:pStyle w:val="EndNoteBibliography"/>
        <w:spacing w:after="0"/>
        <w:ind w:left="720" w:hanging="720"/>
      </w:pPr>
      <w:r w:rsidRPr="00346D5E">
        <w:t xml:space="preserve">Yawn, B. P., Buchanan, G. R., Afenyi-Annan, A. N., Ballas, S. K., et al. (2014). Management of sickle cell disease: summary of the 2014 evidence-based report by expert panel members. </w:t>
      </w:r>
      <w:r w:rsidRPr="00346D5E">
        <w:rPr>
          <w:i/>
        </w:rPr>
        <w:t>Jama</w:t>
      </w:r>
      <w:r w:rsidRPr="00346D5E">
        <w:t>,</w:t>
      </w:r>
      <w:r w:rsidRPr="00346D5E">
        <w:rPr>
          <w:i/>
        </w:rPr>
        <w:t xml:space="preserve"> 312</w:t>
      </w:r>
      <w:r w:rsidRPr="00346D5E">
        <w:t xml:space="preserve">(10), 1033-1048. </w:t>
      </w:r>
      <w:hyperlink r:id="rId332" w:history="1">
        <w:r w:rsidRPr="00346D5E">
          <w:rPr>
            <w:rStyle w:val="Hyperlink"/>
          </w:rPr>
          <w:t>https://doi.org/10.1001/jama.2014.10517</w:t>
        </w:r>
      </w:hyperlink>
      <w:r w:rsidRPr="00346D5E">
        <w:t xml:space="preserve"> </w:t>
      </w:r>
    </w:p>
    <w:p w14:paraId="018C1397" w14:textId="76819A23" w:rsidR="00346D5E" w:rsidRPr="00346D5E" w:rsidRDefault="00346D5E" w:rsidP="00346D5E">
      <w:pPr>
        <w:pStyle w:val="EndNoteBibliography"/>
        <w:spacing w:after="0"/>
        <w:ind w:left="720" w:hanging="720"/>
      </w:pPr>
      <w:r w:rsidRPr="00346D5E">
        <w:t xml:space="preserve">Yousaf, N., Monteiro, W., Parker, D., Matos, S., et al. (2010). Long-term low-dose erythromycin in patients with unexplained chronic cough: a double-blind placebo controlled trial. </w:t>
      </w:r>
      <w:r w:rsidRPr="00346D5E">
        <w:rPr>
          <w:i/>
        </w:rPr>
        <w:t>Thorax</w:t>
      </w:r>
      <w:r w:rsidRPr="00346D5E">
        <w:t>,</w:t>
      </w:r>
      <w:r w:rsidRPr="00346D5E">
        <w:rPr>
          <w:i/>
        </w:rPr>
        <w:t xml:space="preserve"> 65</w:t>
      </w:r>
      <w:r w:rsidRPr="00346D5E">
        <w:t xml:space="preserve">(12), 1107-1110. </w:t>
      </w:r>
      <w:hyperlink r:id="rId333" w:history="1">
        <w:r w:rsidRPr="00346D5E">
          <w:rPr>
            <w:rStyle w:val="Hyperlink"/>
          </w:rPr>
          <w:t>https://doi.org/10.1136/thx.2010.142711</w:t>
        </w:r>
      </w:hyperlink>
      <w:r w:rsidRPr="00346D5E">
        <w:t xml:space="preserve"> </w:t>
      </w:r>
    </w:p>
    <w:p w14:paraId="095EA397" w14:textId="3DD2847F" w:rsidR="00346D5E" w:rsidRPr="00346D5E" w:rsidRDefault="00346D5E" w:rsidP="00346D5E">
      <w:pPr>
        <w:pStyle w:val="EndNoteBibliography"/>
        <w:spacing w:after="0"/>
        <w:ind w:left="720" w:hanging="720"/>
      </w:pPr>
      <w:r w:rsidRPr="00346D5E">
        <w:t xml:space="preserve">Zafar, A., Hasan, R., Nizamuddin, S., Mahmood, N., et al. (2016). Antibiotic susceptibility in Streptococcus pneumoniae, Haemophilus influenzae and Streptococcus pyogenes in Pakistan: a review of results from the Survey of Antibiotic Resistance (SOAR) 2002-15. </w:t>
      </w:r>
      <w:r w:rsidRPr="00346D5E">
        <w:rPr>
          <w:i/>
        </w:rPr>
        <w:t>J Antimicrob Chemother</w:t>
      </w:r>
      <w:r w:rsidRPr="00346D5E">
        <w:t>,</w:t>
      </w:r>
      <w:r w:rsidRPr="00346D5E">
        <w:rPr>
          <w:i/>
        </w:rPr>
        <w:t xml:space="preserve"> 71 Suppl 1</w:t>
      </w:r>
      <w:r w:rsidRPr="00346D5E">
        <w:t xml:space="preserve">(Suppl 1), i103-109. </w:t>
      </w:r>
      <w:hyperlink r:id="rId334" w:history="1">
        <w:r w:rsidRPr="00346D5E">
          <w:rPr>
            <w:rStyle w:val="Hyperlink"/>
          </w:rPr>
          <w:t>https://doi.org/10.1093/jac/dkw076</w:t>
        </w:r>
      </w:hyperlink>
      <w:r w:rsidRPr="00346D5E">
        <w:t xml:space="preserve"> </w:t>
      </w:r>
    </w:p>
    <w:p w14:paraId="573AE032" w14:textId="6174D9E5" w:rsidR="00346D5E" w:rsidRPr="00346D5E" w:rsidRDefault="00346D5E" w:rsidP="00346D5E">
      <w:pPr>
        <w:pStyle w:val="EndNoteBibliography"/>
        <w:spacing w:after="0"/>
        <w:ind w:left="720" w:hanging="720"/>
      </w:pPr>
      <w:r w:rsidRPr="00346D5E">
        <w:t xml:space="preserve">Zhou, Y., Bacharier, L. B., Isaacson-Schmid, M., Baty, J., et al. (2016). Azithromycin therapy during respiratory syncytial virus bronchiolitis: Upper airway microbiome alterations and subsequent recurrent wheeze. </w:t>
      </w:r>
      <w:r w:rsidRPr="00346D5E">
        <w:rPr>
          <w:i/>
        </w:rPr>
        <w:t>J Allergy Clin Immunol</w:t>
      </w:r>
      <w:r w:rsidRPr="00346D5E">
        <w:t>,</w:t>
      </w:r>
      <w:r w:rsidRPr="00346D5E">
        <w:rPr>
          <w:i/>
        </w:rPr>
        <w:t xml:space="preserve"> 138</w:t>
      </w:r>
      <w:r w:rsidRPr="00346D5E">
        <w:t xml:space="preserve">(4), 1215-1219.e1215. </w:t>
      </w:r>
      <w:hyperlink r:id="rId335" w:history="1">
        <w:r w:rsidRPr="00346D5E">
          <w:rPr>
            <w:rStyle w:val="Hyperlink"/>
          </w:rPr>
          <w:t>https://doi.org/10.1016/j.jaci.2016.03.054</w:t>
        </w:r>
      </w:hyperlink>
      <w:r w:rsidRPr="00346D5E">
        <w:t xml:space="preserve"> </w:t>
      </w:r>
    </w:p>
    <w:p w14:paraId="0E370C37" w14:textId="7F13D9B6" w:rsidR="00346D5E" w:rsidRPr="00346D5E" w:rsidRDefault="00346D5E" w:rsidP="00346D5E">
      <w:pPr>
        <w:pStyle w:val="EndNoteBibliography"/>
        <w:ind w:left="720" w:hanging="720"/>
      </w:pPr>
      <w:r w:rsidRPr="00346D5E">
        <w:t xml:space="preserve">Zhou, Y., Jackson, D., Bacharier, L. B., Mauger, D., et al. (2019). The upper-airway microbiota and loss of asthma control among asthmatic children. </w:t>
      </w:r>
      <w:r w:rsidRPr="00346D5E">
        <w:rPr>
          <w:i/>
        </w:rPr>
        <w:t>Nat Commun</w:t>
      </w:r>
      <w:r w:rsidRPr="00346D5E">
        <w:t>,</w:t>
      </w:r>
      <w:r w:rsidRPr="00346D5E">
        <w:rPr>
          <w:i/>
        </w:rPr>
        <w:t xml:space="preserve"> 10</w:t>
      </w:r>
      <w:r w:rsidRPr="00346D5E">
        <w:t xml:space="preserve">(1), 5714. </w:t>
      </w:r>
      <w:hyperlink r:id="rId336" w:history="1">
        <w:r w:rsidRPr="00346D5E">
          <w:rPr>
            <w:rStyle w:val="Hyperlink"/>
          </w:rPr>
          <w:t>https://doi.org/10.1038/s41467-019-13698-x</w:t>
        </w:r>
      </w:hyperlink>
      <w:r w:rsidRPr="00346D5E">
        <w:t xml:space="preserve"> </w:t>
      </w:r>
    </w:p>
    <w:p w14:paraId="71091347" w14:textId="08B7CCC3" w:rsidR="007A5126" w:rsidRDefault="00587CD0" w:rsidP="0069498D">
      <w:pPr>
        <w:pStyle w:val="EndNoteBibliography"/>
        <w:ind w:left="720" w:hanging="720"/>
        <w:rPr>
          <w:sz w:val="24"/>
          <w:szCs w:val="24"/>
        </w:rPr>
      </w:pPr>
      <w:r w:rsidRPr="001834DE">
        <w:rPr>
          <w:sz w:val="24"/>
          <w:szCs w:val="24"/>
        </w:rPr>
        <w:fldChar w:fldCharType="end"/>
      </w:r>
      <w:bookmarkStart w:id="329" w:name="_Toc14946716"/>
    </w:p>
    <w:p w14:paraId="68CB81A8" w14:textId="006E1AB6" w:rsidR="002B2D3D" w:rsidRPr="007A5126" w:rsidRDefault="007A5126" w:rsidP="007A5126">
      <w:pPr>
        <w:rPr>
          <w:rFonts w:ascii="Calibri" w:hAnsi="Calibri" w:cs="Calibri"/>
          <w:noProof/>
          <w:lang w:val="en-US"/>
        </w:rPr>
      </w:pPr>
      <w:r>
        <w:br w:type="page"/>
      </w:r>
    </w:p>
    <w:p w14:paraId="4A514491" w14:textId="158524A3" w:rsidR="001834DE" w:rsidRPr="001834DE" w:rsidRDefault="001834DE" w:rsidP="001834DE">
      <w:pPr>
        <w:pStyle w:val="Heading1"/>
        <w:rPr>
          <w:b/>
          <w:bCs/>
        </w:rPr>
      </w:pPr>
      <w:bookmarkStart w:id="330" w:name="_Toc117766023"/>
      <w:bookmarkEnd w:id="329"/>
      <w:r w:rsidRPr="001834DE">
        <w:rPr>
          <w:b/>
          <w:bCs/>
        </w:rPr>
        <w:lastRenderedPageBreak/>
        <w:t>Appendices</w:t>
      </w:r>
      <w:bookmarkEnd w:id="330"/>
    </w:p>
    <w:p w14:paraId="73C61CC4" w14:textId="696B8C7A" w:rsidR="007B61CA" w:rsidRDefault="00587CD0" w:rsidP="004F3338">
      <w:pPr>
        <w:pStyle w:val="Heading2"/>
        <w:rPr>
          <w:sz w:val="24"/>
          <w:szCs w:val="24"/>
        </w:rPr>
      </w:pPr>
      <w:bookmarkStart w:id="331" w:name="_Toc117766024"/>
      <w:bookmarkStart w:id="332" w:name="_Toc14946718"/>
      <w:r w:rsidRPr="008F33C8">
        <w:rPr>
          <w:sz w:val="24"/>
          <w:szCs w:val="24"/>
        </w:rPr>
        <w:t xml:space="preserve">Appendix 1: </w:t>
      </w:r>
      <w:r w:rsidR="007B61CA">
        <w:t>Specific cough pointers</w:t>
      </w:r>
      <w:bookmarkEnd w:id="331"/>
    </w:p>
    <w:p w14:paraId="518A3BFF" w14:textId="77777777" w:rsidR="007B61CA" w:rsidRDefault="007B61CA" w:rsidP="007B61CA">
      <w:pPr>
        <w:spacing w:line="360" w:lineRule="auto"/>
      </w:pPr>
      <w:r w:rsidRPr="00241369">
        <w:rPr>
          <w:b/>
          <w:bCs/>
        </w:rPr>
        <w:t xml:space="preserve">Specific cough pointers to be identified on clinical assessment </w:t>
      </w:r>
      <w:r>
        <w:rPr>
          <w:b/>
          <w:bCs/>
        </w:rPr>
        <w:t xml:space="preserve">of chronic cough </w:t>
      </w:r>
      <w:r w:rsidRPr="00241369">
        <w:rPr>
          <w:b/>
          <w:bCs/>
        </w:rPr>
        <w:t>include</w:t>
      </w:r>
      <w:r w:rsidRPr="00241369">
        <w:t xml:space="preserve">: </w:t>
      </w:r>
    </w:p>
    <w:p w14:paraId="3F2C8FF6" w14:textId="77777777" w:rsidR="007B61CA" w:rsidRDefault="007B61CA" w:rsidP="007B61CA">
      <w:pPr>
        <w:spacing w:line="360" w:lineRule="auto"/>
      </w:pPr>
      <w:r w:rsidRPr="008F33C8">
        <w:t xml:space="preserve">Symptoms: chest pain, history suggestive of inhaled foreign body, dyspnoea, exertional dyspnoea, haemoptysis, failure to thrive, feeding difficulties (including vomiting or choking), cardiac or neurodevelopmental abnormalities, recurrent sinopulmonary infections, immunodeficiency or epidemiological risk factors for tuberculosis. </w:t>
      </w:r>
    </w:p>
    <w:p w14:paraId="51CA1B68" w14:textId="4B6D59CB" w:rsidR="007B61CA" w:rsidRDefault="007B61CA" w:rsidP="007B61CA">
      <w:pPr>
        <w:spacing w:line="360" w:lineRule="auto"/>
      </w:pPr>
      <w:r w:rsidRPr="008F33C8">
        <w:t>Signs: respiratory distress, digital clubbing, chest wall deformity or auscultatory crackles. Investigations: chest radiograph changes other than peri-hilar changes or lung function abnormalities.</w:t>
      </w:r>
    </w:p>
    <w:p w14:paraId="3D1AA719" w14:textId="77777777" w:rsidR="00C452B0" w:rsidRDefault="00C452B0" w:rsidP="007B61CA">
      <w:pPr>
        <w:spacing w:line="360" w:lineRule="auto"/>
      </w:pPr>
    </w:p>
    <w:p w14:paraId="4A501925" w14:textId="678E77D2" w:rsidR="00587CD0" w:rsidRPr="00C452B0" w:rsidRDefault="007B61CA" w:rsidP="004F3338">
      <w:pPr>
        <w:pStyle w:val="Heading2"/>
      </w:pPr>
      <w:bookmarkStart w:id="333" w:name="_Toc117766025"/>
      <w:r>
        <w:t xml:space="preserve">Appendix 2: </w:t>
      </w:r>
      <w:r w:rsidR="00BA174C">
        <w:t xml:space="preserve">Abbreviated </w:t>
      </w:r>
      <w:r w:rsidR="00587CD0" w:rsidRPr="008F33C8">
        <w:t>SCH guidelines for the management of PBB</w:t>
      </w:r>
      <w:bookmarkEnd w:id="332"/>
      <w:bookmarkEnd w:id="333"/>
      <w:r w:rsidR="00594A27">
        <w:t xml:space="preserve"> </w:t>
      </w:r>
    </w:p>
    <w:p w14:paraId="7DE16D18" w14:textId="5D1ADB38" w:rsidR="00587CD0" w:rsidRPr="008F33C8" w:rsidRDefault="00587CD0" w:rsidP="00C452B0">
      <w:pPr>
        <w:spacing w:line="360" w:lineRule="auto"/>
      </w:pPr>
      <w:r w:rsidRPr="008F33C8">
        <w:t>Diagnosis and Management of Children with PBB</w:t>
      </w:r>
      <w:r w:rsidR="00594A27">
        <w:t xml:space="preserve"> (</w:t>
      </w:r>
      <w:proofErr w:type="spellStart"/>
      <w:r w:rsidR="00594A27">
        <w:t>Kansra</w:t>
      </w:r>
      <w:proofErr w:type="spellEnd"/>
      <w:r w:rsidR="00594A27">
        <w:t xml:space="preserve"> et al. 2018)</w:t>
      </w:r>
    </w:p>
    <w:p w14:paraId="4C231B98" w14:textId="77777777" w:rsidR="00587CD0" w:rsidRPr="008F33C8" w:rsidRDefault="00587CD0" w:rsidP="005219DA">
      <w:pPr>
        <w:spacing w:line="360" w:lineRule="auto"/>
      </w:pPr>
      <w:r w:rsidRPr="008F33C8">
        <w:t xml:space="preserve">Reference: </w:t>
      </w:r>
      <w:r w:rsidRPr="008F33C8">
        <w:tab/>
        <w:t>1852v1</w:t>
      </w:r>
    </w:p>
    <w:p w14:paraId="79E66304" w14:textId="77777777" w:rsidR="00587CD0" w:rsidRPr="008F33C8" w:rsidRDefault="00587CD0" w:rsidP="005219DA">
      <w:pPr>
        <w:spacing w:line="360" w:lineRule="auto"/>
      </w:pPr>
      <w:r w:rsidRPr="008F33C8">
        <w:t>Written by:</w:t>
      </w:r>
      <w:r w:rsidRPr="008F33C8">
        <w:tab/>
      </w:r>
      <w:proofErr w:type="spellStart"/>
      <w:r w:rsidRPr="008F33C8">
        <w:t>Sonal</w:t>
      </w:r>
      <w:proofErr w:type="spellEnd"/>
      <w:r w:rsidRPr="008F33C8">
        <w:t xml:space="preserve"> </w:t>
      </w:r>
      <w:proofErr w:type="spellStart"/>
      <w:r w:rsidRPr="008F33C8">
        <w:t>Kansra</w:t>
      </w:r>
      <w:proofErr w:type="spellEnd"/>
    </w:p>
    <w:p w14:paraId="167197A0" w14:textId="7E9457FF" w:rsidR="00587CD0" w:rsidRPr="008F33C8" w:rsidRDefault="00587CD0" w:rsidP="005219DA">
      <w:pPr>
        <w:spacing w:line="360" w:lineRule="auto"/>
      </w:pPr>
      <w:r w:rsidRPr="008F33C8">
        <w:t>Peer reviewer:</w:t>
      </w:r>
      <w:r w:rsidRPr="008F33C8">
        <w:tab/>
      </w:r>
      <w:r w:rsidR="00BA174C">
        <w:t xml:space="preserve"> </w:t>
      </w:r>
      <w:r w:rsidRPr="008F33C8">
        <w:t>Alison Scott</w:t>
      </w:r>
    </w:p>
    <w:p w14:paraId="1ED2A2AE" w14:textId="77777777" w:rsidR="00587CD0" w:rsidRPr="008F33C8" w:rsidRDefault="00587CD0" w:rsidP="005219DA">
      <w:pPr>
        <w:spacing w:line="360" w:lineRule="auto"/>
      </w:pPr>
      <w:r w:rsidRPr="008F33C8">
        <w:t>Approved:</w:t>
      </w:r>
      <w:r w:rsidRPr="008F33C8">
        <w:tab/>
        <w:t>July 2018</w:t>
      </w:r>
    </w:p>
    <w:p w14:paraId="11B7A09D" w14:textId="4E7553B8" w:rsidR="00587CD0" w:rsidRDefault="00587CD0" w:rsidP="005219DA">
      <w:pPr>
        <w:spacing w:line="360" w:lineRule="auto"/>
      </w:pPr>
      <w:r w:rsidRPr="008F33C8">
        <w:t>Review Due:</w:t>
      </w:r>
      <w:r w:rsidRPr="008F33C8">
        <w:tab/>
        <w:t>February 2021</w:t>
      </w:r>
    </w:p>
    <w:p w14:paraId="061995DC" w14:textId="77777777" w:rsidR="005219DA" w:rsidRPr="008F33C8" w:rsidRDefault="005219DA" w:rsidP="005219DA">
      <w:pPr>
        <w:spacing w:line="360" w:lineRule="auto"/>
      </w:pPr>
    </w:p>
    <w:p w14:paraId="55B61A7F" w14:textId="77777777" w:rsidR="00BA174C" w:rsidRPr="001D04B2" w:rsidRDefault="00BA174C" w:rsidP="005219DA">
      <w:pPr>
        <w:spacing w:line="360" w:lineRule="auto"/>
        <w:rPr>
          <w:b/>
          <w:bCs/>
        </w:rPr>
      </w:pPr>
      <w:r w:rsidRPr="001D04B2">
        <w:rPr>
          <w:b/>
          <w:bCs/>
        </w:rPr>
        <w:t>Diagnosis and Management</w:t>
      </w:r>
    </w:p>
    <w:p w14:paraId="57F705D9" w14:textId="1C00BE23" w:rsidR="00BA174C" w:rsidRPr="005219DA" w:rsidRDefault="00BA174C" w:rsidP="005219DA">
      <w:pPr>
        <w:spacing w:line="360" w:lineRule="auto"/>
        <w:rPr>
          <w:b/>
          <w:bCs/>
          <w:u w:val="single"/>
        </w:rPr>
      </w:pPr>
      <w:r w:rsidRPr="005219DA">
        <w:rPr>
          <w:b/>
          <w:bCs/>
          <w:u w:val="single"/>
        </w:rPr>
        <w:t>PBB clinical</w:t>
      </w:r>
    </w:p>
    <w:p w14:paraId="638410C6" w14:textId="3FCB97BA" w:rsidR="00BA174C" w:rsidRPr="00BA174C" w:rsidRDefault="00BA174C" w:rsidP="005219DA">
      <w:pPr>
        <w:spacing w:line="360" w:lineRule="auto"/>
      </w:pPr>
      <w:r w:rsidRPr="00BA174C">
        <w:t>Children with chronic wet cough (&gt; 4 weeks), in absence of any specific pointers of</w:t>
      </w:r>
      <w:r>
        <w:t xml:space="preserve"> </w:t>
      </w:r>
      <w:r w:rsidRPr="00BA174C">
        <w:t>significant lung disease (see appendix 2).</w:t>
      </w:r>
    </w:p>
    <w:p w14:paraId="5C84589D" w14:textId="77777777" w:rsidR="00BA174C" w:rsidRPr="00BA174C" w:rsidRDefault="00BA174C" w:rsidP="005219DA">
      <w:pPr>
        <w:spacing w:line="360" w:lineRule="auto"/>
      </w:pPr>
      <w:r w:rsidRPr="00BA174C">
        <w:t>X-rays show minor changes (bronchial wall thickening) only</w:t>
      </w:r>
    </w:p>
    <w:p w14:paraId="7277B826" w14:textId="41897E74" w:rsidR="00BA174C" w:rsidRPr="00BA174C" w:rsidRDefault="00BA174C" w:rsidP="005219DA">
      <w:pPr>
        <w:spacing w:line="360" w:lineRule="auto"/>
      </w:pPr>
      <w:r w:rsidRPr="00BA174C">
        <w:t>These children should be designated as PBB (clinical) and treated with 2 weeks of</w:t>
      </w:r>
      <w:r>
        <w:t xml:space="preserve"> </w:t>
      </w:r>
      <w:r w:rsidRPr="00BA174C">
        <w:t>antibiotics covering common respiratory pathogens Streptococcus pneumoniae,</w:t>
      </w:r>
      <w:r>
        <w:t xml:space="preserve"> </w:t>
      </w:r>
      <w:r w:rsidRPr="00BA174C">
        <w:t>Haemophilus influenzae and Moraxella catarrhalis. Usually this will be Co</w:t>
      </w:r>
      <w:r w:rsidR="00167BCA">
        <w:t>-</w:t>
      </w:r>
      <w:r w:rsidRPr="00BA174C">
        <w:t>amoxiclav.</w:t>
      </w:r>
      <w:r>
        <w:t xml:space="preserve"> </w:t>
      </w:r>
    </w:p>
    <w:p w14:paraId="495FF668" w14:textId="75E16D08" w:rsidR="00BA174C" w:rsidRPr="00BA174C" w:rsidRDefault="00BA174C" w:rsidP="005219DA">
      <w:pPr>
        <w:spacing w:line="360" w:lineRule="auto"/>
      </w:pPr>
      <w:r w:rsidRPr="00BA174C">
        <w:t>For most children a 2 week course will be needed, a further 2 weeks can be</w:t>
      </w:r>
      <w:r>
        <w:t xml:space="preserve"> </w:t>
      </w:r>
      <w:r w:rsidRPr="00BA174C">
        <w:t>prescribed if the child has improved significantly but is not completely cough free.</w:t>
      </w:r>
      <w:r>
        <w:t xml:space="preserve"> </w:t>
      </w:r>
      <w:r w:rsidRPr="00BA174C">
        <w:t>(Only a minority will need longer courses and have high index of suspicion in these for</w:t>
      </w:r>
      <w:r>
        <w:t xml:space="preserve"> </w:t>
      </w:r>
      <w:r w:rsidRPr="00BA174C">
        <w:t>more severe disease i.e. CSLD or bronchiectasis).</w:t>
      </w:r>
    </w:p>
    <w:p w14:paraId="4C9971BD" w14:textId="1E96CE7F" w:rsidR="00587CD0" w:rsidRDefault="00BA174C" w:rsidP="005219DA">
      <w:pPr>
        <w:spacing w:line="360" w:lineRule="auto"/>
      </w:pPr>
      <w:r w:rsidRPr="00BA174C">
        <w:lastRenderedPageBreak/>
        <w:t>For children who do not respond to 4 weeks of antibiotic treatment or have more</w:t>
      </w:r>
      <w:r>
        <w:t xml:space="preserve"> </w:t>
      </w:r>
      <w:r w:rsidRPr="00BA174C">
        <w:t>than one episode, further investigations including baseline immunology (Full Blood</w:t>
      </w:r>
      <w:r>
        <w:t xml:space="preserve"> </w:t>
      </w:r>
      <w:r w:rsidRPr="00BA174C">
        <w:t xml:space="preserve">Count, Immunoglobulin levels and vaccine responses to </w:t>
      </w:r>
      <w:proofErr w:type="spellStart"/>
      <w:r w:rsidRPr="00BA174C">
        <w:t>HiB</w:t>
      </w:r>
      <w:proofErr w:type="spellEnd"/>
      <w:r w:rsidRPr="00BA174C">
        <w:t>, Tetanus and Prevenar</w:t>
      </w:r>
      <w:r>
        <w:t xml:space="preserve"> </w:t>
      </w:r>
      <w:r w:rsidRPr="00BA174C">
        <w:t>serotypes) and sweat test is recommended.</w:t>
      </w:r>
      <w:r>
        <w:t xml:space="preserve"> </w:t>
      </w:r>
      <w:r w:rsidRPr="00BA174C">
        <w:t>Referral to tertiary Respiratory consultants should be considered and bronchoscopy</w:t>
      </w:r>
      <w:r>
        <w:t xml:space="preserve"> </w:t>
      </w:r>
      <w:r w:rsidRPr="00BA174C">
        <w:t>discussed.</w:t>
      </w:r>
    </w:p>
    <w:p w14:paraId="1A7CB31C" w14:textId="77777777" w:rsidR="005219DA" w:rsidRPr="008F33C8" w:rsidRDefault="005219DA" w:rsidP="005219DA">
      <w:pPr>
        <w:spacing w:line="360" w:lineRule="auto"/>
      </w:pPr>
    </w:p>
    <w:p w14:paraId="35AD3D2C" w14:textId="77777777" w:rsidR="00587CD0" w:rsidRPr="001D04B2" w:rsidRDefault="00587CD0" w:rsidP="005219DA">
      <w:pPr>
        <w:spacing w:line="360" w:lineRule="auto"/>
        <w:rPr>
          <w:b/>
          <w:bCs/>
        </w:rPr>
      </w:pPr>
      <w:r w:rsidRPr="001D04B2">
        <w:rPr>
          <w:b/>
          <w:bCs/>
        </w:rPr>
        <w:t>PBB (Bronchoscopy/microbiology confirmed)</w:t>
      </w:r>
    </w:p>
    <w:p w14:paraId="52108ED6" w14:textId="77777777" w:rsidR="00587CD0" w:rsidRPr="001D04B2" w:rsidRDefault="00587CD0" w:rsidP="005219DA">
      <w:pPr>
        <w:spacing w:line="360" w:lineRule="auto"/>
        <w:rPr>
          <w:b/>
          <w:bCs/>
          <w:u w:val="single"/>
        </w:rPr>
      </w:pPr>
      <w:r w:rsidRPr="001D04B2">
        <w:rPr>
          <w:b/>
          <w:bCs/>
          <w:u w:val="single"/>
        </w:rPr>
        <w:t>Treatment</w:t>
      </w:r>
    </w:p>
    <w:p w14:paraId="60447704" w14:textId="77777777" w:rsidR="00587CD0" w:rsidRPr="008F33C8" w:rsidRDefault="00587CD0" w:rsidP="005219DA">
      <w:pPr>
        <w:spacing w:line="360" w:lineRule="auto"/>
      </w:pPr>
      <w:r w:rsidRPr="008F33C8">
        <w:t xml:space="preserve">Children with </w:t>
      </w:r>
      <w:proofErr w:type="spellStart"/>
      <w:r>
        <w:t>b</w:t>
      </w:r>
      <w:r w:rsidRPr="008F33C8">
        <w:t>ronchoscopic</w:t>
      </w:r>
      <w:proofErr w:type="spellEnd"/>
      <w:r w:rsidRPr="008F33C8">
        <w:t xml:space="preserve"> evidence of PBB (Purulent secretions, heavy growth of typical bacteria, neutrophilia) should be treated with 4 weeks of antibiotics, with antibiotic choice guided by culture and sensitivity results.</w:t>
      </w:r>
    </w:p>
    <w:p w14:paraId="16EE6D51" w14:textId="36B8EBD6" w:rsidR="00587CD0" w:rsidRPr="008F33C8" w:rsidRDefault="00587CD0" w:rsidP="005219DA">
      <w:pPr>
        <w:spacing w:line="360" w:lineRule="auto"/>
      </w:pPr>
      <w:r w:rsidRPr="008F33C8">
        <w:t>If the bronchoscopy shows significant inflammation or purulent secretions, then IV antibiotics will be commenced on consultant decision only.</w:t>
      </w:r>
      <w:r w:rsidR="00BA174C">
        <w:t xml:space="preserve"> </w:t>
      </w:r>
      <w:r w:rsidRPr="008F33C8">
        <w:t>Recurrences are common and it is reasonable to wait for 2 weeks to see if these are related to a new viral infection.</w:t>
      </w:r>
      <w:r w:rsidR="00BA174C">
        <w:t xml:space="preserve"> </w:t>
      </w:r>
      <w:r w:rsidRPr="008F33C8">
        <w:t xml:space="preserve">Recurrences should be treated with 2 weeks of antibiotics and it will be useful to do a cough swab for culture and sensitivities and a NPA or viral throat swab for respiratory viruses at the onset. </w:t>
      </w:r>
    </w:p>
    <w:p w14:paraId="53E47E23" w14:textId="77777777" w:rsidR="00587CD0" w:rsidRPr="001D04B2" w:rsidRDefault="00587CD0" w:rsidP="005219DA">
      <w:pPr>
        <w:spacing w:line="360" w:lineRule="auto"/>
        <w:rPr>
          <w:b/>
          <w:bCs/>
          <w:u w:val="single"/>
        </w:rPr>
      </w:pPr>
      <w:r w:rsidRPr="001D04B2">
        <w:rPr>
          <w:b/>
          <w:bCs/>
          <w:u w:val="single"/>
        </w:rPr>
        <w:t>Prophylaxis</w:t>
      </w:r>
    </w:p>
    <w:p w14:paraId="7FC7EA04" w14:textId="77777777" w:rsidR="00587CD0" w:rsidRPr="008F33C8" w:rsidRDefault="00587CD0" w:rsidP="005219DA">
      <w:pPr>
        <w:spacing w:line="360" w:lineRule="auto"/>
      </w:pPr>
      <w:r w:rsidRPr="008F33C8">
        <w:t xml:space="preserve">Antibiotic prophylaxis should be discussed for children who have more than 3 recurrences in 12 months.  </w:t>
      </w:r>
    </w:p>
    <w:p w14:paraId="33698B79" w14:textId="77777777" w:rsidR="00587CD0" w:rsidRPr="008F33C8" w:rsidRDefault="00587CD0" w:rsidP="005219DA">
      <w:pPr>
        <w:spacing w:line="360" w:lineRule="auto"/>
        <w:rPr>
          <w:bCs/>
        </w:rPr>
      </w:pPr>
      <w:r w:rsidRPr="008F33C8">
        <w:rPr>
          <w:bCs/>
        </w:rPr>
        <w:t xml:space="preserve">Azithromycin </w:t>
      </w:r>
      <w:r w:rsidRPr="008F33C8">
        <w:t>(10mg/kg OD M/W/F) should be first line for prophylaxis because its use has robust evidence in CSLD and bronchiectasis and in cystic fibrosis. The dosing is easy, it is well tolerated and has less interactions and cardiac toxicity as compared to other macrolides</w:t>
      </w:r>
      <w:r w:rsidRPr="008F33C8">
        <w:rPr>
          <w:bCs/>
        </w:rPr>
        <w:t xml:space="preserve"> </w:t>
      </w:r>
    </w:p>
    <w:p w14:paraId="731869B6" w14:textId="77777777" w:rsidR="00587CD0" w:rsidRPr="008F33C8" w:rsidRDefault="00587CD0" w:rsidP="005219DA">
      <w:pPr>
        <w:spacing w:line="360" w:lineRule="auto"/>
      </w:pPr>
      <w:proofErr w:type="spellStart"/>
      <w:r w:rsidRPr="008F33C8">
        <w:rPr>
          <w:bCs/>
        </w:rPr>
        <w:t>Septrin</w:t>
      </w:r>
      <w:proofErr w:type="spellEnd"/>
      <w:r w:rsidRPr="008F33C8">
        <w:rPr>
          <w:bCs/>
        </w:rPr>
        <w:t xml:space="preserve"> </w:t>
      </w:r>
      <w:r w:rsidRPr="008F33C8">
        <w:t>second choice (Use age appropriate dose once daily)</w:t>
      </w:r>
    </w:p>
    <w:p w14:paraId="0A9C5345" w14:textId="6E72619C" w:rsidR="00B76F76" w:rsidRDefault="00587CD0" w:rsidP="005219DA">
      <w:pPr>
        <w:spacing w:line="360" w:lineRule="auto"/>
        <w:rPr>
          <w:bCs/>
        </w:rPr>
      </w:pPr>
      <w:r w:rsidRPr="008F33C8">
        <w:rPr>
          <w:bCs/>
        </w:rPr>
        <w:t>Co-amoxiclav, nebulised colistin and cephalosporins should be used as prophylaxis on consultant advice only.</w:t>
      </w:r>
    </w:p>
    <w:p w14:paraId="3445A25C" w14:textId="64B1BBE6" w:rsidR="00AB7686" w:rsidRDefault="00B76F76" w:rsidP="00B76F76">
      <w:pPr>
        <w:spacing w:after="160" w:line="259" w:lineRule="auto"/>
        <w:rPr>
          <w:bCs/>
        </w:rPr>
      </w:pPr>
      <w:r>
        <w:rPr>
          <w:bCs/>
        </w:rPr>
        <w:br w:type="page"/>
      </w:r>
    </w:p>
    <w:p w14:paraId="1C19BCB3" w14:textId="33EF6F75" w:rsidR="00764C4D" w:rsidRDefault="00764C4D" w:rsidP="004F3338">
      <w:pPr>
        <w:pStyle w:val="Heading2"/>
      </w:pPr>
      <w:bookmarkStart w:id="334" w:name="_Toc117766026"/>
      <w:r>
        <w:lastRenderedPageBreak/>
        <w:t>Study information leaflets</w:t>
      </w:r>
    </w:p>
    <w:p w14:paraId="0393A23D" w14:textId="73D19CCE" w:rsidR="00764C4D" w:rsidRDefault="00764C4D" w:rsidP="00764C4D">
      <w:pPr>
        <w:pStyle w:val="Heading3"/>
      </w:pPr>
      <w:r>
        <w:t>Interview study</w:t>
      </w:r>
    </w:p>
    <w:p w14:paraId="4B798113" w14:textId="7CCB687B" w:rsidR="00764C4D" w:rsidRDefault="00764C4D" w:rsidP="00764C4D"/>
    <w:p w14:paraId="227434B7" w14:textId="5B5F1304" w:rsidR="00866437" w:rsidRDefault="00866437" w:rsidP="00764C4D"/>
    <w:p w14:paraId="0E790204" w14:textId="3244ABB9" w:rsidR="00866437" w:rsidRPr="008D255B" w:rsidRDefault="00BD3783" w:rsidP="002210D4">
      <w:pPr>
        <w:jc w:val="center"/>
        <w:rPr>
          <w:b/>
          <w:sz w:val="36"/>
          <w:szCs w:val="36"/>
        </w:rPr>
        <w:sectPr w:rsidR="00866437" w:rsidRPr="008D255B" w:rsidSect="00FE51C1">
          <w:footerReference w:type="default" r:id="rId337"/>
          <w:headerReference w:type="first" r:id="rId338"/>
          <w:footerReference w:type="first" r:id="rId339"/>
          <w:pgSz w:w="12240" w:h="15840"/>
          <w:pgMar w:top="1440" w:right="1440" w:bottom="1440" w:left="1440" w:header="720" w:footer="720" w:gutter="0"/>
          <w:cols w:space="720"/>
          <w:docGrid w:linePitch="360"/>
        </w:sectPr>
      </w:pPr>
      <w:r>
        <w:rPr>
          <w:noProof/>
          <w:lang w:val="en-US"/>
        </w:rPr>
        <mc:AlternateContent>
          <mc:Choice Requires="wps">
            <w:drawing>
              <wp:anchor distT="0" distB="0" distL="114300" distR="114300" simplePos="0" relativeHeight="252114432" behindDoc="0" locked="0" layoutInCell="1" allowOverlap="1" wp14:anchorId="4BF62618" wp14:editId="3D5FCCB0">
                <wp:simplePos x="0" y="0"/>
                <wp:positionH relativeFrom="column">
                  <wp:posOffset>3376443</wp:posOffset>
                </wp:positionH>
                <wp:positionV relativeFrom="paragraph">
                  <wp:posOffset>685298</wp:posOffset>
                </wp:positionV>
                <wp:extent cx="2924175" cy="561975"/>
                <wp:effectExtent l="0" t="0" r="2857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61975"/>
                        </a:xfrm>
                        <a:prstGeom prst="rect">
                          <a:avLst/>
                        </a:prstGeom>
                        <a:solidFill>
                          <a:srgbClr val="FFFFFF"/>
                        </a:solidFill>
                        <a:ln w="9525">
                          <a:solidFill>
                            <a:schemeClr val="bg1"/>
                          </a:solidFill>
                          <a:miter lim="800000"/>
                          <a:headEnd/>
                          <a:tailEnd/>
                        </a:ln>
                      </wps:spPr>
                      <wps:txbx>
                        <w:txbxContent>
                          <w:p w14:paraId="2137FDB7" w14:textId="77777777" w:rsidR="00866437" w:rsidRPr="00B450F1" w:rsidRDefault="00866437" w:rsidP="00B450F1">
                            <w:pPr>
                              <w:shd w:val="clear" w:color="auto" w:fill="D5DCE4" w:themeFill="text2" w:themeFillTint="33"/>
                              <w:jc w:val="center"/>
                              <w:rPr>
                                <w:b/>
                                <w:color w:val="000000" w:themeColor="text1"/>
                                <w:sz w:val="28"/>
                                <w:szCs w:val="28"/>
                              </w:rPr>
                            </w:pPr>
                            <w:r w:rsidRPr="00B450F1">
                              <w:rPr>
                                <w:b/>
                                <w:color w:val="000000" w:themeColor="text1"/>
                                <w:sz w:val="28"/>
                                <w:szCs w:val="28"/>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2618" id="_x0000_s1066" type="#_x0000_t202" style="position:absolute;left:0;text-align:left;margin-left:265.85pt;margin-top:53.95pt;width:230.25pt;height:44.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" strokecolor="white [3212]">
                <v:textbox>
                  <w:txbxContent>
                    <w:p w14:paraId="2137FDB7" w14:textId="77777777" w:rsidR="00866437" w:rsidRPr="00B450F1" w:rsidRDefault="00866437" w:rsidP="00B450F1">
                      <w:pPr>
                        <w:shd w:val="clear" w:color="auto" w:fill="D5DCE4" w:themeFill="text2" w:themeFillTint="33"/>
                        <w:jc w:val="center"/>
                        <w:rPr>
                          <w:b/>
                          <w:color w:val="000000" w:themeColor="text1"/>
                          <w:sz w:val="28"/>
                          <w:szCs w:val="28"/>
                        </w:rPr>
                      </w:pPr>
                      <w:r w:rsidRPr="00B450F1">
                        <w:rPr>
                          <w:b/>
                          <w:color w:val="000000" w:themeColor="text1"/>
                          <w:sz w:val="28"/>
                          <w:szCs w:val="28"/>
                        </w:rPr>
                        <w:t>Contents</w:t>
                      </w:r>
                    </w:p>
                  </w:txbxContent>
                </v:textbox>
              </v:shape>
            </w:pict>
          </mc:Fallback>
        </mc:AlternateContent>
      </w:r>
      <w:r w:rsidR="00866437">
        <w:rPr>
          <w:b/>
          <w:sz w:val="36"/>
          <w:szCs w:val="36"/>
        </w:rPr>
        <w:t>The parental experience of having a child prescribed prophylactic antibiotic</w:t>
      </w:r>
    </w:p>
    <w:p w14:paraId="1C61AC43" w14:textId="6817E8E6" w:rsidR="00866437" w:rsidRDefault="00866437">
      <w:r w:rsidRPr="008D255B">
        <w:rPr>
          <w:noProof/>
          <w:sz w:val="28"/>
          <w:szCs w:val="28"/>
          <w:lang w:val="en-US"/>
        </w:rPr>
        <mc:AlternateContent>
          <mc:Choice Requires="wps">
            <w:drawing>
              <wp:anchor distT="0" distB="0" distL="114300" distR="114300" simplePos="0" relativeHeight="252112384" behindDoc="0" locked="0" layoutInCell="1" allowOverlap="1" wp14:anchorId="265E4AF6" wp14:editId="0F5C6C94">
                <wp:simplePos x="0" y="0"/>
                <wp:positionH relativeFrom="column">
                  <wp:posOffset>-123825</wp:posOffset>
                </wp:positionH>
                <wp:positionV relativeFrom="paragraph">
                  <wp:posOffset>170815</wp:posOffset>
                </wp:positionV>
                <wp:extent cx="3286125" cy="561975"/>
                <wp:effectExtent l="0" t="0" r="28575" b="2857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61975"/>
                        </a:xfrm>
                        <a:prstGeom prst="rect">
                          <a:avLst/>
                        </a:prstGeom>
                        <a:solidFill>
                          <a:srgbClr val="FFFFFF"/>
                        </a:solidFill>
                        <a:ln w="9525">
                          <a:solidFill>
                            <a:schemeClr val="bg1"/>
                          </a:solidFill>
                          <a:miter lim="800000"/>
                          <a:headEnd/>
                          <a:tailEnd/>
                        </a:ln>
                      </wps:spPr>
                      <wps:txbx>
                        <w:txbxContent>
                          <w:p w14:paraId="70A91282" w14:textId="77777777" w:rsidR="00866437" w:rsidRPr="002E6C2D" w:rsidRDefault="00866437" w:rsidP="002E6C2D">
                            <w:pPr>
                              <w:shd w:val="clear" w:color="auto" w:fill="D5DCE4" w:themeFill="text2" w:themeFillTint="33"/>
                              <w:rPr>
                                <w:b/>
                                <w:sz w:val="28"/>
                                <w:szCs w:val="28"/>
                              </w:rPr>
                            </w:pPr>
                            <w:r w:rsidRPr="002E6C2D">
                              <w:rPr>
                                <w:b/>
                                <w:sz w:val="28"/>
                                <w:szCs w:val="28"/>
                              </w:rPr>
                              <w:t>We invite you to take part in a research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E4AF6" id="_x0000_s1067" type="#_x0000_t202" style="position:absolute;margin-left:-9.75pt;margin-top:13.45pt;width:258.75pt;height:44.2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" strokecolor="white [3212]">
                <v:textbox>
                  <w:txbxContent>
                    <w:p w14:paraId="70A91282" w14:textId="77777777" w:rsidR="00866437" w:rsidRPr="002E6C2D" w:rsidRDefault="00866437" w:rsidP="002E6C2D">
                      <w:pPr>
                        <w:shd w:val="clear" w:color="auto" w:fill="D5DCE4" w:themeFill="text2" w:themeFillTint="33"/>
                        <w:rPr>
                          <w:b/>
                          <w:sz w:val="28"/>
                          <w:szCs w:val="28"/>
                        </w:rPr>
                      </w:pPr>
                      <w:r w:rsidRPr="002E6C2D">
                        <w:rPr>
                          <w:b/>
                          <w:sz w:val="28"/>
                          <w:szCs w:val="28"/>
                        </w:rPr>
                        <w:t>We invite you to take part in a research study</w:t>
                      </w:r>
                    </w:p>
                  </w:txbxContent>
                </v:textbox>
              </v:shape>
            </w:pict>
          </mc:Fallback>
        </mc:AlternateContent>
      </w:r>
    </w:p>
    <w:p w14:paraId="6A1A407B" w14:textId="6AB2B43D" w:rsidR="00866437" w:rsidRDefault="00866437"/>
    <w:p w14:paraId="532D5412" w14:textId="1D79A0BF" w:rsidR="00866437" w:rsidRDefault="00866437"/>
    <w:p w14:paraId="315A9CF2" w14:textId="1853A380" w:rsidR="00866437" w:rsidRDefault="00866437"/>
    <w:p w14:paraId="4C192B65" w14:textId="55A05B27" w:rsidR="00866437" w:rsidRDefault="00BD3783">
      <w:r w:rsidRPr="00BD3783">
        <w:rPr>
          <w:noProof/>
        </w:rPr>
        <mc:AlternateContent>
          <mc:Choice Requires="wps">
            <w:drawing>
              <wp:anchor distT="45720" distB="45720" distL="114300" distR="114300" simplePos="0" relativeHeight="252117504" behindDoc="0" locked="0" layoutInCell="1" allowOverlap="1" wp14:anchorId="155B5E7B" wp14:editId="0F99CEB9">
                <wp:simplePos x="0" y="0"/>
                <wp:positionH relativeFrom="column">
                  <wp:posOffset>3532136</wp:posOffset>
                </wp:positionH>
                <wp:positionV relativeFrom="paragraph">
                  <wp:posOffset>156121</wp:posOffset>
                </wp:positionV>
                <wp:extent cx="2360930" cy="1404620"/>
                <wp:effectExtent l="0" t="0" r="3810" b="4445"/>
                <wp:wrapSquare wrapText="bothSides"/>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67E594"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Why are we doing the study?</w:t>
                            </w:r>
                          </w:p>
                          <w:p w14:paraId="0DDF4C77"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What do you need to know about the study?</w:t>
                            </w:r>
                          </w:p>
                          <w:p w14:paraId="4A8521B5"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Why are you being asked to take part?</w:t>
                            </w:r>
                          </w:p>
                          <w:p w14:paraId="706B0A99"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What will I need to do if I take part?</w:t>
                            </w:r>
                          </w:p>
                          <w:p w14:paraId="5582745C"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Possible risks.</w:t>
                            </w:r>
                          </w:p>
                          <w:p w14:paraId="08B6D31A" w14:textId="77777777" w:rsidR="00BD3783" w:rsidRPr="00973987" w:rsidRDefault="00BD3783" w:rsidP="00BD3783">
                            <w:pPr>
                              <w:pStyle w:val="ListParagraph"/>
                              <w:numPr>
                                <w:ilvl w:val="0"/>
                                <w:numId w:val="87"/>
                              </w:numPr>
                              <w:spacing w:after="0" w:line="276" w:lineRule="auto"/>
                              <w:rPr>
                                <w:sz w:val="24"/>
                                <w:szCs w:val="24"/>
                              </w:rPr>
                            </w:pPr>
                            <w:r w:rsidRPr="00BD76A8">
                              <w:rPr>
                                <w:sz w:val="24"/>
                                <w:szCs w:val="24"/>
                              </w:rPr>
                              <w:t xml:space="preserve">More information about </w:t>
                            </w:r>
                            <w:r w:rsidRPr="00973987">
                              <w:rPr>
                                <w:sz w:val="24"/>
                                <w:szCs w:val="24"/>
                              </w:rPr>
                              <w:t>taking part.</w:t>
                            </w:r>
                          </w:p>
                          <w:p w14:paraId="1B1627F7" w14:textId="607B21FC" w:rsidR="00BD3783" w:rsidRDefault="00BD378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5B5E7B" id="_x0000_s1068" type="#_x0000_t202" style="position:absolute;margin-left:278.1pt;margin-top:12.3pt;width:185.9pt;height:110.6pt;z-index:252117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" stroked="f">
                <v:textbox style="mso-fit-shape-to-text:t">
                  <w:txbxContent>
                    <w:p w14:paraId="5567E594"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Why are we doing the study?</w:t>
                      </w:r>
                    </w:p>
                    <w:p w14:paraId="0DDF4C77"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What do you need to know about the study?</w:t>
                      </w:r>
                    </w:p>
                    <w:p w14:paraId="4A8521B5"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Why are you being asked to take part?</w:t>
                      </w:r>
                    </w:p>
                    <w:p w14:paraId="706B0A99"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What will I need to do if I take part?</w:t>
                      </w:r>
                    </w:p>
                    <w:p w14:paraId="5582745C" w14:textId="77777777" w:rsidR="00BD3783" w:rsidRPr="00BD76A8" w:rsidRDefault="00BD3783" w:rsidP="00BD3783">
                      <w:pPr>
                        <w:pStyle w:val="ListParagraph"/>
                        <w:numPr>
                          <w:ilvl w:val="0"/>
                          <w:numId w:val="87"/>
                        </w:numPr>
                        <w:spacing w:after="0" w:line="276" w:lineRule="auto"/>
                        <w:rPr>
                          <w:sz w:val="24"/>
                          <w:szCs w:val="24"/>
                        </w:rPr>
                      </w:pPr>
                      <w:r w:rsidRPr="00BD76A8">
                        <w:rPr>
                          <w:sz w:val="24"/>
                          <w:szCs w:val="24"/>
                        </w:rPr>
                        <w:t>Possible risks.</w:t>
                      </w:r>
                    </w:p>
                    <w:p w14:paraId="08B6D31A" w14:textId="77777777" w:rsidR="00BD3783" w:rsidRPr="00973987" w:rsidRDefault="00BD3783" w:rsidP="00BD3783">
                      <w:pPr>
                        <w:pStyle w:val="ListParagraph"/>
                        <w:numPr>
                          <w:ilvl w:val="0"/>
                          <w:numId w:val="87"/>
                        </w:numPr>
                        <w:spacing w:after="0" w:line="276" w:lineRule="auto"/>
                        <w:rPr>
                          <w:sz w:val="24"/>
                          <w:szCs w:val="24"/>
                        </w:rPr>
                      </w:pPr>
                      <w:r w:rsidRPr="00BD76A8">
                        <w:rPr>
                          <w:sz w:val="24"/>
                          <w:szCs w:val="24"/>
                        </w:rPr>
                        <w:t xml:space="preserve">More information about </w:t>
                      </w:r>
                      <w:r w:rsidRPr="00973987">
                        <w:rPr>
                          <w:sz w:val="24"/>
                          <w:szCs w:val="24"/>
                        </w:rPr>
                        <w:t>taking part.</w:t>
                      </w:r>
                    </w:p>
                    <w:p w14:paraId="1B1627F7" w14:textId="607B21FC" w:rsidR="00BD3783" w:rsidRDefault="00BD3783"/>
                  </w:txbxContent>
                </v:textbox>
                <w10:wrap type="square"/>
              </v:shape>
            </w:pict>
          </mc:Fallback>
        </mc:AlternateContent>
      </w:r>
    </w:p>
    <w:p w14:paraId="5F04621E" w14:textId="796584C3" w:rsidR="00BD3783" w:rsidRPr="00BD76A8" w:rsidRDefault="00BD3783" w:rsidP="00BD3783">
      <w:pPr>
        <w:pStyle w:val="ListParagraph"/>
        <w:numPr>
          <w:ilvl w:val="0"/>
          <w:numId w:val="85"/>
        </w:numPr>
        <w:spacing w:after="0" w:line="276" w:lineRule="auto"/>
        <w:rPr>
          <w:sz w:val="24"/>
          <w:szCs w:val="24"/>
        </w:rPr>
      </w:pPr>
      <w:r w:rsidRPr="00BD76A8">
        <w:rPr>
          <w:sz w:val="24"/>
          <w:szCs w:val="24"/>
        </w:rPr>
        <w:t>Before you decide whether to take part, it is important for you to understand why the research is being done and what it will involve.</w:t>
      </w:r>
    </w:p>
    <w:p w14:paraId="46350984" w14:textId="26C65A72" w:rsidR="00BD3783" w:rsidRPr="00BD76A8" w:rsidRDefault="00BD3783" w:rsidP="00BD3783">
      <w:pPr>
        <w:pStyle w:val="ListParagraph"/>
        <w:numPr>
          <w:ilvl w:val="0"/>
          <w:numId w:val="85"/>
        </w:numPr>
        <w:spacing w:after="0" w:line="276" w:lineRule="auto"/>
        <w:rPr>
          <w:sz w:val="24"/>
          <w:szCs w:val="24"/>
        </w:rPr>
      </w:pPr>
      <w:r w:rsidRPr="00BD76A8">
        <w:rPr>
          <w:sz w:val="24"/>
          <w:szCs w:val="24"/>
        </w:rPr>
        <w:t>Please take time to read the following information carefully. Discuss it with friends and relatives if you wish.</w:t>
      </w:r>
    </w:p>
    <w:p w14:paraId="7BBAE703" w14:textId="405D78BC" w:rsidR="00BD3783" w:rsidRDefault="00BD3783" w:rsidP="00BD3783">
      <w:pPr>
        <w:pStyle w:val="ListParagraph"/>
        <w:numPr>
          <w:ilvl w:val="0"/>
          <w:numId w:val="85"/>
        </w:numPr>
        <w:spacing w:after="0" w:line="276" w:lineRule="auto"/>
        <w:rPr>
          <w:sz w:val="24"/>
          <w:szCs w:val="24"/>
        </w:rPr>
      </w:pPr>
      <w:r w:rsidRPr="00BD76A8">
        <w:rPr>
          <w:sz w:val="24"/>
          <w:szCs w:val="24"/>
        </w:rPr>
        <w:t>You are free to decide whether or not to take part in this trial. If you choose not to take part, this will not a</w:t>
      </w:r>
      <w:r>
        <w:rPr>
          <w:sz w:val="24"/>
          <w:szCs w:val="24"/>
        </w:rPr>
        <w:t xml:space="preserve">ffect the care that you or your child receives </w:t>
      </w:r>
      <w:r w:rsidRPr="00BD76A8">
        <w:rPr>
          <w:sz w:val="24"/>
          <w:szCs w:val="24"/>
        </w:rPr>
        <w:t xml:space="preserve">from </w:t>
      </w:r>
      <w:r>
        <w:rPr>
          <w:sz w:val="24"/>
          <w:szCs w:val="24"/>
        </w:rPr>
        <w:t>their doctor.</w:t>
      </w:r>
    </w:p>
    <w:p w14:paraId="587CCD82" w14:textId="4CB4BBB7" w:rsidR="00866437" w:rsidRDefault="00866437"/>
    <w:p w14:paraId="520A3C20" w14:textId="1E032DA6" w:rsidR="00866437" w:rsidRDefault="00866437"/>
    <w:p w14:paraId="4A917CF4" w14:textId="66B8732F" w:rsidR="00866437" w:rsidRDefault="00BD3783">
      <w:r>
        <w:rPr>
          <w:noProof/>
          <w:lang w:val="en-US"/>
        </w:rPr>
        <mc:AlternateContent>
          <mc:Choice Requires="wps">
            <w:drawing>
              <wp:anchor distT="0" distB="0" distL="114300" distR="114300" simplePos="0" relativeHeight="252113408" behindDoc="0" locked="0" layoutInCell="1" allowOverlap="1" wp14:anchorId="1B4AC940" wp14:editId="06C63F11">
                <wp:simplePos x="0" y="0"/>
                <wp:positionH relativeFrom="column">
                  <wp:posOffset>1090059</wp:posOffset>
                </wp:positionH>
                <wp:positionV relativeFrom="paragraph">
                  <wp:posOffset>111125</wp:posOffset>
                </wp:positionV>
                <wp:extent cx="3209925" cy="371475"/>
                <wp:effectExtent l="0" t="0" r="28575" b="2857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71475"/>
                        </a:xfrm>
                        <a:prstGeom prst="rect">
                          <a:avLst/>
                        </a:prstGeom>
                        <a:solidFill>
                          <a:srgbClr val="FFFFFF"/>
                        </a:solidFill>
                        <a:ln w="9525">
                          <a:solidFill>
                            <a:schemeClr val="bg1"/>
                          </a:solidFill>
                          <a:miter lim="800000"/>
                          <a:headEnd/>
                          <a:tailEnd/>
                        </a:ln>
                      </wps:spPr>
                      <wps:txbx>
                        <w:txbxContent>
                          <w:p w14:paraId="7C0D0BF3" w14:textId="77777777" w:rsidR="00866437" w:rsidRPr="002E6C2D" w:rsidRDefault="00866437" w:rsidP="002E6C2D">
                            <w:pPr>
                              <w:shd w:val="clear" w:color="auto" w:fill="D5DCE4" w:themeFill="text2" w:themeFillTint="33"/>
                              <w:rPr>
                                <w:b/>
                                <w:sz w:val="28"/>
                                <w:szCs w:val="28"/>
                              </w:rPr>
                            </w:pPr>
                            <w:r w:rsidRPr="002E6C2D">
                              <w:rPr>
                                <w:b/>
                                <w:sz w:val="28"/>
                                <w:szCs w:val="28"/>
                              </w:rPr>
                              <w:t>Important things you need to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C940" id="_x0000_s1069" type="#_x0000_t202" style="position:absolute;margin-left:85.85pt;margin-top:8.75pt;width:252.75pt;height:29.2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" strokecolor="white [3212]">
                <v:textbox>
                  <w:txbxContent>
                    <w:p w14:paraId="7C0D0BF3" w14:textId="77777777" w:rsidR="00866437" w:rsidRPr="002E6C2D" w:rsidRDefault="00866437" w:rsidP="002E6C2D">
                      <w:pPr>
                        <w:shd w:val="clear" w:color="auto" w:fill="D5DCE4" w:themeFill="text2" w:themeFillTint="33"/>
                        <w:rPr>
                          <w:b/>
                          <w:sz w:val="28"/>
                          <w:szCs w:val="28"/>
                        </w:rPr>
                      </w:pPr>
                      <w:r w:rsidRPr="002E6C2D">
                        <w:rPr>
                          <w:b/>
                          <w:sz w:val="28"/>
                          <w:szCs w:val="28"/>
                        </w:rPr>
                        <w:t>Important things you need to know</w:t>
                      </w:r>
                    </w:p>
                  </w:txbxContent>
                </v:textbox>
              </v:shape>
            </w:pict>
          </mc:Fallback>
        </mc:AlternateContent>
      </w:r>
    </w:p>
    <w:p w14:paraId="0C28AD17" w14:textId="1EDD82CA" w:rsidR="00866437" w:rsidRDefault="00BD3783">
      <w:pPr>
        <w:sectPr w:rsidR="00866437" w:rsidSect="008D255B">
          <w:type w:val="continuous"/>
          <w:pgSz w:w="12240" w:h="15840"/>
          <w:pgMar w:top="1440" w:right="1440" w:bottom="1440" w:left="1440" w:header="720" w:footer="720" w:gutter="0"/>
          <w:pgBorders w:offsetFrom="page">
            <w:top w:val="single" w:sz="12" w:space="24" w:color="44546A" w:themeColor="text2"/>
            <w:left w:val="single" w:sz="12" w:space="24" w:color="44546A" w:themeColor="text2"/>
            <w:bottom w:val="single" w:sz="12" w:space="24" w:color="44546A" w:themeColor="text2"/>
            <w:right w:val="single" w:sz="12" w:space="24" w:color="44546A" w:themeColor="text2"/>
          </w:pgBorders>
          <w:cols w:num="2" w:space="720"/>
          <w:docGrid w:linePitch="360"/>
        </w:sectPr>
      </w:pPr>
      <w:r>
        <w:rPr>
          <w:noProof/>
        </w:rPr>
        <mc:AlternateContent>
          <mc:Choice Requires="wps">
            <w:drawing>
              <wp:anchor distT="45720" distB="45720" distL="114300" distR="114300" simplePos="0" relativeHeight="252119552" behindDoc="0" locked="0" layoutInCell="1" allowOverlap="1" wp14:anchorId="7BE2011B" wp14:editId="5F52E37E">
                <wp:simplePos x="0" y="0"/>
                <wp:positionH relativeFrom="column">
                  <wp:posOffset>-127635</wp:posOffset>
                </wp:positionH>
                <wp:positionV relativeFrom="paragraph">
                  <wp:posOffset>460375</wp:posOffset>
                </wp:positionV>
                <wp:extent cx="6379210" cy="1404620"/>
                <wp:effectExtent l="0" t="0" r="2540" b="1905"/>
                <wp:wrapSquare wrapText="bothSides"/>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404620"/>
                        </a:xfrm>
                        <a:prstGeom prst="rect">
                          <a:avLst/>
                        </a:prstGeom>
                        <a:solidFill>
                          <a:srgbClr val="FFFFFF"/>
                        </a:solidFill>
                        <a:ln w="9525">
                          <a:noFill/>
                          <a:miter lim="800000"/>
                          <a:headEnd/>
                          <a:tailEnd/>
                        </a:ln>
                      </wps:spPr>
                      <wps:txbx>
                        <w:txbxContent>
                          <w:p w14:paraId="2021EBF2" w14:textId="77777777" w:rsidR="00BD3783" w:rsidRPr="007C1BE4" w:rsidRDefault="00BD3783" w:rsidP="00BD3783">
                            <w:pPr>
                              <w:pStyle w:val="ListParagraph"/>
                              <w:numPr>
                                <w:ilvl w:val="0"/>
                                <w:numId w:val="86"/>
                              </w:numPr>
                              <w:spacing w:after="0" w:line="276" w:lineRule="auto"/>
                              <w:rPr>
                                <w:sz w:val="24"/>
                                <w:szCs w:val="24"/>
                              </w:rPr>
                            </w:pPr>
                            <w:r>
                              <w:rPr>
                                <w:sz w:val="24"/>
                                <w:szCs w:val="24"/>
                              </w:rPr>
                              <w:t xml:space="preserve">This research project will </w:t>
                            </w:r>
                            <w:r w:rsidRPr="007C1BE4">
                              <w:rPr>
                                <w:sz w:val="24"/>
                                <w:szCs w:val="24"/>
                              </w:rPr>
                              <w:t>explore the thoughts and concerns parents may have whose children are prescribed long term preventa</w:t>
                            </w:r>
                            <w:r>
                              <w:rPr>
                                <w:sz w:val="24"/>
                                <w:szCs w:val="24"/>
                              </w:rPr>
                              <w:t>tive (prophylactic) antibiotics.</w:t>
                            </w:r>
                          </w:p>
                          <w:p w14:paraId="50655B42" w14:textId="77777777" w:rsidR="00BD3783" w:rsidRDefault="00BD3783" w:rsidP="00BD3783">
                            <w:pPr>
                              <w:pStyle w:val="ListParagraph"/>
                              <w:numPr>
                                <w:ilvl w:val="0"/>
                                <w:numId w:val="86"/>
                              </w:numPr>
                              <w:spacing w:after="0" w:line="276" w:lineRule="auto"/>
                              <w:rPr>
                                <w:sz w:val="24"/>
                                <w:szCs w:val="24"/>
                              </w:rPr>
                            </w:pPr>
                            <w:r w:rsidRPr="007C1BE4">
                              <w:rPr>
                                <w:sz w:val="24"/>
                                <w:szCs w:val="24"/>
                              </w:rPr>
                              <w:t xml:space="preserve">This leaflet provides information regarding </w:t>
                            </w:r>
                            <w:r>
                              <w:rPr>
                                <w:sz w:val="24"/>
                                <w:szCs w:val="24"/>
                              </w:rPr>
                              <w:t>the details of the study</w:t>
                            </w:r>
                          </w:p>
                          <w:p w14:paraId="5B6AE398" w14:textId="77777777" w:rsidR="00BD3783" w:rsidRPr="007C1BE4" w:rsidRDefault="00BD3783" w:rsidP="00BD3783">
                            <w:pPr>
                              <w:pStyle w:val="ListParagraph"/>
                              <w:numPr>
                                <w:ilvl w:val="0"/>
                                <w:numId w:val="86"/>
                              </w:numPr>
                              <w:spacing w:after="0" w:line="276" w:lineRule="auto"/>
                              <w:rPr>
                                <w:sz w:val="24"/>
                                <w:szCs w:val="24"/>
                              </w:rPr>
                            </w:pPr>
                            <w:r w:rsidRPr="00FC4AD6">
                              <w:rPr>
                                <w:sz w:val="24"/>
                                <w:szCs w:val="24"/>
                              </w:rPr>
                              <w:t>If you would like more information about taking part in the study, please contact a member of the research team.</w:t>
                            </w:r>
                          </w:p>
                          <w:p w14:paraId="7F4EEDA0" w14:textId="4B268750" w:rsidR="00BD3783" w:rsidRDefault="00BD37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2011B" id="_x0000_s1070" type="#_x0000_t202" style="position:absolute;margin-left:-10.05pt;margin-top:36.25pt;width:502.3pt;height:110.6pt;z-index:25211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InFAIAAP8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" stroked="f">
                <v:textbox style="mso-fit-shape-to-text:t">
                  <w:txbxContent>
                    <w:p w14:paraId="2021EBF2" w14:textId="77777777" w:rsidR="00BD3783" w:rsidRPr="007C1BE4" w:rsidRDefault="00BD3783" w:rsidP="00BD3783">
                      <w:pPr>
                        <w:pStyle w:val="ListParagraph"/>
                        <w:numPr>
                          <w:ilvl w:val="0"/>
                          <w:numId w:val="86"/>
                        </w:numPr>
                        <w:spacing w:after="0" w:line="276" w:lineRule="auto"/>
                        <w:rPr>
                          <w:sz w:val="24"/>
                          <w:szCs w:val="24"/>
                        </w:rPr>
                      </w:pPr>
                      <w:r>
                        <w:rPr>
                          <w:sz w:val="24"/>
                          <w:szCs w:val="24"/>
                        </w:rPr>
                        <w:t xml:space="preserve">This research project will </w:t>
                      </w:r>
                      <w:r w:rsidRPr="007C1BE4">
                        <w:rPr>
                          <w:sz w:val="24"/>
                          <w:szCs w:val="24"/>
                        </w:rPr>
                        <w:t>explore the thoughts and concerns parents may have whose children are prescribed long term preventa</w:t>
                      </w:r>
                      <w:r>
                        <w:rPr>
                          <w:sz w:val="24"/>
                          <w:szCs w:val="24"/>
                        </w:rPr>
                        <w:t>tive (prophylactic) antibiotics.</w:t>
                      </w:r>
                    </w:p>
                    <w:p w14:paraId="50655B42" w14:textId="77777777" w:rsidR="00BD3783" w:rsidRDefault="00BD3783" w:rsidP="00BD3783">
                      <w:pPr>
                        <w:pStyle w:val="ListParagraph"/>
                        <w:numPr>
                          <w:ilvl w:val="0"/>
                          <w:numId w:val="86"/>
                        </w:numPr>
                        <w:spacing w:after="0" w:line="276" w:lineRule="auto"/>
                        <w:rPr>
                          <w:sz w:val="24"/>
                          <w:szCs w:val="24"/>
                        </w:rPr>
                      </w:pPr>
                      <w:r w:rsidRPr="007C1BE4">
                        <w:rPr>
                          <w:sz w:val="24"/>
                          <w:szCs w:val="24"/>
                        </w:rPr>
                        <w:t xml:space="preserve">This leaflet provides information regarding </w:t>
                      </w:r>
                      <w:r>
                        <w:rPr>
                          <w:sz w:val="24"/>
                          <w:szCs w:val="24"/>
                        </w:rPr>
                        <w:t>the details of the study</w:t>
                      </w:r>
                    </w:p>
                    <w:p w14:paraId="5B6AE398" w14:textId="77777777" w:rsidR="00BD3783" w:rsidRPr="007C1BE4" w:rsidRDefault="00BD3783" w:rsidP="00BD3783">
                      <w:pPr>
                        <w:pStyle w:val="ListParagraph"/>
                        <w:numPr>
                          <w:ilvl w:val="0"/>
                          <w:numId w:val="86"/>
                        </w:numPr>
                        <w:spacing w:after="0" w:line="276" w:lineRule="auto"/>
                        <w:rPr>
                          <w:sz w:val="24"/>
                          <w:szCs w:val="24"/>
                        </w:rPr>
                      </w:pPr>
                      <w:r w:rsidRPr="00FC4AD6">
                        <w:rPr>
                          <w:sz w:val="24"/>
                          <w:szCs w:val="24"/>
                        </w:rPr>
                        <w:t>If you would like more information about taking part in the study, please contact a member of the research team.</w:t>
                      </w:r>
                    </w:p>
                    <w:p w14:paraId="7F4EEDA0" w14:textId="4B268750" w:rsidR="00BD3783" w:rsidRDefault="00BD3783"/>
                  </w:txbxContent>
                </v:textbox>
                <w10:wrap type="square"/>
              </v:shape>
            </w:pict>
          </mc:Fallback>
        </mc:AlternateContent>
      </w:r>
    </w:p>
    <w:p w14:paraId="5CBA97B5" w14:textId="77777777" w:rsidR="00866437" w:rsidRDefault="00866437" w:rsidP="00DF09E7">
      <w:pPr>
        <w:rPr>
          <w:b/>
          <w:sz w:val="28"/>
          <w:szCs w:val="28"/>
        </w:rPr>
      </w:pPr>
    </w:p>
    <w:p w14:paraId="23F61639" w14:textId="29C7BEAF" w:rsidR="00866437" w:rsidRPr="00BD3783" w:rsidRDefault="00866437" w:rsidP="00BD3783">
      <w:pPr>
        <w:rPr>
          <w:b/>
          <w:bCs/>
        </w:rPr>
      </w:pPr>
      <w:r w:rsidRPr="00BD3783">
        <w:rPr>
          <w:b/>
          <w:bCs/>
        </w:rPr>
        <w:t>Why are we doing the study?</w:t>
      </w:r>
    </w:p>
    <w:p w14:paraId="11457084" w14:textId="4A8CD97F" w:rsidR="00866437" w:rsidRDefault="00866437" w:rsidP="00BD3783">
      <w:pPr>
        <w:spacing w:line="360" w:lineRule="auto"/>
      </w:pPr>
      <w:r>
        <w:t>Many children are prescribed prophylactic antibiotics for a variety of medical problems. This is to try and keep them well.</w:t>
      </w:r>
      <w:r w:rsidR="00BD3783">
        <w:t xml:space="preserve"> </w:t>
      </w:r>
      <w:r>
        <w:t>Parents or guardians are usually the people who give their children the prescribed antibiotics or remind them to take them. This is not always an easy task.</w:t>
      </w:r>
      <w:r w:rsidR="00BD3783">
        <w:t xml:space="preserve"> </w:t>
      </w:r>
      <w:r>
        <w:t>We know parental views regarding antibiotics are important to understand. Previous studies have found that the public in general do not always have a good understanding of antibiotics. They often don’t fully appreciate the risks and benefits.</w:t>
      </w:r>
    </w:p>
    <w:p w14:paraId="0AACE2B9" w14:textId="1D6E4131" w:rsidR="00866437" w:rsidRPr="00CF051B" w:rsidRDefault="00866437" w:rsidP="00BD3783">
      <w:pPr>
        <w:spacing w:line="360" w:lineRule="auto"/>
      </w:pPr>
      <w:r>
        <w:t>There is little information about what parents think about long-term antibiotics. This is an important area to explore. If we understand what parents experience and understand their thoughts regarding prophylactic antibiotics, it may improve the way medical professionals work together with families in these situations.</w:t>
      </w:r>
      <w:r w:rsidR="00BD3783">
        <w:t xml:space="preserve"> </w:t>
      </w:r>
      <w:r w:rsidRPr="00CF051B">
        <w:t xml:space="preserve">Issues </w:t>
      </w:r>
      <w:r>
        <w:t xml:space="preserve">or views </w:t>
      </w:r>
      <w:r w:rsidRPr="00CF051B">
        <w:t>may arise in the interviews that had not previously been considered</w:t>
      </w:r>
      <w:r>
        <w:t xml:space="preserve"> by medical professionals. These will be taken forward by the research team and studied further.</w:t>
      </w:r>
    </w:p>
    <w:p w14:paraId="33E3995D" w14:textId="77777777" w:rsidR="00866437" w:rsidRDefault="00866437" w:rsidP="00BD3783">
      <w:pPr>
        <w:spacing w:line="360" w:lineRule="auto"/>
        <w:rPr>
          <w:b/>
          <w:sz w:val="28"/>
          <w:szCs w:val="28"/>
        </w:rPr>
      </w:pPr>
    </w:p>
    <w:p w14:paraId="5AF08B33" w14:textId="6EEAF6CB" w:rsidR="00866437" w:rsidRPr="00BD3783" w:rsidRDefault="00866437" w:rsidP="00BD3783">
      <w:pPr>
        <w:spacing w:line="360" w:lineRule="auto"/>
        <w:rPr>
          <w:b/>
          <w:sz w:val="28"/>
          <w:szCs w:val="28"/>
        </w:rPr>
      </w:pPr>
      <w:r w:rsidRPr="00805EC7">
        <w:rPr>
          <w:b/>
          <w:sz w:val="28"/>
          <w:szCs w:val="28"/>
        </w:rPr>
        <w:t>This study aims to:</w:t>
      </w:r>
    </w:p>
    <w:p w14:paraId="591910EC" w14:textId="77777777" w:rsidR="00866437" w:rsidRPr="00BD76A8" w:rsidRDefault="00866437" w:rsidP="00BD3783">
      <w:pPr>
        <w:pStyle w:val="ListParagraph"/>
        <w:numPr>
          <w:ilvl w:val="0"/>
          <w:numId w:val="88"/>
        </w:numPr>
        <w:spacing w:after="0" w:line="360" w:lineRule="auto"/>
        <w:rPr>
          <w:sz w:val="24"/>
          <w:szCs w:val="24"/>
        </w:rPr>
      </w:pPr>
      <w:r>
        <w:rPr>
          <w:sz w:val="24"/>
          <w:szCs w:val="24"/>
        </w:rPr>
        <w:t>Explore the parental experience of having a child who is prescribed long-term prophylactic antibiotics.</w:t>
      </w:r>
    </w:p>
    <w:p w14:paraId="31AB0F11" w14:textId="77777777" w:rsidR="00866437" w:rsidRPr="00BD76A8" w:rsidRDefault="00866437" w:rsidP="00BD3783">
      <w:pPr>
        <w:spacing w:line="360" w:lineRule="auto"/>
      </w:pPr>
    </w:p>
    <w:p w14:paraId="32E3635C" w14:textId="470AC4EE" w:rsidR="00866437" w:rsidRPr="00BD3783" w:rsidRDefault="00866437" w:rsidP="00BD3783">
      <w:pPr>
        <w:spacing w:line="360" w:lineRule="auto"/>
        <w:rPr>
          <w:b/>
          <w:sz w:val="28"/>
          <w:szCs w:val="28"/>
        </w:rPr>
      </w:pPr>
      <w:r w:rsidRPr="00805EC7">
        <w:rPr>
          <w:b/>
          <w:sz w:val="28"/>
          <w:szCs w:val="28"/>
        </w:rPr>
        <w:t>What you need to know about the study?</w:t>
      </w:r>
    </w:p>
    <w:p w14:paraId="331E0EBD" w14:textId="0331A99E" w:rsidR="00866437" w:rsidRDefault="00866437" w:rsidP="00BD3783">
      <w:pPr>
        <w:spacing w:line="360" w:lineRule="auto"/>
      </w:pPr>
      <w:r>
        <w:t xml:space="preserve">We aim to interview twelve parents whose children are prescribed prophylactic antibiotics to reduce the frequency of respiratory tract infections. Each of the twelve parents will be interviewed once by Dr Simon Hardman on an individual basis. </w:t>
      </w:r>
    </w:p>
    <w:p w14:paraId="2328450C" w14:textId="77777777" w:rsidR="00866437" w:rsidRDefault="00866437" w:rsidP="00BD3783">
      <w:pPr>
        <w:spacing w:line="360" w:lineRule="auto"/>
      </w:pPr>
    </w:p>
    <w:p w14:paraId="6C6353A7" w14:textId="2344CCFF" w:rsidR="00866437" w:rsidRPr="00BD3783" w:rsidRDefault="00866437" w:rsidP="00BD3783">
      <w:pPr>
        <w:spacing w:line="360" w:lineRule="auto"/>
        <w:rPr>
          <w:b/>
          <w:sz w:val="28"/>
          <w:szCs w:val="28"/>
          <w:u w:val="single"/>
        </w:rPr>
      </w:pPr>
      <w:r w:rsidRPr="00530272">
        <w:rPr>
          <w:b/>
          <w:sz w:val="28"/>
          <w:szCs w:val="28"/>
          <w:u w:val="single"/>
        </w:rPr>
        <w:t>The Interview</w:t>
      </w:r>
      <w:r>
        <w:rPr>
          <w:b/>
          <w:sz w:val="28"/>
          <w:szCs w:val="28"/>
          <w:u w:val="single"/>
        </w:rPr>
        <w:t>s</w:t>
      </w:r>
    </w:p>
    <w:p w14:paraId="56591B8F" w14:textId="360EA7BE" w:rsidR="00866437" w:rsidRDefault="00866437" w:rsidP="00BD3783">
      <w:pPr>
        <w:spacing w:line="360" w:lineRule="auto"/>
      </w:pPr>
      <w:r>
        <w:t>The interviews will be</w:t>
      </w:r>
      <w:r w:rsidRPr="00BD7F52">
        <w:t xml:space="preserve"> </w:t>
      </w:r>
      <w:r>
        <w:t xml:space="preserve">held at Sheffield Children’s Hospital or your home depending on which is easier for you. They will take place in the autumn of 2018. The discussion will be on what it means to you having a child on regular antibiotics. Interviews will typically last between 45 and 60 minutes. </w:t>
      </w:r>
      <w:r w:rsidRPr="00CF051B">
        <w:t>All material from the interviews will be anonymised.</w:t>
      </w:r>
      <w:r w:rsidR="00BD3783">
        <w:t xml:space="preserve"> </w:t>
      </w:r>
      <w:r>
        <w:t xml:space="preserve">All interviews will be audio-recorded so that the discussions can be analysed at a later date. A quiet room is therefore </w:t>
      </w:r>
      <w:r>
        <w:lastRenderedPageBreak/>
        <w:t>required.</w:t>
      </w:r>
      <w:r w:rsidR="00BD3783">
        <w:t xml:space="preserve"> </w:t>
      </w:r>
      <w:r>
        <w:t>For taking part in the study you will receive ten pounds to cover any travel expenses and as a token of appreciation.</w:t>
      </w:r>
    </w:p>
    <w:p w14:paraId="33831298" w14:textId="77777777" w:rsidR="00866437" w:rsidRDefault="00866437" w:rsidP="00BD3783">
      <w:pPr>
        <w:spacing w:line="360" w:lineRule="auto"/>
      </w:pPr>
    </w:p>
    <w:p w14:paraId="466D1C4C" w14:textId="77777777" w:rsidR="00866437" w:rsidRPr="003A32CF" w:rsidRDefault="00866437" w:rsidP="00BD3783">
      <w:pPr>
        <w:spacing w:line="360" w:lineRule="auto"/>
        <w:rPr>
          <w:b/>
          <w:sz w:val="28"/>
          <w:szCs w:val="28"/>
        </w:rPr>
      </w:pPr>
      <w:r w:rsidRPr="003A32CF">
        <w:rPr>
          <w:b/>
          <w:sz w:val="28"/>
          <w:szCs w:val="28"/>
        </w:rPr>
        <w:t>Why are you being asked to take part in the study?</w:t>
      </w:r>
    </w:p>
    <w:p w14:paraId="4361C340" w14:textId="282B3A1D" w:rsidR="00866437" w:rsidRPr="00BD76A8" w:rsidRDefault="00866437" w:rsidP="00BD3783">
      <w:pPr>
        <w:spacing w:line="360" w:lineRule="auto"/>
      </w:pPr>
      <w:r w:rsidRPr="00BD76A8">
        <w:t xml:space="preserve">This is an opportunity to help with a research project in order to gather new information about </w:t>
      </w:r>
      <w:r>
        <w:t>parental views.</w:t>
      </w:r>
      <w:r w:rsidR="00BD3783">
        <w:t xml:space="preserve"> </w:t>
      </w:r>
      <w:r>
        <w:t>You will have the time to express your views which is not always possible in an outpatient appointment.</w:t>
      </w:r>
      <w:r w:rsidR="00BD3783">
        <w:t xml:space="preserve"> </w:t>
      </w:r>
      <w:r w:rsidRPr="00BD76A8">
        <w:t xml:space="preserve">You may learn more about </w:t>
      </w:r>
      <w:r>
        <w:t>antibiotics.</w:t>
      </w:r>
      <w:r w:rsidR="00BD3783">
        <w:t xml:space="preserve"> </w:t>
      </w:r>
      <w:r w:rsidRPr="00BD76A8">
        <w:t xml:space="preserve">It is unlikely that </w:t>
      </w:r>
      <w:r>
        <w:t xml:space="preserve">you will directly benefit from the study but if significant results are found, it may influence how we discuss long term antibiotics with parents and their families in the future. </w:t>
      </w:r>
    </w:p>
    <w:p w14:paraId="188C5953" w14:textId="77777777" w:rsidR="00866437" w:rsidRDefault="00866437" w:rsidP="00BD3783">
      <w:pPr>
        <w:spacing w:line="360" w:lineRule="auto"/>
      </w:pPr>
    </w:p>
    <w:p w14:paraId="5B4B8E48" w14:textId="77777777" w:rsidR="00866437" w:rsidRDefault="00866437" w:rsidP="00BD3783">
      <w:pPr>
        <w:spacing w:line="360" w:lineRule="auto"/>
        <w:rPr>
          <w:b/>
        </w:rPr>
      </w:pPr>
      <w:r w:rsidRPr="009625E0">
        <w:rPr>
          <w:b/>
          <w:sz w:val="28"/>
          <w:szCs w:val="28"/>
        </w:rPr>
        <w:t>What will I need to do if I would like to take part in the study?</w:t>
      </w:r>
    </w:p>
    <w:p w14:paraId="7C9E44C8" w14:textId="77777777" w:rsidR="00866437" w:rsidRDefault="00866437" w:rsidP="00BD3783">
      <w:pPr>
        <w:spacing w:line="360" w:lineRule="auto"/>
      </w:pPr>
      <w:r>
        <w:t xml:space="preserve">Dr Simon Hardman from the research team will contact you over the next week by telephone to see if you would like to take part. If you read the information about the study, and decide you would like to take part, a time and place will be arranged for you to be interviewed. </w:t>
      </w:r>
    </w:p>
    <w:p w14:paraId="5EC1AAAF" w14:textId="1D61455A" w:rsidR="00866437" w:rsidRDefault="00866437" w:rsidP="00BD3783">
      <w:pPr>
        <w:spacing w:line="360" w:lineRule="auto"/>
      </w:pPr>
      <w:r>
        <w:t>You will need to sign a consent form. This form confirms that you understand why the study is being carried out as well as the risks and benefits. You will have the opportunity at this point to ask any further questions.</w:t>
      </w:r>
    </w:p>
    <w:p w14:paraId="37AE46DE" w14:textId="77777777" w:rsidR="00BD3783" w:rsidRDefault="00BD3783" w:rsidP="00BD3783">
      <w:pPr>
        <w:spacing w:line="360" w:lineRule="auto"/>
      </w:pPr>
    </w:p>
    <w:p w14:paraId="46BDE97E" w14:textId="77777777" w:rsidR="00866437" w:rsidRPr="00160B42" w:rsidRDefault="00866437" w:rsidP="00BD3783">
      <w:pPr>
        <w:spacing w:line="360" w:lineRule="auto"/>
        <w:rPr>
          <w:b/>
          <w:sz w:val="28"/>
          <w:szCs w:val="28"/>
        </w:rPr>
      </w:pPr>
      <w:r w:rsidRPr="00160B42">
        <w:rPr>
          <w:b/>
          <w:sz w:val="28"/>
          <w:szCs w:val="28"/>
        </w:rPr>
        <w:t>What are the possible risks?</w:t>
      </w:r>
    </w:p>
    <w:p w14:paraId="453D39CC" w14:textId="6C7EA41C" w:rsidR="00866437" w:rsidRDefault="00866437" w:rsidP="00BD3783">
      <w:pPr>
        <w:spacing w:line="360" w:lineRule="auto"/>
      </w:pPr>
      <w:r>
        <w:t>It is not anticipated that upsetting or distressing subjects will be discussed during the interviews thus minimizing any risks. The interviewer will be non-judgmental.</w:t>
      </w:r>
      <w:r w:rsidR="00BD3783">
        <w:t xml:space="preserve"> </w:t>
      </w:r>
      <w:r>
        <w:t>There are no other risks involved.</w:t>
      </w:r>
    </w:p>
    <w:p w14:paraId="58DF2D16" w14:textId="77777777" w:rsidR="00866437" w:rsidRPr="009625E0" w:rsidRDefault="00866437" w:rsidP="00BD3783">
      <w:pPr>
        <w:spacing w:line="360" w:lineRule="auto"/>
      </w:pPr>
    </w:p>
    <w:p w14:paraId="04D18701" w14:textId="77777777" w:rsidR="00866437" w:rsidRPr="00BD76A8" w:rsidRDefault="00866437" w:rsidP="00BD3783">
      <w:pPr>
        <w:spacing w:line="360" w:lineRule="auto"/>
        <w:rPr>
          <w:b/>
          <w:sz w:val="28"/>
          <w:szCs w:val="28"/>
        </w:rPr>
      </w:pPr>
      <w:r w:rsidRPr="00BD76A8">
        <w:rPr>
          <w:b/>
          <w:sz w:val="28"/>
          <w:szCs w:val="28"/>
        </w:rPr>
        <w:t xml:space="preserve">More information about </w:t>
      </w:r>
      <w:r>
        <w:rPr>
          <w:b/>
          <w:sz w:val="28"/>
          <w:szCs w:val="28"/>
        </w:rPr>
        <w:t>the study</w:t>
      </w:r>
    </w:p>
    <w:p w14:paraId="7534D4F4" w14:textId="77777777" w:rsidR="00866437" w:rsidRPr="00016230" w:rsidRDefault="00866437" w:rsidP="00BD3783">
      <w:pPr>
        <w:spacing w:line="360" w:lineRule="auto"/>
      </w:pPr>
      <w:r w:rsidRPr="00016230">
        <w:t xml:space="preserve">All information regarding </w:t>
      </w:r>
      <w:r>
        <w:t xml:space="preserve">the interviews </w:t>
      </w:r>
      <w:r w:rsidRPr="00016230">
        <w:t xml:space="preserve">will be kept on a confidential secure database. </w:t>
      </w:r>
    </w:p>
    <w:p w14:paraId="06684404" w14:textId="051027AB" w:rsidR="00866437" w:rsidRPr="00016230" w:rsidRDefault="00866437" w:rsidP="00BD3783">
      <w:pPr>
        <w:spacing w:line="360" w:lineRule="auto"/>
      </w:pPr>
      <w:r w:rsidRPr="00016230">
        <w:t>You will be invited to a meeting at the end of the study where the results will be presented and you will have the opportunity to discuss these.</w:t>
      </w:r>
      <w:r w:rsidR="00BD3783">
        <w:t xml:space="preserve"> </w:t>
      </w:r>
      <w:r w:rsidRPr="00016230">
        <w:t>The final results will be published in a medical journal and presented at a variety of medical meetings. All data will be anonymised.</w:t>
      </w:r>
    </w:p>
    <w:p w14:paraId="6906008D" w14:textId="77777777" w:rsidR="00866437" w:rsidRDefault="00866437" w:rsidP="00BD3783">
      <w:pPr>
        <w:spacing w:line="360" w:lineRule="auto"/>
      </w:pPr>
      <w:r w:rsidRPr="00016230">
        <w:t>The study has been reviewed by the Health Research authority. Ethical approval has been obtained.</w:t>
      </w:r>
    </w:p>
    <w:p w14:paraId="6A6CEC49" w14:textId="26D03148" w:rsidR="00866437" w:rsidRPr="002210D4" w:rsidRDefault="00866437" w:rsidP="00BD3783">
      <w:pPr>
        <w:spacing w:line="360" w:lineRule="auto"/>
      </w:pPr>
      <w:r w:rsidRPr="00016230">
        <w:lastRenderedPageBreak/>
        <w:t>This is a research project funded by the</w:t>
      </w:r>
      <w:r>
        <w:t xml:space="preserve"> immunology department at Sheffield Children’s NHS Foundation Trust</w:t>
      </w:r>
      <w:r w:rsidRPr="00016230">
        <w:t>. It is a collaborative project between the University of Sheffield and the Sheffield Children’s NHS Foundation Trust.</w:t>
      </w:r>
      <w:r w:rsidR="00BD3783">
        <w:t xml:space="preserve"> </w:t>
      </w:r>
      <w:r w:rsidRPr="00016230">
        <w:t xml:space="preserve">At any </w:t>
      </w:r>
      <w:r>
        <w:t>before or during the interview, you may withdraw from the study.</w:t>
      </w:r>
    </w:p>
    <w:p w14:paraId="6FB19F3B" w14:textId="77777777" w:rsidR="00866437" w:rsidRDefault="00866437" w:rsidP="00BD3783">
      <w:pPr>
        <w:spacing w:line="360" w:lineRule="auto"/>
      </w:pPr>
    </w:p>
    <w:p w14:paraId="0C369E29" w14:textId="404F46EA" w:rsidR="00866437" w:rsidRDefault="00BD3783" w:rsidP="00BD3783">
      <w:pPr>
        <w:pStyle w:val="Heading3"/>
      </w:pPr>
      <w:r>
        <w:t>PBB Study 1</w:t>
      </w:r>
    </w:p>
    <w:p w14:paraId="3C604FB5" w14:textId="77777777" w:rsidR="00BD3783" w:rsidRPr="00BD3783" w:rsidRDefault="00BD3783" w:rsidP="00BD3783"/>
    <w:p w14:paraId="09758EDD" w14:textId="77777777" w:rsidR="00BD3783" w:rsidRPr="00BD3783" w:rsidRDefault="00BD3783" w:rsidP="00BD3783">
      <w:pPr>
        <w:spacing w:line="360" w:lineRule="auto"/>
        <w:jc w:val="center"/>
        <w:rPr>
          <w:b/>
          <w:bCs/>
          <w:u w:val="single"/>
        </w:rPr>
      </w:pPr>
      <w:r w:rsidRPr="00BD3783">
        <w:rPr>
          <w:b/>
          <w:bCs/>
          <w:u w:val="single"/>
        </w:rPr>
        <w:t>PARENT/LEGAL GUARDIAN INFORMATION SHEET</w:t>
      </w:r>
    </w:p>
    <w:p w14:paraId="7DF669DB"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7147F1E3" w14:textId="55DE9E48"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Cs/>
        </w:rPr>
      </w:pPr>
      <w:r w:rsidRPr="00BD3783">
        <w:rPr>
          <w:b/>
          <w:bCs/>
        </w:rPr>
        <w:t>Study title</w:t>
      </w:r>
      <w:r w:rsidRPr="00BD3783">
        <w:rPr>
          <w:iCs/>
        </w:rPr>
        <w:t>: Antibiotics to prevent chest infections</w:t>
      </w:r>
    </w:p>
    <w:p w14:paraId="586B0D97"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b/>
          <w:bCs/>
        </w:rPr>
      </w:pPr>
    </w:p>
    <w:p w14:paraId="70179111" w14:textId="1DF5471A" w:rsidR="00BD3783" w:rsidRPr="00BD3783" w:rsidRDefault="00BD3783" w:rsidP="00BD3783">
      <w:pPr>
        <w:pStyle w:val="BodyText2"/>
        <w:spacing w:line="360" w:lineRule="auto"/>
        <w:rPr>
          <w:rFonts w:ascii="Times New Roman" w:hAnsi="Times New Roman" w:cs="Times New Roman"/>
          <w:i w:val="0"/>
          <w:iCs w:val="0"/>
          <w:sz w:val="24"/>
          <w:szCs w:val="24"/>
        </w:rPr>
      </w:pPr>
      <w:r w:rsidRPr="00BD3783">
        <w:rPr>
          <w:rFonts w:ascii="Times New Roman" w:hAnsi="Times New Roman" w:cs="Times New Roman"/>
          <w:i w:val="0"/>
          <w:iCs w:val="0"/>
          <w:sz w:val="24"/>
          <w:szCs w:val="24"/>
        </w:rPr>
        <w:t xml:space="preserve">We would like to invite you and your child to take part in our research study. Before you decide we would like you to understand why the research is being done and what it would involve.  </w:t>
      </w:r>
      <w:r w:rsidRPr="00BD3783">
        <w:rPr>
          <w:rFonts w:ascii="Times New Roman" w:hAnsi="Times New Roman" w:cs="Times New Roman"/>
          <w:b/>
          <w:bCs/>
          <w:i w:val="0"/>
          <w:iCs w:val="0"/>
          <w:sz w:val="24"/>
          <w:szCs w:val="24"/>
        </w:rPr>
        <w:t>One of our team will go through the information sheet with you and answer any questions you have.</w:t>
      </w:r>
      <w:r w:rsidRPr="00BD3783">
        <w:rPr>
          <w:rFonts w:ascii="Times New Roman" w:hAnsi="Times New Roman" w:cs="Times New Roman"/>
          <w:i w:val="0"/>
          <w:iCs w:val="0"/>
          <w:sz w:val="24"/>
          <w:szCs w:val="24"/>
        </w:rPr>
        <w:t xml:space="preserve">  Talk to others about the study if you wish.  </w:t>
      </w:r>
    </w:p>
    <w:p w14:paraId="53251FE7" w14:textId="77777777" w:rsidR="00BD3783" w:rsidRPr="00BD3783" w:rsidRDefault="00BD3783" w:rsidP="00BD3783">
      <w:pPr>
        <w:pStyle w:val="BodyText2"/>
        <w:spacing w:line="360" w:lineRule="auto"/>
        <w:rPr>
          <w:rFonts w:ascii="Times New Roman" w:hAnsi="Times New Roman" w:cs="Times New Roman"/>
          <w:i w:val="0"/>
          <w:iCs w:val="0"/>
          <w:sz w:val="24"/>
          <w:szCs w:val="24"/>
        </w:rPr>
      </w:pPr>
    </w:p>
    <w:p w14:paraId="5245BBF4" w14:textId="77777777" w:rsidR="00BD3783" w:rsidRPr="00BD3783" w:rsidRDefault="00BD3783" w:rsidP="00BD3783">
      <w:pPr>
        <w:pStyle w:val="BodyText2"/>
        <w:spacing w:line="360" w:lineRule="auto"/>
        <w:rPr>
          <w:rFonts w:ascii="Times New Roman" w:hAnsi="Times New Roman" w:cs="Times New Roman"/>
          <w:i w:val="0"/>
          <w:iCs w:val="0"/>
          <w:sz w:val="24"/>
          <w:szCs w:val="24"/>
        </w:rPr>
      </w:pPr>
      <w:r w:rsidRPr="00BD3783">
        <w:rPr>
          <w:rFonts w:ascii="Times New Roman" w:hAnsi="Times New Roman" w:cs="Times New Roman"/>
          <w:i w:val="0"/>
          <w:iCs w:val="0"/>
          <w:sz w:val="24"/>
          <w:szCs w:val="24"/>
          <w:u w:val="single"/>
        </w:rPr>
        <w:t>Part 1</w:t>
      </w:r>
      <w:r w:rsidRPr="00BD3783">
        <w:rPr>
          <w:rFonts w:ascii="Times New Roman" w:hAnsi="Times New Roman" w:cs="Times New Roman"/>
          <w:i w:val="0"/>
          <w:iCs w:val="0"/>
          <w:sz w:val="24"/>
          <w:szCs w:val="24"/>
        </w:rPr>
        <w:t xml:space="preserve"> tells you the purpose of this study and what will happen to you and your child if you take part.</w:t>
      </w:r>
    </w:p>
    <w:p w14:paraId="58487414" w14:textId="77777777" w:rsidR="00BD3783" w:rsidRPr="00BD3783" w:rsidRDefault="00BD3783" w:rsidP="00BD3783">
      <w:pPr>
        <w:pStyle w:val="BodyText2"/>
        <w:spacing w:line="360" w:lineRule="auto"/>
        <w:rPr>
          <w:rFonts w:ascii="Times New Roman" w:hAnsi="Times New Roman" w:cs="Times New Roman"/>
          <w:i w:val="0"/>
          <w:iCs w:val="0"/>
          <w:sz w:val="24"/>
          <w:szCs w:val="24"/>
        </w:rPr>
      </w:pPr>
      <w:r w:rsidRPr="00BD3783">
        <w:rPr>
          <w:rFonts w:ascii="Times New Roman" w:hAnsi="Times New Roman" w:cs="Times New Roman"/>
          <w:i w:val="0"/>
          <w:iCs w:val="0"/>
          <w:sz w:val="24"/>
          <w:szCs w:val="24"/>
          <w:u w:val="single"/>
        </w:rPr>
        <w:t>Part 2</w:t>
      </w:r>
      <w:r w:rsidRPr="00BD3783">
        <w:rPr>
          <w:rFonts w:ascii="Times New Roman" w:hAnsi="Times New Roman" w:cs="Times New Roman"/>
          <w:i w:val="0"/>
          <w:iCs w:val="0"/>
          <w:sz w:val="24"/>
          <w:szCs w:val="24"/>
        </w:rPr>
        <w:t xml:space="preserve"> gives you more detailed information about the conduct of the study.</w:t>
      </w:r>
    </w:p>
    <w:p w14:paraId="6E9A0771" w14:textId="77777777" w:rsidR="00BD3783" w:rsidRPr="00BD3783" w:rsidRDefault="00BD3783" w:rsidP="00BD3783">
      <w:pPr>
        <w:pStyle w:val="BodyText2"/>
        <w:spacing w:line="360" w:lineRule="auto"/>
        <w:rPr>
          <w:rFonts w:ascii="Times New Roman" w:hAnsi="Times New Roman" w:cs="Times New Roman"/>
          <w:i w:val="0"/>
          <w:iCs w:val="0"/>
          <w:sz w:val="24"/>
          <w:szCs w:val="24"/>
        </w:rPr>
      </w:pPr>
    </w:p>
    <w:p w14:paraId="261C74A3" w14:textId="77777777" w:rsidR="00BD3783" w:rsidRPr="00BD3783" w:rsidRDefault="00BD3783" w:rsidP="00BD3783">
      <w:pPr>
        <w:pStyle w:val="BodyText2"/>
        <w:spacing w:line="360" w:lineRule="auto"/>
        <w:rPr>
          <w:rFonts w:ascii="Times New Roman" w:hAnsi="Times New Roman" w:cs="Times New Roman"/>
          <w:i w:val="0"/>
          <w:iCs w:val="0"/>
          <w:sz w:val="24"/>
          <w:szCs w:val="24"/>
        </w:rPr>
      </w:pPr>
      <w:r w:rsidRPr="00BD3783">
        <w:rPr>
          <w:rFonts w:ascii="Times New Roman" w:hAnsi="Times New Roman" w:cs="Times New Roman"/>
          <w:i w:val="0"/>
          <w:iCs w:val="0"/>
          <w:sz w:val="24"/>
          <w:szCs w:val="24"/>
        </w:rPr>
        <w:t>Ask us if there is anything that is not clear.</w:t>
      </w:r>
    </w:p>
    <w:p w14:paraId="2CB34AFC" w14:textId="77777777" w:rsidR="00BD3783" w:rsidRPr="00BD3783" w:rsidRDefault="00BD3783" w:rsidP="00C2254C"/>
    <w:p w14:paraId="7550811B" w14:textId="77777777" w:rsidR="00BD3783" w:rsidRPr="00BD3783" w:rsidRDefault="00BD3783" w:rsidP="00C2254C">
      <w:pPr>
        <w:spacing w:line="360" w:lineRule="auto"/>
        <w:rPr>
          <w:b/>
          <w:bCs/>
        </w:rPr>
      </w:pPr>
      <w:r w:rsidRPr="00BD3783">
        <w:rPr>
          <w:b/>
          <w:bCs/>
        </w:rPr>
        <w:t>Part 1</w:t>
      </w:r>
      <w:r w:rsidRPr="00BD3783">
        <w:t xml:space="preserve"> – </w:t>
      </w:r>
      <w:r w:rsidRPr="00BD3783">
        <w:rPr>
          <w:b/>
          <w:bCs/>
        </w:rPr>
        <w:t>To give you first thoughts about the project</w:t>
      </w:r>
    </w:p>
    <w:p w14:paraId="2C75E7AA" w14:textId="77777777" w:rsidR="00BD3783" w:rsidRPr="00BD3783" w:rsidRDefault="00BD3783" w:rsidP="00C2254C">
      <w:pPr>
        <w:spacing w:line="360" w:lineRule="auto"/>
      </w:pPr>
    </w:p>
    <w:p w14:paraId="42452C2A" w14:textId="77777777" w:rsidR="00BD3783" w:rsidRPr="00BD3783" w:rsidRDefault="00BD3783" w:rsidP="00C2254C">
      <w:pPr>
        <w:spacing w:line="360" w:lineRule="auto"/>
        <w:rPr>
          <w:b/>
          <w:bCs/>
        </w:rPr>
      </w:pPr>
      <w:r w:rsidRPr="00BD3783">
        <w:rPr>
          <w:b/>
          <w:bCs/>
        </w:rPr>
        <w:t>What is the purpose of the study?</w:t>
      </w:r>
    </w:p>
    <w:p w14:paraId="36E6E6E7" w14:textId="77777777" w:rsidR="00BD3783" w:rsidRPr="00BD3783" w:rsidRDefault="00BD3783" w:rsidP="00C2254C">
      <w:pPr>
        <w:tabs>
          <w:tab w:val="left" w:pos="720"/>
          <w:tab w:val="left" w:pos="1440"/>
          <w:tab w:val="left" w:pos="2160"/>
          <w:tab w:val="left" w:pos="2880"/>
          <w:tab w:val="left" w:pos="4680"/>
          <w:tab w:val="left" w:pos="5400"/>
          <w:tab w:val="right" w:pos="9000"/>
        </w:tabs>
        <w:spacing w:line="360" w:lineRule="auto"/>
        <w:jc w:val="both"/>
        <w:rPr>
          <w:iCs/>
        </w:rPr>
      </w:pPr>
      <w:r w:rsidRPr="00BD3783">
        <w:rPr>
          <w:iCs/>
        </w:rPr>
        <w:t xml:space="preserve">Many children are under the care of the respiratory team at Sheffield Children’s Hospital because they have a persistent wet cough and a condition called protracted bacterial bronchitis (PBB). This is defined as a wet cough for more than 4 weeks, no other detectable underlying lung problem and a response to 2 weeks of antibiotics. Some of these children get recurrent episodes of PBB requiring multiple courses of antibiotics. Recurrent bacterial infections may cause permanent damage to the breathing tubes (airways). This condition is called bronchiectasis. Children who are thought to be at risk of developing bronchiectasis are often prescribed low dose, regular </w:t>
      </w:r>
      <w:r w:rsidRPr="00BD3783">
        <w:rPr>
          <w:iCs/>
        </w:rPr>
        <w:lastRenderedPageBreak/>
        <w:t xml:space="preserve">preventative antibiotics (especially over the winter months). This is to try and reduce the number of infections. The antibiotic often used is called azithromycin. </w:t>
      </w:r>
    </w:p>
    <w:p w14:paraId="5334EAC8"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Cs/>
        </w:rPr>
      </w:pPr>
      <w:r w:rsidRPr="00BD3783">
        <w:rPr>
          <w:iCs/>
        </w:rPr>
        <w:t xml:space="preserve">Antibiotics are important medicines used to treat bacterial infections. One of the problems with taking antibiotics for a long time is that the bacteria get used to them, adapt and become resistant so that the antibiotics no longer work. Sometimes when the antibiotics are stopped, the resistant bacteria go away. </w:t>
      </w:r>
    </w:p>
    <w:p w14:paraId="301FE3B5"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Cs/>
        </w:rPr>
      </w:pPr>
      <w:r w:rsidRPr="00BD3783">
        <w:rPr>
          <w:iCs/>
        </w:rPr>
        <w:t xml:space="preserve">We intend to look at whether giving children regular low dose antibiotics to prevent chest infections over the winter causes antibiotic resistance. </w:t>
      </w:r>
    </w:p>
    <w:p w14:paraId="526F638E"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Cs/>
        </w:rPr>
      </w:pPr>
      <w:r w:rsidRPr="00BD3783">
        <w:rPr>
          <w:iCs/>
        </w:rPr>
        <w:t>To do this we will take samples of the bacteria that live up everyone’s noses and see if they develop resistance to the antibiotic azithromycin in those children taking it regularly over winter. This study will run for a total of 12 months to enable us to see if the resistance persists or goes away once the azithromycin is stopped in the Spring.</w:t>
      </w:r>
    </w:p>
    <w:p w14:paraId="164B1F65"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
          <w:iCs/>
        </w:rPr>
      </w:pPr>
      <w:r w:rsidRPr="00BD3783">
        <w:rPr>
          <w:iCs/>
        </w:rPr>
        <w:t>This research study is a pilot project. This means it is a small scale study in order to obtain preliminary data and assess the feasibility of carrying out such a project. Following this, it is hoped we will organise a full-scale larger research study addressing the same question.</w:t>
      </w:r>
    </w:p>
    <w:p w14:paraId="5B00333E"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31BAAB4A"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Why have we been invited?</w:t>
      </w:r>
    </w:p>
    <w:p w14:paraId="614A0096" w14:textId="77777777" w:rsidR="00BD3783" w:rsidRPr="00BD3783" w:rsidRDefault="00BD3783" w:rsidP="00BD3783">
      <w:pPr>
        <w:pStyle w:val="ListParagraph"/>
        <w:spacing w:line="360" w:lineRule="auto"/>
        <w:ind w:left="0"/>
        <w:rPr>
          <w:rFonts w:ascii="Times New Roman" w:hAnsi="Times New Roman" w:cs="Times New Roman"/>
          <w:iCs/>
          <w:sz w:val="24"/>
          <w:szCs w:val="24"/>
        </w:rPr>
      </w:pPr>
      <w:r w:rsidRPr="00BD3783">
        <w:rPr>
          <w:rFonts w:ascii="Times New Roman" w:hAnsi="Times New Roman" w:cs="Times New Roman"/>
          <w:iCs/>
          <w:sz w:val="24"/>
          <w:szCs w:val="24"/>
        </w:rPr>
        <w:t>This is an opportunity to help with a research project in order to gather new information about how we treat children with protracted bacterial bronchitis.</w:t>
      </w:r>
    </w:p>
    <w:p w14:paraId="6F055800" w14:textId="77777777" w:rsidR="00BD3783" w:rsidRPr="00BD3783" w:rsidRDefault="00BD3783" w:rsidP="00BD3783">
      <w:pPr>
        <w:pStyle w:val="ListParagraph"/>
        <w:spacing w:line="360" w:lineRule="auto"/>
        <w:ind w:left="0"/>
        <w:rPr>
          <w:rFonts w:ascii="Times New Roman" w:hAnsi="Times New Roman" w:cs="Times New Roman"/>
          <w:iCs/>
          <w:sz w:val="24"/>
          <w:szCs w:val="24"/>
        </w:rPr>
      </w:pPr>
      <w:r w:rsidRPr="00BD3783">
        <w:rPr>
          <w:rFonts w:ascii="Times New Roman" w:hAnsi="Times New Roman" w:cs="Times New Roman"/>
          <w:iCs/>
          <w:sz w:val="24"/>
          <w:szCs w:val="24"/>
        </w:rPr>
        <w:t xml:space="preserve">Your child has been chosen because they have the condition PBB and are under the care of the respiratory or immunology teams at Sheffield Children’s Hospital. </w:t>
      </w:r>
    </w:p>
    <w:p w14:paraId="3B0DEC37" w14:textId="77777777" w:rsidR="00BD3783" w:rsidRPr="00BD3783" w:rsidRDefault="00BD3783" w:rsidP="00BD3783">
      <w:pPr>
        <w:pStyle w:val="ListParagraph"/>
        <w:spacing w:line="360" w:lineRule="auto"/>
        <w:ind w:left="0"/>
        <w:rPr>
          <w:rFonts w:ascii="Times New Roman" w:hAnsi="Times New Roman" w:cs="Times New Roman"/>
          <w:iCs/>
          <w:sz w:val="24"/>
          <w:szCs w:val="24"/>
        </w:rPr>
      </w:pPr>
    </w:p>
    <w:p w14:paraId="202BC955" w14:textId="77777777" w:rsidR="00BD3783" w:rsidRPr="00BD3783" w:rsidRDefault="00BD3783" w:rsidP="00BD3783">
      <w:pPr>
        <w:pStyle w:val="ListParagraph"/>
        <w:spacing w:line="360" w:lineRule="auto"/>
        <w:ind w:left="0"/>
        <w:rPr>
          <w:rFonts w:ascii="Times New Roman" w:hAnsi="Times New Roman" w:cs="Times New Roman"/>
          <w:iCs/>
          <w:sz w:val="24"/>
          <w:szCs w:val="24"/>
        </w:rPr>
      </w:pPr>
      <w:r w:rsidRPr="00BD3783">
        <w:rPr>
          <w:rFonts w:ascii="Times New Roman" w:hAnsi="Times New Roman" w:cs="Times New Roman"/>
          <w:iCs/>
          <w:sz w:val="24"/>
          <w:szCs w:val="24"/>
        </w:rPr>
        <w:t>There will be two groups within the study. Your child will be part of one of the two groups. The allocated group will depend on whether your child is prescribed azithromycin by the respiratory team as part of your child’s standard care. This study does not influence the respiratory team as to whether your child is prescribed azithromycin or not. The decision to prescribe azithromycin is based on the child’s clinical symptoms and needs.</w:t>
      </w:r>
    </w:p>
    <w:p w14:paraId="4AD78311" w14:textId="77777777" w:rsidR="00BD3783" w:rsidRPr="00BD3783" w:rsidRDefault="00BD3783" w:rsidP="00BD3783">
      <w:pPr>
        <w:pStyle w:val="ListParagraph"/>
        <w:spacing w:line="360" w:lineRule="auto"/>
        <w:ind w:left="0"/>
        <w:rPr>
          <w:rFonts w:ascii="Times New Roman" w:hAnsi="Times New Roman" w:cs="Times New Roman"/>
          <w:iCs/>
          <w:sz w:val="24"/>
          <w:szCs w:val="24"/>
        </w:rPr>
      </w:pPr>
    </w:p>
    <w:p w14:paraId="48CBFE10" w14:textId="77777777" w:rsidR="00BD3783" w:rsidRPr="00BD3783" w:rsidRDefault="00BD3783" w:rsidP="00BD3783">
      <w:pPr>
        <w:pStyle w:val="ListParagraph"/>
        <w:numPr>
          <w:ilvl w:val="0"/>
          <w:numId w:val="91"/>
        </w:numPr>
        <w:spacing w:line="360" w:lineRule="auto"/>
        <w:rPr>
          <w:rFonts w:ascii="Times New Roman" w:hAnsi="Times New Roman" w:cs="Times New Roman"/>
          <w:iCs/>
          <w:sz w:val="24"/>
          <w:szCs w:val="24"/>
        </w:rPr>
      </w:pPr>
      <w:r w:rsidRPr="00BD3783">
        <w:rPr>
          <w:rFonts w:ascii="Times New Roman" w:hAnsi="Times New Roman" w:cs="Times New Roman"/>
          <w:iCs/>
          <w:sz w:val="24"/>
          <w:szCs w:val="24"/>
        </w:rPr>
        <w:t>The first group of children will selected because they are being prescribed azithromycin as part of their standard over the winter. This is because they are thought to be at risk of developing bronchiectasis. This is the Study group.</w:t>
      </w:r>
    </w:p>
    <w:p w14:paraId="54DE9250" w14:textId="77777777" w:rsidR="00BD3783" w:rsidRPr="00BD3783" w:rsidRDefault="00BD3783" w:rsidP="00BD3783">
      <w:pPr>
        <w:pStyle w:val="ListParagraph"/>
        <w:numPr>
          <w:ilvl w:val="0"/>
          <w:numId w:val="91"/>
        </w:numPr>
        <w:spacing w:line="360" w:lineRule="auto"/>
        <w:rPr>
          <w:rFonts w:ascii="Times New Roman" w:hAnsi="Times New Roman" w:cs="Times New Roman"/>
          <w:iCs/>
          <w:sz w:val="24"/>
          <w:szCs w:val="24"/>
        </w:rPr>
      </w:pPr>
      <w:r w:rsidRPr="00BD3783">
        <w:rPr>
          <w:rFonts w:ascii="Times New Roman" w:hAnsi="Times New Roman" w:cs="Times New Roman"/>
          <w:iCs/>
          <w:sz w:val="24"/>
          <w:szCs w:val="24"/>
        </w:rPr>
        <w:lastRenderedPageBreak/>
        <w:t>The second group of children will be selected because they are not being prescribed azithromycin over the winter as it is not required. If your child is in this group and over the study period, the respiratory team feel your child needs azithromycin, your child will be prescribed azithromycin and will still be able to continue with the study. This group will be the control group.</w:t>
      </w:r>
    </w:p>
    <w:p w14:paraId="799FF37B" w14:textId="77777777" w:rsidR="00BD3783" w:rsidRPr="00BD3783" w:rsidRDefault="00BD3783" w:rsidP="00BD3783">
      <w:pPr>
        <w:pStyle w:val="ListParagraph"/>
        <w:spacing w:line="360" w:lineRule="auto"/>
        <w:ind w:left="0"/>
        <w:rPr>
          <w:rFonts w:ascii="Times New Roman" w:hAnsi="Times New Roman" w:cs="Times New Roman"/>
          <w:iCs/>
          <w:sz w:val="24"/>
          <w:szCs w:val="24"/>
        </w:rPr>
      </w:pPr>
    </w:p>
    <w:p w14:paraId="084CAF85" w14:textId="77777777" w:rsidR="00BD3783" w:rsidRPr="00BD3783" w:rsidRDefault="00BD3783" w:rsidP="00BD3783">
      <w:pPr>
        <w:pStyle w:val="ListParagraph"/>
        <w:spacing w:line="360" w:lineRule="auto"/>
        <w:ind w:left="0"/>
        <w:rPr>
          <w:rFonts w:ascii="Times New Roman" w:hAnsi="Times New Roman" w:cs="Times New Roman"/>
          <w:iCs/>
          <w:sz w:val="24"/>
          <w:szCs w:val="24"/>
        </w:rPr>
      </w:pPr>
      <w:r w:rsidRPr="00BD3783">
        <w:rPr>
          <w:rFonts w:ascii="Times New Roman" w:hAnsi="Times New Roman" w:cs="Times New Roman"/>
          <w:iCs/>
          <w:sz w:val="24"/>
          <w:szCs w:val="24"/>
        </w:rPr>
        <w:t>In total we aim to recruit 20 children, ten in each group. At the end of the study we will compare the groups to see if there are any differences.</w:t>
      </w:r>
    </w:p>
    <w:p w14:paraId="00F64249" w14:textId="77777777" w:rsidR="00BD3783" w:rsidRPr="00BD3783" w:rsidRDefault="00BD3783" w:rsidP="00BD3783">
      <w:pPr>
        <w:pStyle w:val="ListParagraph"/>
        <w:spacing w:line="360" w:lineRule="auto"/>
        <w:ind w:left="0"/>
        <w:rPr>
          <w:rFonts w:ascii="Times New Roman" w:hAnsi="Times New Roman" w:cs="Times New Roman"/>
          <w:sz w:val="24"/>
          <w:szCs w:val="24"/>
        </w:rPr>
      </w:pPr>
    </w:p>
    <w:p w14:paraId="02598A25"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Do we have to take part?</w:t>
      </w:r>
    </w:p>
    <w:p w14:paraId="40155395" w14:textId="77777777" w:rsidR="00BD3783" w:rsidRPr="00BD3783" w:rsidRDefault="00BD3783" w:rsidP="00BD3783">
      <w:pPr>
        <w:pStyle w:val="BodyText"/>
        <w:spacing w:line="360" w:lineRule="auto"/>
        <w:rPr>
          <w:rFonts w:ascii="Times New Roman" w:hAnsi="Times New Roman" w:cs="Times New Roman"/>
        </w:rPr>
      </w:pPr>
      <w:r w:rsidRPr="00BD3783">
        <w:rPr>
          <w:rFonts w:ascii="Times New Roman" w:hAnsi="Times New Roman" w:cs="Times New Roman"/>
        </w:rPr>
        <w:t>No, you do not have to take part in the study. It is up to you and your child (wherever possible) to decide to join the study.  We will describe the study and go through this information sheet.  If you agree to take part, we will then ask you to sign a consent form.  If your child is able to understand the research and is happy to take part and can write their name, they will be asked to sign an assent form with you, if they want to.</w:t>
      </w:r>
    </w:p>
    <w:p w14:paraId="0D344B91" w14:textId="77777777" w:rsidR="00BD3783" w:rsidRPr="00BD3783" w:rsidRDefault="00BD3783" w:rsidP="00BD3783">
      <w:pPr>
        <w:pStyle w:val="BodyText"/>
        <w:spacing w:line="360" w:lineRule="auto"/>
        <w:rPr>
          <w:rFonts w:ascii="Times New Roman" w:hAnsi="Times New Roman" w:cs="Times New Roman"/>
        </w:rPr>
      </w:pPr>
    </w:p>
    <w:p w14:paraId="2A43A908" w14:textId="77777777" w:rsidR="00BD3783" w:rsidRPr="00BD3783" w:rsidRDefault="00BD3783" w:rsidP="00BD3783">
      <w:pPr>
        <w:pStyle w:val="BodyText"/>
        <w:spacing w:line="360" w:lineRule="auto"/>
        <w:rPr>
          <w:rFonts w:ascii="Times New Roman" w:hAnsi="Times New Roman" w:cs="Times New Roman"/>
        </w:rPr>
      </w:pPr>
      <w:r w:rsidRPr="00BD3783">
        <w:rPr>
          <w:rFonts w:ascii="Times New Roman" w:hAnsi="Times New Roman" w:cs="Times New Roman"/>
        </w:rPr>
        <w:t xml:space="preserve">You will be given a copy of the information sheets and the signed consent and assent forms to keep for your records.  You are free to withdraw at any time, without giving a reason.  This would not affect the standard of care your child receives.  </w:t>
      </w:r>
    </w:p>
    <w:p w14:paraId="00B869F5"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pPr>
    </w:p>
    <w:p w14:paraId="3DC58B82"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What will happen to my child if we agree take part?</w:t>
      </w:r>
    </w:p>
    <w:p w14:paraId="5E85DA36"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 xml:space="preserve">If you agree to take part, your child will be involved in the research study for 12 months. It is an observational study where we will observe to see what happens but not change the management or care that your child would usually get. </w:t>
      </w:r>
    </w:p>
    <w:p w14:paraId="501122B5"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3C6D5278"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 xml:space="preserve">Over the 12 months, they will have nasal swabs taken every 3 months (a total of 5 swabs). This is the way in which we will take samples of the bacteria up your child’s nose to see if they are becoming resistant to the antibiotic azithromycin. </w:t>
      </w:r>
    </w:p>
    <w:p w14:paraId="4901A1D5"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5EAA32DB"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 xml:space="preserve">To do this a small cotton-bud tipped stick is inserted up your child’s nostril. It is rotated to collect the sample and then removed. The process takes less than a few seconds. These will be taken either </w:t>
      </w:r>
      <w:r w:rsidRPr="00BD3783">
        <w:rPr>
          <w:iCs/>
        </w:rPr>
        <w:lastRenderedPageBreak/>
        <w:t>when you visit the hospital for a clinic or at your home depending on what is most convenient for you.</w:t>
      </w:r>
    </w:p>
    <w:p w14:paraId="426DEA87"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0DCB1743"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noProof/>
          <w:lang w:eastAsia="en-GB"/>
        </w:rPr>
        <mc:AlternateContent>
          <mc:Choice Requires="wps">
            <w:drawing>
              <wp:anchor distT="45720" distB="45720" distL="114300" distR="114300" simplePos="0" relativeHeight="252121600" behindDoc="0" locked="0" layoutInCell="1" allowOverlap="1" wp14:anchorId="31DDC258" wp14:editId="237574AD">
                <wp:simplePos x="0" y="0"/>
                <wp:positionH relativeFrom="column">
                  <wp:posOffset>3087523</wp:posOffset>
                </wp:positionH>
                <wp:positionV relativeFrom="paragraph">
                  <wp:posOffset>446227</wp:posOffset>
                </wp:positionV>
                <wp:extent cx="2360930" cy="1404620"/>
                <wp:effectExtent l="0" t="0" r="22860" b="11430"/>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5278DBD" w14:textId="77777777" w:rsidR="00BD3783" w:rsidRPr="003B1CC5" w:rsidRDefault="00BD3783" w:rsidP="00BD3783">
                            <w:pPr>
                              <w:rPr>
                                <w:lang w:val="en-US"/>
                              </w:rPr>
                            </w:pPr>
                            <w:r>
                              <w:rPr>
                                <w:lang w:val="en-US"/>
                              </w:rPr>
                              <w:t>A diagram to show the cotton tipped swab being inserted up the nose to collect the bacteria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DDC258" id="_x0000_s1071" type="#_x0000_t202" style="position:absolute;left:0;text-align:left;margin-left:243.1pt;margin-top:35.15pt;width:185.9pt;height:110.6pt;z-index:252121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gP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">
                <v:textbox style="mso-fit-shape-to-text:t">
                  <w:txbxContent>
                    <w:p w14:paraId="75278DBD" w14:textId="77777777" w:rsidR="00BD3783" w:rsidRPr="003B1CC5" w:rsidRDefault="00BD3783" w:rsidP="00BD3783">
                      <w:pPr>
                        <w:rPr>
                          <w:lang w:val="en-US"/>
                        </w:rPr>
                      </w:pPr>
                      <w:r>
                        <w:rPr>
                          <w:lang w:val="en-US"/>
                        </w:rPr>
                        <w:t>A diagram to show the cotton tipped swab being inserted up the nose to collect the bacteria</w:t>
                      </w:r>
                    </w:p>
                  </w:txbxContent>
                </v:textbox>
                <w10:wrap type="square"/>
              </v:shape>
            </w:pict>
          </mc:Fallback>
        </mc:AlternateContent>
      </w:r>
      <w:r w:rsidRPr="00BD3783">
        <w:rPr>
          <w:iCs/>
          <w:noProof/>
          <w:lang w:eastAsia="en-GB"/>
        </w:rPr>
        <w:drawing>
          <wp:inline distT="0" distB="0" distL="0" distR="0" wp14:anchorId="6C09C7FE" wp14:editId="4E4A4F7D">
            <wp:extent cx="2743200" cy="202374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43200" cy="2023745"/>
                    </a:xfrm>
                    <a:prstGeom prst="rect">
                      <a:avLst/>
                    </a:prstGeom>
                    <a:noFill/>
                  </pic:spPr>
                </pic:pic>
              </a:graphicData>
            </a:graphic>
          </wp:inline>
        </w:drawing>
      </w:r>
    </w:p>
    <w:p w14:paraId="43480D20"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3E2C6FC6"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If information is found that could potentially influence how your child is treated, your clinical team will be informed as well as your GP.</w:t>
      </w:r>
    </w:p>
    <w:p w14:paraId="49C8CF07"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37BB200D" w14:textId="77777777" w:rsidR="00BD3783" w:rsidRPr="00BD3783" w:rsidRDefault="00BD3783" w:rsidP="00BD3783">
      <w:pPr>
        <w:spacing w:line="360" w:lineRule="auto"/>
        <w:ind w:right="72"/>
        <w:jc w:val="both"/>
        <w:rPr>
          <w:iCs/>
        </w:rPr>
      </w:pPr>
      <w:r w:rsidRPr="00BD3783">
        <w:rPr>
          <w:iCs/>
        </w:rPr>
        <w:t>Children in the group who take azithromycin will also be asked to fill in a medication diary for the 6 months they take azithromycin. They will be given a dairy and asked to tick a box if they remembered or forgot to take their medicine. It is expected that children will need parental supervision for this task. It is not a test and they will not be told off if they forget. Your honesty would be appreciated so that we can interpret the results accurately.</w:t>
      </w:r>
    </w:p>
    <w:p w14:paraId="20C96AC4" w14:textId="77777777" w:rsidR="00BD3783" w:rsidRPr="00BD3783" w:rsidRDefault="00BD3783" w:rsidP="00BD3783">
      <w:pPr>
        <w:spacing w:line="360" w:lineRule="auto"/>
        <w:ind w:right="72"/>
        <w:jc w:val="both"/>
        <w:rPr>
          <w:iCs/>
        </w:rPr>
      </w:pPr>
      <w:r w:rsidRPr="00BD3783">
        <w:rPr>
          <w:iCs/>
        </w:rPr>
        <w:t>We will also look at your child’s medical records to review their past history and to see how many hospital admissions they have over the study period.</w:t>
      </w:r>
    </w:p>
    <w:p w14:paraId="6A11A516"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41F72C90"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What will we have to do?</w:t>
      </w:r>
    </w:p>
    <w:p w14:paraId="4275558C"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If you would like your child to take part in this research study, you will need to sign a consent form. Your child may be asked to sign too if they want. Following this a baseline nasal swab will be taken.</w:t>
      </w:r>
    </w:p>
    <w:p w14:paraId="2A5FAF68"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Dr Hardman will then contact you every 3 months to arrange a time and place for the next nasal swab to be taken. For those filling out the medication diaries, these will be reviewed when the nasal swabs are taken at 3 and 6 months.</w:t>
      </w:r>
    </w:p>
    <w:p w14:paraId="33D8F090"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pPr>
    </w:p>
    <w:p w14:paraId="24919E9A"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lastRenderedPageBreak/>
        <w:t>What are the possible disadvantages and risks of taking part?</w:t>
      </w:r>
    </w:p>
    <w:p w14:paraId="017E4F11"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Taking nasal swabs can be an unpleasant experience but is short lived, less than a few seconds. Occasionally the nasal swab can damage the delicate blood vessels in the nose and cause a minor nose bleed. If this were to happen, we would need to press on your child’s nose for a few minutes to stop the bleeding. Every effort will be made to reduce the anxiety felt by some children during this procedure and a bravery sticker will be given to them afterwards. If at any time you or your child feels that the actual or perceived distress is too great, please don’t hesitate to tell the research doctor.</w:t>
      </w:r>
    </w:p>
    <w:p w14:paraId="65ABFFD6"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p>
    <w:p w14:paraId="1282AB95"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There will a time commitment for the swabs to be taken and for those filling in the medication diary. Otherwise there are no risks or disadvantages in taking part.</w:t>
      </w:r>
    </w:p>
    <w:p w14:paraId="39FD3537"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rPr>
          <w:iCs/>
        </w:rPr>
      </w:pPr>
      <w:r w:rsidRPr="00BD3783">
        <w:rPr>
          <w:iCs/>
        </w:rPr>
        <w:t xml:space="preserve">If your child is not prescribed azithromycin at the beginning of the study but the respiratory team feel they need it, being in this study will not stop them from getting it. This study does not affect the treatment your child gets. </w:t>
      </w:r>
    </w:p>
    <w:p w14:paraId="41EF60C3" w14:textId="77777777" w:rsidR="00BD3783" w:rsidRPr="00BD3783" w:rsidRDefault="00BD3783" w:rsidP="00BD3783">
      <w:pPr>
        <w:tabs>
          <w:tab w:val="left" w:pos="1440"/>
          <w:tab w:val="left" w:pos="2160"/>
          <w:tab w:val="left" w:pos="2880"/>
          <w:tab w:val="left" w:pos="4680"/>
          <w:tab w:val="left" w:pos="5400"/>
          <w:tab w:val="right" w:pos="9000"/>
        </w:tabs>
        <w:spacing w:line="360" w:lineRule="auto"/>
        <w:jc w:val="both"/>
      </w:pPr>
    </w:p>
    <w:p w14:paraId="175FF441"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What are the possible benefits of taking part?</w:t>
      </w:r>
    </w:p>
    <w:p w14:paraId="572A2C2A"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iCs/>
        </w:rPr>
      </w:pPr>
      <w:r w:rsidRPr="00BD3783">
        <w:rPr>
          <w:iCs/>
        </w:rPr>
        <w:t>It is unlikely that your child will directly benefit from the research during the study period. It is however hoped that this project will lead to future studies and potential changes in how we treat and manage children with protracted bacterial bronchitis.</w:t>
      </w:r>
    </w:p>
    <w:p w14:paraId="07ED3D33"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583F1B80" w14:textId="0C4D78BA" w:rsidR="00BD3783" w:rsidRPr="00C2254C"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What happens when the research study stops?</w:t>
      </w:r>
    </w:p>
    <w:p w14:paraId="080EE521" w14:textId="77777777" w:rsidR="00BD3783" w:rsidRPr="00BD3783" w:rsidRDefault="00BD3783" w:rsidP="00BD3783">
      <w:pPr>
        <w:spacing w:line="360" w:lineRule="auto"/>
        <w:ind w:right="72"/>
        <w:jc w:val="both"/>
      </w:pPr>
      <w:r w:rsidRPr="00BD3783">
        <w:t xml:space="preserve">We will collect all the information together and we will decide if it is useful in telling us if the doctors can manage protracted bacterial bronchitis better in the future. </w:t>
      </w:r>
    </w:p>
    <w:p w14:paraId="3E78DE7B"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3DFBF711" w14:textId="77777777" w:rsidR="00BD3783" w:rsidRPr="00BD3783" w:rsidRDefault="00BD3783" w:rsidP="00C2254C">
      <w:pPr>
        <w:tabs>
          <w:tab w:val="left" w:pos="1440"/>
          <w:tab w:val="left" w:pos="2160"/>
          <w:tab w:val="left" w:pos="2880"/>
          <w:tab w:val="left" w:pos="4680"/>
          <w:tab w:val="left" w:pos="5400"/>
          <w:tab w:val="right" w:pos="9000"/>
        </w:tabs>
        <w:spacing w:line="360" w:lineRule="auto"/>
        <w:jc w:val="both"/>
        <w:rPr>
          <w:b/>
          <w:bCs/>
        </w:rPr>
      </w:pPr>
      <w:r w:rsidRPr="00BD3783">
        <w:rPr>
          <w:b/>
          <w:bCs/>
        </w:rPr>
        <w:t>What if there is a problem?</w:t>
      </w:r>
    </w:p>
    <w:p w14:paraId="06420D9D" w14:textId="77777777" w:rsidR="00BD3783" w:rsidRPr="00BD3783" w:rsidRDefault="00BD3783" w:rsidP="00BD3783">
      <w:pPr>
        <w:pStyle w:val="BodyText"/>
        <w:spacing w:line="360" w:lineRule="auto"/>
        <w:rPr>
          <w:rFonts w:ascii="Times New Roman" w:hAnsi="Times New Roman" w:cs="Times New Roman"/>
        </w:rPr>
      </w:pPr>
      <w:r w:rsidRPr="00BD3783">
        <w:rPr>
          <w:rFonts w:ascii="Times New Roman" w:hAnsi="Times New Roman" w:cs="Times New Roman"/>
        </w:rPr>
        <w:t>Any complaint about the way you or your child have been dealt with during the study or any possible harm you or your child might suffer will be addressed.  The detailed information on this is given in Part 2.</w:t>
      </w:r>
    </w:p>
    <w:p w14:paraId="2F10E99F" w14:textId="77777777" w:rsidR="00BD3783" w:rsidRPr="00BD3783" w:rsidRDefault="00BD3783" w:rsidP="00C2254C">
      <w:pPr>
        <w:tabs>
          <w:tab w:val="left" w:pos="720"/>
          <w:tab w:val="left" w:pos="1440"/>
          <w:tab w:val="left" w:pos="2160"/>
          <w:tab w:val="left" w:pos="2880"/>
          <w:tab w:val="left" w:pos="4680"/>
          <w:tab w:val="left" w:pos="5400"/>
          <w:tab w:val="right" w:pos="9000"/>
        </w:tabs>
        <w:spacing w:line="360" w:lineRule="auto"/>
        <w:jc w:val="both"/>
      </w:pPr>
    </w:p>
    <w:p w14:paraId="7C5561A0" w14:textId="77777777" w:rsidR="00C2254C" w:rsidRPr="00C2254C" w:rsidRDefault="00BD3783" w:rsidP="00C2254C">
      <w:pPr>
        <w:spacing w:line="360" w:lineRule="auto"/>
        <w:rPr>
          <w:b/>
          <w:bCs/>
        </w:rPr>
      </w:pPr>
      <w:r w:rsidRPr="00C2254C">
        <w:rPr>
          <w:b/>
          <w:bCs/>
        </w:rPr>
        <w:t>Will my child’s taking part in the study be kept confidential?</w:t>
      </w:r>
    </w:p>
    <w:p w14:paraId="2F59DC2A" w14:textId="3E2DC117" w:rsidR="00BD3783" w:rsidRPr="00C2254C" w:rsidRDefault="00BD3783" w:rsidP="00C2254C">
      <w:pPr>
        <w:spacing w:line="360" w:lineRule="auto"/>
        <w:rPr>
          <w:b/>
          <w:bCs/>
        </w:rPr>
      </w:pPr>
      <w:r w:rsidRPr="00C2254C">
        <w:lastRenderedPageBreak/>
        <w:t>Yes.  We will follow ethical and legal practice and all information about your child will be handled in confidence.  The details are included in Part 2.</w:t>
      </w:r>
    </w:p>
    <w:p w14:paraId="255FFA65" w14:textId="77777777" w:rsidR="00BD3783" w:rsidRPr="00BD3783" w:rsidRDefault="00BD3783" w:rsidP="00C2254C"/>
    <w:p w14:paraId="6E15C4F0"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543119A2" w14:textId="77777777" w:rsidR="00BD3783" w:rsidRPr="00BD3783" w:rsidRDefault="00BD3783" w:rsidP="00BD3783">
      <w:pPr>
        <w:pStyle w:val="BodyText2"/>
        <w:spacing w:line="360" w:lineRule="auto"/>
        <w:rPr>
          <w:rFonts w:ascii="Times New Roman" w:hAnsi="Times New Roman" w:cs="Times New Roman"/>
          <w:b/>
          <w:bCs/>
          <w:i w:val="0"/>
          <w:iCs w:val="0"/>
          <w:sz w:val="24"/>
          <w:szCs w:val="24"/>
        </w:rPr>
      </w:pPr>
      <w:r w:rsidRPr="00BD3783">
        <w:rPr>
          <w:rFonts w:ascii="Times New Roman" w:hAnsi="Times New Roman" w:cs="Times New Roman"/>
          <w:b/>
          <w:bCs/>
          <w:i w:val="0"/>
          <w:iCs w:val="0"/>
          <w:sz w:val="24"/>
          <w:szCs w:val="24"/>
        </w:rPr>
        <w:t>This completes Part 1.</w:t>
      </w:r>
    </w:p>
    <w:p w14:paraId="79EA2A0A" w14:textId="01D36325" w:rsidR="00BD3783" w:rsidRDefault="00BD3783" w:rsidP="00BD3783">
      <w:pPr>
        <w:pStyle w:val="BodyText2"/>
        <w:spacing w:line="360" w:lineRule="auto"/>
        <w:rPr>
          <w:rFonts w:ascii="Times New Roman" w:hAnsi="Times New Roman" w:cs="Times New Roman"/>
          <w:b/>
          <w:bCs/>
          <w:i w:val="0"/>
          <w:iCs w:val="0"/>
          <w:sz w:val="24"/>
          <w:szCs w:val="24"/>
        </w:rPr>
      </w:pPr>
      <w:r w:rsidRPr="00BD3783">
        <w:rPr>
          <w:rFonts w:ascii="Times New Roman" w:hAnsi="Times New Roman" w:cs="Times New Roman"/>
          <w:b/>
          <w:bCs/>
          <w:i w:val="0"/>
          <w:iCs w:val="0"/>
          <w:sz w:val="24"/>
          <w:szCs w:val="24"/>
        </w:rPr>
        <w:t>If the information in Part 1 has interested you and you are considering your child’s participation, please read the additional information in Part 2 before making any decision.</w:t>
      </w:r>
    </w:p>
    <w:p w14:paraId="258F3B9D" w14:textId="77777777" w:rsidR="00C2254C" w:rsidRPr="00BD3783" w:rsidRDefault="00C2254C" w:rsidP="00BD3783">
      <w:pPr>
        <w:pStyle w:val="BodyText2"/>
        <w:spacing w:line="360" w:lineRule="auto"/>
        <w:rPr>
          <w:rFonts w:ascii="Times New Roman" w:hAnsi="Times New Roman" w:cs="Times New Roman"/>
          <w:b/>
          <w:bCs/>
          <w:i w:val="0"/>
          <w:iCs w:val="0"/>
          <w:sz w:val="24"/>
          <w:szCs w:val="24"/>
        </w:rPr>
      </w:pPr>
    </w:p>
    <w:p w14:paraId="275BC86E" w14:textId="4D84FC64" w:rsidR="00BD3783" w:rsidRPr="00BD3783" w:rsidRDefault="00BD3783" w:rsidP="00C2254C">
      <w:pPr>
        <w:tabs>
          <w:tab w:val="left" w:pos="720"/>
          <w:tab w:val="left" w:pos="1440"/>
          <w:tab w:val="left" w:pos="2160"/>
          <w:tab w:val="left" w:pos="2880"/>
          <w:tab w:val="left" w:pos="4680"/>
          <w:tab w:val="left" w:pos="5400"/>
          <w:tab w:val="right" w:pos="9000"/>
        </w:tabs>
        <w:spacing w:line="360" w:lineRule="auto"/>
        <w:jc w:val="both"/>
      </w:pPr>
      <w:r w:rsidRPr="00BD3783">
        <w:rPr>
          <w:b/>
          <w:bCs/>
        </w:rPr>
        <w:t>Part 2 of the information sheet</w:t>
      </w:r>
    </w:p>
    <w:p w14:paraId="0724F51D" w14:textId="77777777" w:rsidR="00BD3783" w:rsidRPr="00BD3783" w:rsidRDefault="00BD3783" w:rsidP="00C2254C">
      <w:pPr>
        <w:spacing w:line="360" w:lineRule="auto"/>
      </w:pPr>
    </w:p>
    <w:p w14:paraId="2FDC0226" w14:textId="77777777" w:rsidR="00BD3783" w:rsidRPr="00BD3783" w:rsidRDefault="00BD3783" w:rsidP="00C2254C">
      <w:pPr>
        <w:spacing w:line="360" w:lineRule="auto"/>
      </w:pPr>
      <w:r w:rsidRPr="00BD3783">
        <w:rPr>
          <w:b/>
          <w:bCs/>
        </w:rPr>
        <w:t>What if relevant new information becomes available?</w:t>
      </w:r>
    </w:p>
    <w:p w14:paraId="264B3084" w14:textId="77777777" w:rsidR="00BD3783" w:rsidRPr="00BD3783" w:rsidRDefault="00BD3783" w:rsidP="00C2254C">
      <w:pPr>
        <w:tabs>
          <w:tab w:val="left" w:pos="720"/>
          <w:tab w:val="left" w:pos="1440"/>
          <w:tab w:val="left" w:pos="2160"/>
          <w:tab w:val="left" w:pos="2880"/>
          <w:tab w:val="left" w:pos="4680"/>
          <w:tab w:val="left" w:pos="5400"/>
          <w:tab w:val="right" w:pos="9000"/>
        </w:tabs>
        <w:spacing w:line="360" w:lineRule="auto"/>
        <w:jc w:val="both"/>
      </w:pPr>
      <w:r w:rsidRPr="00BD3783">
        <w:t>Sometimes we get new information about the treatment being studied.  If this happens, someone from the research team will tell you and your child and discuss with you whether you want your child to continue in the study.  If you decide not to carry on, arrangements will be made for your child’s care to continue.  If you decide to continue in the study you may be asked to sign an agreement outlining the discussion.</w:t>
      </w:r>
    </w:p>
    <w:p w14:paraId="2D910116"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2EE36742" w14:textId="77777777" w:rsidR="00BD3783" w:rsidRPr="00C2254C" w:rsidRDefault="00BD3783" w:rsidP="00C2254C">
      <w:pPr>
        <w:spacing w:line="360" w:lineRule="auto"/>
        <w:rPr>
          <w:b/>
          <w:bCs/>
        </w:rPr>
      </w:pPr>
      <w:r w:rsidRPr="00C2254C">
        <w:rPr>
          <w:b/>
          <w:bCs/>
        </w:rPr>
        <w:t>What will happen if we don’t want to carry on with the study?</w:t>
      </w:r>
    </w:p>
    <w:p w14:paraId="64FD26A4" w14:textId="77777777" w:rsidR="00BD3783" w:rsidRPr="00BD3783" w:rsidRDefault="00BD3783" w:rsidP="00C2254C">
      <w:pPr>
        <w:pStyle w:val="BodyText2"/>
        <w:spacing w:line="360" w:lineRule="auto"/>
        <w:rPr>
          <w:rFonts w:ascii="Times New Roman" w:hAnsi="Times New Roman" w:cs="Times New Roman"/>
          <w:i w:val="0"/>
          <w:sz w:val="24"/>
          <w:szCs w:val="24"/>
        </w:rPr>
      </w:pPr>
      <w:r w:rsidRPr="00BD3783">
        <w:rPr>
          <w:rFonts w:ascii="Times New Roman" w:hAnsi="Times New Roman" w:cs="Times New Roman"/>
          <w:i w:val="0"/>
          <w:sz w:val="24"/>
          <w:szCs w:val="24"/>
        </w:rPr>
        <w:t xml:space="preserve">You can withdraw your child from the study at any point. If you would like to keep in contact with us to let us know their progress that can be arranged. </w:t>
      </w:r>
    </w:p>
    <w:p w14:paraId="5EC04F59" w14:textId="77777777" w:rsidR="00BD3783" w:rsidRPr="00BD3783" w:rsidRDefault="00BD3783" w:rsidP="00BD3783">
      <w:pPr>
        <w:pStyle w:val="BodyText2"/>
        <w:spacing w:line="360" w:lineRule="auto"/>
        <w:rPr>
          <w:rFonts w:ascii="Times New Roman" w:hAnsi="Times New Roman" w:cs="Times New Roman"/>
          <w:i w:val="0"/>
          <w:iCs w:val="0"/>
          <w:sz w:val="24"/>
          <w:szCs w:val="24"/>
        </w:rPr>
      </w:pPr>
    </w:p>
    <w:p w14:paraId="12B0E725" w14:textId="77777777" w:rsidR="00BD3783" w:rsidRPr="00BD3783" w:rsidRDefault="00BD3783" w:rsidP="00BD3783">
      <w:pPr>
        <w:pStyle w:val="BodyText2"/>
        <w:spacing w:line="360" w:lineRule="auto"/>
        <w:rPr>
          <w:rFonts w:ascii="Times New Roman" w:hAnsi="Times New Roman" w:cs="Times New Roman"/>
          <w:i w:val="0"/>
          <w:iCs w:val="0"/>
          <w:sz w:val="24"/>
          <w:szCs w:val="24"/>
        </w:rPr>
      </w:pPr>
      <w:r w:rsidRPr="00BD3783">
        <w:rPr>
          <w:rFonts w:ascii="Times New Roman" w:hAnsi="Times New Roman" w:cs="Times New Roman"/>
          <w:i w:val="0"/>
          <w:iCs w:val="0"/>
          <w:sz w:val="24"/>
          <w:szCs w:val="24"/>
        </w:rPr>
        <w:t>If you withdraw from the study, we will destroy all your child’s identifiable samples if you wish, but we will need to use the data collected up to their withdrawal.</w:t>
      </w:r>
    </w:p>
    <w:p w14:paraId="27A039CE"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48D652A0" w14:textId="77777777" w:rsidR="00BD3783" w:rsidRPr="00BD3783" w:rsidRDefault="00BD3783" w:rsidP="00C2254C"/>
    <w:p w14:paraId="612CA634" w14:textId="77777777" w:rsidR="00BD3783" w:rsidRPr="00BD3783" w:rsidRDefault="00BD3783" w:rsidP="00C2254C">
      <w:r w:rsidRPr="00BD3783">
        <w:rPr>
          <w:b/>
          <w:bCs/>
        </w:rPr>
        <w:t>What if there is a problem?</w:t>
      </w:r>
    </w:p>
    <w:p w14:paraId="08F1102E"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23066EC8"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b/>
          <w:bCs/>
        </w:rPr>
      </w:pPr>
      <w:r w:rsidRPr="00BD3783">
        <w:rPr>
          <w:b/>
          <w:bCs/>
        </w:rPr>
        <w:t>Complaints</w:t>
      </w:r>
    </w:p>
    <w:p w14:paraId="48D4BFBA" w14:textId="77777777" w:rsidR="00BD3783" w:rsidRPr="00BD3783" w:rsidRDefault="00BD3783" w:rsidP="00BD3783">
      <w:pPr>
        <w:spacing w:line="360" w:lineRule="auto"/>
      </w:pPr>
      <w:r w:rsidRPr="00BD3783">
        <w:t>If you have a concern about any aspect of this study, you should ask to speak to the researchers who will do their best to answer your questions.</w:t>
      </w:r>
    </w:p>
    <w:p w14:paraId="4900FA94" w14:textId="77777777" w:rsidR="00BD3783" w:rsidRPr="00BD3783" w:rsidRDefault="00BD3783" w:rsidP="00BD3783">
      <w:pPr>
        <w:spacing w:line="360" w:lineRule="auto"/>
      </w:pPr>
    </w:p>
    <w:p w14:paraId="4599C8D2" w14:textId="77777777" w:rsidR="00BD3783" w:rsidRPr="00BD3783" w:rsidRDefault="00BD3783" w:rsidP="00BD3783">
      <w:pPr>
        <w:spacing w:line="360" w:lineRule="auto"/>
      </w:pPr>
      <w:r w:rsidRPr="00BD3783">
        <w:t>If you remain unhappy and wish to complain formally, you can do this by contacting:</w:t>
      </w:r>
    </w:p>
    <w:p w14:paraId="37B9FDF3" w14:textId="77777777" w:rsidR="00BD3783" w:rsidRPr="00BD3783" w:rsidRDefault="00BD3783" w:rsidP="00BD3783">
      <w:pPr>
        <w:spacing w:line="360" w:lineRule="auto"/>
      </w:pPr>
    </w:p>
    <w:p w14:paraId="75502F10" w14:textId="77777777" w:rsidR="00BD3783" w:rsidRPr="00BD3783" w:rsidRDefault="00BD3783" w:rsidP="00BD3783">
      <w:pPr>
        <w:spacing w:line="360" w:lineRule="auto"/>
      </w:pPr>
      <w:r w:rsidRPr="00BD3783">
        <w:t>Patient Advice &amp; Liaison Co-ordinator</w:t>
      </w:r>
    </w:p>
    <w:p w14:paraId="202A6636" w14:textId="77777777" w:rsidR="00BD3783" w:rsidRPr="00BD3783" w:rsidRDefault="00BD3783" w:rsidP="00BD3783">
      <w:pPr>
        <w:spacing w:line="360" w:lineRule="auto"/>
      </w:pPr>
      <w:r w:rsidRPr="00BD3783">
        <w:t>Sheffield Children’s NHS Foundation Trust</w:t>
      </w:r>
    </w:p>
    <w:p w14:paraId="159FE097" w14:textId="77777777" w:rsidR="00BD3783" w:rsidRPr="00BD3783" w:rsidRDefault="00BD3783" w:rsidP="00BD3783">
      <w:pPr>
        <w:spacing w:line="360" w:lineRule="auto"/>
      </w:pPr>
      <w:r w:rsidRPr="00BD3783">
        <w:t>Tel: 0114 271 7594</w:t>
      </w:r>
    </w:p>
    <w:p w14:paraId="3177B276"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p>
    <w:p w14:paraId="580615C8"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b/>
          <w:bCs/>
        </w:rPr>
      </w:pPr>
      <w:r w:rsidRPr="00BD3783">
        <w:rPr>
          <w:b/>
          <w:bCs/>
        </w:rPr>
        <w:t>Harm</w:t>
      </w:r>
    </w:p>
    <w:p w14:paraId="7C7E8D58"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pPr>
      <w:r w:rsidRPr="00BD3783">
        <w:t>In the event that something does go wrong and your child is harmed during the research and this is due to someone’s negligence then you may have grounds for a legal action for compensation, but you may have to pay your legal costs.  The normal NHS complaints mechanisms will still be available to you.</w:t>
      </w:r>
    </w:p>
    <w:p w14:paraId="1E015432" w14:textId="77777777" w:rsidR="00BD3783" w:rsidRPr="00BD3783" w:rsidRDefault="00BD3783" w:rsidP="00BD3783">
      <w:pPr>
        <w:spacing w:line="360" w:lineRule="auto"/>
      </w:pPr>
    </w:p>
    <w:p w14:paraId="3407B2F2" w14:textId="77777777" w:rsidR="00BD3783" w:rsidRPr="00C2254C" w:rsidRDefault="00BD3783" w:rsidP="00C2254C">
      <w:pPr>
        <w:spacing w:line="360" w:lineRule="auto"/>
        <w:rPr>
          <w:b/>
          <w:bCs/>
        </w:rPr>
      </w:pPr>
      <w:r w:rsidRPr="00C2254C">
        <w:rPr>
          <w:b/>
          <w:bCs/>
        </w:rPr>
        <w:t>Will my taking part in this study be kept confidential?</w:t>
      </w:r>
    </w:p>
    <w:p w14:paraId="2668AAE8" w14:textId="77777777" w:rsidR="00BD3783" w:rsidRPr="00BD3783" w:rsidRDefault="00BD3783" w:rsidP="00C2254C">
      <w:pPr>
        <w:spacing w:line="360" w:lineRule="auto"/>
      </w:pPr>
      <w:r w:rsidRPr="00BD3783">
        <w:t xml:space="preserve">All information which is collected about your child during the course of the research will be kept strictly confidential.  Any information about your child which leaves the hospital will have their name and address removed so that they cannot be recognised from it.  The research team members and the microbiology laboratory, where the nasal samples will be processed, will be the only people to have access to identifiable data. Once the study is complete all data will be kept for 5 years in a locked cupboard within the clinical research facility as part of the clinical governance procedures. </w:t>
      </w:r>
    </w:p>
    <w:p w14:paraId="18715A94" w14:textId="77777777" w:rsidR="00BD3783" w:rsidRPr="00BD3783" w:rsidRDefault="00BD3783" w:rsidP="00C2254C">
      <w:pPr>
        <w:spacing w:line="360" w:lineRule="auto"/>
      </w:pPr>
    </w:p>
    <w:p w14:paraId="4FACA081" w14:textId="77777777" w:rsidR="00BD3783" w:rsidRPr="00BD3783" w:rsidRDefault="00BD3783" w:rsidP="00C2254C">
      <w:pPr>
        <w:spacing w:line="360" w:lineRule="auto"/>
      </w:pPr>
      <w:r w:rsidRPr="00BD3783">
        <w:t>Our procedures for handling, processing, storage and destruction of data are compliant with the Data Protection Act 2018.</w:t>
      </w:r>
    </w:p>
    <w:p w14:paraId="1CFA2534" w14:textId="77777777" w:rsidR="00BD3783" w:rsidRPr="00BD3783" w:rsidRDefault="00BD3783" w:rsidP="00C2254C">
      <w:pPr>
        <w:spacing w:line="360" w:lineRule="auto"/>
      </w:pPr>
      <w:r w:rsidRPr="00BD3783">
        <w:t xml:space="preserve">The nasal samples will be destroyed after they have been processed. The bacteria grown may however be used in other research studies. These bacterial samples will not contain any human tissue. They will be anonymised so that there is no link from the bacterial sample to your child. </w:t>
      </w:r>
    </w:p>
    <w:p w14:paraId="076B5EA2" w14:textId="77777777" w:rsidR="00BD3783" w:rsidRPr="00BD3783" w:rsidRDefault="00BD3783" w:rsidP="00C2254C">
      <w:pPr>
        <w:spacing w:line="360" w:lineRule="auto"/>
      </w:pPr>
      <w:r w:rsidRPr="00BD3783">
        <w:t>We will also ask for permission to inform your family GP that your child will be taking part in the study.</w:t>
      </w:r>
    </w:p>
    <w:p w14:paraId="2BDEA4A4" w14:textId="57591FAB" w:rsidR="00BD3783" w:rsidRDefault="00BD3783" w:rsidP="00C2254C">
      <w:pPr>
        <w:spacing w:line="360" w:lineRule="auto"/>
      </w:pPr>
      <w:r w:rsidRPr="00BD3783">
        <w:t>Your child’s medical notes may also be looked at by other people within the hospital involved in the running and supervision of the study to check that it is being carried out correctly.</w:t>
      </w:r>
    </w:p>
    <w:p w14:paraId="1120C7E7" w14:textId="77777777" w:rsidR="00C2254C" w:rsidRPr="00BD3783" w:rsidRDefault="00C2254C" w:rsidP="00C2254C">
      <w:pPr>
        <w:spacing w:line="480" w:lineRule="auto"/>
      </w:pPr>
    </w:p>
    <w:p w14:paraId="175EF2E2" w14:textId="77777777" w:rsidR="00BD3783" w:rsidRPr="00BD3783" w:rsidRDefault="00BD3783" w:rsidP="00C2254C">
      <w:pPr>
        <w:spacing w:line="480" w:lineRule="auto"/>
        <w:rPr>
          <w:b/>
          <w:bCs/>
        </w:rPr>
      </w:pPr>
      <w:r w:rsidRPr="00BD3783">
        <w:rPr>
          <w:b/>
          <w:bCs/>
        </w:rPr>
        <w:t>What will happen to any samples my child gives?</w:t>
      </w:r>
    </w:p>
    <w:p w14:paraId="309890A2" w14:textId="77777777" w:rsidR="00BD3783" w:rsidRPr="00BD3783" w:rsidRDefault="00BD3783" w:rsidP="00C2254C">
      <w:pPr>
        <w:spacing w:line="480" w:lineRule="auto"/>
        <w:rPr>
          <w:iCs/>
        </w:rPr>
      </w:pPr>
      <w:r w:rsidRPr="00BD3783">
        <w:rPr>
          <w:iCs/>
        </w:rPr>
        <w:lastRenderedPageBreak/>
        <w:t>The samples taken from your child will be sent to the microbiology laboratory at Sheffield Teaching Hospitals. They will be labelled with a study number and your child’s unique Sheffield Children’s Hospital number. The samples will be stored until they have been processed in a freezer within the microbiology laboratory.</w:t>
      </w:r>
    </w:p>
    <w:p w14:paraId="67F16A18" w14:textId="77777777" w:rsidR="00BD3783" w:rsidRPr="00BD3783" w:rsidRDefault="00BD3783" w:rsidP="00C2254C">
      <w:pPr>
        <w:spacing w:line="480" w:lineRule="auto"/>
        <w:rPr>
          <w:iCs/>
        </w:rPr>
      </w:pPr>
      <w:r w:rsidRPr="00BD3783">
        <w:rPr>
          <w:iCs/>
        </w:rPr>
        <w:t xml:space="preserve">Once the nasal samples have been processed, they will be destroyed. The bacteria grown may be stored and transferred to the University of Sheffield for further research. These samples will not contain any human tissue and will be completely anonymised. </w:t>
      </w:r>
    </w:p>
    <w:p w14:paraId="3380135B" w14:textId="77777777" w:rsidR="00BD3783" w:rsidRPr="00BD3783" w:rsidRDefault="00BD3783" w:rsidP="00C2254C">
      <w:pPr>
        <w:spacing w:line="480" w:lineRule="auto"/>
      </w:pPr>
    </w:p>
    <w:p w14:paraId="53734E78" w14:textId="77777777" w:rsidR="00BD3783" w:rsidRPr="00BD3783" w:rsidRDefault="00BD3783" w:rsidP="00C2254C">
      <w:pPr>
        <w:spacing w:line="480" w:lineRule="auto"/>
      </w:pPr>
      <w:r w:rsidRPr="00BD3783">
        <w:rPr>
          <w:b/>
          <w:bCs/>
        </w:rPr>
        <w:t>What will happen to the results of the research study?</w:t>
      </w:r>
    </w:p>
    <w:p w14:paraId="09962538" w14:textId="77777777" w:rsidR="00BD3783" w:rsidRPr="00BD3783" w:rsidRDefault="00BD3783" w:rsidP="00C2254C">
      <w:pPr>
        <w:spacing w:line="480" w:lineRule="auto"/>
      </w:pPr>
      <w:r w:rsidRPr="00BD3783">
        <w:t xml:space="preserve">When the study has finished we will present our findings to other researchers, and we will put the results in medical magazines and websites that researchers read.  We would also like to put a brief summary on the hospital research website so that you will be able to read about our results too.  This will be available at the end of the study, in </w:t>
      </w:r>
      <w:r w:rsidRPr="00BD3783">
        <w:rPr>
          <w:iCs/>
        </w:rPr>
        <w:t>February 2020</w:t>
      </w:r>
      <w:r w:rsidRPr="00BD3783">
        <w:rPr>
          <w:i/>
          <w:iCs/>
        </w:rPr>
        <w:t xml:space="preserve">, </w:t>
      </w:r>
      <w:r w:rsidRPr="00BD3783">
        <w:t xml:space="preserve">on </w:t>
      </w:r>
      <w:hyperlink r:id="rId341" w:history="1">
        <w:r w:rsidRPr="00BD3783">
          <w:rPr>
            <w:rStyle w:val="Hyperlink"/>
          </w:rPr>
          <w:t>www.sheffieldchildrens.nhs.uk/research-and-innovation.htm</w:t>
        </w:r>
      </w:hyperlink>
      <w:r w:rsidRPr="00BD3783">
        <w:t>.   The results will be anonymous, which means that your child will not be able to be identified from them.</w:t>
      </w:r>
    </w:p>
    <w:p w14:paraId="601E7DBA" w14:textId="77777777" w:rsidR="00BD3783" w:rsidRPr="00BD3783" w:rsidRDefault="00BD3783" w:rsidP="00C2254C">
      <w:pPr>
        <w:spacing w:line="480" w:lineRule="auto"/>
      </w:pPr>
    </w:p>
    <w:p w14:paraId="0CCA451B" w14:textId="77777777" w:rsidR="00BD3783" w:rsidRPr="00BD3783" w:rsidRDefault="00BD3783" w:rsidP="00C2254C">
      <w:pPr>
        <w:spacing w:line="480" w:lineRule="auto"/>
      </w:pPr>
      <w:r w:rsidRPr="00BD3783">
        <w:rPr>
          <w:b/>
          <w:bCs/>
        </w:rPr>
        <w:t>Who is organising and funding the research?</w:t>
      </w:r>
    </w:p>
    <w:p w14:paraId="46C9CBF0" w14:textId="77777777" w:rsidR="00BD3783" w:rsidRPr="00BD3783" w:rsidRDefault="00BD3783" w:rsidP="00C2254C">
      <w:pPr>
        <w:spacing w:line="480" w:lineRule="auto"/>
        <w:rPr>
          <w:i/>
          <w:iCs/>
        </w:rPr>
      </w:pPr>
      <w:r w:rsidRPr="00BD3783">
        <w:t>The research is being organised by Sheffield Children’s NHS Foundation Trust and paid for by the charity Antibiotic Research UK</w:t>
      </w:r>
      <w:r w:rsidRPr="00BD3783">
        <w:rPr>
          <w:i/>
          <w:iCs/>
        </w:rPr>
        <w:t>.</w:t>
      </w:r>
    </w:p>
    <w:p w14:paraId="46A199B1" w14:textId="77777777" w:rsidR="00BD3783" w:rsidRPr="00BD3783" w:rsidRDefault="00BD3783" w:rsidP="00C2254C">
      <w:pPr>
        <w:spacing w:line="480" w:lineRule="auto"/>
      </w:pPr>
    </w:p>
    <w:p w14:paraId="1EBAE9C2" w14:textId="77777777" w:rsidR="00C2254C" w:rsidRDefault="00C2254C" w:rsidP="00C2254C">
      <w:pPr>
        <w:spacing w:line="480" w:lineRule="auto"/>
        <w:rPr>
          <w:b/>
          <w:bCs/>
        </w:rPr>
      </w:pPr>
    </w:p>
    <w:p w14:paraId="255E81EA" w14:textId="77777777" w:rsidR="00C2254C" w:rsidRDefault="00C2254C" w:rsidP="00C2254C">
      <w:pPr>
        <w:spacing w:line="480" w:lineRule="auto"/>
        <w:rPr>
          <w:b/>
          <w:bCs/>
        </w:rPr>
      </w:pPr>
    </w:p>
    <w:p w14:paraId="7063484D" w14:textId="77777777" w:rsidR="00C2254C" w:rsidRDefault="00C2254C" w:rsidP="00C2254C">
      <w:pPr>
        <w:spacing w:line="480" w:lineRule="auto"/>
        <w:rPr>
          <w:b/>
          <w:bCs/>
        </w:rPr>
      </w:pPr>
    </w:p>
    <w:p w14:paraId="4091FD88" w14:textId="35AAB15F" w:rsidR="00BD3783" w:rsidRPr="00BD3783" w:rsidRDefault="00BD3783" w:rsidP="00C2254C">
      <w:pPr>
        <w:spacing w:line="480" w:lineRule="auto"/>
        <w:rPr>
          <w:b/>
          <w:bCs/>
        </w:rPr>
      </w:pPr>
      <w:r w:rsidRPr="00BD3783">
        <w:rPr>
          <w:b/>
          <w:bCs/>
        </w:rPr>
        <w:lastRenderedPageBreak/>
        <w:t>Who has reviewed the study?</w:t>
      </w:r>
    </w:p>
    <w:p w14:paraId="3BB82944" w14:textId="77777777" w:rsidR="00BD3783" w:rsidRPr="00BD3783" w:rsidRDefault="00BD3783" w:rsidP="00C2254C">
      <w:pPr>
        <w:spacing w:line="480" w:lineRule="auto"/>
      </w:pPr>
      <w:r w:rsidRPr="00BD3783">
        <w:t>All research in the NHS is looked at by an independent group of people, called a Research Ethics Committee, to protect your interests.  This study has been reviewed and given a favourable opinion by the West of Scotland Research and Ethics Committee 3.</w:t>
      </w:r>
    </w:p>
    <w:p w14:paraId="2313EDE5" w14:textId="77777777" w:rsidR="00BD3783" w:rsidRPr="00BD3783" w:rsidRDefault="00BD3783" w:rsidP="00C2254C">
      <w:pPr>
        <w:spacing w:line="480" w:lineRule="auto"/>
      </w:pPr>
      <w:r w:rsidRPr="00BD3783">
        <w:t>It has also been given approval by the Research Department to run at this hospital.</w:t>
      </w:r>
    </w:p>
    <w:p w14:paraId="4E9A3C03" w14:textId="77777777" w:rsidR="00BD3783" w:rsidRPr="00BD3783" w:rsidRDefault="00BD3783" w:rsidP="00C2254C">
      <w:pPr>
        <w:spacing w:line="480" w:lineRule="auto"/>
      </w:pPr>
    </w:p>
    <w:p w14:paraId="0DFD266B" w14:textId="77777777" w:rsidR="00BD3783" w:rsidRPr="00BD3783" w:rsidRDefault="00BD3783" w:rsidP="00C2254C">
      <w:pPr>
        <w:spacing w:line="480" w:lineRule="auto"/>
        <w:rPr>
          <w:b/>
          <w:bCs/>
        </w:rPr>
      </w:pPr>
      <w:r w:rsidRPr="00BD3783">
        <w:rPr>
          <w:b/>
          <w:bCs/>
        </w:rPr>
        <w:t xml:space="preserve">General Data Protection Regulation Information </w:t>
      </w:r>
    </w:p>
    <w:p w14:paraId="43B79CDB" w14:textId="77777777" w:rsidR="00BD3783" w:rsidRPr="00BD3783" w:rsidRDefault="00BD3783" w:rsidP="00C2254C">
      <w:pPr>
        <w:spacing w:line="480" w:lineRule="auto"/>
        <w:rPr>
          <w:bCs/>
        </w:rPr>
      </w:pPr>
      <w:r w:rsidRPr="00BD3783">
        <w:rPr>
          <w:bCs/>
        </w:rPr>
        <w:t>Sheffield Children’s NHS Foundation Trust is the sponsor for this study based in the United Kingdom. We will be using information from you and/or your child in order to undertake this study and will act as the data controller for this study. This means that we are responsible for looking after your information and using it properly. Sheffield Children’s NHS Foundation Trust will keep identifiable information about you for 5 years after the study has finished, in some instances personal data maybe kept for longer where there is explicit consent in place.</w:t>
      </w:r>
    </w:p>
    <w:p w14:paraId="76094A0F" w14:textId="77777777" w:rsidR="00BD3783" w:rsidRPr="00BD3783" w:rsidRDefault="00BD3783" w:rsidP="00C2254C">
      <w:pPr>
        <w:spacing w:line="480" w:lineRule="auto"/>
        <w:rPr>
          <w:bCs/>
        </w:rPr>
      </w:pPr>
    </w:p>
    <w:p w14:paraId="5D6B0CBF" w14:textId="77777777" w:rsidR="00BD3783" w:rsidRPr="00BD3783" w:rsidRDefault="00BD3783" w:rsidP="00C2254C">
      <w:pPr>
        <w:spacing w:line="480" w:lineRule="auto"/>
        <w:rPr>
          <w:bCs/>
        </w:rPr>
      </w:pPr>
      <w:r w:rsidRPr="00BD3783">
        <w:rPr>
          <w:bCs/>
        </w:rPr>
        <w:t>You can find out more about how we use your information at the following link: https://www.sheffieldchildrens.nhs.uk/your-information/</w:t>
      </w:r>
    </w:p>
    <w:p w14:paraId="6ED4D96B" w14:textId="77777777" w:rsidR="00BD3783" w:rsidRPr="00BD3783" w:rsidRDefault="00BD3783" w:rsidP="00C2254C">
      <w:pPr>
        <w:spacing w:line="480" w:lineRule="auto"/>
        <w:rPr>
          <w:bCs/>
        </w:rPr>
      </w:pPr>
    </w:p>
    <w:p w14:paraId="5408F370" w14:textId="4870E0CE" w:rsidR="00BD3783" w:rsidRDefault="00BD3783" w:rsidP="00C2254C">
      <w:pPr>
        <w:spacing w:line="480" w:lineRule="auto"/>
        <w:rPr>
          <w:bCs/>
        </w:rPr>
      </w:pPr>
      <w:r w:rsidRPr="00BD3783">
        <w:rPr>
          <w:bCs/>
        </w:rPr>
        <w:t>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personally-identifiable information possible.</w:t>
      </w:r>
    </w:p>
    <w:p w14:paraId="2D6D2976" w14:textId="77777777" w:rsidR="00C2254C" w:rsidRPr="00BD3783" w:rsidRDefault="00C2254C" w:rsidP="00C2254C">
      <w:pPr>
        <w:spacing w:line="480" w:lineRule="auto"/>
        <w:rPr>
          <w:bCs/>
        </w:rPr>
      </w:pPr>
    </w:p>
    <w:p w14:paraId="767000E7" w14:textId="77777777" w:rsidR="00BD3783" w:rsidRPr="00BD3783" w:rsidRDefault="00BD3783" w:rsidP="00C2254C">
      <w:pPr>
        <w:spacing w:line="480" w:lineRule="auto"/>
        <w:rPr>
          <w:bCs/>
        </w:rPr>
      </w:pPr>
      <w:r w:rsidRPr="00BD3783">
        <w:rPr>
          <w:bCs/>
        </w:rPr>
        <w:lastRenderedPageBreak/>
        <w:t>Sheffield Children’s NHS Foundation Trust will use your name, hospital number and other identifiers to contact you about the research study, and make sure that relevant information about the study is recorded for your care, and to oversee the quality of the study. The only people at Sheffield Children’s NHS Foundation Trust who will have access to information that identifies you will be people who need to contact you regarding your participation in the study, or audit the data collection process. The people who analyse the information will not be able to identify you and will not be able to find out your name, NHS number, or contact details.</w:t>
      </w:r>
    </w:p>
    <w:p w14:paraId="41DF895E" w14:textId="77777777" w:rsidR="00BD3783" w:rsidRPr="00BD3783" w:rsidRDefault="00BD3783" w:rsidP="00C2254C">
      <w:pPr>
        <w:spacing w:line="480" w:lineRule="auto"/>
        <w:rPr>
          <w:bCs/>
        </w:rPr>
      </w:pPr>
    </w:p>
    <w:p w14:paraId="681AC23D" w14:textId="3C0A669D" w:rsidR="00BD3783" w:rsidRPr="00BD3783" w:rsidRDefault="00BD3783" w:rsidP="00C2254C">
      <w:pPr>
        <w:spacing w:line="480" w:lineRule="auto"/>
        <w:rPr>
          <w:bCs/>
        </w:rPr>
      </w:pPr>
      <w:r w:rsidRPr="00BD3783">
        <w:rPr>
          <w:bCs/>
        </w:rPr>
        <w:t>The following website provides information about how your information is used in research: https://www.hra.nhs.uk/information-about-patients/</w:t>
      </w:r>
    </w:p>
    <w:p w14:paraId="659A95D2" w14:textId="77777777" w:rsidR="00BD3783" w:rsidRPr="00BD3783" w:rsidRDefault="00BD3783" w:rsidP="00C2254C">
      <w:pPr>
        <w:spacing w:line="480" w:lineRule="auto"/>
        <w:rPr>
          <w:bCs/>
        </w:rPr>
      </w:pPr>
      <w:r w:rsidRPr="00BD3783">
        <w:rPr>
          <w:bCs/>
        </w:rPr>
        <w:t>Your information will only be used for the purpose of health and care research, and cannot be used to contact you or to affect your care. It will not be used to make decisions about future services available to you, such as insurance.</w:t>
      </w:r>
    </w:p>
    <w:p w14:paraId="76727632" w14:textId="77777777" w:rsidR="00BD3783" w:rsidRPr="00BD3783" w:rsidRDefault="00BD3783" w:rsidP="00C2254C">
      <w:pPr>
        <w:spacing w:line="480" w:lineRule="auto"/>
        <w:rPr>
          <w:bCs/>
        </w:rPr>
      </w:pPr>
    </w:p>
    <w:p w14:paraId="202D655C" w14:textId="77777777" w:rsidR="00BD3783" w:rsidRPr="00BD3783" w:rsidRDefault="00BD3783" w:rsidP="00C2254C">
      <w:pPr>
        <w:spacing w:line="480" w:lineRule="auto"/>
        <w:rPr>
          <w:bCs/>
        </w:rPr>
      </w:pPr>
      <w:r w:rsidRPr="00BD3783">
        <w:rPr>
          <w:bCs/>
        </w:rPr>
        <w:t>If you would like to find out more information regarding research at Sheffield Children’s NHS Foundation Trust then please follow the link:</w:t>
      </w:r>
    </w:p>
    <w:p w14:paraId="08964461" w14:textId="77777777" w:rsidR="00BD3783" w:rsidRPr="00BD3783" w:rsidRDefault="00000000" w:rsidP="00C2254C">
      <w:pPr>
        <w:spacing w:line="480" w:lineRule="auto"/>
        <w:rPr>
          <w:bCs/>
        </w:rPr>
      </w:pPr>
      <w:hyperlink r:id="rId342" w:history="1">
        <w:r w:rsidR="00BD3783" w:rsidRPr="00BD3783">
          <w:rPr>
            <w:rStyle w:val="Hyperlink"/>
            <w:bCs/>
          </w:rPr>
          <w:t>https://www.sheffieldchildrens.nhs.uk/research/</w:t>
        </w:r>
      </w:hyperlink>
    </w:p>
    <w:p w14:paraId="07C9FB6F" w14:textId="77777777" w:rsidR="00BD3783" w:rsidRPr="00BD3783" w:rsidRDefault="00BD3783" w:rsidP="00C2254C">
      <w:pPr>
        <w:spacing w:line="480" w:lineRule="auto"/>
        <w:rPr>
          <w:bCs/>
        </w:rPr>
      </w:pPr>
    </w:p>
    <w:p w14:paraId="6ABF7BA8" w14:textId="77777777" w:rsidR="00BD3783" w:rsidRPr="00BD3783" w:rsidRDefault="00BD3783" w:rsidP="00C2254C">
      <w:pPr>
        <w:spacing w:line="480" w:lineRule="auto"/>
        <w:rPr>
          <w:b/>
          <w:bCs/>
        </w:rPr>
      </w:pPr>
      <w:r w:rsidRPr="00BD3783">
        <w:rPr>
          <w:b/>
          <w:bCs/>
        </w:rPr>
        <w:t>How can I find out more?</w:t>
      </w:r>
    </w:p>
    <w:p w14:paraId="2BA8EC9B" w14:textId="544EE8E6" w:rsidR="00BD3783" w:rsidRPr="00BD3783" w:rsidRDefault="00BD3783" w:rsidP="00C2254C">
      <w:pPr>
        <w:spacing w:line="480" w:lineRule="auto"/>
        <w:rPr>
          <w:bCs/>
        </w:rPr>
      </w:pPr>
      <w:r w:rsidRPr="00BD3783">
        <w:rPr>
          <w:bCs/>
        </w:rPr>
        <w:t>If you would like to find know more about research in general, the Clinical Research Facility at this hospital has an Information for families section on its website www.sheffieldchildrens.nhs.uk/research-and-innovation.htm or you could contact the hospital Clinical Research Facility:</w:t>
      </w:r>
      <w:r w:rsidR="00C2254C">
        <w:rPr>
          <w:bCs/>
        </w:rPr>
        <w:t xml:space="preserve"> Address given</w:t>
      </w:r>
    </w:p>
    <w:p w14:paraId="60EEED06" w14:textId="2C78AC2E" w:rsidR="00BD3783" w:rsidRPr="00BD3783" w:rsidRDefault="00BD3783" w:rsidP="00C2254C">
      <w:pPr>
        <w:spacing w:line="480" w:lineRule="auto"/>
        <w:rPr>
          <w:bCs/>
        </w:rPr>
      </w:pPr>
      <w:r w:rsidRPr="00BD3783">
        <w:rPr>
          <w:bCs/>
        </w:rPr>
        <w:lastRenderedPageBreak/>
        <w:t>If you would like to know more specific information about this research project, please contact the project co-ordinator:</w:t>
      </w:r>
      <w:r w:rsidR="00C2254C">
        <w:rPr>
          <w:bCs/>
        </w:rPr>
        <w:t xml:space="preserve"> Details given</w:t>
      </w:r>
    </w:p>
    <w:p w14:paraId="4907E874" w14:textId="77777777" w:rsidR="00BD3783" w:rsidRPr="00BD3783" w:rsidRDefault="00BD3783" w:rsidP="00C2254C">
      <w:pPr>
        <w:spacing w:line="480" w:lineRule="auto"/>
        <w:rPr>
          <w:bCs/>
        </w:rPr>
      </w:pPr>
      <w:r w:rsidRPr="00BD3783">
        <w:rPr>
          <w:bCs/>
        </w:rPr>
        <w:t>If you would like advice as to whether your child should participate you could contact the project team, or one of your child’s health care professionals.</w:t>
      </w:r>
    </w:p>
    <w:p w14:paraId="4F6D8BD9" w14:textId="77777777" w:rsidR="00BD3783" w:rsidRPr="00BD3783" w:rsidRDefault="00BD3783" w:rsidP="00C2254C">
      <w:pPr>
        <w:spacing w:line="480" w:lineRule="auto"/>
        <w:rPr>
          <w:bCs/>
        </w:rPr>
      </w:pPr>
    </w:p>
    <w:p w14:paraId="389AD847" w14:textId="77777777" w:rsidR="00BD3783" w:rsidRPr="00BD3783" w:rsidRDefault="00BD3783" w:rsidP="00C2254C">
      <w:pPr>
        <w:spacing w:line="480" w:lineRule="auto"/>
        <w:rPr>
          <w:bCs/>
        </w:rPr>
      </w:pPr>
      <w:r w:rsidRPr="00BD3783">
        <w:rPr>
          <w:bCs/>
        </w:rPr>
        <w:t xml:space="preserve">If you have any concerns during the study, you should contact the project team.  </w:t>
      </w:r>
    </w:p>
    <w:p w14:paraId="2767EA78" w14:textId="2C723861" w:rsidR="00BD3783" w:rsidRDefault="00BD3783" w:rsidP="00C2254C">
      <w:pPr>
        <w:spacing w:line="480" w:lineRule="auto"/>
        <w:rPr>
          <w:b/>
          <w:bCs/>
        </w:rPr>
      </w:pPr>
    </w:p>
    <w:p w14:paraId="34E9A8A5" w14:textId="77777777" w:rsidR="00C2254C" w:rsidRPr="00BD3783" w:rsidRDefault="00C2254C" w:rsidP="00C2254C">
      <w:pPr>
        <w:spacing w:line="480" w:lineRule="auto"/>
        <w:rPr>
          <w:b/>
          <w:bCs/>
        </w:rPr>
      </w:pPr>
    </w:p>
    <w:p w14:paraId="589ACCCB" w14:textId="77777777" w:rsidR="00BD3783" w:rsidRPr="00BD3783" w:rsidRDefault="00BD3783" w:rsidP="00C2254C">
      <w:pPr>
        <w:spacing w:line="480" w:lineRule="auto"/>
        <w:rPr>
          <w:b/>
          <w:bCs/>
        </w:rPr>
      </w:pPr>
      <w:r w:rsidRPr="00BD3783">
        <w:rPr>
          <w:b/>
          <w:bCs/>
        </w:rPr>
        <w:t>If I am interested in this study, what do I do next?</w:t>
      </w:r>
    </w:p>
    <w:p w14:paraId="0EA98DDF" w14:textId="44CC55E6" w:rsidR="00BD3783" w:rsidRDefault="00BD3783" w:rsidP="00C2254C">
      <w:pPr>
        <w:spacing w:line="480" w:lineRule="auto"/>
        <w:rPr>
          <w:bCs/>
        </w:rPr>
      </w:pPr>
      <w:r w:rsidRPr="00BD3783">
        <w:rPr>
          <w:bCs/>
        </w:rPr>
        <w:t>If you have read the study information and would like further information or to participate, please call, text or email Dr Simon Hardman the project coordinator:</w:t>
      </w:r>
      <w:r w:rsidR="00C2254C">
        <w:rPr>
          <w:bCs/>
        </w:rPr>
        <w:t xml:space="preserve"> Details given</w:t>
      </w:r>
    </w:p>
    <w:p w14:paraId="6E082E32" w14:textId="77777777" w:rsidR="00C2254C" w:rsidRPr="00BD3783" w:rsidRDefault="00C2254C" w:rsidP="00C2254C">
      <w:pPr>
        <w:spacing w:line="480" w:lineRule="auto"/>
        <w:rPr>
          <w:bCs/>
        </w:rPr>
      </w:pPr>
    </w:p>
    <w:p w14:paraId="19B45FCF" w14:textId="77777777" w:rsidR="00BD3783" w:rsidRPr="00BD3783" w:rsidRDefault="00BD3783" w:rsidP="00C2254C">
      <w:pPr>
        <w:spacing w:line="480" w:lineRule="auto"/>
        <w:rPr>
          <w:bCs/>
        </w:rPr>
      </w:pPr>
      <w:r w:rsidRPr="00BD3783">
        <w:rPr>
          <w:bCs/>
        </w:rPr>
        <w:t>Please leave your name and contact details. He will then call you to answer any further questions or arrange to meet up so that you can sign a consent form. If you child is old enough, they will be asked if they want to sign an assent form and the first swabs will be taken. A suggested time frame for contacting Dr Hardman after reading the information would be between 1 and 7 days if you intend to do so.</w:t>
      </w:r>
    </w:p>
    <w:p w14:paraId="37CC39BA" w14:textId="77777777" w:rsidR="00BD3783" w:rsidRPr="00BD3783" w:rsidRDefault="00BD3783" w:rsidP="00C2254C">
      <w:pPr>
        <w:spacing w:line="480" w:lineRule="auto"/>
      </w:pPr>
    </w:p>
    <w:p w14:paraId="30CF70E2" w14:textId="77777777" w:rsidR="00BD3783" w:rsidRPr="00BD3783" w:rsidRDefault="00BD3783" w:rsidP="00C2254C">
      <w:pPr>
        <w:spacing w:line="480" w:lineRule="auto"/>
        <w:rPr>
          <w:b/>
          <w:bCs/>
        </w:rPr>
      </w:pPr>
      <w:r w:rsidRPr="00BD3783">
        <w:rPr>
          <w:b/>
          <w:bCs/>
        </w:rPr>
        <w:t>If you and your child decide to take part in this study, you will be given this information sheet and signed consent and assent forms to keep.</w:t>
      </w:r>
    </w:p>
    <w:p w14:paraId="212A5F8D"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b/>
          <w:bCs/>
        </w:rPr>
      </w:pPr>
    </w:p>
    <w:p w14:paraId="71A068B4" w14:textId="77777777" w:rsidR="00BD3783" w:rsidRPr="00BD3783" w:rsidRDefault="00BD3783" w:rsidP="00BD3783">
      <w:pPr>
        <w:tabs>
          <w:tab w:val="left" w:pos="720"/>
          <w:tab w:val="left" w:pos="1440"/>
          <w:tab w:val="left" w:pos="2160"/>
          <w:tab w:val="left" w:pos="2880"/>
          <w:tab w:val="left" w:pos="4680"/>
          <w:tab w:val="left" w:pos="5400"/>
          <w:tab w:val="right" w:pos="9000"/>
        </w:tabs>
        <w:spacing w:line="360" w:lineRule="auto"/>
        <w:jc w:val="both"/>
        <w:rPr>
          <w:b/>
          <w:bCs/>
        </w:rPr>
      </w:pPr>
      <w:r w:rsidRPr="00BD3783">
        <w:rPr>
          <w:b/>
          <w:bCs/>
        </w:rPr>
        <w:t>Thank you for taking the time to read this information sheet.</w:t>
      </w:r>
    </w:p>
    <w:p w14:paraId="20A7E1BD" w14:textId="77777777" w:rsidR="00BD3783" w:rsidRPr="00BD3783" w:rsidRDefault="00BD3783" w:rsidP="00BD3783"/>
    <w:p w14:paraId="69697963" w14:textId="0E62AB40" w:rsidR="00866437" w:rsidRDefault="00866437" w:rsidP="00764C4D"/>
    <w:p w14:paraId="7A507962" w14:textId="7C4D9B36" w:rsidR="00866437" w:rsidRDefault="00866437" w:rsidP="00764C4D"/>
    <w:p w14:paraId="6FB88394" w14:textId="149CC904" w:rsidR="00866437" w:rsidRDefault="00866437" w:rsidP="00764C4D"/>
    <w:p w14:paraId="5DD868DB" w14:textId="523B818F" w:rsidR="00866437" w:rsidRDefault="00866437" w:rsidP="00764C4D"/>
    <w:p w14:paraId="1FC93D4F" w14:textId="38CB16B6" w:rsidR="00866437" w:rsidRDefault="00C2254C" w:rsidP="00C2254C">
      <w:pPr>
        <w:pStyle w:val="Heading3"/>
      </w:pPr>
      <w:r>
        <w:t>PBB study 2</w:t>
      </w:r>
    </w:p>
    <w:p w14:paraId="623313EA" w14:textId="5C8FE301" w:rsidR="001A6C58" w:rsidRPr="001A6C58" w:rsidRDefault="001A6C58" w:rsidP="001A6C58">
      <w:pPr>
        <w:rPr>
          <w:b/>
          <w:bCs/>
        </w:rPr>
      </w:pPr>
    </w:p>
    <w:p w14:paraId="6477CB2D" w14:textId="77777777" w:rsidR="001A6C58" w:rsidRPr="001A6C58" w:rsidRDefault="001A6C58" w:rsidP="001A6C58">
      <w:pPr>
        <w:spacing w:line="360" w:lineRule="auto"/>
        <w:rPr>
          <w:b/>
          <w:bCs/>
        </w:rPr>
      </w:pPr>
      <w:r w:rsidRPr="001A6C58">
        <w:rPr>
          <w:b/>
          <w:bCs/>
        </w:rPr>
        <w:t>PARENT/LEGAL GUARDIAN INFORMATION SHEET</w:t>
      </w:r>
    </w:p>
    <w:p w14:paraId="249AFC7D" w14:textId="77777777" w:rsidR="001A6C58" w:rsidRPr="001A6C58" w:rsidRDefault="001A6C58" w:rsidP="001A6C58">
      <w:pPr>
        <w:spacing w:line="360" w:lineRule="auto"/>
      </w:pPr>
    </w:p>
    <w:p w14:paraId="7D7A7B3A" w14:textId="77777777" w:rsidR="001A6C58" w:rsidRDefault="001A6C58" w:rsidP="001A6C58">
      <w:pPr>
        <w:spacing w:line="360" w:lineRule="auto"/>
        <w:rPr>
          <w:b/>
          <w:bCs/>
          <w:iCs/>
        </w:rPr>
      </w:pPr>
      <w:r w:rsidRPr="001A6C58">
        <w:rPr>
          <w:b/>
          <w:bCs/>
        </w:rPr>
        <w:t>Study title</w:t>
      </w:r>
      <w:r w:rsidRPr="001A6C58">
        <w:rPr>
          <w:b/>
          <w:bCs/>
          <w:iCs/>
        </w:rPr>
        <w:t>:</w:t>
      </w:r>
      <w:r w:rsidRPr="001A6C58">
        <w:rPr>
          <w:iCs/>
        </w:rPr>
        <w:t xml:space="preserve"> </w:t>
      </w:r>
      <w:r w:rsidRPr="001A6C58">
        <w:rPr>
          <w:iCs/>
        </w:rPr>
        <w:tab/>
      </w:r>
      <w:r w:rsidRPr="001A6C58">
        <w:rPr>
          <w:b/>
          <w:bCs/>
          <w:iCs/>
        </w:rPr>
        <w:t xml:space="preserve">Antibiotics to prevent chest infections: </w:t>
      </w:r>
    </w:p>
    <w:p w14:paraId="68D4FD22" w14:textId="0E37606A" w:rsidR="001A6C58" w:rsidRPr="001A6C58" w:rsidRDefault="001A6C58" w:rsidP="001A6C58">
      <w:pPr>
        <w:spacing w:line="360" w:lineRule="auto"/>
        <w:rPr>
          <w:b/>
          <w:bCs/>
        </w:rPr>
      </w:pPr>
      <w:r w:rsidRPr="001A6C58">
        <w:rPr>
          <w:b/>
          <w:bCs/>
          <w:iCs/>
        </w:rPr>
        <w:t>Changes in bacterial communities and resistance</w:t>
      </w:r>
    </w:p>
    <w:p w14:paraId="4DFFE442" w14:textId="77777777" w:rsidR="001A6C58" w:rsidRPr="001A6C58" w:rsidRDefault="001A6C58" w:rsidP="001A6C58">
      <w:pPr>
        <w:spacing w:line="360" w:lineRule="auto"/>
        <w:rPr>
          <w:i/>
          <w:iCs/>
        </w:rPr>
      </w:pPr>
      <w:r w:rsidRPr="001A6C58">
        <w:t xml:space="preserve">We would like to invite you and your child to take part in our research study.  Before you decide we would like you to understand why the research is being done and what it would involve.  One of our team will go through the information sheet with you and answer any questions you have.  Talk to others about the study if you wish.  </w:t>
      </w:r>
    </w:p>
    <w:p w14:paraId="6CE488D2" w14:textId="77777777" w:rsidR="001A6C58" w:rsidRPr="001A6C58" w:rsidRDefault="001A6C58" w:rsidP="001A6C58">
      <w:pPr>
        <w:spacing w:line="360" w:lineRule="auto"/>
        <w:rPr>
          <w:i/>
          <w:iCs/>
        </w:rPr>
      </w:pPr>
    </w:p>
    <w:p w14:paraId="1661E01F" w14:textId="77777777" w:rsidR="001A6C58" w:rsidRPr="001A6C58" w:rsidRDefault="001A6C58" w:rsidP="001A6C58">
      <w:pPr>
        <w:spacing w:line="360" w:lineRule="auto"/>
        <w:rPr>
          <w:i/>
          <w:iCs/>
        </w:rPr>
      </w:pPr>
      <w:r w:rsidRPr="001A6C58">
        <w:rPr>
          <w:u w:val="single"/>
        </w:rPr>
        <w:t>Part 1:</w:t>
      </w:r>
      <w:r w:rsidRPr="001A6C58">
        <w:t xml:space="preserve"> Tells you the purpose of this study and what will happen to you and your child</w:t>
      </w:r>
    </w:p>
    <w:p w14:paraId="43DFB43E" w14:textId="77777777" w:rsidR="001A6C58" w:rsidRPr="001A6C58" w:rsidRDefault="001A6C58" w:rsidP="001A6C58">
      <w:pPr>
        <w:spacing w:line="360" w:lineRule="auto"/>
        <w:rPr>
          <w:i/>
          <w:iCs/>
        </w:rPr>
      </w:pPr>
      <w:r w:rsidRPr="001A6C58">
        <w:tab/>
        <w:t xml:space="preserve"> if you take part.</w:t>
      </w:r>
    </w:p>
    <w:p w14:paraId="78128417" w14:textId="77777777" w:rsidR="001A6C58" w:rsidRPr="001A6C58" w:rsidRDefault="001A6C58" w:rsidP="001A6C58">
      <w:pPr>
        <w:spacing w:line="360" w:lineRule="auto"/>
        <w:rPr>
          <w:i/>
          <w:iCs/>
        </w:rPr>
      </w:pPr>
      <w:r w:rsidRPr="001A6C58">
        <w:rPr>
          <w:u w:val="single"/>
        </w:rPr>
        <w:t>Part 2:</w:t>
      </w:r>
      <w:r w:rsidRPr="001A6C58">
        <w:t xml:space="preserve"> Gives you more detailed information about the conduct of the study.</w:t>
      </w:r>
    </w:p>
    <w:p w14:paraId="796250D3" w14:textId="77777777" w:rsidR="001A6C58" w:rsidRPr="001A6C58" w:rsidRDefault="001A6C58" w:rsidP="001A6C58">
      <w:pPr>
        <w:spacing w:line="360" w:lineRule="auto"/>
        <w:rPr>
          <w:i/>
          <w:iCs/>
        </w:rPr>
      </w:pPr>
      <w:r w:rsidRPr="001A6C58">
        <w:t>Ask us if there is anything that is not clear.</w:t>
      </w:r>
    </w:p>
    <w:p w14:paraId="4BC3B333" w14:textId="77777777" w:rsidR="001A6C58" w:rsidRPr="001A6C58" w:rsidRDefault="001A6C58" w:rsidP="001A6C58">
      <w:pPr>
        <w:spacing w:line="360" w:lineRule="auto"/>
        <w:rPr>
          <w:i/>
          <w:iCs/>
        </w:rPr>
      </w:pPr>
    </w:p>
    <w:p w14:paraId="2DBE91CE" w14:textId="77777777" w:rsidR="001A6C58" w:rsidRPr="001A6C58" w:rsidRDefault="001A6C58" w:rsidP="001A6C58">
      <w:pPr>
        <w:spacing w:line="360" w:lineRule="auto"/>
        <w:rPr>
          <w:b/>
          <w:bCs/>
        </w:rPr>
      </w:pPr>
      <w:r w:rsidRPr="001A6C58">
        <w:rPr>
          <w:b/>
          <w:bCs/>
          <w:noProof/>
          <w:lang w:eastAsia="en-GB"/>
        </w:rPr>
        <mc:AlternateContent>
          <mc:Choice Requires="wps">
            <w:drawing>
              <wp:anchor distT="45720" distB="45720" distL="114300" distR="114300" simplePos="0" relativeHeight="252124672" behindDoc="0" locked="0" layoutInCell="1" allowOverlap="1" wp14:anchorId="525CD211" wp14:editId="4DF3A8D2">
                <wp:simplePos x="0" y="0"/>
                <wp:positionH relativeFrom="column">
                  <wp:posOffset>-15240</wp:posOffset>
                </wp:positionH>
                <wp:positionV relativeFrom="paragraph">
                  <wp:posOffset>441325</wp:posOffset>
                </wp:positionV>
                <wp:extent cx="6105525" cy="333375"/>
                <wp:effectExtent l="0" t="0" r="28575" b="28575"/>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33375"/>
                        </a:xfrm>
                        <a:prstGeom prst="rect">
                          <a:avLst/>
                        </a:prstGeom>
                        <a:solidFill>
                          <a:schemeClr val="bg1">
                            <a:lumMod val="85000"/>
                          </a:schemeClr>
                        </a:solidFill>
                        <a:ln w="9525">
                          <a:solidFill>
                            <a:srgbClr val="000000"/>
                          </a:solidFill>
                          <a:miter lim="800000"/>
                          <a:headEnd/>
                          <a:tailEnd/>
                        </a:ln>
                      </wps:spPr>
                      <wps:txbx>
                        <w:txbxContent>
                          <w:p w14:paraId="7B721992" w14:textId="77777777" w:rsidR="001A6C58" w:rsidRPr="008908DE" w:rsidRDefault="001A6C58" w:rsidP="001A6C58">
                            <w:pPr>
                              <w:rPr>
                                <w:rFonts w:ascii="Arial" w:hAnsi="Arial" w:cs="Arial"/>
                                <w:b/>
                              </w:rPr>
                            </w:pPr>
                            <w:r w:rsidRPr="008908DE">
                              <w:rPr>
                                <w:rFonts w:ascii="Arial" w:hAnsi="Arial" w:cs="Arial"/>
                                <w:b/>
                              </w:rPr>
                              <w:t>1.</w:t>
                            </w:r>
                            <w:r w:rsidRPr="008908DE">
                              <w:rPr>
                                <w:rFonts w:ascii="Arial" w:hAnsi="Arial" w:cs="Arial"/>
                                <w:b/>
                              </w:rPr>
                              <w:tab/>
                              <w:t>What is the purpose of the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CD211" id="_x0000_s1072" type="#_x0000_t202" style="position:absolute;margin-left:-1.2pt;margin-top:34.75pt;width:480.75pt;height:26.25pt;z-index:25212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" fillcolor="#d8d8d8 [2732]">
                <v:textbox>
                  <w:txbxContent>
                    <w:p w14:paraId="7B721992" w14:textId="77777777" w:rsidR="001A6C58" w:rsidRPr="008908DE" w:rsidRDefault="001A6C58" w:rsidP="001A6C58">
                      <w:pPr>
                        <w:rPr>
                          <w:rFonts w:ascii="Arial" w:hAnsi="Arial" w:cs="Arial"/>
                          <w:b/>
                        </w:rPr>
                      </w:pPr>
                      <w:r w:rsidRPr="008908DE">
                        <w:rPr>
                          <w:rFonts w:ascii="Arial" w:hAnsi="Arial" w:cs="Arial"/>
                          <w:b/>
                        </w:rPr>
                        <w:t>1.</w:t>
                      </w:r>
                      <w:r w:rsidRPr="008908DE">
                        <w:rPr>
                          <w:rFonts w:ascii="Arial" w:hAnsi="Arial" w:cs="Arial"/>
                          <w:b/>
                        </w:rPr>
                        <w:tab/>
                        <w:t>What is the purpose of the study?</w:t>
                      </w:r>
                    </w:p>
                  </w:txbxContent>
                </v:textbox>
                <w10:wrap type="square"/>
              </v:shape>
            </w:pict>
          </mc:Fallback>
        </mc:AlternateContent>
      </w:r>
      <w:r w:rsidRPr="001A6C58">
        <w:rPr>
          <w:b/>
          <w:bCs/>
        </w:rPr>
        <w:t>Part 1 – To give you first thoughts about the project</w:t>
      </w:r>
    </w:p>
    <w:p w14:paraId="02EC635B" w14:textId="77777777" w:rsidR="001A6C58" w:rsidRPr="001A6C58" w:rsidRDefault="001A6C58" w:rsidP="001A6C58">
      <w:pPr>
        <w:spacing w:line="360" w:lineRule="auto"/>
        <w:rPr>
          <w:iCs/>
        </w:rPr>
      </w:pPr>
      <w:r w:rsidRPr="001A6C58">
        <w:rPr>
          <w:iCs/>
        </w:rPr>
        <w:t xml:space="preserve">Many children are under the care of specialist teams at Sheffield Children’s Hospital because they have a persistent wet cough and a condition called protracted bacterial bronchitis (PBB). </w:t>
      </w:r>
    </w:p>
    <w:p w14:paraId="41AC5387" w14:textId="77777777" w:rsidR="001A6C58" w:rsidRPr="001A6C58" w:rsidRDefault="001A6C58" w:rsidP="001A6C58">
      <w:pPr>
        <w:spacing w:line="360" w:lineRule="auto"/>
        <w:rPr>
          <w:iCs/>
        </w:rPr>
      </w:pPr>
      <w:r w:rsidRPr="001A6C58">
        <w:rPr>
          <w:iCs/>
        </w:rPr>
        <w:t>PBB definition:</w:t>
      </w:r>
    </w:p>
    <w:p w14:paraId="0B0D481A" w14:textId="77777777" w:rsidR="001A6C58" w:rsidRPr="001A6C58" w:rsidRDefault="001A6C58" w:rsidP="001A6C58">
      <w:pPr>
        <w:pStyle w:val="ListParagraph"/>
        <w:numPr>
          <w:ilvl w:val="0"/>
          <w:numId w:val="96"/>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A wet cough for more than 4 weeks</w:t>
      </w:r>
    </w:p>
    <w:p w14:paraId="1793C0B3" w14:textId="77777777" w:rsidR="001A6C58" w:rsidRPr="001A6C58" w:rsidRDefault="001A6C58" w:rsidP="001A6C58">
      <w:pPr>
        <w:pStyle w:val="ListParagraph"/>
        <w:numPr>
          <w:ilvl w:val="0"/>
          <w:numId w:val="96"/>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 xml:space="preserve">No other detectable underlying lung problem </w:t>
      </w:r>
    </w:p>
    <w:p w14:paraId="1A544FCC" w14:textId="77777777" w:rsidR="001A6C58" w:rsidRPr="001A6C58" w:rsidRDefault="001A6C58" w:rsidP="001A6C58">
      <w:pPr>
        <w:pStyle w:val="ListParagraph"/>
        <w:numPr>
          <w:ilvl w:val="0"/>
          <w:numId w:val="96"/>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 xml:space="preserve">Response to 2 weeks of antibiotics. </w:t>
      </w:r>
    </w:p>
    <w:p w14:paraId="2F860480" w14:textId="77777777" w:rsidR="001A6C58" w:rsidRPr="001A6C58" w:rsidRDefault="001A6C58" w:rsidP="001A6C58">
      <w:pPr>
        <w:spacing w:line="360" w:lineRule="auto"/>
        <w:rPr>
          <w:iCs/>
        </w:rPr>
      </w:pPr>
    </w:p>
    <w:p w14:paraId="43676F9A" w14:textId="77777777" w:rsidR="001A6C58" w:rsidRPr="001A6C58" w:rsidRDefault="001A6C58" w:rsidP="001A6C58">
      <w:pPr>
        <w:spacing w:line="360" w:lineRule="auto"/>
        <w:rPr>
          <w:iCs/>
        </w:rPr>
      </w:pPr>
      <w:r w:rsidRPr="001A6C58">
        <w:rPr>
          <w:iCs/>
        </w:rPr>
        <w:t xml:space="preserve">Some children get recurrent episodes of PBB requiring multiple courses of antibiotics. Recurrent bacterial infections may cause permanent damage to the breathing tubes (airways). This condition is called bronchiectasis. Children who are thought to be at risk of developing bronchiectasis are often prescribed low dose, regular preventative antibiotics (especially over the </w:t>
      </w:r>
      <w:r w:rsidRPr="001A6C58">
        <w:rPr>
          <w:iCs/>
        </w:rPr>
        <w:lastRenderedPageBreak/>
        <w:t xml:space="preserve">winter months). This is to try and reduce the number of infections. The antibiotic often used is called azithromycin. </w:t>
      </w:r>
    </w:p>
    <w:p w14:paraId="72313D43" w14:textId="77777777" w:rsidR="001A6C58" w:rsidRPr="001A6C58" w:rsidRDefault="001A6C58" w:rsidP="001A6C58">
      <w:pPr>
        <w:spacing w:line="360" w:lineRule="auto"/>
        <w:rPr>
          <w:iCs/>
        </w:rPr>
      </w:pPr>
      <w:r w:rsidRPr="001A6C58">
        <w:rPr>
          <w:iCs/>
        </w:rPr>
        <w:t xml:space="preserve">Antibiotics are important medicines used to treat bacterial infections. One of the problems with taking antibiotics for a long time is that the bacteria get used to them and become resistant so that the antibiotics no longer work. Sometimes when the antibiotics are stopped, the resistant bacteria go away. </w:t>
      </w:r>
    </w:p>
    <w:p w14:paraId="660816C5" w14:textId="77777777" w:rsidR="001A6C58" w:rsidRPr="001A6C58" w:rsidRDefault="001A6C58" w:rsidP="001A6C58">
      <w:pPr>
        <w:spacing w:line="360" w:lineRule="auto"/>
        <w:rPr>
          <w:iCs/>
        </w:rPr>
      </w:pPr>
      <w:r w:rsidRPr="001A6C58">
        <w:rPr>
          <w:iCs/>
        </w:rPr>
        <w:t xml:space="preserve">Until recently the lungs were thought to be sterile. We now know there are organisms (microbiome) that live in the lungs and help keep them healthy. There are similar organisms living in the nasal passages. These microbiomes may be adversely effected by antibiotics. </w:t>
      </w:r>
    </w:p>
    <w:p w14:paraId="5F5E5EE7" w14:textId="77777777" w:rsidR="001A6C58" w:rsidRPr="001A6C58" w:rsidRDefault="001A6C58" w:rsidP="001A6C58">
      <w:pPr>
        <w:spacing w:line="360" w:lineRule="auto"/>
        <w:rPr>
          <w:iCs/>
        </w:rPr>
      </w:pPr>
    </w:p>
    <w:p w14:paraId="426BADDE" w14:textId="77777777" w:rsidR="001A6C58" w:rsidRPr="001A6C58" w:rsidRDefault="001A6C58" w:rsidP="001A6C58">
      <w:pPr>
        <w:spacing w:line="360" w:lineRule="auto"/>
        <w:rPr>
          <w:iCs/>
        </w:rPr>
      </w:pPr>
      <w:r w:rsidRPr="001A6C58">
        <w:rPr>
          <w:iCs/>
        </w:rPr>
        <w:t>In this study, we intend to look at how children respond to taking regular low dose antibiotics in terms of:</w:t>
      </w:r>
    </w:p>
    <w:p w14:paraId="37F9F158" w14:textId="77777777" w:rsidR="001A6C58" w:rsidRPr="001A6C58" w:rsidRDefault="001A6C58" w:rsidP="001A6C58">
      <w:pPr>
        <w:pStyle w:val="ListParagraph"/>
        <w:numPr>
          <w:ilvl w:val="0"/>
          <w:numId w:val="97"/>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 xml:space="preserve">Potential development of antibiotic resistance. </w:t>
      </w:r>
    </w:p>
    <w:p w14:paraId="0AAC92B1" w14:textId="77777777" w:rsidR="001A6C58" w:rsidRPr="001A6C58" w:rsidRDefault="001A6C58" w:rsidP="001A6C58">
      <w:pPr>
        <w:pStyle w:val="ListParagraph"/>
        <w:numPr>
          <w:ilvl w:val="0"/>
          <w:numId w:val="97"/>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Changes that may develop within the microbiome.</w:t>
      </w:r>
    </w:p>
    <w:p w14:paraId="19843BFD" w14:textId="77777777" w:rsidR="001A6C58" w:rsidRPr="001A6C58" w:rsidRDefault="001A6C58" w:rsidP="001A6C58">
      <w:pPr>
        <w:pStyle w:val="ListParagraph"/>
        <w:numPr>
          <w:ilvl w:val="0"/>
          <w:numId w:val="97"/>
        </w:numPr>
        <w:spacing w:line="360" w:lineRule="auto"/>
        <w:rPr>
          <w:rFonts w:ascii="Times New Roman" w:hAnsi="Times New Roman" w:cs="Times New Roman"/>
          <w:iCs/>
          <w:sz w:val="24"/>
          <w:szCs w:val="24"/>
        </w:rPr>
      </w:pPr>
      <w:r w:rsidRPr="001A6C58">
        <w:rPr>
          <w:rFonts w:ascii="Times New Roman" w:hAnsi="Times New Roman" w:cs="Times New Roman"/>
          <w:iCs/>
          <w:sz w:val="24"/>
          <w:szCs w:val="24"/>
        </w:rPr>
        <w:t>Bacteria and viruses associated with recurrent episodes of PBB.</w:t>
      </w:r>
    </w:p>
    <w:p w14:paraId="00FE086B" w14:textId="77777777" w:rsidR="001A6C58" w:rsidRPr="001A6C58" w:rsidRDefault="001A6C58" w:rsidP="001A6C58">
      <w:pPr>
        <w:spacing w:line="360" w:lineRule="auto"/>
        <w:rPr>
          <w:iCs/>
        </w:rPr>
      </w:pPr>
      <w:r w:rsidRPr="001A6C58">
        <w:rPr>
          <w:iCs/>
        </w:rPr>
        <w:t xml:space="preserve">To do this we will take samples of the organisms that live up everyone’s noses. We will use nasal samples because it is difficult to get samples from the lungs. The microbiome in the nose can reflect what is happening in the lungs. </w:t>
      </w:r>
    </w:p>
    <w:p w14:paraId="2C95AA7E" w14:textId="77777777" w:rsidR="001A6C58" w:rsidRPr="001A6C58" w:rsidRDefault="001A6C58" w:rsidP="001A6C58">
      <w:pPr>
        <w:spacing w:line="360" w:lineRule="auto"/>
        <w:rPr>
          <w:iCs/>
        </w:rPr>
      </w:pPr>
      <w:r w:rsidRPr="001A6C58">
        <w:rPr>
          <w:iCs/>
        </w:rPr>
        <w:t xml:space="preserve">This study will run for a total of 12 months to enable us to see if resistance and microbiome changes persist or go away once the azithromycin is stopped given most children are prescribed it only over the winter months. </w:t>
      </w:r>
    </w:p>
    <w:p w14:paraId="625B62C3" w14:textId="09A24760" w:rsidR="001A6C58" w:rsidRDefault="001A6C58" w:rsidP="001A6C58">
      <w:pPr>
        <w:spacing w:line="360" w:lineRule="auto"/>
        <w:rPr>
          <w:iCs/>
        </w:rPr>
      </w:pPr>
      <w:r w:rsidRPr="001A6C58">
        <w:rPr>
          <w:iCs/>
        </w:rPr>
        <w:t>This research study is a pilot project. This means it is a small scale study in order to obtain preliminary data and assess the feasibility of carrying out such a project. Following this, it is hoped we will organise a full-scale larger research study addressing a similar question.</w:t>
      </w:r>
    </w:p>
    <w:p w14:paraId="13BBAA10" w14:textId="3198D2D1" w:rsidR="001A6C58" w:rsidRDefault="001A6C58" w:rsidP="001A6C58">
      <w:pPr>
        <w:spacing w:line="360" w:lineRule="auto"/>
        <w:rPr>
          <w:iCs/>
        </w:rPr>
      </w:pPr>
      <w:r w:rsidRPr="001A6C58">
        <w:rPr>
          <w:iCs/>
          <w:noProof/>
          <w:lang w:eastAsia="en-GB"/>
        </w:rPr>
        <mc:AlternateContent>
          <mc:Choice Requires="wps">
            <w:drawing>
              <wp:anchor distT="45720" distB="45720" distL="114300" distR="114300" simplePos="0" relativeHeight="252125696" behindDoc="0" locked="0" layoutInCell="1" allowOverlap="1" wp14:anchorId="17A0678B" wp14:editId="04A3949F">
                <wp:simplePos x="0" y="0"/>
                <wp:positionH relativeFrom="column">
                  <wp:posOffset>12700</wp:posOffset>
                </wp:positionH>
                <wp:positionV relativeFrom="paragraph">
                  <wp:posOffset>250825</wp:posOffset>
                </wp:positionV>
                <wp:extent cx="6029325" cy="1404620"/>
                <wp:effectExtent l="0" t="0" r="28575" b="1016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4620"/>
                        </a:xfrm>
                        <a:prstGeom prst="rect">
                          <a:avLst/>
                        </a:prstGeom>
                        <a:solidFill>
                          <a:schemeClr val="bg1">
                            <a:lumMod val="85000"/>
                          </a:schemeClr>
                        </a:solidFill>
                        <a:ln w="9525">
                          <a:solidFill>
                            <a:srgbClr val="000000"/>
                          </a:solidFill>
                          <a:miter lim="800000"/>
                          <a:headEnd/>
                          <a:tailEnd/>
                        </a:ln>
                      </wps:spPr>
                      <wps:txbx>
                        <w:txbxContent>
                          <w:p w14:paraId="72526FCA" w14:textId="77777777" w:rsidR="001A6C58" w:rsidRPr="00BD5252" w:rsidRDefault="001A6C58" w:rsidP="001A6C58">
                            <w:pPr>
                              <w:rPr>
                                <w:rFonts w:ascii="Arial" w:hAnsi="Arial" w:cs="Arial"/>
                                <w:b/>
                                <w:lang w:val="en-US"/>
                              </w:rPr>
                            </w:pPr>
                            <w:r w:rsidRPr="00BD5252">
                              <w:rPr>
                                <w:rFonts w:ascii="Arial" w:hAnsi="Arial" w:cs="Arial"/>
                                <w:b/>
                                <w:lang w:val="en-US"/>
                              </w:rPr>
                              <w:t>2.</w:t>
                            </w:r>
                            <w:r w:rsidRPr="00BD5252">
                              <w:rPr>
                                <w:rFonts w:ascii="Arial" w:hAnsi="Arial" w:cs="Arial"/>
                                <w:b/>
                                <w:lang w:val="en-US"/>
                              </w:rPr>
                              <w:tab/>
                              <w:t>Why have we been invited?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A0678B" id="_x0000_s1073" type="#_x0000_t202" style="position:absolute;margin-left:1pt;margin-top:19.75pt;width:474.75pt;height:110.6pt;z-index:25212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" fillcolor="#d8d8d8 [2732]">
                <v:textbox style="mso-fit-shape-to-text:t">
                  <w:txbxContent>
                    <w:p w14:paraId="72526FCA" w14:textId="77777777" w:rsidR="001A6C58" w:rsidRPr="00BD5252" w:rsidRDefault="001A6C58" w:rsidP="001A6C58">
                      <w:pPr>
                        <w:rPr>
                          <w:rFonts w:ascii="Arial" w:hAnsi="Arial" w:cs="Arial"/>
                          <w:b/>
                          <w:lang w:val="en-US"/>
                        </w:rPr>
                      </w:pPr>
                      <w:r w:rsidRPr="00BD5252">
                        <w:rPr>
                          <w:rFonts w:ascii="Arial" w:hAnsi="Arial" w:cs="Arial"/>
                          <w:b/>
                          <w:lang w:val="en-US"/>
                        </w:rPr>
                        <w:t>2.</w:t>
                      </w:r>
                      <w:r w:rsidRPr="00BD5252">
                        <w:rPr>
                          <w:rFonts w:ascii="Arial" w:hAnsi="Arial" w:cs="Arial"/>
                          <w:b/>
                          <w:lang w:val="en-US"/>
                        </w:rPr>
                        <w:tab/>
                        <w:t>Why have we been invited?</w:t>
                      </w:r>
                    </w:p>
                  </w:txbxContent>
                </v:textbox>
                <w10:wrap type="square"/>
              </v:shape>
            </w:pict>
          </mc:Fallback>
        </mc:AlternateContent>
      </w:r>
    </w:p>
    <w:p w14:paraId="57755167" w14:textId="77777777" w:rsidR="001A6C58" w:rsidRPr="001A6C58" w:rsidRDefault="001A6C58" w:rsidP="001A6C58">
      <w:pPr>
        <w:spacing w:line="360" w:lineRule="auto"/>
        <w:rPr>
          <w:i/>
          <w:iCs/>
        </w:rPr>
      </w:pPr>
    </w:p>
    <w:p w14:paraId="7F9D4249" w14:textId="77777777" w:rsidR="001A6C58" w:rsidRPr="001A6C58" w:rsidRDefault="001A6C58" w:rsidP="001A6C58">
      <w:pPr>
        <w:spacing w:line="360" w:lineRule="auto"/>
        <w:rPr>
          <w:iCs/>
        </w:rPr>
      </w:pPr>
      <w:r w:rsidRPr="001A6C58">
        <w:rPr>
          <w:iCs/>
        </w:rPr>
        <w:t>This is an opportunity to help with a research project in order to gather new information about how we treat children with PBB. Your child has been chosen because they have the condition PBB.</w:t>
      </w:r>
    </w:p>
    <w:p w14:paraId="4F04E61D" w14:textId="77777777" w:rsidR="001A6C58" w:rsidRPr="001A6C58" w:rsidRDefault="001A6C58" w:rsidP="001A6C58">
      <w:pPr>
        <w:spacing w:line="360" w:lineRule="auto"/>
        <w:rPr>
          <w:iCs/>
        </w:rPr>
      </w:pPr>
    </w:p>
    <w:p w14:paraId="09FCC4E0" w14:textId="77777777" w:rsidR="001A6C58" w:rsidRPr="001A6C58" w:rsidRDefault="001A6C58" w:rsidP="001A6C58">
      <w:pPr>
        <w:spacing w:line="360" w:lineRule="auto"/>
        <w:rPr>
          <w:iCs/>
        </w:rPr>
      </w:pPr>
      <w:r w:rsidRPr="001A6C58">
        <w:rPr>
          <w:iCs/>
        </w:rPr>
        <w:t xml:space="preserve">There will be two groups in the study. Your child will be in one of the two groups. The allocated group will depend on whether your child is prescribed azithromycin by the respiratory or immunology teams as part of your child’s standard care. </w:t>
      </w:r>
    </w:p>
    <w:p w14:paraId="41196CCA" w14:textId="77777777" w:rsidR="001A6C58" w:rsidRPr="001A6C58" w:rsidRDefault="001A6C58" w:rsidP="001A6C58">
      <w:pPr>
        <w:spacing w:line="360" w:lineRule="auto"/>
        <w:rPr>
          <w:iCs/>
        </w:rPr>
      </w:pPr>
    </w:p>
    <w:p w14:paraId="076F49B1" w14:textId="77777777" w:rsidR="001A6C58" w:rsidRPr="001A6C58" w:rsidRDefault="001A6C58" w:rsidP="001A6C58">
      <w:pPr>
        <w:spacing w:line="360" w:lineRule="auto"/>
        <w:rPr>
          <w:iCs/>
          <w:u w:val="single"/>
        </w:rPr>
      </w:pPr>
      <w:r w:rsidRPr="001A6C58">
        <w:rPr>
          <w:iCs/>
          <w:u w:val="single"/>
        </w:rPr>
        <w:t>Group 1: The Study Group</w:t>
      </w:r>
    </w:p>
    <w:p w14:paraId="536AC9A4" w14:textId="77777777" w:rsidR="001A6C58" w:rsidRPr="001A6C58" w:rsidRDefault="001A6C58" w:rsidP="001A6C58">
      <w:pPr>
        <w:spacing w:line="360" w:lineRule="auto"/>
        <w:rPr>
          <w:iCs/>
        </w:rPr>
      </w:pPr>
      <w:r w:rsidRPr="001A6C58">
        <w:rPr>
          <w:iCs/>
        </w:rPr>
        <w:t>Children will be selected because they are being prescribed azithromycin as part of their standard over the winter.</w:t>
      </w:r>
    </w:p>
    <w:p w14:paraId="42C67736" w14:textId="77777777" w:rsidR="001A6C58" w:rsidRPr="001A6C58" w:rsidRDefault="001A6C58" w:rsidP="001A6C58">
      <w:pPr>
        <w:spacing w:line="360" w:lineRule="auto"/>
        <w:rPr>
          <w:iCs/>
        </w:rPr>
      </w:pPr>
    </w:p>
    <w:p w14:paraId="52D83C44" w14:textId="27EC7B82" w:rsidR="001A6C58" w:rsidRPr="001A6C58" w:rsidRDefault="001A6C58" w:rsidP="001A6C58">
      <w:pPr>
        <w:spacing w:line="360" w:lineRule="auto"/>
        <w:rPr>
          <w:iCs/>
          <w:u w:val="single"/>
        </w:rPr>
      </w:pPr>
      <w:r w:rsidRPr="001A6C58">
        <w:rPr>
          <w:iCs/>
          <w:u w:val="single"/>
        </w:rPr>
        <w:t>Group 2: The Co</w:t>
      </w:r>
      <w:r>
        <w:rPr>
          <w:iCs/>
          <w:u w:val="single"/>
        </w:rPr>
        <w:t>mparison</w:t>
      </w:r>
      <w:r w:rsidRPr="001A6C58">
        <w:rPr>
          <w:iCs/>
          <w:u w:val="single"/>
        </w:rPr>
        <w:t xml:space="preserve"> Group</w:t>
      </w:r>
    </w:p>
    <w:p w14:paraId="4C8CDAE3" w14:textId="77777777" w:rsidR="001A6C58" w:rsidRPr="001A6C58" w:rsidRDefault="001A6C58" w:rsidP="001A6C58">
      <w:pPr>
        <w:spacing w:line="360" w:lineRule="auto"/>
        <w:rPr>
          <w:iCs/>
        </w:rPr>
      </w:pPr>
      <w:r w:rsidRPr="001A6C58">
        <w:rPr>
          <w:iCs/>
        </w:rPr>
        <w:t xml:space="preserve">Children will be selected because they are not being prescribed azithromycin over the winter. If your child is in this group and over the study period needs azithromycin, your child will be prescribed azithromycin and can still continue with the study. </w:t>
      </w:r>
    </w:p>
    <w:p w14:paraId="52B61CAB" w14:textId="77777777" w:rsidR="001A6C58" w:rsidRPr="001A6C58" w:rsidRDefault="001A6C58" w:rsidP="001A6C58">
      <w:pPr>
        <w:spacing w:line="360" w:lineRule="auto"/>
        <w:rPr>
          <w:iCs/>
        </w:rPr>
      </w:pPr>
    </w:p>
    <w:p w14:paraId="2F769CAC" w14:textId="77777777" w:rsidR="001A6C58" w:rsidRPr="001A6C58" w:rsidRDefault="001A6C58" w:rsidP="001A6C58">
      <w:pPr>
        <w:spacing w:line="360" w:lineRule="auto"/>
        <w:rPr>
          <w:iCs/>
        </w:rPr>
      </w:pPr>
      <w:r w:rsidRPr="001A6C58">
        <w:rPr>
          <w:iCs/>
        </w:rPr>
        <w:t>This study does not influence the respiratory and immunology teams as to whether your child is prescribed azithromycin or not. The decision to prescribe azithromycin is based on the child’s clinical symptoms and needs.</w:t>
      </w:r>
    </w:p>
    <w:p w14:paraId="74653013" w14:textId="77777777" w:rsidR="001A6C58" w:rsidRPr="001A6C58" w:rsidRDefault="001A6C58" w:rsidP="001A6C58">
      <w:pPr>
        <w:spacing w:line="360" w:lineRule="auto"/>
        <w:rPr>
          <w:iCs/>
        </w:rPr>
      </w:pPr>
      <w:r w:rsidRPr="001A6C58">
        <w:rPr>
          <w:iCs/>
        </w:rPr>
        <w:t>In total we aim to recruit 30 children, fifteen in each group. At the end of the study we will compare the groups to see if there are any differences.</w:t>
      </w:r>
    </w:p>
    <w:p w14:paraId="68F22E94" w14:textId="77777777" w:rsidR="001A6C58" w:rsidRPr="001A6C58" w:rsidRDefault="001A6C58" w:rsidP="001A6C58">
      <w:pPr>
        <w:spacing w:line="360" w:lineRule="auto"/>
        <w:rPr>
          <w:iCs/>
        </w:rPr>
      </w:pPr>
    </w:p>
    <w:p w14:paraId="2DF1D057" w14:textId="77777777" w:rsidR="001A6C58" w:rsidRPr="001A6C58" w:rsidRDefault="001A6C58" w:rsidP="001A6C58">
      <w:pPr>
        <w:spacing w:line="360" w:lineRule="auto"/>
      </w:pPr>
      <w:r w:rsidRPr="001A6C58">
        <w:rPr>
          <w:noProof/>
        </w:rPr>
        <mc:AlternateContent>
          <mc:Choice Requires="wps">
            <w:drawing>
              <wp:anchor distT="45720" distB="45720" distL="114300" distR="114300" simplePos="0" relativeHeight="252126720" behindDoc="0" locked="0" layoutInCell="1" allowOverlap="1" wp14:anchorId="4420B836" wp14:editId="3647DA8A">
                <wp:simplePos x="0" y="0"/>
                <wp:positionH relativeFrom="column">
                  <wp:posOffset>13335</wp:posOffset>
                </wp:positionH>
                <wp:positionV relativeFrom="paragraph">
                  <wp:posOffset>0</wp:posOffset>
                </wp:positionV>
                <wp:extent cx="6153150" cy="1404620"/>
                <wp:effectExtent l="0" t="0" r="19050" b="10160"/>
                <wp:wrapSquare wrapText="bothSides"/>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chemeClr val="bg1">
                            <a:lumMod val="85000"/>
                          </a:schemeClr>
                        </a:solidFill>
                        <a:ln w="9525">
                          <a:solidFill>
                            <a:srgbClr val="000000"/>
                          </a:solidFill>
                          <a:miter lim="800000"/>
                          <a:headEnd/>
                          <a:tailEnd/>
                        </a:ln>
                      </wps:spPr>
                      <wps:txbx>
                        <w:txbxContent>
                          <w:p w14:paraId="555B2919" w14:textId="77777777" w:rsidR="001A6C58" w:rsidRPr="008A04D5" w:rsidRDefault="001A6C58" w:rsidP="001A6C58">
                            <w:pPr>
                              <w:rPr>
                                <w:rFonts w:ascii="Arial" w:hAnsi="Arial" w:cs="Arial"/>
                                <w:b/>
                                <w:lang w:val="en-US"/>
                              </w:rPr>
                            </w:pPr>
                            <w:r w:rsidRPr="008A04D5">
                              <w:rPr>
                                <w:rFonts w:ascii="Arial" w:hAnsi="Arial" w:cs="Arial"/>
                                <w:b/>
                                <w:lang w:val="en-US"/>
                              </w:rPr>
                              <w:t>3.</w:t>
                            </w:r>
                            <w:r w:rsidRPr="008A04D5">
                              <w:rPr>
                                <w:rFonts w:ascii="Arial" w:hAnsi="Arial" w:cs="Arial"/>
                                <w:b/>
                                <w:lang w:val="en-US"/>
                              </w:rPr>
                              <w:tab/>
                              <w:t>Do we have to take 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0B836" id="_x0000_s1074" type="#_x0000_t202" style="position:absolute;margin-left:1.05pt;margin-top:0;width:484.5pt;height:110.6pt;z-index:25212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" fillcolor="#d8d8d8 [2732]">
                <v:textbox style="mso-fit-shape-to-text:t">
                  <w:txbxContent>
                    <w:p w14:paraId="555B2919" w14:textId="77777777" w:rsidR="001A6C58" w:rsidRPr="008A04D5" w:rsidRDefault="001A6C58" w:rsidP="001A6C58">
                      <w:pPr>
                        <w:rPr>
                          <w:rFonts w:ascii="Arial" w:hAnsi="Arial" w:cs="Arial"/>
                          <w:b/>
                          <w:lang w:val="en-US"/>
                        </w:rPr>
                      </w:pPr>
                      <w:r w:rsidRPr="008A04D5">
                        <w:rPr>
                          <w:rFonts w:ascii="Arial" w:hAnsi="Arial" w:cs="Arial"/>
                          <w:b/>
                          <w:lang w:val="en-US"/>
                        </w:rPr>
                        <w:t>3.</w:t>
                      </w:r>
                      <w:r w:rsidRPr="008A04D5">
                        <w:rPr>
                          <w:rFonts w:ascii="Arial" w:hAnsi="Arial" w:cs="Arial"/>
                          <w:b/>
                          <w:lang w:val="en-US"/>
                        </w:rPr>
                        <w:tab/>
                        <w:t>Do we have to take part?</w:t>
                      </w:r>
                    </w:p>
                  </w:txbxContent>
                </v:textbox>
                <w10:wrap type="square"/>
              </v:shape>
            </w:pict>
          </mc:Fallback>
        </mc:AlternateContent>
      </w:r>
      <w:r w:rsidRPr="001A6C58">
        <w:t xml:space="preserve">No, you do not have to take part in the study. It is up to you and your child (wherever possible) to decide to join the study.  We will describe the study and go through this information sheet.  If you agree to take part, we will then ask you to sign a consent form.  </w:t>
      </w:r>
    </w:p>
    <w:p w14:paraId="30D254A6" w14:textId="77777777" w:rsidR="001A6C58" w:rsidRPr="001A6C58" w:rsidRDefault="001A6C58" w:rsidP="001A6C58">
      <w:pPr>
        <w:spacing w:line="360" w:lineRule="auto"/>
      </w:pPr>
    </w:p>
    <w:p w14:paraId="1006433E" w14:textId="77777777" w:rsidR="001A6C58" w:rsidRPr="001A6C58" w:rsidRDefault="001A6C58" w:rsidP="001A6C58">
      <w:pPr>
        <w:spacing w:line="360" w:lineRule="auto"/>
      </w:pPr>
      <w:r w:rsidRPr="001A6C58">
        <w:t xml:space="preserve">You will be given a copy of the information sheets and the signed consent form to keep for your records.  You are free to withdraw at any time, without giving a reason.  This would not affect the standard of care your child receives.  </w:t>
      </w:r>
    </w:p>
    <w:p w14:paraId="5B4E5A51" w14:textId="240E5819" w:rsidR="001A6C58" w:rsidRPr="001A6C58" w:rsidRDefault="00313A4E" w:rsidP="001A6C58">
      <w:pPr>
        <w:spacing w:line="360" w:lineRule="auto"/>
        <w:rPr>
          <w:iCs/>
        </w:rPr>
      </w:pPr>
      <w:r w:rsidRPr="001A6C58">
        <w:rPr>
          <w:noProof/>
          <w:lang w:eastAsia="en-GB"/>
        </w:rPr>
        <w:lastRenderedPageBreak/>
        <mc:AlternateContent>
          <mc:Choice Requires="wps">
            <w:drawing>
              <wp:anchor distT="45720" distB="45720" distL="114300" distR="114300" simplePos="0" relativeHeight="252127744" behindDoc="0" locked="0" layoutInCell="1" allowOverlap="1" wp14:anchorId="7D97C1B0" wp14:editId="749B040F">
                <wp:simplePos x="0" y="0"/>
                <wp:positionH relativeFrom="column">
                  <wp:posOffset>-43815</wp:posOffset>
                </wp:positionH>
                <wp:positionV relativeFrom="paragraph">
                  <wp:posOffset>887095</wp:posOffset>
                </wp:positionV>
                <wp:extent cx="6096000" cy="1404620"/>
                <wp:effectExtent l="0" t="0" r="19050" b="1016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bg1">
                            <a:lumMod val="85000"/>
                          </a:schemeClr>
                        </a:solidFill>
                        <a:ln w="9525">
                          <a:solidFill>
                            <a:srgbClr val="000000"/>
                          </a:solidFill>
                          <a:miter lim="800000"/>
                          <a:headEnd/>
                          <a:tailEnd/>
                        </a:ln>
                      </wps:spPr>
                      <wps:txbx>
                        <w:txbxContent>
                          <w:p w14:paraId="517FA2CF" w14:textId="77777777" w:rsidR="001A6C58" w:rsidRPr="008A04D5" w:rsidRDefault="001A6C58" w:rsidP="001A6C58">
                            <w:pPr>
                              <w:rPr>
                                <w:rFonts w:ascii="Arial" w:hAnsi="Arial" w:cs="Arial"/>
                                <w:b/>
                                <w:lang w:val="en-US"/>
                              </w:rPr>
                            </w:pPr>
                            <w:r w:rsidRPr="008A04D5">
                              <w:rPr>
                                <w:rFonts w:ascii="Arial" w:hAnsi="Arial" w:cs="Arial"/>
                                <w:b/>
                                <w:lang w:val="en-US"/>
                              </w:rPr>
                              <w:t>4.</w:t>
                            </w:r>
                            <w:r w:rsidRPr="008A04D5">
                              <w:rPr>
                                <w:rFonts w:ascii="Arial" w:hAnsi="Arial" w:cs="Arial"/>
                                <w:b/>
                                <w:lang w:val="en-US"/>
                              </w:rPr>
                              <w:tab/>
                              <w:t>What will happen to my child if we agree to take 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7C1B0" id="_x0000_s1075" type="#_x0000_t202" style="position:absolute;margin-left:-3.45pt;margin-top:69.85pt;width:480pt;height:110.6pt;z-index:25212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" fillcolor="#d8d8d8 [2732]">
                <v:textbox style="mso-fit-shape-to-text:t">
                  <w:txbxContent>
                    <w:p w14:paraId="517FA2CF" w14:textId="77777777" w:rsidR="001A6C58" w:rsidRPr="008A04D5" w:rsidRDefault="001A6C58" w:rsidP="001A6C58">
                      <w:pPr>
                        <w:rPr>
                          <w:rFonts w:ascii="Arial" w:hAnsi="Arial" w:cs="Arial"/>
                          <w:b/>
                          <w:lang w:val="en-US"/>
                        </w:rPr>
                      </w:pPr>
                      <w:r w:rsidRPr="008A04D5">
                        <w:rPr>
                          <w:rFonts w:ascii="Arial" w:hAnsi="Arial" w:cs="Arial"/>
                          <w:b/>
                          <w:lang w:val="en-US"/>
                        </w:rPr>
                        <w:t>4.</w:t>
                      </w:r>
                      <w:r w:rsidRPr="008A04D5">
                        <w:rPr>
                          <w:rFonts w:ascii="Arial" w:hAnsi="Arial" w:cs="Arial"/>
                          <w:b/>
                          <w:lang w:val="en-US"/>
                        </w:rPr>
                        <w:tab/>
                        <w:t>What will happen to my child if we agree to take part?</w:t>
                      </w:r>
                    </w:p>
                  </w:txbxContent>
                </v:textbox>
                <w10:wrap type="square"/>
              </v:shape>
            </w:pict>
          </mc:Fallback>
        </mc:AlternateContent>
      </w:r>
      <w:r w:rsidR="001A6C58" w:rsidRPr="001A6C58">
        <w:rPr>
          <w:iCs/>
        </w:rPr>
        <w:t xml:space="preserve">If you agree to take part, your child will be involved in the research study for 12 months. It is an observational study where we will observe to see what happens but not change the management or care that your child would usually get. </w:t>
      </w:r>
    </w:p>
    <w:p w14:paraId="67EBC97D" w14:textId="4D64834F" w:rsidR="001A6C58" w:rsidRPr="001A6C58" w:rsidRDefault="001A6C58" w:rsidP="001A6C58">
      <w:pPr>
        <w:spacing w:line="360" w:lineRule="auto"/>
        <w:rPr>
          <w:iCs/>
        </w:rPr>
      </w:pPr>
    </w:p>
    <w:p w14:paraId="5B9DA81C" w14:textId="77777777" w:rsidR="001A6C58" w:rsidRPr="001A6C58" w:rsidRDefault="001A6C58" w:rsidP="001A6C58">
      <w:pPr>
        <w:spacing w:line="360" w:lineRule="auto"/>
        <w:rPr>
          <w:iCs/>
        </w:rPr>
      </w:pPr>
      <w:r w:rsidRPr="001A6C58">
        <w:rPr>
          <w:iCs/>
        </w:rPr>
        <w:t>Over the 12 months, all the children will have nasal swabs taken every 4 months (a total of 4 swabs). This is the way in which we will take samples of the bacteria up your child’s nose.</w:t>
      </w:r>
    </w:p>
    <w:p w14:paraId="4A4722FF" w14:textId="77777777" w:rsidR="001A6C58" w:rsidRPr="001A6C58" w:rsidRDefault="001A6C58" w:rsidP="001A6C58">
      <w:pPr>
        <w:spacing w:line="360" w:lineRule="auto"/>
        <w:rPr>
          <w:iCs/>
        </w:rPr>
      </w:pPr>
    </w:p>
    <w:p w14:paraId="26166EE6" w14:textId="77777777" w:rsidR="001A6C58" w:rsidRPr="001A6C58" w:rsidRDefault="001A6C58" w:rsidP="001A6C58">
      <w:pPr>
        <w:spacing w:line="360" w:lineRule="auto"/>
        <w:rPr>
          <w:iCs/>
        </w:rPr>
      </w:pPr>
      <w:r w:rsidRPr="001A6C58">
        <w:rPr>
          <w:iCs/>
        </w:rPr>
        <w:t>To do this a small cotton-bud tipped stick is inserted up your child’s nostril. It is rotated to collect the sample and then removed. The process takes less than a few seconds. These will be taken either when you visit the hospital for a clinic or at your home depending on what is most convenient for you.</w:t>
      </w:r>
    </w:p>
    <w:p w14:paraId="45A9345D" w14:textId="77777777" w:rsidR="001A6C58" w:rsidRPr="001A6C58" w:rsidRDefault="001A6C58" w:rsidP="001A6C58">
      <w:pPr>
        <w:spacing w:line="360" w:lineRule="auto"/>
        <w:rPr>
          <w:iCs/>
        </w:rPr>
      </w:pPr>
    </w:p>
    <w:p w14:paraId="074AA037" w14:textId="77777777" w:rsidR="001A6C58" w:rsidRPr="001A6C58" w:rsidRDefault="001A6C58" w:rsidP="001A6C58">
      <w:pPr>
        <w:spacing w:line="360" w:lineRule="auto"/>
        <w:rPr>
          <w:iCs/>
        </w:rPr>
      </w:pPr>
      <w:r w:rsidRPr="001A6C58">
        <w:rPr>
          <w:iCs/>
          <w:noProof/>
          <w:lang w:eastAsia="en-GB"/>
        </w:rPr>
        <mc:AlternateContent>
          <mc:Choice Requires="wps">
            <w:drawing>
              <wp:anchor distT="45720" distB="45720" distL="114300" distR="114300" simplePos="0" relativeHeight="252123648" behindDoc="0" locked="0" layoutInCell="1" allowOverlap="1" wp14:anchorId="725E0130" wp14:editId="1B608A39">
                <wp:simplePos x="0" y="0"/>
                <wp:positionH relativeFrom="column">
                  <wp:posOffset>3087523</wp:posOffset>
                </wp:positionH>
                <wp:positionV relativeFrom="paragraph">
                  <wp:posOffset>446227</wp:posOffset>
                </wp:positionV>
                <wp:extent cx="2360930" cy="1404620"/>
                <wp:effectExtent l="0" t="0" r="22860" b="11430"/>
                <wp:wrapSquare wrapText="bothSides"/>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306313" w14:textId="77777777" w:rsidR="001A6C58" w:rsidRPr="003B1CC5" w:rsidRDefault="001A6C58" w:rsidP="001A6C58">
                            <w:pPr>
                              <w:rPr>
                                <w:lang w:val="en-US"/>
                              </w:rPr>
                            </w:pPr>
                            <w:r>
                              <w:rPr>
                                <w:lang w:val="en-US"/>
                              </w:rPr>
                              <w:t>A diagram to show the cotton tipped swab being inserted up the nose to collect the bacteria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5E0130" id="_x0000_s1076" type="#_x0000_t202" style="position:absolute;margin-left:243.1pt;margin-top:35.15pt;width:185.9pt;height:110.6pt;z-index:252123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WFwIAACgEAAAOAAAAZHJzL2Uyb0RvYy54bWysk99v2yAQx98n7X9AvC92Uid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">
                <v:textbox style="mso-fit-shape-to-text:t">
                  <w:txbxContent>
                    <w:p w14:paraId="13306313" w14:textId="77777777" w:rsidR="001A6C58" w:rsidRPr="003B1CC5" w:rsidRDefault="001A6C58" w:rsidP="001A6C58">
                      <w:pPr>
                        <w:rPr>
                          <w:lang w:val="en-US"/>
                        </w:rPr>
                      </w:pPr>
                      <w:r>
                        <w:rPr>
                          <w:lang w:val="en-US"/>
                        </w:rPr>
                        <w:t>A diagram to show the cotton tipped swab being inserted up the nose to collect the bacteria</w:t>
                      </w:r>
                    </w:p>
                  </w:txbxContent>
                </v:textbox>
                <w10:wrap type="square"/>
              </v:shape>
            </w:pict>
          </mc:Fallback>
        </mc:AlternateContent>
      </w:r>
      <w:r w:rsidRPr="001A6C58">
        <w:rPr>
          <w:iCs/>
          <w:noProof/>
          <w:lang w:eastAsia="en-GB"/>
        </w:rPr>
        <w:drawing>
          <wp:inline distT="0" distB="0" distL="0" distR="0" wp14:anchorId="61A362E1" wp14:editId="54153817">
            <wp:extent cx="2743200" cy="202374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43200" cy="2023745"/>
                    </a:xfrm>
                    <a:prstGeom prst="rect">
                      <a:avLst/>
                    </a:prstGeom>
                    <a:noFill/>
                  </pic:spPr>
                </pic:pic>
              </a:graphicData>
            </a:graphic>
          </wp:inline>
        </w:drawing>
      </w:r>
    </w:p>
    <w:p w14:paraId="54F11BF2" w14:textId="77777777" w:rsidR="001A6C58" w:rsidRPr="001A6C58" w:rsidRDefault="001A6C58" w:rsidP="001A6C58">
      <w:pPr>
        <w:spacing w:line="360" w:lineRule="auto"/>
        <w:rPr>
          <w:iCs/>
        </w:rPr>
      </w:pPr>
    </w:p>
    <w:p w14:paraId="40C9F512" w14:textId="2C308B8B" w:rsidR="001A6C58" w:rsidRPr="001A6C58" w:rsidRDefault="00313A4E" w:rsidP="001A6C58">
      <w:pPr>
        <w:spacing w:line="360" w:lineRule="auto"/>
        <w:rPr>
          <w:iCs/>
        </w:rPr>
      </w:pPr>
      <w:r w:rsidRPr="001A6C58">
        <w:rPr>
          <w:noProof/>
          <w:lang w:eastAsia="en-GB"/>
        </w:rPr>
        <mc:AlternateContent>
          <mc:Choice Requires="wps">
            <w:drawing>
              <wp:anchor distT="45720" distB="45720" distL="114300" distR="114300" simplePos="0" relativeHeight="252128768" behindDoc="0" locked="0" layoutInCell="1" allowOverlap="1" wp14:anchorId="4D15A8D7" wp14:editId="6AF63858">
                <wp:simplePos x="0" y="0"/>
                <wp:positionH relativeFrom="column">
                  <wp:posOffset>20955</wp:posOffset>
                </wp:positionH>
                <wp:positionV relativeFrom="paragraph">
                  <wp:posOffset>242541</wp:posOffset>
                </wp:positionV>
                <wp:extent cx="6191250" cy="1404620"/>
                <wp:effectExtent l="0" t="0" r="19050" b="1016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4620"/>
                        </a:xfrm>
                        <a:prstGeom prst="rect">
                          <a:avLst/>
                        </a:prstGeom>
                        <a:solidFill>
                          <a:schemeClr val="bg1">
                            <a:lumMod val="85000"/>
                          </a:schemeClr>
                        </a:solidFill>
                        <a:ln w="9525">
                          <a:solidFill>
                            <a:srgbClr val="000000"/>
                          </a:solidFill>
                          <a:miter lim="800000"/>
                          <a:headEnd/>
                          <a:tailEnd/>
                        </a:ln>
                      </wps:spPr>
                      <wps:txbx>
                        <w:txbxContent>
                          <w:p w14:paraId="675B7DDD" w14:textId="77777777" w:rsidR="001A6C58" w:rsidRPr="00DE59B8" w:rsidRDefault="001A6C58" w:rsidP="001A6C58">
                            <w:pPr>
                              <w:rPr>
                                <w:rFonts w:ascii="Arial" w:hAnsi="Arial" w:cs="Arial"/>
                                <w:b/>
                                <w:lang w:val="en-US"/>
                              </w:rPr>
                            </w:pPr>
                            <w:r w:rsidRPr="00DE59B8">
                              <w:rPr>
                                <w:rFonts w:ascii="Arial" w:hAnsi="Arial" w:cs="Arial"/>
                                <w:b/>
                                <w:lang w:val="en-US"/>
                              </w:rPr>
                              <w:t>5.</w:t>
                            </w:r>
                            <w:r w:rsidRPr="00DE59B8">
                              <w:rPr>
                                <w:rFonts w:ascii="Arial" w:hAnsi="Arial" w:cs="Arial"/>
                                <w:b/>
                                <w:lang w:val="en-US"/>
                              </w:rPr>
                              <w:tab/>
                              <w:t>What will we have to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5A8D7" id="_x0000_s1077" type="#_x0000_t202" style="position:absolute;margin-left:1.65pt;margin-top:19.1pt;width:487.5pt;height:110.6pt;z-index:25212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" fillcolor="#d8d8d8 [2732]">
                <v:textbox style="mso-fit-shape-to-text:t">
                  <w:txbxContent>
                    <w:p w14:paraId="675B7DDD" w14:textId="77777777" w:rsidR="001A6C58" w:rsidRPr="00DE59B8" w:rsidRDefault="001A6C58" w:rsidP="001A6C58">
                      <w:pPr>
                        <w:rPr>
                          <w:rFonts w:ascii="Arial" w:hAnsi="Arial" w:cs="Arial"/>
                          <w:b/>
                          <w:lang w:val="en-US"/>
                        </w:rPr>
                      </w:pPr>
                      <w:r w:rsidRPr="00DE59B8">
                        <w:rPr>
                          <w:rFonts w:ascii="Arial" w:hAnsi="Arial" w:cs="Arial"/>
                          <w:b/>
                          <w:lang w:val="en-US"/>
                        </w:rPr>
                        <w:t>5.</w:t>
                      </w:r>
                      <w:r w:rsidRPr="00DE59B8">
                        <w:rPr>
                          <w:rFonts w:ascii="Arial" w:hAnsi="Arial" w:cs="Arial"/>
                          <w:b/>
                          <w:lang w:val="en-US"/>
                        </w:rPr>
                        <w:tab/>
                        <w:t>What will we have to do?</w:t>
                      </w:r>
                    </w:p>
                  </w:txbxContent>
                </v:textbox>
                <w10:wrap type="square"/>
              </v:shape>
            </w:pict>
          </mc:Fallback>
        </mc:AlternateContent>
      </w:r>
    </w:p>
    <w:p w14:paraId="1ECB8B6F" w14:textId="14E66321" w:rsidR="001A6C58" w:rsidRPr="001A6C58" w:rsidRDefault="001A6C58" w:rsidP="001A6C58">
      <w:pPr>
        <w:spacing w:line="360" w:lineRule="auto"/>
        <w:rPr>
          <w:iCs/>
        </w:rPr>
      </w:pPr>
      <w:r w:rsidRPr="001A6C58">
        <w:rPr>
          <w:iCs/>
        </w:rPr>
        <w:t xml:space="preserve">If your child has an episode of PBB during the study period and requires 2 weeks of antibiotics, we will take 2 nasal swabs before the antibiotics are started. One for bacteria and one for viruses. We will ask you to contact us to let us know if your child has a recurrent episode. </w:t>
      </w:r>
    </w:p>
    <w:p w14:paraId="01B0D747" w14:textId="4866D732" w:rsidR="001A6C58" w:rsidRPr="001A6C58" w:rsidRDefault="001A6C58" w:rsidP="001A6C58">
      <w:pPr>
        <w:spacing w:line="360" w:lineRule="auto"/>
        <w:rPr>
          <w:iCs/>
        </w:rPr>
      </w:pPr>
      <w:r w:rsidRPr="001A6C58">
        <w:rPr>
          <w:iCs/>
        </w:rPr>
        <w:t>At the end of the exacerbation we would like to take 1 further nasal swab for bacteria. This is optional. You may decide your child is now recovering and you don’t want the swab to be taken as they have had lots of investigations.</w:t>
      </w:r>
    </w:p>
    <w:p w14:paraId="783F69E0" w14:textId="28B1F5A4" w:rsidR="001A6C58" w:rsidRPr="001A6C58" w:rsidRDefault="001A6C58" w:rsidP="001A6C58">
      <w:pPr>
        <w:spacing w:line="360" w:lineRule="auto"/>
        <w:rPr>
          <w:iCs/>
        </w:rPr>
      </w:pPr>
      <w:r w:rsidRPr="001A6C58">
        <w:rPr>
          <w:iCs/>
        </w:rPr>
        <w:lastRenderedPageBreak/>
        <w:t>Families of children taking azithromycin will also be asked to fill in a medication diary whilst they take the antibiotic. This will involve ticking a box if you remembered or forgot to take the Azithromycin. It is expected that children will need parental supervision for this task. It is not a test and they will not be told off if they forget. Your honesty would be appreciated so that we can interpret the results accurately.</w:t>
      </w:r>
    </w:p>
    <w:p w14:paraId="33CDA13A" w14:textId="5C07DDE2" w:rsidR="001A6C58" w:rsidRPr="001A6C58" w:rsidRDefault="001A6C58" w:rsidP="001A6C58">
      <w:pPr>
        <w:spacing w:line="360" w:lineRule="auto"/>
        <w:rPr>
          <w:iCs/>
        </w:rPr>
      </w:pPr>
      <w:r w:rsidRPr="001A6C58">
        <w:rPr>
          <w:iCs/>
        </w:rPr>
        <w:t>We will also look at your child’s medical records to review their past history and to see how many hospital admissions they have over the study period.</w:t>
      </w:r>
      <w:r w:rsidRPr="001A6C58">
        <w:t xml:space="preserve"> </w:t>
      </w:r>
      <w:r w:rsidRPr="001A6C58">
        <w:rPr>
          <w:iCs/>
        </w:rPr>
        <w:t>If information is found that could potentially influence how your child is treated, your clinical team will be informed.</w:t>
      </w:r>
    </w:p>
    <w:p w14:paraId="72AEF95F" w14:textId="113AA1DC" w:rsidR="001A6C58" w:rsidRPr="001A6C58" w:rsidRDefault="001A6C58" w:rsidP="001A6C58">
      <w:pPr>
        <w:spacing w:line="360" w:lineRule="auto"/>
        <w:rPr>
          <w:iCs/>
        </w:rPr>
      </w:pPr>
      <w:r w:rsidRPr="001A6C58">
        <w:rPr>
          <w:iCs/>
        </w:rPr>
        <w:t>If you would like your child to take part in this research study, you will need to sign a consent form. Following this a baseline nasal swab will be taken.</w:t>
      </w:r>
    </w:p>
    <w:p w14:paraId="3DA1A068" w14:textId="0EB40BAC" w:rsidR="001A6C58" w:rsidRPr="001A6C58" w:rsidRDefault="001A6C58" w:rsidP="001A6C58">
      <w:pPr>
        <w:spacing w:line="360" w:lineRule="auto"/>
        <w:rPr>
          <w:iCs/>
        </w:rPr>
      </w:pPr>
      <w:r w:rsidRPr="001A6C58">
        <w:rPr>
          <w:iCs/>
        </w:rPr>
        <w:t>Dr Hardman will contact you every 4 months to arrange a time and place for the next nasal swab to be taken. For those filling out the medication diaries, these will be reviewed when the nasal swabs are taken.</w:t>
      </w:r>
    </w:p>
    <w:p w14:paraId="7C938906" w14:textId="77777777" w:rsidR="001A6C58" w:rsidRPr="001A6C58" w:rsidRDefault="001A6C58" w:rsidP="001A6C58">
      <w:pPr>
        <w:spacing w:line="360" w:lineRule="auto"/>
        <w:rPr>
          <w:iCs/>
        </w:rPr>
      </w:pPr>
      <w:r w:rsidRPr="001A6C58">
        <w:rPr>
          <w:noProof/>
          <w:lang w:eastAsia="en-GB"/>
        </w:rPr>
        <mc:AlternateContent>
          <mc:Choice Requires="wps">
            <w:drawing>
              <wp:anchor distT="45720" distB="45720" distL="114300" distR="114300" simplePos="0" relativeHeight="252129792" behindDoc="0" locked="0" layoutInCell="1" allowOverlap="1" wp14:anchorId="0667075B" wp14:editId="140A0929">
                <wp:simplePos x="0" y="0"/>
                <wp:positionH relativeFrom="column">
                  <wp:posOffset>-40935</wp:posOffset>
                </wp:positionH>
                <wp:positionV relativeFrom="paragraph">
                  <wp:posOffset>937836</wp:posOffset>
                </wp:positionV>
                <wp:extent cx="6067425" cy="1404620"/>
                <wp:effectExtent l="0" t="0" r="28575" b="1016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4620"/>
                        </a:xfrm>
                        <a:prstGeom prst="rect">
                          <a:avLst/>
                        </a:prstGeom>
                        <a:solidFill>
                          <a:schemeClr val="bg1">
                            <a:lumMod val="85000"/>
                          </a:schemeClr>
                        </a:solidFill>
                        <a:ln w="9525">
                          <a:solidFill>
                            <a:srgbClr val="000000"/>
                          </a:solidFill>
                          <a:miter lim="800000"/>
                          <a:headEnd/>
                          <a:tailEnd/>
                        </a:ln>
                      </wps:spPr>
                      <wps:txbx>
                        <w:txbxContent>
                          <w:p w14:paraId="44A423EC" w14:textId="77777777" w:rsidR="001A6C58" w:rsidRPr="00DE59B8" w:rsidRDefault="001A6C58" w:rsidP="001A6C58">
                            <w:pPr>
                              <w:rPr>
                                <w:rFonts w:ascii="Arial" w:hAnsi="Arial" w:cs="Arial"/>
                                <w:b/>
                                <w:lang w:val="en-US"/>
                              </w:rPr>
                            </w:pPr>
                            <w:r w:rsidRPr="00DE59B8">
                              <w:rPr>
                                <w:rFonts w:ascii="Arial" w:hAnsi="Arial" w:cs="Arial"/>
                                <w:b/>
                                <w:lang w:val="en-US"/>
                              </w:rPr>
                              <w:t>6.</w:t>
                            </w:r>
                            <w:r w:rsidRPr="00DE59B8">
                              <w:rPr>
                                <w:rFonts w:ascii="Arial" w:hAnsi="Arial" w:cs="Arial"/>
                                <w:b/>
                                <w:lang w:val="en-US"/>
                              </w:rPr>
                              <w:tab/>
                              <w:t>What are the possible disadvantages and risks of taking 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7075B" id="_x0000_s1078" type="#_x0000_t202" style="position:absolute;margin-left:-3.2pt;margin-top:73.85pt;width:477.75pt;height:110.6pt;z-index:25212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" fillcolor="#d8d8d8 [2732]">
                <v:textbox style="mso-fit-shape-to-text:t">
                  <w:txbxContent>
                    <w:p w14:paraId="44A423EC" w14:textId="77777777" w:rsidR="001A6C58" w:rsidRPr="00DE59B8" w:rsidRDefault="001A6C58" w:rsidP="001A6C58">
                      <w:pPr>
                        <w:rPr>
                          <w:rFonts w:ascii="Arial" w:hAnsi="Arial" w:cs="Arial"/>
                          <w:b/>
                          <w:lang w:val="en-US"/>
                        </w:rPr>
                      </w:pPr>
                      <w:r w:rsidRPr="00DE59B8">
                        <w:rPr>
                          <w:rFonts w:ascii="Arial" w:hAnsi="Arial" w:cs="Arial"/>
                          <w:b/>
                          <w:lang w:val="en-US"/>
                        </w:rPr>
                        <w:t>6.</w:t>
                      </w:r>
                      <w:r w:rsidRPr="00DE59B8">
                        <w:rPr>
                          <w:rFonts w:ascii="Arial" w:hAnsi="Arial" w:cs="Arial"/>
                          <w:b/>
                          <w:lang w:val="en-US"/>
                        </w:rPr>
                        <w:tab/>
                        <w:t>What are the possible disadvantages and risks of taking part?</w:t>
                      </w:r>
                    </w:p>
                  </w:txbxContent>
                </v:textbox>
                <w10:wrap type="square"/>
              </v:shape>
            </w:pict>
          </mc:Fallback>
        </mc:AlternateContent>
      </w:r>
      <w:r w:rsidRPr="001A6C58">
        <w:rPr>
          <w:iCs/>
        </w:rPr>
        <w:t>If your child has a recurrent episode of PBB and is prescribed 2 or more weeks of antibiotics by the hospital team or through your GP, we would like you to contact Dr Hardman so he can arrange for 2 nasal swabs to be taken before starting the antibiotics.</w:t>
      </w:r>
    </w:p>
    <w:p w14:paraId="42FCA3D0" w14:textId="77777777" w:rsidR="001A6C58" w:rsidRPr="001A6C58" w:rsidRDefault="001A6C58" w:rsidP="001A6C58">
      <w:pPr>
        <w:spacing w:line="360" w:lineRule="auto"/>
        <w:rPr>
          <w:iCs/>
        </w:rPr>
      </w:pPr>
    </w:p>
    <w:p w14:paraId="71254D7C" w14:textId="77777777" w:rsidR="001A6C58" w:rsidRPr="001A6C58" w:rsidRDefault="001A6C58" w:rsidP="001A6C58">
      <w:pPr>
        <w:spacing w:line="360" w:lineRule="auto"/>
        <w:rPr>
          <w:iCs/>
        </w:rPr>
      </w:pPr>
      <w:r w:rsidRPr="001A6C58">
        <w:rPr>
          <w:iCs/>
        </w:rPr>
        <w:t xml:space="preserve">Taking nasal swabs can be an unpleasant experience but is short lived, less than a few seconds. Occasionally the nasal swab can damage the delicate blood vessels in the nose and cause a minor nose bleed. If this were to happen, we would need to press on your child’s nose for a few minutes to stop the bleeding. </w:t>
      </w:r>
    </w:p>
    <w:p w14:paraId="3F1A6F9B" w14:textId="77777777" w:rsidR="001A6C58" w:rsidRPr="001A6C58" w:rsidRDefault="001A6C58" w:rsidP="001A6C58">
      <w:pPr>
        <w:spacing w:line="360" w:lineRule="auto"/>
        <w:rPr>
          <w:iCs/>
        </w:rPr>
      </w:pPr>
      <w:r w:rsidRPr="001A6C58">
        <w:rPr>
          <w:iCs/>
        </w:rPr>
        <w:t>Every effort will be made to reduce the anxiety felt by some children during this procedure and a bravery sticker will be given to them afterwards. If at any time you or your child feels that the actual or perceived distress is too great, please don’t hesitate to tell the research doctor.</w:t>
      </w:r>
    </w:p>
    <w:p w14:paraId="743853F7" w14:textId="77777777" w:rsidR="001A6C58" w:rsidRPr="001A6C58" w:rsidRDefault="001A6C58" w:rsidP="001A6C58">
      <w:pPr>
        <w:spacing w:line="360" w:lineRule="auto"/>
        <w:rPr>
          <w:iCs/>
        </w:rPr>
      </w:pPr>
    </w:p>
    <w:p w14:paraId="2FFA0F96" w14:textId="77777777" w:rsidR="001A6C58" w:rsidRPr="001A6C58" w:rsidRDefault="001A6C58" w:rsidP="001A6C58">
      <w:pPr>
        <w:spacing w:line="360" w:lineRule="auto"/>
        <w:rPr>
          <w:iCs/>
        </w:rPr>
      </w:pPr>
      <w:r w:rsidRPr="001A6C58">
        <w:rPr>
          <w:iCs/>
        </w:rPr>
        <w:t>There will a time commitment for the swabs to be taken and for those filling in the medication diary. Otherwise there are no risks or disadvantages in taking part.</w:t>
      </w:r>
    </w:p>
    <w:p w14:paraId="2734B3DA" w14:textId="0FB2CA8F" w:rsidR="001A6C58" w:rsidRDefault="00313A4E" w:rsidP="001A6C58">
      <w:pPr>
        <w:spacing w:line="360" w:lineRule="auto"/>
        <w:rPr>
          <w:iCs/>
        </w:rPr>
      </w:pPr>
      <w:r w:rsidRPr="001A6C58">
        <w:rPr>
          <w:noProof/>
          <w:lang w:eastAsia="en-GB"/>
        </w:rPr>
        <w:lastRenderedPageBreak/>
        <mc:AlternateContent>
          <mc:Choice Requires="wps">
            <w:drawing>
              <wp:anchor distT="45720" distB="45720" distL="114300" distR="114300" simplePos="0" relativeHeight="252130816" behindDoc="0" locked="0" layoutInCell="1" allowOverlap="1" wp14:anchorId="3D593AB5" wp14:editId="62A721EE">
                <wp:simplePos x="0" y="0"/>
                <wp:positionH relativeFrom="column">
                  <wp:posOffset>-42678</wp:posOffset>
                </wp:positionH>
                <wp:positionV relativeFrom="paragraph">
                  <wp:posOffset>958407</wp:posOffset>
                </wp:positionV>
                <wp:extent cx="6315075" cy="1404620"/>
                <wp:effectExtent l="0" t="0" r="28575" b="10160"/>
                <wp:wrapSquare wrapText="bothSides"/>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chemeClr val="bg1">
                            <a:lumMod val="85000"/>
                          </a:schemeClr>
                        </a:solidFill>
                        <a:ln w="9525">
                          <a:solidFill>
                            <a:srgbClr val="000000"/>
                          </a:solidFill>
                          <a:miter lim="800000"/>
                          <a:headEnd/>
                          <a:tailEnd/>
                        </a:ln>
                      </wps:spPr>
                      <wps:txbx>
                        <w:txbxContent>
                          <w:p w14:paraId="5A7C9671" w14:textId="77777777" w:rsidR="001A6C58" w:rsidRPr="00DE59B8" w:rsidRDefault="001A6C58" w:rsidP="001A6C58">
                            <w:pPr>
                              <w:rPr>
                                <w:rFonts w:ascii="Arial" w:hAnsi="Arial" w:cs="Arial"/>
                                <w:b/>
                                <w:lang w:val="en-US"/>
                              </w:rPr>
                            </w:pPr>
                            <w:r w:rsidRPr="00DE59B8">
                              <w:rPr>
                                <w:rFonts w:ascii="Arial" w:hAnsi="Arial" w:cs="Arial"/>
                                <w:b/>
                                <w:lang w:val="en-US"/>
                              </w:rPr>
                              <w:t>7.</w:t>
                            </w:r>
                            <w:r w:rsidRPr="00DE59B8">
                              <w:rPr>
                                <w:rFonts w:ascii="Arial" w:hAnsi="Arial" w:cs="Arial"/>
                                <w:b/>
                                <w:lang w:val="en-US"/>
                              </w:rPr>
                              <w:tab/>
                              <w:t>What are the possible benefits of taking 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93AB5" id="_x0000_s1079" type="#_x0000_t202" style="position:absolute;margin-left:-3.35pt;margin-top:75.45pt;width:497.25pt;height:110.6pt;z-index:25213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" fillcolor="#d8d8d8 [2732]">
                <v:textbox style="mso-fit-shape-to-text:t">
                  <w:txbxContent>
                    <w:p w14:paraId="5A7C9671" w14:textId="77777777" w:rsidR="001A6C58" w:rsidRPr="00DE59B8" w:rsidRDefault="001A6C58" w:rsidP="001A6C58">
                      <w:pPr>
                        <w:rPr>
                          <w:rFonts w:ascii="Arial" w:hAnsi="Arial" w:cs="Arial"/>
                          <w:b/>
                          <w:lang w:val="en-US"/>
                        </w:rPr>
                      </w:pPr>
                      <w:r w:rsidRPr="00DE59B8">
                        <w:rPr>
                          <w:rFonts w:ascii="Arial" w:hAnsi="Arial" w:cs="Arial"/>
                          <w:b/>
                          <w:lang w:val="en-US"/>
                        </w:rPr>
                        <w:t>7.</w:t>
                      </w:r>
                      <w:r w:rsidRPr="00DE59B8">
                        <w:rPr>
                          <w:rFonts w:ascii="Arial" w:hAnsi="Arial" w:cs="Arial"/>
                          <w:b/>
                          <w:lang w:val="en-US"/>
                        </w:rPr>
                        <w:tab/>
                        <w:t>What are the possible benefits of taking part?</w:t>
                      </w:r>
                    </w:p>
                  </w:txbxContent>
                </v:textbox>
                <w10:wrap type="square"/>
              </v:shape>
            </w:pict>
          </mc:Fallback>
        </mc:AlternateContent>
      </w:r>
      <w:r w:rsidR="001A6C58" w:rsidRPr="001A6C58">
        <w:rPr>
          <w:iCs/>
        </w:rPr>
        <w:t xml:space="preserve">If your child is not prescribed azithromycin at the beginning of the study but is prescribed it during the study period, being in this study will not stop them from getting it. This study does not affect the treatment your child gets. </w:t>
      </w:r>
    </w:p>
    <w:p w14:paraId="1897F68A" w14:textId="23C23E3D" w:rsidR="00313A4E" w:rsidRPr="001A6C58" w:rsidRDefault="00313A4E" w:rsidP="001A6C58">
      <w:pPr>
        <w:spacing w:line="360" w:lineRule="auto"/>
        <w:rPr>
          <w:iCs/>
        </w:rPr>
      </w:pPr>
    </w:p>
    <w:p w14:paraId="2BE47B2D" w14:textId="572BE1EC" w:rsidR="001A6C58" w:rsidRDefault="00313A4E" w:rsidP="001A6C58">
      <w:pPr>
        <w:spacing w:line="360" w:lineRule="auto"/>
        <w:rPr>
          <w:iCs/>
        </w:rPr>
      </w:pPr>
      <w:r w:rsidRPr="001A6C58">
        <w:rPr>
          <w:noProof/>
          <w:lang w:eastAsia="en-GB"/>
        </w:rPr>
        <mc:AlternateContent>
          <mc:Choice Requires="wps">
            <w:drawing>
              <wp:anchor distT="45720" distB="45720" distL="114300" distR="114300" simplePos="0" relativeHeight="252131840" behindDoc="0" locked="0" layoutInCell="1" allowOverlap="1" wp14:anchorId="2E43A266" wp14:editId="7F1EAEFB">
                <wp:simplePos x="0" y="0"/>
                <wp:positionH relativeFrom="column">
                  <wp:posOffset>-38720</wp:posOffset>
                </wp:positionH>
                <wp:positionV relativeFrom="paragraph">
                  <wp:posOffset>877260</wp:posOffset>
                </wp:positionV>
                <wp:extent cx="6343650" cy="1404620"/>
                <wp:effectExtent l="0" t="0" r="19050" b="10160"/>
                <wp:wrapSquare wrapText="bothSides"/>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chemeClr val="bg1">
                            <a:lumMod val="85000"/>
                          </a:schemeClr>
                        </a:solidFill>
                        <a:ln w="9525">
                          <a:solidFill>
                            <a:srgbClr val="000000"/>
                          </a:solidFill>
                          <a:miter lim="800000"/>
                          <a:headEnd/>
                          <a:tailEnd/>
                        </a:ln>
                      </wps:spPr>
                      <wps:txbx>
                        <w:txbxContent>
                          <w:p w14:paraId="55DA544D" w14:textId="77777777" w:rsidR="001A6C58" w:rsidRPr="00F666B2" w:rsidRDefault="001A6C58" w:rsidP="001A6C58">
                            <w:pPr>
                              <w:rPr>
                                <w:rFonts w:ascii="Arial" w:hAnsi="Arial" w:cs="Arial"/>
                                <w:b/>
                                <w:lang w:val="en-US"/>
                              </w:rPr>
                            </w:pPr>
                            <w:r w:rsidRPr="00F666B2">
                              <w:rPr>
                                <w:rFonts w:ascii="Arial" w:hAnsi="Arial" w:cs="Arial"/>
                                <w:b/>
                                <w:lang w:val="en-US"/>
                              </w:rPr>
                              <w:t>8.</w:t>
                            </w:r>
                            <w:r w:rsidRPr="00F666B2">
                              <w:rPr>
                                <w:rFonts w:ascii="Arial" w:hAnsi="Arial" w:cs="Arial"/>
                                <w:b/>
                                <w:lang w:val="en-US"/>
                              </w:rPr>
                              <w:tab/>
                              <w:t>What happens when the research study stops?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3A266" id="_x0000_s1080" type="#_x0000_t202" style="position:absolute;margin-left:-3.05pt;margin-top:69.1pt;width:499.5pt;height:110.6pt;z-index:25213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" fillcolor="#d8d8d8 [2732]">
                <v:textbox style="mso-fit-shape-to-text:t">
                  <w:txbxContent>
                    <w:p w14:paraId="55DA544D" w14:textId="77777777" w:rsidR="001A6C58" w:rsidRPr="00F666B2" w:rsidRDefault="001A6C58" w:rsidP="001A6C58">
                      <w:pPr>
                        <w:rPr>
                          <w:rFonts w:ascii="Arial" w:hAnsi="Arial" w:cs="Arial"/>
                          <w:b/>
                          <w:lang w:val="en-US"/>
                        </w:rPr>
                      </w:pPr>
                      <w:r w:rsidRPr="00F666B2">
                        <w:rPr>
                          <w:rFonts w:ascii="Arial" w:hAnsi="Arial" w:cs="Arial"/>
                          <w:b/>
                          <w:lang w:val="en-US"/>
                        </w:rPr>
                        <w:t>8.</w:t>
                      </w:r>
                      <w:r w:rsidRPr="00F666B2">
                        <w:rPr>
                          <w:rFonts w:ascii="Arial" w:hAnsi="Arial" w:cs="Arial"/>
                          <w:b/>
                          <w:lang w:val="en-US"/>
                        </w:rPr>
                        <w:tab/>
                        <w:t>What happens when the research study stops?</w:t>
                      </w:r>
                    </w:p>
                  </w:txbxContent>
                </v:textbox>
                <w10:wrap type="square"/>
              </v:shape>
            </w:pict>
          </mc:Fallback>
        </mc:AlternateContent>
      </w:r>
      <w:r w:rsidR="001A6C58" w:rsidRPr="001A6C58">
        <w:rPr>
          <w:iCs/>
        </w:rPr>
        <w:t xml:space="preserve">It is unlikely that your child will directly benefit from the research during the study period. It is however hoped that this project will lead to future studies and potential changes in how we treat and manage children with protracted bacterial bronchitis. </w:t>
      </w:r>
    </w:p>
    <w:p w14:paraId="4986F59F" w14:textId="77777777" w:rsidR="00313A4E" w:rsidRPr="001A6C58" w:rsidRDefault="00313A4E" w:rsidP="001A6C58">
      <w:pPr>
        <w:spacing w:line="360" w:lineRule="auto"/>
        <w:rPr>
          <w:iCs/>
        </w:rPr>
      </w:pPr>
    </w:p>
    <w:p w14:paraId="13E1E5C4" w14:textId="09612CCE" w:rsidR="00313A4E" w:rsidRDefault="00313A4E" w:rsidP="001A6C58">
      <w:pPr>
        <w:spacing w:line="360" w:lineRule="auto"/>
      </w:pPr>
      <w:r w:rsidRPr="001A6C58">
        <w:rPr>
          <w:noProof/>
          <w:lang w:eastAsia="en-GB"/>
        </w:rPr>
        <mc:AlternateContent>
          <mc:Choice Requires="wps">
            <w:drawing>
              <wp:anchor distT="45720" distB="45720" distL="114300" distR="114300" simplePos="0" relativeHeight="252132864" behindDoc="0" locked="0" layoutInCell="1" allowOverlap="1" wp14:anchorId="3515BF35" wp14:editId="5323397C">
                <wp:simplePos x="0" y="0"/>
                <wp:positionH relativeFrom="column">
                  <wp:posOffset>-66675</wp:posOffset>
                </wp:positionH>
                <wp:positionV relativeFrom="paragraph">
                  <wp:posOffset>689108</wp:posOffset>
                </wp:positionV>
                <wp:extent cx="6343650" cy="1404620"/>
                <wp:effectExtent l="0" t="0" r="19050" b="10160"/>
                <wp:wrapSquare wrapText="bothSides"/>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solidFill>
                          <a:schemeClr val="bg1">
                            <a:lumMod val="85000"/>
                          </a:schemeClr>
                        </a:solidFill>
                        <a:ln w="9525">
                          <a:solidFill>
                            <a:srgbClr val="000000"/>
                          </a:solidFill>
                          <a:miter lim="800000"/>
                          <a:headEnd/>
                          <a:tailEnd/>
                        </a:ln>
                      </wps:spPr>
                      <wps:txbx>
                        <w:txbxContent>
                          <w:p w14:paraId="54E0E0BA" w14:textId="77777777" w:rsidR="001A6C58" w:rsidRPr="00F666B2" w:rsidRDefault="001A6C58" w:rsidP="001A6C58">
                            <w:pPr>
                              <w:rPr>
                                <w:rFonts w:ascii="Arial" w:hAnsi="Arial" w:cs="Arial"/>
                                <w:b/>
                                <w:lang w:val="en-US"/>
                              </w:rPr>
                            </w:pPr>
                            <w:r w:rsidRPr="00F666B2">
                              <w:rPr>
                                <w:rFonts w:ascii="Arial" w:hAnsi="Arial" w:cs="Arial"/>
                                <w:b/>
                                <w:lang w:val="en-US"/>
                              </w:rPr>
                              <w:t>9.</w:t>
                            </w:r>
                            <w:r w:rsidRPr="00F666B2">
                              <w:rPr>
                                <w:rFonts w:ascii="Arial" w:hAnsi="Arial" w:cs="Arial"/>
                                <w:b/>
                                <w:lang w:val="en-US"/>
                              </w:rPr>
                              <w:tab/>
                              <w:t>What if there is a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5BF35" id="_x0000_s1081" type="#_x0000_t202" style="position:absolute;margin-left:-5.25pt;margin-top:54.25pt;width:499.5pt;height:110.6pt;z-index:25213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" fillcolor="#d8d8d8 [2732]">
                <v:textbox style="mso-fit-shape-to-text:t">
                  <w:txbxContent>
                    <w:p w14:paraId="54E0E0BA" w14:textId="77777777" w:rsidR="001A6C58" w:rsidRPr="00F666B2" w:rsidRDefault="001A6C58" w:rsidP="001A6C58">
                      <w:pPr>
                        <w:rPr>
                          <w:rFonts w:ascii="Arial" w:hAnsi="Arial" w:cs="Arial"/>
                          <w:b/>
                          <w:lang w:val="en-US"/>
                        </w:rPr>
                      </w:pPr>
                      <w:r w:rsidRPr="00F666B2">
                        <w:rPr>
                          <w:rFonts w:ascii="Arial" w:hAnsi="Arial" w:cs="Arial"/>
                          <w:b/>
                          <w:lang w:val="en-US"/>
                        </w:rPr>
                        <w:t>9.</w:t>
                      </w:r>
                      <w:r w:rsidRPr="00F666B2">
                        <w:rPr>
                          <w:rFonts w:ascii="Arial" w:hAnsi="Arial" w:cs="Arial"/>
                          <w:b/>
                          <w:lang w:val="en-US"/>
                        </w:rPr>
                        <w:tab/>
                        <w:t>What if there is a problem?</w:t>
                      </w:r>
                    </w:p>
                  </w:txbxContent>
                </v:textbox>
                <w10:wrap type="square"/>
              </v:shape>
            </w:pict>
          </mc:Fallback>
        </mc:AlternateContent>
      </w:r>
      <w:r w:rsidR="001A6C58" w:rsidRPr="001A6C58">
        <w:t xml:space="preserve">We will collect all the information together and decide if it is useful in telling us whether doctors can manage PBB better in the future. </w:t>
      </w:r>
    </w:p>
    <w:p w14:paraId="7494E6DF" w14:textId="6CE160C3" w:rsidR="00313A4E" w:rsidRPr="001A6C58" w:rsidRDefault="00313A4E" w:rsidP="001A6C58">
      <w:pPr>
        <w:spacing w:line="360" w:lineRule="auto"/>
      </w:pPr>
    </w:p>
    <w:p w14:paraId="437D138B" w14:textId="01E02C29" w:rsidR="001A6C58" w:rsidRPr="001A6C58" w:rsidRDefault="00313A4E" w:rsidP="001A6C58">
      <w:pPr>
        <w:spacing w:line="360" w:lineRule="auto"/>
      </w:pPr>
      <w:r w:rsidRPr="001A6C58">
        <w:rPr>
          <w:noProof/>
        </w:rPr>
        <mc:AlternateContent>
          <mc:Choice Requires="wps">
            <w:drawing>
              <wp:anchor distT="45720" distB="45720" distL="114300" distR="114300" simplePos="0" relativeHeight="252133888" behindDoc="0" locked="0" layoutInCell="1" allowOverlap="1" wp14:anchorId="42CAF7EE" wp14:editId="3F254445">
                <wp:simplePos x="0" y="0"/>
                <wp:positionH relativeFrom="column">
                  <wp:posOffset>-59985</wp:posOffset>
                </wp:positionH>
                <wp:positionV relativeFrom="paragraph">
                  <wp:posOffset>881749</wp:posOffset>
                </wp:positionV>
                <wp:extent cx="6305550" cy="1404620"/>
                <wp:effectExtent l="0" t="0" r="19050" b="27940"/>
                <wp:wrapSquare wrapText="bothSides"/>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04620"/>
                        </a:xfrm>
                        <a:prstGeom prst="rect">
                          <a:avLst/>
                        </a:prstGeom>
                        <a:solidFill>
                          <a:schemeClr val="bg1">
                            <a:lumMod val="85000"/>
                          </a:schemeClr>
                        </a:solidFill>
                        <a:ln w="9525">
                          <a:solidFill>
                            <a:srgbClr val="000000"/>
                          </a:solidFill>
                          <a:miter lim="800000"/>
                          <a:headEnd/>
                          <a:tailEnd/>
                        </a:ln>
                      </wps:spPr>
                      <wps:txbx>
                        <w:txbxContent>
                          <w:p w14:paraId="4FFCCF6B" w14:textId="77777777" w:rsidR="001A6C58" w:rsidRPr="00F666B2" w:rsidRDefault="001A6C58" w:rsidP="001A6C58">
                            <w:pPr>
                              <w:rPr>
                                <w:rFonts w:ascii="Arial" w:hAnsi="Arial" w:cs="Arial"/>
                                <w:b/>
                                <w:lang w:val="en-US"/>
                              </w:rPr>
                            </w:pPr>
                            <w:r w:rsidRPr="00F666B2">
                              <w:rPr>
                                <w:rFonts w:ascii="Arial" w:hAnsi="Arial" w:cs="Arial"/>
                                <w:b/>
                                <w:lang w:val="en-US"/>
                              </w:rPr>
                              <w:t>10.</w:t>
                            </w:r>
                            <w:r w:rsidRPr="00F666B2">
                              <w:rPr>
                                <w:rFonts w:ascii="Arial" w:hAnsi="Arial" w:cs="Arial"/>
                                <w:b/>
                                <w:lang w:val="en-US"/>
                              </w:rPr>
                              <w:tab/>
                              <w:t>Will my child’s taking part in the study be kept confidential?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AF7EE" id="_x0000_s1082" type="#_x0000_t202" style="position:absolute;margin-left:-4.7pt;margin-top:69.45pt;width:496.5pt;height:110.6pt;z-index:25213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" fillcolor="#d8d8d8 [2732]">
                <v:textbox style="mso-fit-shape-to-text:t">
                  <w:txbxContent>
                    <w:p w14:paraId="4FFCCF6B" w14:textId="77777777" w:rsidR="001A6C58" w:rsidRPr="00F666B2" w:rsidRDefault="001A6C58" w:rsidP="001A6C58">
                      <w:pPr>
                        <w:rPr>
                          <w:rFonts w:ascii="Arial" w:hAnsi="Arial" w:cs="Arial"/>
                          <w:b/>
                          <w:lang w:val="en-US"/>
                        </w:rPr>
                      </w:pPr>
                      <w:r w:rsidRPr="00F666B2">
                        <w:rPr>
                          <w:rFonts w:ascii="Arial" w:hAnsi="Arial" w:cs="Arial"/>
                          <w:b/>
                          <w:lang w:val="en-US"/>
                        </w:rPr>
                        <w:t>10.</w:t>
                      </w:r>
                      <w:r w:rsidRPr="00F666B2">
                        <w:rPr>
                          <w:rFonts w:ascii="Arial" w:hAnsi="Arial" w:cs="Arial"/>
                          <w:b/>
                          <w:lang w:val="en-US"/>
                        </w:rPr>
                        <w:tab/>
                        <w:t>Will my child’s taking part in the study be kept confidential?</w:t>
                      </w:r>
                    </w:p>
                  </w:txbxContent>
                </v:textbox>
                <w10:wrap type="square"/>
              </v:shape>
            </w:pict>
          </mc:Fallback>
        </mc:AlternateContent>
      </w:r>
      <w:r w:rsidR="001A6C58" w:rsidRPr="001A6C58">
        <w:t>Any complaint about the way you or your child have been dealt with during the study or any possible harm you or your child might suffer will be addressed.  The detailed information on this is given in Part 2.</w:t>
      </w:r>
    </w:p>
    <w:p w14:paraId="30638228" w14:textId="5EC9E196" w:rsidR="001A6C58" w:rsidRPr="001A6C58" w:rsidRDefault="001A6C58" w:rsidP="001A6C58">
      <w:pPr>
        <w:spacing w:line="360" w:lineRule="auto"/>
      </w:pPr>
    </w:p>
    <w:p w14:paraId="7484F705" w14:textId="77777777" w:rsidR="001A6C58" w:rsidRPr="001A6C58" w:rsidRDefault="001A6C58" w:rsidP="001A6C58">
      <w:pPr>
        <w:spacing w:line="360" w:lineRule="auto"/>
        <w:rPr>
          <w:i/>
          <w:iCs/>
        </w:rPr>
      </w:pPr>
      <w:r w:rsidRPr="001A6C58">
        <w:t>Yes.  We will follow ethical and legal practice and all information about your child will be handled in confidence.  The details are included in Part 2.</w:t>
      </w:r>
    </w:p>
    <w:p w14:paraId="2C056764" w14:textId="77777777" w:rsidR="001A6C58" w:rsidRPr="001A6C58" w:rsidRDefault="001A6C58" w:rsidP="001A6C58">
      <w:pPr>
        <w:spacing w:line="360" w:lineRule="auto"/>
      </w:pPr>
    </w:p>
    <w:p w14:paraId="665C2272" w14:textId="77777777" w:rsidR="001A6C58" w:rsidRPr="00313A4E" w:rsidRDefault="001A6C58" w:rsidP="001A6C58">
      <w:pPr>
        <w:spacing w:line="360" w:lineRule="auto"/>
        <w:rPr>
          <w:b/>
          <w:bCs/>
          <w:i/>
          <w:iCs/>
        </w:rPr>
      </w:pPr>
      <w:r w:rsidRPr="00313A4E">
        <w:rPr>
          <w:b/>
          <w:bCs/>
        </w:rPr>
        <w:t>This completes Part 1.</w:t>
      </w:r>
    </w:p>
    <w:p w14:paraId="29AFDF77" w14:textId="77777777" w:rsidR="001A6C58" w:rsidRPr="00313A4E" w:rsidRDefault="001A6C58" w:rsidP="001A6C58">
      <w:pPr>
        <w:spacing w:line="360" w:lineRule="auto"/>
        <w:rPr>
          <w:b/>
          <w:bCs/>
          <w:i/>
          <w:iCs/>
        </w:rPr>
      </w:pPr>
      <w:r w:rsidRPr="00313A4E">
        <w:rPr>
          <w:b/>
          <w:bCs/>
        </w:rPr>
        <w:t>If the information in Part 1 has interested you and you are considering your child’s participation, please read the additional information in Part 2 before making any decision.</w:t>
      </w:r>
    </w:p>
    <w:p w14:paraId="5B1CA661" w14:textId="4EDF39DA" w:rsidR="001A6C58" w:rsidRDefault="001A6C58" w:rsidP="001A6C58">
      <w:pPr>
        <w:spacing w:line="360" w:lineRule="auto"/>
        <w:rPr>
          <w:b/>
          <w:bCs/>
        </w:rPr>
      </w:pPr>
      <w:r w:rsidRPr="001A6C58">
        <w:rPr>
          <w:i/>
          <w:iCs/>
        </w:rPr>
        <w:br w:type="page"/>
      </w:r>
      <w:r w:rsidRPr="00313A4E">
        <w:rPr>
          <w:b/>
          <w:bCs/>
        </w:rPr>
        <w:lastRenderedPageBreak/>
        <w:t>Part 2 of the information sheet</w:t>
      </w:r>
    </w:p>
    <w:p w14:paraId="64BB4E7D" w14:textId="77777777" w:rsidR="00313A4E" w:rsidRPr="00313A4E" w:rsidRDefault="00313A4E" w:rsidP="001A6C58">
      <w:pPr>
        <w:spacing w:line="360" w:lineRule="auto"/>
        <w:rPr>
          <w:b/>
          <w:bCs/>
        </w:rPr>
      </w:pPr>
    </w:p>
    <w:p w14:paraId="7527C262" w14:textId="77777777" w:rsidR="001A6C58" w:rsidRPr="00313A4E" w:rsidRDefault="001A6C58" w:rsidP="001A6C58">
      <w:pPr>
        <w:spacing w:line="360" w:lineRule="auto"/>
        <w:rPr>
          <w:b/>
          <w:bCs/>
        </w:rPr>
      </w:pPr>
      <w:r w:rsidRPr="00313A4E">
        <w:rPr>
          <w:b/>
          <w:bCs/>
        </w:rPr>
        <w:t>What if relevant new information becomes available?</w:t>
      </w:r>
    </w:p>
    <w:p w14:paraId="11592011" w14:textId="100ACD41" w:rsidR="001A6C58" w:rsidRDefault="001A6C58" w:rsidP="001A6C58">
      <w:pPr>
        <w:spacing w:line="360" w:lineRule="auto"/>
      </w:pPr>
      <w:r w:rsidRPr="001A6C58">
        <w:t>Sometimes we get new information about the treatment being studied.  If this happens, someone from the research team will tell you and your child and discuss with you whether you want your child to continue in the study.  If you decide not to carry on, arrangements will be made for your child’s care to continue.  If you decide to continue in the study you may be asked to sign an agreement outlining the discussion.</w:t>
      </w:r>
    </w:p>
    <w:p w14:paraId="0970FE7A" w14:textId="77777777" w:rsidR="00313A4E" w:rsidRPr="001A6C58" w:rsidRDefault="00313A4E" w:rsidP="001A6C58">
      <w:pPr>
        <w:spacing w:line="360" w:lineRule="auto"/>
      </w:pPr>
    </w:p>
    <w:p w14:paraId="232FE666" w14:textId="77777777" w:rsidR="001A6C58" w:rsidRPr="00313A4E" w:rsidRDefault="001A6C58" w:rsidP="001A6C58">
      <w:pPr>
        <w:spacing w:line="360" w:lineRule="auto"/>
        <w:rPr>
          <w:b/>
          <w:bCs/>
        </w:rPr>
      </w:pPr>
      <w:r w:rsidRPr="00313A4E">
        <w:rPr>
          <w:b/>
          <w:bCs/>
        </w:rPr>
        <w:t>What will happen if we don’t want to carry on with the study?</w:t>
      </w:r>
    </w:p>
    <w:p w14:paraId="7FA68FB2" w14:textId="77777777" w:rsidR="001A6C58" w:rsidRPr="001A6C58" w:rsidRDefault="001A6C58" w:rsidP="001A6C58">
      <w:pPr>
        <w:spacing w:line="360" w:lineRule="auto"/>
        <w:rPr>
          <w:i/>
          <w:iCs/>
        </w:rPr>
      </w:pPr>
      <w:r w:rsidRPr="001A6C58">
        <w:t>You can withdraw your child from the study at any point. If you would like to keep in contact with us to let us know their progress that can be arranged. If you withdraw from the study, we will destroy all your child’s identifiable samples if you wish, but we will need to use the data collected up to their withdrawal.</w:t>
      </w:r>
    </w:p>
    <w:p w14:paraId="33E3AC28" w14:textId="77777777" w:rsidR="001A6C58" w:rsidRPr="001A6C58" w:rsidRDefault="001A6C58" w:rsidP="001A6C58">
      <w:pPr>
        <w:spacing w:line="360" w:lineRule="auto"/>
        <w:rPr>
          <w:i/>
        </w:rPr>
      </w:pPr>
    </w:p>
    <w:p w14:paraId="6254AE1E" w14:textId="00BEF9A4" w:rsidR="001A6C58" w:rsidRPr="00313A4E" w:rsidRDefault="001A6C58" w:rsidP="001A6C58">
      <w:pPr>
        <w:spacing w:line="360" w:lineRule="auto"/>
        <w:rPr>
          <w:b/>
          <w:bCs/>
        </w:rPr>
      </w:pPr>
      <w:r w:rsidRPr="00313A4E">
        <w:rPr>
          <w:b/>
          <w:bCs/>
        </w:rPr>
        <w:t>What if there is a problem?</w:t>
      </w:r>
    </w:p>
    <w:p w14:paraId="65A89614" w14:textId="77777777" w:rsidR="001A6C58" w:rsidRPr="00313A4E" w:rsidRDefault="001A6C58" w:rsidP="001A6C58">
      <w:pPr>
        <w:spacing w:line="360" w:lineRule="auto"/>
        <w:rPr>
          <w:u w:val="single"/>
        </w:rPr>
      </w:pPr>
      <w:r w:rsidRPr="00313A4E">
        <w:rPr>
          <w:u w:val="single"/>
        </w:rPr>
        <w:t>Complaints</w:t>
      </w:r>
    </w:p>
    <w:p w14:paraId="0F926DA9" w14:textId="77777777" w:rsidR="001A6C58" w:rsidRPr="001A6C58" w:rsidRDefault="001A6C58" w:rsidP="001A6C58">
      <w:pPr>
        <w:spacing w:line="360" w:lineRule="auto"/>
      </w:pPr>
      <w:r w:rsidRPr="001A6C58">
        <w:t>If you have a concern about any aspect of this study, you should ask to speak to the researchers who will do their best to answer your questions.</w:t>
      </w:r>
    </w:p>
    <w:p w14:paraId="7F85B18D" w14:textId="77777777" w:rsidR="001A6C58" w:rsidRPr="001A6C58" w:rsidRDefault="001A6C58" w:rsidP="001A6C58">
      <w:pPr>
        <w:spacing w:line="360" w:lineRule="auto"/>
      </w:pPr>
      <w:r w:rsidRPr="001A6C58">
        <w:t>Name:</w:t>
      </w:r>
      <w:r w:rsidRPr="001A6C58">
        <w:tab/>
        <w:t>Simon Hardman</w:t>
      </w:r>
    </w:p>
    <w:p w14:paraId="46F9612A" w14:textId="77777777" w:rsidR="001A6C58" w:rsidRPr="001A6C58" w:rsidRDefault="001A6C58" w:rsidP="001A6C58">
      <w:pPr>
        <w:spacing w:line="360" w:lineRule="auto"/>
      </w:pPr>
      <w:r w:rsidRPr="001A6C58">
        <w:t xml:space="preserve">Title: </w:t>
      </w:r>
      <w:r w:rsidRPr="001A6C58">
        <w:tab/>
        <w:t>Doctor</w:t>
      </w:r>
    </w:p>
    <w:p w14:paraId="6811544F" w14:textId="77777777" w:rsidR="001A6C58" w:rsidRPr="001A6C58" w:rsidRDefault="001A6C58" w:rsidP="001A6C58">
      <w:pPr>
        <w:spacing w:line="360" w:lineRule="auto"/>
      </w:pPr>
      <w:r w:rsidRPr="001A6C58">
        <w:t>Hospital/Department: Sheffield Children’s Hospital</w:t>
      </w:r>
    </w:p>
    <w:p w14:paraId="4BF1EB9F" w14:textId="77777777" w:rsidR="001A6C58" w:rsidRPr="001A6C58" w:rsidRDefault="001A6C58" w:rsidP="001A6C58">
      <w:pPr>
        <w:spacing w:line="360" w:lineRule="auto"/>
      </w:pPr>
    </w:p>
    <w:p w14:paraId="1AE908DB" w14:textId="77777777" w:rsidR="001A6C58" w:rsidRPr="001A6C58" w:rsidRDefault="001A6C58" w:rsidP="001A6C58">
      <w:pPr>
        <w:spacing w:line="360" w:lineRule="auto"/>
      </w:pPr>
      <w:r w:rsidRPr="001A6C58">
        <w:t>If you remain unhappy and wish to complain formally, you can do this by contacting:</w:t>
      </w:r>
    </w:p>
    <w:p w14:paraId="79058815" w14:textId="77777777" w:rsidR="001A6C58" w:rsidRPr="001A6C58" w:rsidRDefault="001A6C58" w:rsidP="001A6C58">
      <w:pPr>
        <w:spacing w:line="360" w:lineRule="auto"/>
      </w:pPr>
      <w:r w:rsidRPr="001A6C58">
        <w:t>Patient Advice &amp; Liaison Co-ordinator</w:t>
      </w:r>
    </w:p>
    <w:p w14:paraId="64427541" w14:textId="77777777" w:rsidR="001A6C58" w:rsidRPr="001A6C58" w:rsidRDefault="001A6C58" w:rsidP="001A6C58">
      <w:pPr>
        <w:spacing w:line="360" w:lineRule="auto"/>
      </w:pPr>
      <w:r w:rsidRPr="001A6C58">
        <w:t>Sheffield Children’s NHS Foundation Trust</w:t>
      </w:r>
    </w:p>
    <w:p w14:paraId="61825DD8" w14:textId="77777777" w:rsidR="001A6C58" w:rsidRPr="001A6C58" w:rsidRDefault="001A6C58" w:rsidP="001A6C58">
      <w:pPr>
        <w:spacing w:line="360" w:lineRule="auto"/>
      </w:pPr>
    </w:p>
    <w:p w14:paraId="61571024" w14:textId="77777777" w:rsidR="001A6C58" w:rsidRPr="00313A4E" w:rsidRDefault="001A6C58" w:rsidP="001A6C58">
      <w:pPr>
        <w:spacing w:line="360" w:lineRule="auto"/>
        <w:rPr>
          <w:b/>
          <w:bCs/>
        </w:rPr>
      </w:pPr>
      <w:r w:rsidRPr="00313A4E">
        <w:rPr>
          <w:b/>
          <w:bCs/>
        </w:rPr>
        <w:t>Harm</w:t>
      </w:r>
    </w:p>
    <w:p w14:paraId="64132BC3" w14:textId="77777777" w:rsidR="001A6C58" w:rsidRPr="001A6C58" w:rsidRDefault="001A6C58" w:rsidP="001A6C58">
      <w:pPr>
        <w:spacing w:line="360" w:lineRule="auto"/>
      </w:pPr>
      <w:r w:rsidRPr="001A6C58">
        <w:t xml:space="preserve">In the event that something does go wrong and your child is harmed during the research and this is due to someone’s negligence then you may have grounds for a legal action for compensation, </w:t>
      </w:r>
      <w:r w:rsidRPr="001A6C58">
        <w:lastRenderedPageBreak/>
        <w:t>but you may have to pay your legal costs.  The normal NHS complaints mechanisms will still be available to you.</w:t>
      </w:r>
    </w:p>
    <w:p w14:paraId="4E82CD40" w14:textId="77777777" w:rsidR="001A6C58" w:rsidRPr="001A6C58" w:rsidRDefault="001A6C58" w:rsidP="001A6C58">
      <w:pPr>
        <w:spacing w:line="360" w:lineRule="auto"/>
      </w:pPr>
    </w:p>
    <w:p w14:paraId="0B09024B" w14:textId="77777777" w:rsidR="001A6C58" w:rsidRPr="00313A4E" w:rsidRDefault="001A6C58" w:rsidP="001A6C58">
      <w:pPr>
        <w:spacing w:line="360" w:lineRule="auto"/>
        <w:rPr>
          <w:b/>
          <w:bCs/>
        </w:rPr>
      </w:pPr>
      <w:r w:rsidRPr="00313A4E">
        <w:rPr>
          <w:b/>
          <w:bCs/>
        </w:rPr>
        <w:t>Will my taking part in this study be kept confidential?</w:t>
      </w:r>
    </w:p>
    <w:p w14:paraId="73A9BC41" w14:textId="77777777" w:rsidR="001A6C58" w:rsidRPr="001A6C58" w:rsidRDefault="001A6C58" w:rsidP="001A6C58">
      <w:pPr>
        <w:spacing w:line="360" w:lineRule="auto"/>
      </w:pPr>
      <w:r w:rsidRPr="001A6C58">
        <w:t xml:space="preserve">All information which is collected about your child during the course of the research will be kept strictly confidential.  Any information about your child which leaves the hospital will have their name and address removed so that they cannot be recognised from it.  The research team members and the microbiology laboratory, where the nasal samples will be processed, will be the only people to have access to identifiable data. Once the study is complete all data will be kept for 5 years in a locked cupboard within the clinical research facility as part of the clinical governance procedures. </w:t>
      </w:r>
    </w:p>
    <w:p w14:paraId="51A7EE9E" w14:textId="77777777" w:rsidR="001A6C58" w:rsidRPr="001A6C58" w:rsidRDefault="001A6C58" w:rsidP="001A6C58">
      <w:pPr>
        <w:spacing w:line="360" w:lineRule="auto"/>
      </w:pPr>
    </w:p>
    <w:p w14:paraId="3B060662" w14:textId="7614A258" w:rsidR="001A6C58" w:rsidRDefault="001A6C58" w:rsidP="001A6C58">
      <w:pPr>
        <w:spacing w:line="360" w:lineRule="auto"/>
      </w:pPr>
      <w:r w:rsidRPr="001A6C58">
        <w:t>Our procedures for handling, processing, storage and destruction of data are compliant with the Data Protection Act 2018.</w:t>
      </w:r>
      <w:r w:rsidR="00313A4E">
        <w:t xml:space="preserve"> </w:t>
      </w:r>
      <w:r w:rsidRPr="001A6C58">
        <w:t>The nasal samples will be destroyed after they have been processed. The bacteria grown may however be used in other research studies. These bacterial samples will not contain any human tissue. They will be anonymised so that there is no link from the bacterial sample to your child. We will also ask for permission to inform your family GP that your child will be taking part in the study.</w:t>
      </w:r>
      <w:r w:rsidR="00313A4E">
        <w:t xml:space="preserve"> </w:t>
      </w:r>
      <w:r w:rsidRPr="001A6C58">
        <w:t>Your child’s medical notes may also be looked at by other people within the hospital involved in the running and supervision of the study to check that it is being carried out correctly.</w:t>
      </w:r>
    </w:p>
    <w:p w14:paraId="58F8ED22" w14:textId="77777777" w:rsidR="00313A4E" w:rsidRPr="001A6C58" w:rsidRDefault="00313A4E" w:rsidP="001A6C58">
      <w:pPr>
        <w:spacing w:line="360" w:lineRule="auto"/>
      </w:pPr>
    </w:p>
    <w:p w14:paraId="712FA874" w14:textId="77777777" w:rsidR="001A6C58" w:rsidRPr="00313A4E" w:rsidRDefault="001A6C58" w:rsidP="001A6C58">
      <w:pPr>
        <w:spacing w:line="360" w:lineRule="auto"/>
        <w:rPr>
          <w:b/>
          <w:bCs/>
        </w:rPr>
      </w:pPr>
      <w:r w:rsidRPr="00313A4E">
        <w:rPr>
          <w:b/>
          <w:bCs/>
        </w:rPr>
        <w:t>What will happen to any samples my child gives?</w:t>
      </w:r>
    </w:p>
    <w:p w14:paraId="4C5E5596" w14:textId="77777777" w:rsidR="001A6C58" w:rsidRPr="001A6C58" w:rsidRDefault="001A6C58" w:rsidP="001A6C58">
      <w:pPr>
        <w:spacing w:line="360" w:lineRule="auto"/>
        <w:rPr>
          <w:iCs/>
        </w:rPr>
      </w:pPr>
      <w:r w:rsidRPr="001A6C58">
        <w:rPr>
          <w:iCs/>
        </w:rPr>
        <w:t xml:space="preserve">The samples taken from your child will be sent to the microbiology laboratory at Sheffield Teaching Hospitals. They will be labelled with a study number and your child’s unique Sheffield Children’s Hospital number. The samples will then be transferred to the university of Sheffield Microbiology laboratory for further processing. Your child’s details will not be on these samples, only sample identification numbers. The final analysis will take place in an external laboratory run by the company </w:t>
      </w:r>
      <w:proofErr w:type="spellStart"/>
      <w:r w:rsidRPr="001A6C58">
        <w:rPr>
          <w:iCs/>
        </w:rPr>
        <w:t>Genewiz</w:t>
      </w:r>
      <w:proofErr w:type="spellEnd"/>
      <w:r w:rsidRPr="001A6C58">
        <w:rPr>
          <w:iCs/>
        </w:rPr>
        <w:t xml:space="preserve">. Once the nasal samples have been processed, they will be destroyed. The bacteria grown may be stored and transferred to the University of Sheffield for further research. These samples will not contain any human tissue and will be completely anonymised. </w:t>
      </w:r>
    </w:p>
    <w:p w14:paraId="5A06479D" w14:textId="77777777" w:rsidR="001A6C58" w:rsidRPr="001A6C58" w:rsidRDefault="001A6C58" w:rsidP="001A6C58">
      <w:pPr>
        <w:spacing w:line="360" w:lineRule="auto"/>
        <w:rPr>
          <w:iCs/>
        </w:rPr>
      </w:pPr>
    </w:p>
    <w:p w14:paraId="3DF62FFF" w14:textId="77777777" w:rsidR="001A6C58" w:rsidRPr="00313A4E" w:rsidRDefault="001A6C58" w:rsidP="001A6C58">
      <w:pPr>
        <w:spacing w:line="360" w:lineRule="auto"/>
        <w:rPr>
          <w:b/>
          <w:bCs/>
        </w:rPr>
      </w:pPr>
      <w:r w:rsidRPr="00313A4E">
        <w:rPr>
          <w:b/>
          <w:bCs/>
        </w:rPr>
        <w:t>What will happen to the results of the research study?</w:t>
      </w:r>
    </w:p>
    <w:p w14:paraId="289C1AF0" w14:textId="77777777" w:rsidR="001A6C58" w:rsidRPr="001A6C58" w:rsidRDefault="001A6C58" w:rsidP="001A6C58">
      <w:pPr>
        <w:spacing w:line="360" w:lineRule="auto"/>
      </w:pPr>
      <w:r w:rsidRPr="001A6C58">
        <w:t xml:space="preserve">When the study has finished we will present our findings to other researchers, and we will put the results in medical magazines and websites that researchers read.  We would also like to put a brief summary on the hospital research website so that you will be able to read about our results too.  This will be available at the end of the study, in </w:t>
      </w:r>
      <w:r w:rsidRPr="001A6C58">
        <w:rPr>
          <w:iCs/>
        </w:rPr>
        <w:t>April 2021</w:t>
      </w:r>
      <w:r w:rsidRPr="001A6C58">
        <w:rPr>
          <w:i/>
          <w:iCs/>
        </w:rPr>
        <w:t xml:space="preserve">, </w:t>
      </w:r>
      <w:r w:rsidRPr="001A6C58">
        <w:t xml:space="preserve">on </w:t>
      </w:r>
      <w:hyperlink r:id="rId343" w:history="1">
        <w:r w:rsidRPr="001A6C58">
          <w:rPr>
            <w:rStyle w:val="Hyperlink"/>
          </w:rPr>
          <w:t>www.sheffieldchildrens.nhs.uk/research-and-innovation.htm</w:t>
        </w:r>
      </w:hyperlink>
      <w:r w:rsidRPr="001A6C58">
        <w:t xml:space="preserve">. </w:t>
      </w:r>
    </w:p>
    <w:p w14:paraId="07C21FBD" w14:textId="77777777" w:rsidR="001A6C58" w:rsidRPr="001A6C58" w:rsidRDefault="001A6C58" w:rsidP="001A6C58">
      <w:pPr>
        <w:spacing w:line="360" w:lineRule="auto"/>
      </w:pPr>
      <w:r w:rsidRPr="001A6C58">
        <w:t>The results will be anonymous, which means that your child will not be able to be identified from them.</w:t>
      </w:r>
    </w:p>
    <w:p w14:paraId="3D485221" w14:textId="77777777" w:rsidR="001A6C58" w:rsidRPr="001A6C58" w:rsidRDefault="001A6C58" w:rsidP="001A6C58">
      <w:pPr>
        <w:spacing w:line="360" w:lineRule="auto"/>
      </w:pPr>
      <w:r w:rsidRPr="001A6C58">
        <w:t>Who is organising and funding the research?</w:t>
      </w:r>
    </w:p>
    <w:p w14:paraId="1A8385DF" w14:textId="77777777" w:rsidR="001A6C58" w:rsidRPr="001A6C58" w:rsidRDefault="001A6C58" w:rsidP="001A6C58">
      <w:pPr>
        <w:spacing w:line="360" w:lineRule="auto"/>
      </w:pPr>
      <w:r w:rsidRPr="001A6C58">
        <w:t>The research is being organised by the University of Sheffield and Sheffield Children’s NHS Foundation Trust. It is being funded by the Sir Halley Stewart Trust.</w:t>
      </w:r>
    </w:p>
    <w:p w14:paraId="42B3733C" w14:textId="77777777" w:rsidR="001A6C58" w:rsidRPr="001A6C58" w:rsidRDefault="001A6C58" w:rsidP="001A6C58">
      <w:pPr>
        <w:spacing w:line="360" w:lineRule="auto"/>
        <w:rPr>
          <w:i/>
          <w:iCs/>
        </w:rPr>
      </w:pPr>
    </w:p>
    <w:p w14:paraId="7958999D" w14:textId="77777777" w:rsidR="001A6C58" w:rsidRPr="00313A4E" w:rsidRDefault="001A6C58" w:rsidP="001A6C58">
      <w:pPr>
        <w:spacing w:line="360" w:lineRule="auto"/>
        <w:rPr>
          <w:b/>
          <w:bCs/>
        </w:rPr>
      </w:pPr>
      <w:r w:rsidRPr="00313A4E">
        <w:rPr>
          <w:b/>
          <w:bCs/>
        </w:rPr>
        <w:t>Who has reviewed the study?</w:t>
      </w:r>
    </w:p>
    <w:p w14:paraId="570A0D8D" w14:textId="77777777" w:rsidR="001A6C58" w:rsidRPr="001A6C58" w:rsidRDefault="001A6C58" w:rsidP="001A6C58">
      <w:pPr>
        <w:spacing w:line="360" w:lineRule="auto"/>
      </w:pPr>
      <w:r w:rsidRPr="001A6C58">
        <w:t>All research in the NHS is looked at by an independent group of people, called a Research Ethics Committee, to protect your interests.  This study has been reviewed and given a favourable opinion by the XXXXX Research and Ethics Committee. It has also been given approval by the Research Department to run at this hospital.</w:t>
      </w:r>
    </w:p>
    <w:p w14:paraId="37B6BB41" w14:textId="77777777" w:rsidR="001A6C58" w:rsidRPr="001A6C58" w:rsidRDefault="001A6C58" w:rsidP="001A6C58">
      <w:pPr>
        <w:spacing w:line="360" w:lineRule="auto"/>
      </w:pPr>
    </w:p>
    <w:p w14:paraId="783A8F11" w14:textId="77777777" w:rsidR="001A6C58" w:rsidRPr="00313A4E" w:rsidRDefault="001A6C58" w:rsidP="001A6C58">
      <w:pPr>
        <w:spacing w:line="360" w:lineRule="auto"/>
        <w:rPr>
          <w:b/>
          <w:bCs/>
        </w:rPr>
      </w:pPr>
      <w:r w:rsidRPr="00313A4E">
        <w:rPr>
          <w:b/>
          <w:bCs/>
        </w:rPr>
        <w:t xml:space="preserve">General Data Protection Regulation Information </w:t>
      </w:r>
    </w:p>
    <w:p w14:paraId="798F72F0" w14:textId="77777777" w:rsidR="001A6C58" w:rsidRPr="001A6C58" w:rsidRDefault="001A6C58" w:rsidP="001A6C58">
      <w:pPr>
        <w:spacing w:line="360" w:lineRule="auto"/>
      </w:pPr>
      <w:r w:rsidRPr="001A6C58">
        <w:t>Sheffield Children’s NHS Foundation Trust is the sponsor for this study based in the United Kingdom. We will be using information from you and/or your child in order to undertake this study and will act as the data controller for this study. This means that we are responsible for looking after your information and using it properly. Sheffield Children’s NHS Foundation Trust will keep identifiable information about you for 5 years after the study has finished, in some instances personal data maybe kept for longer where there is explicit consent in place.</w:t>
      </w:r>
    </w:p>
    <w:p w14:paraId="0F395375" w14:textId="77777777" w:rsidR="001A6C58" w:rsidRPr="001A6C58" w:rsidRDefault="001A6C58" w:rsidP="001A6C58">
      <w:pPr>
        <w:spacing w:line="360" w:lineRule="auto"/>
      </w:pPr>
    </w:p>
    <w:p w14:paraId="25436322" w14:textId="77777777" w:rsidR="001A6C58" w:rsidRPr="001A6C58" w:rsidRDefault="001A6C58" w:rsidP="001A6C58">
      <w:pPr>
        <w:spacing w:line="360" w:lineRule="auto"/>
      </w:pPr>
      <w:r w:rsidRPr="001A6C58">
        <w:t>You can find out more about how we use your information at the following link: https://www.sheffieldchildrens.nhs.uk/your-information/</w:t>
      </w:r>
    </w:p>
    <w:p w14:paraId="253EC899" w14:textId="77777777" w:rsidR="001A6C58" w:rsidRPr="001A6C58" w:rsidRDefault="001A6C58" w:rsidP="001A6C58">
      <w:pPr>
        <w:spacing w:line="360" w:lineRule="auto"/>
      </w:pPr>
    </w:p>
    <w:p w14:paraId="74A266BA" w14:textId="77777777" w:rsidR="001A6C58" w:rsidRPr="001A6C58" w:rsidRDefault="001A6C58" w:rsidP="001A6C58">
      <w:pPr>
        <w:spacing w:line="360" w:lineRule="auto"/>
      </w:pPr>
      <w:r w:rsidRPr="001A6C58">
        <w:lastRenderedPageBreak/>
        <w:t>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personally-identifiable information possible.</w:t>
      </w:r>
    </w:p>
    <w:p w14:paraId="154BE2E9" w14:textId="77777777" w:rsidR="001A6C58" w:rsidRPr="001A6C58" w:rsidRDefault="001A6C58" w:rsidP="001A6C58">
      <w:pPr>
        <w:spacing w:line="360" w:lineRule="auto"/>
      </w:pPr>
      <w:r w:rsidRPr="001A6C58">
        <w:t>Sheffield Children’s NHS Foundation Trust will use your name, hospital number and other identifiers to contact you about the research study, and make sure that relevant information about the study is recorded for your care, and to oversee the quality of the study. The only people at Sheffield Children’s NHS Foundation Trust who will have access to information that identifies you will be people who need to contact you regarding your participation in the study, or audit the data collection process. The people who analyse the information will not be able to identify you and will not be able to find out your name, NHS number, or contact details.</w:t>
      </w:r>
    </w:p>
    <w:p w14:paraId="1B4CC982" w14:textId="77777777" w:rsidR="001A6C58" w:rsidRPr="001A6C58" w:rsidRDefault="001A6C58" w:rsidP="001A6C58">
      <w:pPr>
        <w:spacing w:line="360" w:lineRule="auto"/>
      </w:pPr>
    </w:p>
    <w:p w14:paraId="6BDB30ED" w14:textId="77777777" w:rsidR="001A6C58" w:rsidRPr="001A6C58" w:rsidRDefault="001A6C58" w:rsidP="001A6C58">
      <w:pPr>
        <w:spacing w:line="360" w:lineRule="auto"/>
      </w:pPr>
      <w:r w:rsidRPr="001A6C58">
        <w:t>The following website provides information about how your information is used in research: https://www.hra.nhs.uk/information-about-patients/</w:t>
      </w:r>
    </w:p>
    <w:p w14:paraId="52F0F6D9" w14:textId="77777777" w:rsidR="001A6C58" w:rsidRPr="001A6C58" w:rsidRDefault="001A6C58" w:rsidP="001A6C58">
      <w:pPr>
        <w:spacing w:line="360" w:lineRule="auto"/>
      </w:pPr>
    </w:p>
    <w:p w14:paraId="013ABB54" w14:textId="77777777" w:rsidR="001A6C58" w:rsidRPr="001A6C58" w:rsidRDefault="001A6C58" w:rsidP="001A6C58">
      <w:pPr>
        <w:spacing w:line="360" w:lineRule="auto"/>
      </w:pPr>
      <w:r w:rsidRPr="001A6C58">
        <w:t>Your information will only be used for the purpose of health and care research, and cannot be used to contact you or to affect your care. It will not be used to make decisions about future services available to you, such as insurance.</w:t>
      </w:r>
    </w:p>
    <w:p w14:paraId="4531267C" w14:textId="77777777" w:rsidR="001A6C58" w:rsidRPr="001A6C58" w:rsidRDefault="001A6C58" w:rsidP="001A6C58">
      <w:pPr>
        <w:spacing w:line="360" w:lineRule="auto"/>
      </w:pPr>
      <w:r w:rsidRPr="001A6C58">
        <w:t>If you would like to find out more information regarding research at Sheffield Children’s NHS Foundation Trust, then please follow the link:</w:t>
      </w:r>
    </w:p>
    <w:p w14:paraId="099E39E5" w14:textId="77777777" w:rsidR="001A6C58" w:rsidRPr="001A6C58" w:rsidRDefault="00000000" w:rsidP="001A6C58">
      <w:pPr>
        <w:spacing w:line="360" w:lineRule="auto"/>
      </w:pPr>
      <w:hyperlink r:id="rId344" w:history="1">
        <w:r w:rsidR="001A6C58" w:rsidRPr="001A6C58">
          <w:rPr>
            <w:rStyle w:val="Hyperlink"/>
            <w:bCs/>
          </w:rPr>
          <w:t>https://www.sheffieldchildrens.nhs.uk/research/</w:t>
        </w:r>
      </w:hyperlink>
    </w:p>
    <w:p w14:paraId="161FB2C7" w14:textId="77777777" w:rsidR="001A6C58" w:rsidRPr="001A6C58" w:rsidRDefault="001A6C58" w:rsidP="001A6C58">
      <w:pPr>
        <w:spacing w:line="360" w:lineRule="auto"/>
      </w:pPr>
    </w:p>
    <w:p w14:paraId="591A32B1" w14:textId="77777777" w:rsidR="001A6C58" w:rsidRPr="00313A4E" w:rsidRDefault="001A6C58" w:rsidP="001A6C58">
      <w:pPr>
        <w:spacing w:line="360" w:lineRule="auto"/>
        <w:rPr>
          <w:b/>
          <w:bCs/>
        </w:rPr>
      </w:pPr>
      <w:r w:rsidRPr="00313A4E">
        <w:rPr>
          <w:b/>
          <w:bCs/>
        </w:rPr>
        <w:t>How can I find out more?</w:t>
      </w:r>
    </w:p>
    <w:p w14:paraId="5D178531" w14:textId="77777777" w:rsidR="001A6C58" w:rsidRPr="001A6C58" w:rsidRDefault="001A6C58" w:rsidP="001A6C58">
      <w:pPr>
        <w:spacing w:line="360" w:lineRule="auto"/>
      </w:pPr>
      <w:r w:rsidRPr="001A6C58">
        <w:t>If you would like to find know more about research in general, the Clinical Research Facility at this hospital has an Information for families section on its website www.sheffieldchildrens.nhs.uk/research-and-innovation.htm or you could contact the hospital Clinical Research Facility:</w:t>
      </w:r>
    </w:p>
    <w:p w14:paraId="6A5DA149" w14:textId="77777777" w:rsidR="001A6C58" w:rsidRPr="001A6C58" w:rsidRDefault="001A6C58" w:rsidP="001A6C58">
      <w:pPr>
        <w:spacing w:line="360" w:lineRule="auto"/>
      </w:pPr>
    </w:p>
    <w:p w14:paraId="1A290BBD" w14:textId="77777777" w:rsidR="001A6C58" w:rsidRPr="001A6C58" w:rsidRDefault="001A6C58" w:rsidP="001A6C58">
      <w:pPr>
        <w:spacing w:line="360" w:lineRule="auto"/>
      </w:pPr>
      <w:r w:rsidRPr="001A6C58">
        <w:t>Sheffield Children’s NHS Foundation Trust</w:t>
      </w:r>
    </w:p>
    <w:p w14:paraId="1CB73B92" w14:textId="77777777" w:rsidR="001A6C58" w:rsidRPr="001A6C58" w:rsidRDefault="001A6C58" w:rsidP="001A6C58">
      <w:pPr>
        <w:spacing w:line="360" w:lineRule="auto"/>
      </w:pPr>
    </w:p>
    <w:p w14:paraId="3C75096F" w14:textId="77777777" w:rsidR="001A6C58" w:rsidRPr="001A6C58" w:rsidRDefault="001A6C58" w:rsidP="001A6C58">
      <w:pPr>
        <w:spacing w:line="360" w:lineRule="auto"/>
      </w:pPr>
      <w:r w:rsidRPr="001A6C58">
        <w:lastRenderedPageBreak/>
        <w:t>If you would like to know more specific information about this research project, please contact the project co-ordinator:</w:t>
      </w:r>
    </w:p>
    <w:p w14:paraId="70F7C668" w14:textId="77777777" w:rsidR="001A6C58" w:rsidRPr="001A6C58" w:rsidRDefault="001A6C58" w:rsidP="001A6C58">
      <w:pPr>
        <w:spacing w:line="360" w:lineRule="auto"/>
      </w:pPr>
    </w:p>
    <w:p w14:paraId="6C8370E0" w14:textId="77777777" w:rsidR="001A6C58" w:rsidRPr="001A6C58" w:rsidRDefault="001A6C58" w:rsidP="001A6C58">
      <w:pPr>
        <w:spacing w:line="360" w:lineRule="auto"/>
      </w:pPr>
      <w:r w:rsidRPr="001A6C58">
        <w:t>Name:</w:t>
      </w:r>
      <w:r w:rsidRPr="001A6C58">
        <w:tab/>
        <w:t xml:space="preserve"> Dr Simon Hardman</w:t>
      </w:r>
    </w:p>
    <w:p w14:paraId="038EABB1" w14:textId="77777777" w:rsidR="001A6C58" w:rsidRPr="001A6C58" w:rsidRDefault="001A6C58" w:rsidP="001A6C58">
      <w:pPr>
        <w:spacing w:line="360" w:lineRule="auto"/>
      </w:pPr>
    </w:p>
    <w:p w14:paraId="135D563B" w14:textId="77777777" w:rsidR="001A6C58" w:rsidRPr="001A6C58" w:rsidRDefault="001A6C58" w:rsidP="001A6C58">
      <w:pPr>
        <w:spacing w:line="360" w:lineRule="auto"/>
      </w:pPr>
      <w:r w:rsidRPr="001A6C58">
        <w:t>If you would like advice as to whether your child should participate you could contact the project team, or one of your child’s health care professionals.</w:t>
      </w:r>
    </w:p>
    <w:p w14:paraId="7EC1E05C" w14:textId="77777777" w:rsidR="001A6C58" w:rsidRPr="001A6C58" w:rsidRDefault="001A6C58" w:rsidP="001A6C58">
      <w:pPr>
        <w:spacing w:line="360" w:lineRule="auto"/>
      </w:pPr>
      <w:r w:rsidRPr="001A6C58">
        <w:rPr>
          <w:noProof/>
          <w:lang w:eastAsia="en-GB"/>
        </w:rPr>
        <mc:AlternateContent>
          <mc:Choice Requires="wps">
            <w:drawing>
              <wp:anchor distT="45720" distB="45720" distL="114300" distR="114300" simplePos="0" relativeHeight="252134912" behindDoc="0" locked="0" layoutInCell="1" allowOverlap="1" wp14:anchorId="3F60DD2A" wp14:editId="02117B4A">
                <wp:simplePos x="0" y="0"/>
                <wp:positionH relativeFrom="column">
                  <wp:posOffset>-43815</wp:posOffset>
                </wp:positionH>
                <wp:positionV relativeFrom="paragraph">
                  <wp:posOffset>473710</wp:posOffset>
                </wp:positionV>
                <wp:extent cx="6057900" cy="1404620"/>
                <wp:effectExtent l="0" t="0" r="19050" b="15875"/>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solidFill>
                          <a:schemeClr val="bg1">
                            <a:lumMod val="85000"/>
                          </a:schemeClr>
                        </a:solidFill>
                        <a:ln w="9525">
                          <a:solidFill>
                            <a:srgbClr val="000000"/>
                          </a:solidFill>
                          <a:miter lim="800000"/>
                          <a:headEnd/>
                          <a:tailEnd/>
                        </a:ln>
                      </wps:spPr>
                      <wps:txbx>
                        <w:txbxContent>
                          <w:p w14:paraId="20CBC111" w14:textId="6B1BEA63" w:rsidR="001A6C58" w:rsidRPr="002A03D4" w:rsidRDefault="001A6C58" w:rsidP="001A6C58">
                            <w:pPr>
                              <w:rPr>
                                <w:rFonts w:ascii="Arial" w:hAnsi="Arial" w:cs="Arial"/>
                                <w:b/>
                                <w:sz w:val="32"/>
                                <w:szCs w:val="32"/>
                                <w:lang w:val="en-US"/>
                              </w:rPr>
                            </w:pPr>
                            <w:r w:rsidRPr="002A03D4">
                              <w:rPr>
                                <w:rFonts w:ascii="Arial" w:hAnsi="Arial" w:cs="Arial"/>
                                <w:b/>
                                <w:sz w:val="32"/>
                                <w:szCs w:val="32"/>
                                <w:lang w:val="en-US"/>
                              </w:rPr>
                              <w:t>If I am interested in this study, what do I do next</w:t>
                            </w:r>
                            <w:r>
                              <w:rPr>
                                <w:rFonts w:ascii="Arial" w:hAnsi="Arial" w:cs="Arial"/>
                                <w:b/>
                                <w:sz w:val="32"/>
                                <w:szCs w:val="32"/>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0DD2A" id="_x0000_s1083" type="#_x0000_t202" style="position:absolute;margin-left:-3.45pt;margin-top:37.3pt;width:477pt;height:110.6pt;z-index:25213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" fillcolor="#d8d8d8 [2732]">
                <v:textbox style="mso-fit-shape-to-text:t">
                  <w:txbxContent>
                    <w:p w14:paraId="20CBC111" w14:textId="6B1BEA63" w:rsidR="001A6C58" w:rsidRPr="002A03D4" w:rsidRDefault="001A6C58" w:rsidP="001A6C58">
                      <w:pPr>
                        <w:rPr>
                          <w:rFonts w:ascii="Arial" w:hAnsi="Arial" w:cs="Arial"/>
                          <w:b/>
                          <w:sz w:val="32"/>
                          <w:szCs w:val="32"/>
                          <w:lang w:val="en-US"/>
                        </w:rPr>
                      </w:pPr>
                      <w:r w:rsidRPr="002A03D4">
                        <w:rPr>
                          <w:rFonts w:ascii="Arial" w:hAnsi="Arial" w:cs="Arial"/>
                          <w:b/>
                          <w:sz w:val="32"/>
                          <w:szCs w:val="32"/>
                          <w:lang w:val="en-US"/>
                        </w:rPr>
                        <w:t>If I am interested in this study, what do I do next</w:t>
                      </w:r>
                      <w:r>
                        <w:rPr>
                          <w:rFonts w:ascii="Arial" w:hAnsi="Arial" w:cs="Arial"/>
                          <w:b/>
                          <w:sz w:val="32"/>
                          <w:szCs w:val="32"/>
                          <w:lang w:val="en-US"/>
                        </w:rPr>
                        <w:t>?</w:t>
                      </w:r>
                    </w:p>
                  </w:txbxContent>
                </v:textbox>
                <w10:wrap type="square"/>
              </v:shape>
            </w:pict>
          </mc:Fallback>
        </mc:AlternateContent>
      </w:r>
      <w:r w:rsidRPr="001A6C58">
        <w:t xml:space="preserve">If you have any concerns during the study, you should contact the project team.  </w:t>
      </w:r>
    </w:p>
    <w:p w14:paraId="343DC8AB" w14:textId="77777777" w:rsidR="001A6C58" w:rsidRPr="001A6C58" w:rsidRDefault="001A6C58" w:rsidP="001A6C58">
      <w:pPr>
        <w:spacing w:line="360" w:lineRule="auto"/>
      </w:pPr>
    </w:p>
    <w:p w14:paraId="41481F90" w14:textId="77777777" w:rsidR="001A6C58" w:rsidRPr="001A6C58" w:rsidRDefault="001A6C58" w:rsidP="001A6C58">
      <w:pPr>
        <w:spacing w:line="360" w:lineRule="auto"/>
      </w:pPr>
      <w:r w:rsidRPr="001A6C58">
        <w:t>Dr Simon Hardman will text you 24-48 hours after you have received the information leaflet to see if you are interested. If you read the study information and would like further information or to participate, please reply to the text message, call or email Dr Simon Hardman the project coordinator. A suggested time frame for contacting Dr Hardman after reading the information would be between 1 and 7 days if you intend to do so.</w:t>
      </w:r>
    </w:p>
    <w:p w14:paraId="06EFB02E" w14:textId="77777777" w:rsidR="001A6C58" w:rsidRPr="001A6C58" w:rsidRDefault="001A6C58" w:rsidP="001A6C58">
      <w:pPr>
        <w:spacing w:line="360" w:lineRule="auto"/>
      </w:pPr>
    </w:p>
    <w:p w14:paraId="34469886" w14:textId="49807287" w:rsidR="001A6C58" w:rsidRPr="001A6C58" w:rsidRDefault="001A6C58" w:rsidP="001A6C58">
      <w:pPr>
        <w:spacing w:line="360" w:lineRule="auto"/>
      </w:pPr>
      <w:r w:rsidRPr="001A6C58">
        <w:t>Contact details for Dr S Hardman:</w:t>
      </w:r>
      <w:r w:rsidR="00313A4E">
        <w:t xml:space="preserve"> Given</w:t>
      </w:r>
    </w:p>
    <w:p w14:paraId="71AC3453" w14:textId="77777777" w:rsidR="001A6C58" w:rsidRPr="001A6C58" w:rsidRDefault="001A6C58" w:rsidP="001A6C58">
      <w:pPr>
        <w:spacing w:line="360" w:lineRule="auto"/>
      </w:pPr>
    </w:p>
    <w:p w14:paraId="7660430B" w14:textId="77777777" w:rsidR="001A6C58" w:rsidRPr="001A6C58" w:rsidRDefault="001A6C58" w:rsidP="001A6C58">
      <w:pPr>
        <w:spacing w:line="360" w:lineRule="auto"/>
      </w:pPr>
      <w:r w:rsidRPr="001A6C58">
        <w:t>Please leave your name and contact details. He will then call you to answer any further questions or arrange to meet up so that you can sign a consent form. If your child is old enough, they will be asked if they want to sign an assent form and the first swabs will be taken.</w:t>
      </w:r>
    </w:p>
    <w:p w14:paraId="65F8F69A" w14:textId="77777777" w:rsidR="001A6C58" w:rsidRPr="001A6C58" w:rsidRDefault="001A6C58" w:rsidP="001A6C58">
      <w:pPr>
        <w:spacing w:line="360" w:lineRule="auto"/>
      </w:pPr>
    </w:p>
    <w:p w14:paraId="1B196AA8" w14:textId="77777777" w:rsidR="001A6C58" w:rsidRPr="001A6C58" w:rsidRDefault="001A6C58" w:rsidP="001A6C58">
      <w:pPr>
        <w:spacing w:line="360" w:lineRule="auto"/>
      </w:pPr>
      <w:r w:rsidRPr="001A6C58">
        <w:t>If you and your child decide to take part in this study, you will be given this information sheet and signed consent and assent forms to keep.</w:t>
      </w:r>
    </w:p>
    <w:p w14:paraId="391D7A69" w14:textId="77777777" w:rsidR="001A6C58" w:rsidRPr="001A6C58" w:rsidRDefault="001A6C58" w:rsidP="001A6C58">
      <w:pPr>
        <w:spacing w:line="360" w:lineRule="auto"/>
      </w:pPr>
    </w:p>
    <w:p w14:paraId="3AEDDDA5" w14:textId="77777777" w:rsidR="001A6C58" w:rsidRPr="001A6C58" w:rsidRDefault="001A6C58" w:rsidP="001A6C58">
      <w:pPr>
        <w:spacing w:line="360" w:lineRule="auto"/>
      </w:pPr>
      <w:r w:rsidRPr="001A6C58">
        <w:t>Thank you for taking the time to read this information sheet.</w:t>
      </w:r>
    </w:p>
    <w:p w14:paraId="170485E4" w14:textId="77777777" w:rsidR="001A6C58" w:rsidRPr="001A6C58" w:rsidRDefault="001A6C58" w:rsidP="001A6C58"/>
    <w:p w14:paraId="25D0857D" w14:textId="4B9DE054" w:rsidR="00866437" w:rsidRDefault="00866437" w:rsidP="00764C4D"/>
    <w:p w14:paraId="02B3E125" w14:textId="5FB68D7E" w:rsidR="00866437" w:rsidRDefault="00866437" w:rsidP="00764C4D"/>
    <w:p w14:paraId="795EFC8D" w14:textId="77777777" w:rsidR="00313A4E" w:rsidRPr="00764C4D" w:rsidRDefault="00313A4E" w:rsidP="00764C4D"/>
    <w:p w14:paraId="525BD2B4" w14:textId="2568460A" w:rsidR="00587CD0" w:rsidRPr="00241369" w:rsidRDefault="00587CD0" w:rsidP="004F3338">
      <w:pPr>
        <w:pStyle w:val="Heading2"/>
      </w:pPr>
      <w:r w:rsidRPr="00241369">
        <w:lastRenderedPageBreak/>
        <w:t xml:space="preserve">Appendix </w:t>
      </w:r>
      <w:r w:rsidR="008A4C67">
        <w:t>4</w:t>
      </w:r>
      <w:r w:rsidRPr="00241369">
        <w:t>: Interview questionnaire</w:t>
      </w:r>
      <w:bookmarkEnd w:id="334"/>
    </w:p>
    <w:p w14:paraId="04EFC760" w14:textId="4F9FFCF6" w:rsidR="00587CD0" w:rsidRPr="00C452B0" w:rsidRDefault="00587CD0" w:rsidP="00587CD0">
      <w:pPr>
        <w:spacing w:line="360" w:lineRule="auto"/>
        <w:rPr>
          <w:b/>
        </w:rPr>
      </w:pPr>
      <w:r w:rsidRPr="00241369">
        <w:rPr>
          <w:b/>
        </w:rPr>
        <w:t>Semi-structured prompts for the phenomenological interviews</w:t>
      </w:r>
    </w:p>
    <w:p w14:paraId="7DC0641F" w14:textId="77777777" w:rsidR="00587CD0" w:rsidRPr="00241369" w:rsidRDefault="00587CD0" w:rsidP="00587CD0">
      <w:pPr>
        <w:spacing w:line="360" w:lineRule="auto"/>
        <w:rPr>
          <w:b/>
        </w:rPr>
      </w:pPr>
      <w:r w:rsidRPr="00241369">
        <w:rPr>
          <w:b/>
        </w:rPr>
        <w:t>Primary Questions:</w:t>
      </w:r>
    </w:p>
    <w:p w14:paraId="58CDE695" w14:textId="77777777" w:rsidR="00587CD0" w:rsidRPr="00241369" w:rsidRDefault="00587CD0">
      <w:pPr>
        <w:numPr>
          <w:ilvl w:val="0"/>
          <w:numId w:val="7"/>
        </w:numPr>
        <w:spacing w:line="360" w:lineRule="auto"/>
        <w:contextualSpacing/>
      </w:pPr>
      <w:r w:rsidRPr="00241369">
        <w:t>What does it mean to you to have a child who has had to take regular antibiotics?</w:t>
      </w:r>
    </w:p>
    <w:p w14:paraId="6E13BC91" w14:textId="77777777" w:rsidR="00587CD0" w:rsidRPr="00241369" w:rsidRDefault="00587CD0">
      <w:pPr>
        <w:numPr>
          <w:ilvl w:val="0"/>
          <w:numId w:val="7"/>
        </w:numPr>
        <w:spacing w:line="360" w:lineRule="auto"/>
        <w:contextualSpacing/>
      </w:pPr>
      <w:r w:rsidRPr="00241369">
        <w:t>What is your experience of getting your child to take their medication?</w:t>
      </w:r>
    </w:p>
    <w:p w14:paraId="0635E9BC" w14:textId="77777777" w:rsidR="00587CD0" w:rsidRPr="00241369" w:rsidRDefault="00587CD0" w:rsidP="00587CD0">
      <w:pPr>
        <w:spacing w:line="360" w:lineRule="auto"/>
        <w:rPr>
          <w:b/>
        </w:rPr>
      </w:pPr>
      <w:r w:rsidRPr="00241369">
        <w:rPr>
          <w:b/>
        </w:rPr>
        <w:t>Prompts:</w:t>
      </w:r>
    </w:p>
    <w:p w14:paraId="5D5489DE" w14:textId="77777777" w:rsidR="00587CD0" w:rsidRPr="00241369" w:rsidRDefault="00587CD0">
      <w:pPr>
        <w:numPr>
          <w:ilvl w:val="0"/>
          <w:numId w:val="5"/>
        </w:numPr>
        <w:spacing w:line="360" w:lineRule="auto"/>
        <w:contextualSpacing/>
        <w:rPr>
          <w:b/>
        </w:rPr>
      </w:pPr>
      <w:r w:rsidRPr="00241369">
        <w:rPr>
          <w:b/>
        </w:rPr>
        <w:t>What are antibiotics used for?</w:t>
      </w:r>
    </w:p>
    <w:p w14:paraId="0F39E8D0" w14:textId="77777777" w:rsidR="00587CD0" w:rsidRPr="00241369" w:rsidRDefault="00587CD0">
      <w:pPr>
        <w:numPr>
          <w:ilvl w:val="1"/>
          <w:numId w:val="5"/>
        </w:numPr>
        <w:spacing w:line="360" w:lineRule="auto"/>
        <w:contextualSpacing/>
      </w:pPr>
      <w:r w:rsidRPr="00241369">
        <w:t>Have you any concerns about antibiotic use in your child? What are your concerns? Some people may be concerned, can you think of any reasons why?</w:t>
      </w:r>
    </w:p>
    <w:p w14:paraId="3BA51AE7" w14:textId="77777777" w:rsidR="00587CD0" w:rsidRPr="00241369" w:rsidRDefault="00587CD0">
      <w:pPr>
        <w:numPr>
          <w:ilvl w:val="1"/>
          <w:numId w:val="5"/>
        </w:numPr>
        <w:spacing w:line="360" w:lineRule="auto"/>
        <w:contextualSpacing/>
      </w:pPr>
      <w:r w:rsidRPr="00241369">
        <w:t>What benefits/harms do you see of your child being on preventative antibiotics?</w:t>
      </w:r>
    </w:p>
    <w:p w14:paraId="4805D141" w14:textId="77777777" w:rsidR="00587CD0" w:rsidRPr="00241369" w:rsidRDefault="00587CD0">
      <w:pPr>
        <w:numPr>
          <w:ilvl w:val="1"/>
          <w:numId w:val="5"/>
        </w:numPr>
        <w:spacing w:line="360" w:lineRule="auto"/>
        <w:contextualSpacing/>
      </w:pPr>
      <w:r w:rsidRPr="00241369">
        <w:t>What is your experience of dealing with episodes of fever when your child is already on preventative antibiotics?</w:t>
      </w:r>
    </w:p>
    <w:p w14:paraId="22399371" w14:textId="77777777" w:rsidR="00587CD0" w:rsidRPr="00241369" w:rsidRDefault="00587CD0">
      <w:pPr>
        <w:numPr>
          <w:ilvl w:val="1"/>
          <w:numId w:val="5"/>
        </w:numPr>
        <w:spacing w:line="360" w:lineRule="auto"/>
        <w:contextualSpacing/>
      </w:pPr>
      <w:r w:rsidRPr="00241369">
        <w:t>When do you think it is appropriate or inappropriate for antibiotics to be given.</w:t>
      </w:r>
    </w:p>
    <w:p w14:paraId="15DA0DF3" w14:textId="77777777" w:rsidR="00587CD0" w:rsidRPr="00241369" w:rsidRDefault="00587CD0">
      <w:pPr>
        <w:numPr>
          <w:ilvl w:val="1"/>
          <w:numId w:val="5"/>
        </w:numPr>
        <w:spacing w:line="360" w:lineRule="auto"/>
        <w:contextualSpacing/>
      </w:pPr>
      <w:r w:rsidRPr="00241369">
        <w:t>How serious do you consider chest infections to be in your child? What sort of impact does it have on their life?</w:t>
      </w:r>
    </w:p>
    <w:p w14:paraId="6955EA15" w14:textId="77777777" w:rsidR="00587CD0" w:rsidRPr="00241369" w:rsidRDefault="00587CD0">
      <w:pPr>
        <w:numPr>
          <w:ilvl w:val="1"/>
          <w:numId w:val="5"/>
        </w:numPr>
        <w:spacing w:line="360" w:lineRule="auto"/>
        <w:contextualSpacing/>
      </w:pPr>
      <w:r w:rsidRPr="00241369">
        <w:t>What does it mean to you if antibiotics are not prescribed by your doctor when you request or think your child should have a course of antibiotics?</w:t>
      </w:r>
    </w:p>
    <w:p w14:paraId="20021A6C" w14:textId="77777777" w:rsidR="00587CD0" w:rsidRPr="00241369" w:rsidRDefault="00587CD0">
      <w:pPr>
        <w:numPr>
          <w:ilvl w:val="1"/>
          <w:numId w:val="5"/>
        </w:numPr>
        <w:spacing w:line="360" w:lineRule="auto"/>
        <w:contextualSpacing/>
      </w:pPr>
      <w:r w:rsidRPr="00241369">
        <w:t xml:space="preserve">What do you do with antibiotics that you haven’t used? </w:t>
      </w:r>
    </w:p>
    <w:p w14:paraId="0BBC5F34" w14:textId="77777777" w:rsidR="00587CD0" w:rsidRPr="00241369" w:rsidRDefault="00587CD0">
      <w:pPr>
        <w:numPr>
          <w:ilvl w:val="1"/>
          <w:numId w:val="5"/>
        </w:numPr>
        <w:spacing w:line="360" w:lineRule="auto"/>
        <w:contextualSpacing/>
      </w:pPr>
      <w:r w:rsidRPr="00241369">
        <w:t>Are there any harms in taking antibiotics for common colds? If so, what might these be?</w:t>
      </w:r>
    </w:p>
    <w:p w14:paraId="549D09AF" w14:textId="77777777" w:rsidR="00587CD0" w:rsidRPr="00241369" w:rsidRDefault="00587CD0">
      <w:pPr>
        <w:numPr>
          <w:ilvl w:val="1"/>
          <w:numId w:val="5"/>
        </w:numPr>
        <w:spacing w:line="360" w:lineRule="auto"/>
        <w:contextualSpacing/>
      </w:pPr>
      <w:r w:rsidRPr="00241369">
        <w:t>Are you aware of any friendly bacteria? If so, can you explain where you have heard about them and where they might live.</w:t>
      </w:r>
    </w:p>
    <w:p w14:paraId="27895678" w14:textId="77777777" w:rsidR="00587CD0" w:rsidRPr="00241369" w:rsidRDefault="00587CD0">
      <w:pPr>
        <w:numPr>
          <w:ilvl w:val="1"/>
          <w:numId w:val="5"/>
        </w:numPr>
        <w:spacing w:line="360" w:lineRule="auto"/>
        <w:contextualSpacing/>
      </w:pPr>
      <w:r w:rsidRPr="00241369">
        <w:t>What was explained when starting prophylaxis</w:t>
      </w:r>
    </w:p>
    <w:p w14:paraId="5AC6EF8A" w14:textId="77777777" w:rsidR="00587CD0" w:rsidRPr="00241369" w:rsidRDefault="00587CD0" w:rsidP="00587CD0">
      <w:pPr>
        <w:spacing w:line="360" w:lineRule="auto"/>
        <w:ind w:left="1440"/>
        <w:contextualSpacing/>
      </w:pPr>
    </w:p>
    <w:p w14:paraId="1CE078F2" w14:textId="77777777" w:rsidR="00587CD0" w:rsidRPr="00241369" w:rsidRDefault="00587CD0">
      <w:pPr>
        <w:numPr>
          <w:ilvl w:val="0"/>
          <w:numId w:val="5"/>
        </w:numPr>
        <w:spacing w:line="360" w:lineRule="auto"/>
        <w:contextualSpacing/>
        <w:rPr>
          <w:b/>
        </w:rPr>
      </w:pPr>
      <w:r w:rsidRPr="00241369">
        <w:rPr>
          <w:b/>
        </w:rPr>
        <w:t>Antibiotic resistance.</w:t>
      </w:r>
    </w:p>
    <w:p w14:paraId="6A8CA065" w14:textId="77777777" w:rsidR="00587CD0" w:rsidRPr="00241369" w:rsidRDefault="00587CD0">
      <w:pPr>
        <w:numPr>
          <w:ilvl w:val="1"/>
          <w:numId w:val="6"/>
        </w:numPr>
        <w:spacing w:line="360" w:lineRule="auto"/>
      </w:pPr>
      <w:r w:rsidRPr="00241369">
        <w:t>When you hear the phrase “antibiotic resistance”, what comes to mind?</w:t>
      </w:r>
    </w:p>
    <w:p w14:paraId="2FF243A5" w14:textId="77777777" w:rsidR="00587CD0" w:rsidRPr="00241369" w:rsidRDefault="00587CD0">
      <w:pPr>
        <w:numPr>
          <w:ilvl w:val="1"/>
          <w:numId w:val="6"/>
        </w:numPr>
        <w:spacing w:line="360" w:lineRule="auto"/>
      </w:pPr>
      <w:r w:rsidRPr="00241369">
        <w:t>Can you tell me in your own words what antibiotic resistance is?</w:t>
      </w:r>
    </w:p>
    <w:p w14:paraId="7C19DB91" w14:textId="77777777" w:rsidR="00587CD0" w:rsidRPr="00241369" w:rsidRDefault="00587CD0">
      <w:pPr>
        <w:numPr>
          <w:ilvl w:val="1"/>
          <w:numId w:val="6"/>
        </w:numPr>
        <w:spacing w:line="360" w:lineRule="auto"/>
      </w:pPr>
      <w:r w:rsidRPr="00241369">
        <w:t>What do you understand by the term antibiotic resistance/MRSA/ Superbug</w:t>
      </w:r>
    </w:p>
    <w:p w14:paraId="07094696" w14:textId="77777777" w:rsidR="00587CD0" w:rsidRPr="00241369" w:rsidRDefault="00587CD0">
      <w:pPr>
        <w:numPr>
          <w:ilvl w:val="1"/>
          <w:numId w:val="6"/>
        </w:numPr>
        <w:spacing w:line="360" w:lineRule="auto"/>
      </w:pPr>
      <w:r w:rsidRPr="00241369">
        <w:t>Where do you think these bacteria are found?</w:t>
      </w:r>
    </w:p>
    <w:p w14:paraId="09E5942E" w14:textId="77777777" w:rsidR="00587CD0" w:rsidRPr="00241369" w:rsidRDefault="00587CD0">
      <w:pPr>
        <w:numPr>
          <w:ilvl w:val="1"/>
          <w:numId w:val="6"/>
        </w:numPr>
        <w:spacing w:line="360" w:lineRule="auto"/>
      </w:pPr>
      <w:r w:rsidRPr="00241369">
        <w:t>Where have you heard about antibiotic resistance?</w:t>
      </w:r>
    </w:p>
    <w:p w14:paraId="47725837" w14:textId="77777777" w:rsidR="00587CD0" w:rsidRPr="00241369" w:rsidRDefault="00587CD0">
      <w:pPr>
        <w:numPr>
          <w:ilvl w:val="1"/>
          <w:numId w:val="6"/>
        </w:numPr>
        <w:spacing w:line="360" w:lineRule="auto"/>
      </w:pPr>
      <w:r w:rsidRPr="00241369">
        <w:t>What ideas have you got about how or why antibiotic resistance occurs?</w:t>
      </w:r>
    </w:p>
    <w:p w14:paraId="08AF15F8" w14:textId="77777777" w:rsidR="00587CD0" w:rsidRPr="00241369" w:rsidRDefault="00587CD0">
      <w:pPr>
        <w:numPr>
          <w:ilvl w:val="1"/>
          <w:numId w:val="6"/>
        </w:numPr>
        <w:spacing w:line="360" w:lineRule="auto"/>
      </w:pPr>
      <w:r w:rsidRPr="00241369">
        <w:lastRenderedPageBreak/>
        <w:t>How do you think your child would get resistant bacteria?</w:t>
      </w:r>
    </w:p>
    <w:p w14:paraId="3FEA725B" w14:textId="77777777" w:rsidR="00587CD0" w:rsidRPr="00241369" w:rsidRDefault="00587CD0">
      <w:pPr>
        <w:numPr>
          <w:ilvl w:val="1"/>
          <w:numId w:val="6"/>
        </w:numPr>
        <w:spacing w:line="360" w:lineRule="auto"/>
      </w:pPr>
      <w:r w:rsidRPr="00241369">
        <w:t>Have you ever been told your child has resistant bacteria? How did you feel about this? What did this mean for your child?</w:t>
      </w:r>
    </w:p>
    <w:p w14:paraId="2031EDCB" w14:textId="77777777" w:rsidR="00587CD0" w:rsidRPr="00241369" w:rsidRDefault="00587CD0">
      <w:pPr>
        <w:numPr>
          <w:ilvl w:val="1"/>
          <w:numId w:val="6"/>
        </w:numPr>
        <w:spacing w:line="360" w:lineRule="auto"/>
      </w:pPr>
      <w:r w:rsidRPr="00241369">
        <w:t>Have friends or other family members had “resistant bacteria”? You did you react to this?</w:t>
      </w:r>
    </w:p>
    <w:p w14:paraId="367C4B54" w14:textId="77777777" w:rsidR="00587CD0" w:rsidRPr="00241369" w:rsidRDefault="00587CD0" w:rsidP="00587CD0">
      <w:pPr>
        <w:spacing w:line="360" w:lineRule="auto"/>
        <w:ind w:left="1440"/>
      </w:pPr>
    </w:p>
    <w:p w14:paraId="5962B366" w14:textId="77777777" w:rsidR="00587CD0" w:rsidRPr="00241369" w:rsidRDefault="00587CD0">
      <w:pPr>
        <w:numPr>
          <w:ilvl w:val="0"/>
          <w:numId w:val="5"/>
        </w:numPr>
        <w:spacing w:line="360" w:lineRule="auto"/>
        <w:contextualSpacing/>
        <w:rPr>
          <w:b/>
        </w:rPr>
      </w:pPr>
      <w:r w:rsidRPr="00241369">
        <w:rPr>
          <w:b/>
        </w:rPr>
        <w:t>Controlling antibiotic resistance.</w:t>
      </w:r>
    </w:p>
    <w:p w14:paraId="3A8940BF" w14:textId="77777777" w:rsidR="00587CD0" w:rsidRPr="00241369" w:rsidRDefault="00587CD0">
      <w:pPr>
        <w:numPr>
          <w:ilvl w:val="1"/>
          <w:numId w:val="5"/>
        </w:numPr>
        <w:spacing w:line="360" w:lineRule="auto"/>
        <w:contextualSpacing/>
      </w:pPr>
      <w:r w:rsidRPr="00241369">
        <w:t xml:space="preserve">Do you think there is a link between how we use antibiotics and antibiotic resistance? If so how? If not, why not? </w:t>
      </w:r>
    </w:p>
    <w:p w14:paraId="3E85C06B" w14:textId="77777777" w:rsidR="00587CD0" w:rsidRPr="00241369" w:rsidRDefault="00587CD0">
      <w:pPr>
        <w:numPr>
          <w:ilvl w:val="1"/>
          <w:numId w:val="5"/>
        </w:numPr>
        <w:spacing w:line="360" w:lineRule="auto"/>
        <w:contextualSpacing/>
      </w:pPr>
      <w:r w:rsidRPr="00241369">
        <w:t>Is antibiotic resistance something you are concerned about for your child? If so what are your concerns? If not, why not?</w:t>
      </w:r>
    </w:p>
    <w:p w14:paraId="2C33AB54" w14:textId="77777777" w:rsidR="00587CD0" w:rsidRPr="00241369" w:rsidRDefault="00587CD0">
      <w:pPr>
        <w:numPr>
          <w:ilvl w:val="1"/>
          <w:numId w:val="5"/>
        </w:numPr>
        <w:spacing w:line="360" w:lineRule="auto"/>
        <w:contextualSpacing/>
      </w:pPr>
      <w:r w:rsidRPr="00241369">
        <w:t>What do you think you can do about the problem?</w:t>
      </w:r>
    </w:p>
    <w:p w14:paraId="554082EA" w14:textId="77777777" w:rsidR="00587CD0" w:rsidRPr="00241369" w:rsidRDefault="00587CD0">
      <w:pPr>
        <w:numPr>
          <w:ilvl w:val="1"/>
          <w:numId w:val="5"/>
        </w:numPr>
        <w:spacing w:line="360" w:lineRule="auto"/>
        <w:contextualSpacing/>
      </w:pPr>
      <w:r w:rsidRPr="00241369">
        <w:t>What do you think other people can do about the problem?</w:t>
      </w:r>
    </w:p>
    <w:p w14:paraId="26EB3D33" w14:textId="77777777" w:rsidR="00587CD0" w:rsidRPr="00241369" w:rsidRDefault="00587CD0">
      <w:pPr>
        <w:numPr>
          <w:ilvl w:val="1"/>
          <w:numId w:val="5"/>
        </w:numPr>
        <w:spacing w:line="360" w:lineRule="auto"/>
        <w:contextualSpacing/>
      </w:pPr>
      <w:r w:rsidRPr="00241369">
        <w:t>How important do you think it is to take every dose of a course of antibiotic? Why do you think it is important to complete a course of antibiotics?</w:t>
      </w:r>
    </w:p>
    <w:p w14:paraId="2997A07A" w14:textId="77777777" w:rsidR="00587CD0" w:rsidRPr="00241369" w:rsidRDefault="00587CD0">
      <w:pPr>
        <w:numPr>
          <w:ilvl w:val="1"/>
          <w:numId w:val="5"/>
        </w:numPr>
        <w:spacing w:line="360" w:lineRule="auto"/>
        <w:contextualSpacing/>
      </w:pPr>
      <w:r w:rsidRPr="00241369">
        <w:t>In your view, is antibiotic resistance an issue that affects the community at large?</w:t>
      </w:r>
    </w:p>
    <w:p w14:paraId="38F41EB8" w14:textId="77777777" w:rsidR="00587CD0" w:rsidRPr="00241369" w:rsidRDefault="00587CD0">
      <w:pPr>
        <w:numPr>
          <w:ilvl w:val="1"/>
          <w:numId w:val="5"/>
        </w:numPr>
        <w:spacing w:line="360" w:lineRule="auto"/>
        <w:contextualSpacing/>
      </w:pPr>
      <w:r w:rsidRPr="00241369">
        <w:t>What do you think can be done to manage antibiotic resistance?</w:t>
      </w:r>
    </w:p>
    <w:p w14:paraId="084B4DBE" w14:textId="77777777" w:rsidR="00587CD0" w:rsidRPr="00241369" w:rsidRDefault="00587CD0">
      <w:pPr>
        <w:numPr>
          <w:ilvl w:val="1"/>
          <w:numId w:val="5"/>
        </w:numPr>
        <w:spacing w:line="360" w:lineRule="auto"/>
        <w:contextualSpacing/>
      </w:pPr>
      <w:r w:rsidRPr="00241369">
        <w:t>Can you think of things that you can do as an individual/ family that can help reduce antibiotic resistance?</w:t>
      </w:r>
    </w:p>
    <w:p w14:paraId="4BF21DC8" w14:textId="77777777" w:rsidR="00587CD0" w:rsidRPr="00241369" w:rsidRDefault="00587CD0" w:rsidP="00587CD0">
      <w:pPr>
        <w:spacing w:line="360" w:lineRule="auto"/>
        <w:ind w:left="1440"/>
        <w:contextualSpacing/>
      </w:pPr>
    </w:p>
    <w:p w14:paraId="226D5E7F" w14:textId="77777777" w:rsidR="00587CD0" w:rsidRPr="00241369" w:rsidRDefault="00587CD0">
      <w:pPr>
        <w:numPr>
          <w:ilvl w:val="0"/>
          <w:numId w:val="5"/>
        </w:numPr>
        <w:spacing w:line="360" w:lineRule="auto"/>
        <w:contextualSpacing/>
        <w:rPr>
          <w:b/>
        </w:rPr>
      </w:pPr>
      <w:r w:rsidRPr="00241369">
        <w:rPr>
          <w:b/>
        </w:rPr>
        <w:t>Compliance.</w:t>
      </w:r>
    </w:p>
    <w:p w14:paraId="58CEE3A2" w14:textId="77777777" w:rsidR="00587CD0" w:rsidRPr="00241369" w:rsidRDefault="00587CD0">
      <w:pPr>
        <w:numPr>
          <w:ilvl w:val="1"/>
          <w:numId w:val="5"/>
        </w:numPr>
        <w:spacing w:line="360" w:lineRule="auto"/>
        <w:contextualSpacing/>
      </w:pPr>
      <w:r w:rsidRPr="00241369">
        <w:t>Getting children to take antibiotics three times a week can be difficult. What is your experience of getting your child to take their medication?</w:t>
      </w:r>
    </w:p>
    <w:p w14:paraId="13FFB238" w14:textId="77777777" w:rsidR="00587CD0" w:rsidRPr="00241369" w:rsidRDefault="00587CD0">
      <w:pPr>
        <w:numPr>
          <w:ilvl w:val="1"/>
          <w:numId w:val="5"/>
        </w:numPr>
        <w:spacing w:line="360" w:lineRule="auto"/>
        <w:contextualSpacing/>
      </w:pPr>
      <w:r w:rsidRPr="00241369">
        <w:t>Why do you think people take their antibiotics?</w:t>
      </w:r>
    </w:p>
    <w:p w14:paraId="5364C531" w14:textId="77777777" w:rsidR="00587CD0" w:rsidRPr="00241369" w:rsidRDefault="00587CD0">
      <w:pPr>
        <w:numPr>
          <w:ilvl w:val="1"/>
          <w:numId w:val="5"/>
        </w:numPr>
        <w:spacing w:line="360" w:lineRule="auto"/>
        <w:contextualSpacing/>
      </w:pPr>
      <w:r w:rsidRPr="00241369">
        <w:t>Can you remember any times when your child didn’t complete the prescribed course of antibiotics? Why was that? Why do you think people don’t complete their courses?</w:t>
      </w:r>
    </w:p>
    <w:p w14:paraId="5BEDC124" w14:textId="77777777" w:rsidR="00587CD0" w:rsidRPr="00241369" w:rsidRDefault="00587CD0">
      <w:pPr>
        <w:numPr>
          <w:ilvl w:val="1"/>
          <w:numId w:val="5"/>
        </w:numPr>
        <w:spacing w:line="360" w:lineRule="auto"/>
        <w:contextualSpacing/>
      </w:pPr>
      <w:r w:rsidRPr="00241369">
        <w:t xml:space="preserve">Are there things you do to remind you your child needs their medication on that day? </w:t>
      </w:r>
    </w:p>
    <w:p w14:paraId="4B1761D6" w14:textId="77777777" w:rsidR="00587CD0" w:rsidRPr="00241369" w:rsidRDefault="00587CD0">
      <w:pPr>
        <w:numPr>
          <w:ilvl w:val="1"/>
          <w:numId w:val="5"/>
        </w:numPr>
        <w:spacing w:line="360" w:lineRule="auto"/>
        <w:contextualSpacing/>
      </w:pPr>
      <w:r w:rsidRPr="00241369">
        <w:t xml:space="preserve">Tell me about the practicalities of giving the medication? </w:t>
      </w:r>
    </w:p>
    <w:p w14:paraId="5B112DD3" w14:textId="77777777" w:rsidR="00587CD0" w:rsidRPr="00241369" w:rsidRDefault="00587CD0">
      <w:pPr>
        <w:numPr>
          <w:ilvl w:val="1"/>
          <w:numId w:val="5"/>
        </w:numPr>
        <w:spacing w:line="360" w:lineRule="auto"/>
        <w:contextualSpacing/>
      </w:pPr>
      <w:r w:rsidRPr="00241369">
        <w:t>What things in your daily life make it difficult to give the antibiotics?</w:t>
      </w:r>
    </w:p>
    <w:p w14:paraId="3D17E4C0" w14:textId="77777777" w:rsidR="00587CD0" w:rsidRPr="00241369" w:rsidRDefault="00587CD0">
      <w:pPr>
        <w:numPr>
          <w:ilvl w:val="1"/>
          <w:numId w:val="5"/>
        </w:numPr>
        <w:spacing w:line="360" w:lineRule="auto"/>
        <w:contextualSpacing/>
      </w:pPr>
      <w:r w:rsidRPr="00241369">
        <w:lastRenderedPageBreak/>
        <w:t>What sorts of problems do you run into when collecting repeat prescriptions, if any?</w:t>
      </w:r>
    </w:p>
    <w:p w14:paraId="58AF5F35" w14:textId="77777777" w:rsidR="00587CD0" w:rsidRPr="00241369" w:rsidRDefault="00587CD0">
      <w:pPr>
        <w:numPr>
          <w:ilvl w:val="1"/>
          <w:numId w:val="5"/>
        </w:numPr>
        <w:spacing w:line="360" w:lineRule="auto"/>
        <w:contextualSpacing/>
      </w:pPr>
      <w:r w:rsidRPr="00241369">
        <w:t>Have there been times when you have run out of antibiotics? Why do you think this happened?</w:t>
      </w:r>
    </w:p>
    <w:p w14:paraId="5AE45CB4" w14:textId="77777777" w:rsidR="00587CD0" w:rsidRDefault="00587CD0" w:rsidP="00587CD0">
      <w:pPr>
        <w:spacing w:line="360" w:lineRule="auto"/>
      </w:pPr>
      <w:r w:rsidRPr="00241369">
        <w:t xml:space="preserve">When you are busy or away, how do you ensure that your child gets their antibiotics?  </w:t>
      </w:r>
    </w:p>
    <w:p w14:paraId="05C5472D" w14:textId="77777777" w:rsidR="00587CD0" w:rsidRDefault="00587CD0" w:rsidP="00587CD0">
      <w:r>
        <w:br w:type="page"/>
      </w:r>
    </w:p>
    <w:p w14:paraId="69899ADF" w14:textId="24BF22A4" w:rsidR="00265C01" w:rsidRPr="00E57671" w:rsidRDefault="00265C01" w:rsidP="004F3338">
      <w:pPr>
        <w:pStyle w:val="Heading2"/>
      </w:pPr>
      <w:bookmarkStart w:id="335" w:name="_Toc117766027"/>
      <w:r>
        <w:lastRenderedPageBreak/>
        <w:t xml:space="preserve">Appendix </w:t>
      </w:r>
      <w:r w:rsidR="008A4C67">
        <w:t>5</w:t>
      </w:r>
      <w:r>
        <w:t xml:space="preserve">: </w:t>
      </w:r>
      <w:r w:rsidRPr="00E57671">
        <w:t>Bacterial culture and DNA extraction protocol</w:t>
      </w:r>
      <w:r>
        <w:t xml:space="preserve"> </w:t>
      </w:r>
      <w:r>
        <w:fldChar w:fldCharType="begin"/>
      </w:r>
      <w:r w:rsidR="00A67C03">
        <w:instrText xml:space="preserve"> ADDIN EN.CITE &lt;EndNote&gt;&lt;Cite&gt;&lt;Author&gt;Qiagen&lt;/Author&gt;&lt;Year&gt;2020&lt;/Year&gt;&lt;RecNum&gt;392&lt;/RecNum&gt;&lt;DisplayText&gt;(Qiagen, 2020)&lt;/DisplayText&gt;&lt;record&gt;&lt;rec-number&gt;392&lt;/rec-number&gt;&lt;foreign-keys&gt;&lt;key app="EN" db-id="pr9rwt2w8padxcerwx6prd0a9wtda2w5fw2t" timestamp="1632839786"&gt;392&lt;/key&gt;&lt;/foreign-keys&gt;&lt;ref-type name="Book"&gt;6&lt;/ref-type&gt;&lt;contributors&gt;&lt;authors&gt;&lt;author&gt;Qiagen&lt;/author&gt;&lt;/authors&gt;&lt;/contributors&gt;&lt;titles&gt;&lt;title&gt;DNeasy Blood &amp;amp; Tissue Handbook&lt;/title&gt;&lt;/titles&gt;&lt;dates&gt;&lt;year&gt;2020&lt;/year&gt;&lt;/dates&gt;&lt;urls&gt;&lt;related-urls&gt;&lt;url&gt;https://www.qiagen.com/gb/resources/resourcedetail?id=63e22fd7-6eed-4bcb-8097-7ec77bcd4de6&amp;amp;lang=en&lt;/url&gt;&lt;/related-urls&gt;&lt;/urls&gt;&lt;/record&gt;&lt;/Cite&gt;&lt;/EndNote&gt;</w:instrText>
      </w:r>
      <w:r>
        <w:fldChar w:fldCharType="separate"/>
      </w:r>
      <w:r>
        <w:rPr>
          <w:noProof/>
        </w:rPr>
        <w:t>(Qiagen, 2020)</w:t>
      </w:r>
      <w:bookmarkEnd w:id="335"/>
      <w:r>
        <w:fldChar w:fldCharType="end"/>
      </w:r>
    </w:p>
    <w:p w14:paraId="5F073966" w14:textId="77777777" w:rsidR="00265C01" w:rsidRPr="005219DA" w:rsidRDefault="00265C01" w:rsidP="00C452B0">
      <w:pPr>
        <w:spacing w:line="360" w:lineRule="auto"/>
      </w:pPr>
      <w:r w:rsidRPr="005219DA">
        <w:rPr>
          <w:b/>
          <w:bCs/>
        </w:rPr>
        <w:t>Protocol:</w:t>
      </w:r>
      <w:r w:rsidRPr="005219DA">
        <w:t xml:space="preserve"> Pre-treatment for Gram-Positive Bacteria (reference the DNA easy Qiagen protocol)</w:t>
      </w:r>
    </w:p>
    <w:p w14:paraId="3331D679" w14:textId="77777777" w:rsidR="00265C01" w:rsidRPr="005219DA" w:rsidRDefault="00265C01" w:rsidP="00C452B0">
      <w:pPr>
        <w:spacing w:line="360" w:lineRule="auto"/>
      </w:pPr>
      <w:r w:rsidRPr="005219DA">
        <w:t xml:space="preserve">This protocol is designed for purification of total DNA from Gram-positive bacteria and describes the preliminary harvesting of bacteria and incubation with lysozyme to lyse their cell walls before DNA purification. </w:t>
      </w:r>
    </w:p>
    <w:p w14:paraId="19FDA053" w14:textId="77777777" w:rsidR="00265C01" w:rsidRPr="005219DA" w:rsidRDefault="00265C01">
      <w:pPr>
        <w:numPr>
          <w:ilvl w:val="0"/>
          <w:numId w:val="38"/>
        </w:numPr>
        <w:spacing w:line="360" w:lineRule="auto"/>
      </w:pPr>
      <w:r w:rsidRPr="005219DA">
        <w:t>Take 1-2 beads from the frozen streptococcus pneumoniae isolates and streak onto blood agar plates. Incubated overnight at 37°C in 5% CO</w:t>
      </w:r>
      <w:r w:rsidRPr="005219DA">
        <w:rPr>
          <w:vertAlign w:val="subscript"/>
        </w:rPr>
        <w:t>2</w:t>
      </w:r>
      <w:r w:rsidRPr="005219DA">
        <w:t xml:space="preserve">. </w:t>
      </w:r>
    </w:p>
    <w:p w14:paraId="31FC44C1" w14:textId="77777777" w:rsidR="00265C01" w:rsidRPr="005219DA" w:rsidRDefault="00265C01">
      <w:pPr>
        <w:numPr>
          <w:ilvl w:val="0"/>
          <w:numId w:val="38"/>
        </w:numPr>
        <w:spacing w:line="360" w:lineRule="auto"/>
      </w:pPr>
      <w:r w:rsidRPr="005219DA">
        <w:t xml:space="preserve">Select approximately 30-50 colonies and suspend in 1ml of phosphate-buffered saline solution (PBS). Harvest bacterial cells in a microcentrifuge tube by centrifuging for 5 minutes at 9,000g. Discard the supernatant. </w:t>
      </w:r>
    </w:p>
    <w:p w14:paraId="35E66739" w14:textId="77777777" w:rsidR="00265C01" w:rsidRPr="005219DA" w:rsidRDefault="00265C01">
      <w:pPr>
        <w:numPr>
          <w:ilvl w:val="0"/>
          <w:numId w:val="38"/>
        </w:numPr>
        <w:spacing w:line="360" w:lineRule="auto"/>
      </w:pPr>
      <w:r w:rsidRPr="005219DA">
        <w:t>Resuspend bacterial pellet in 180 µl enzymatic lysis buffer.</w:t>
      </w:r>
    </w:p>
    <w:p w14:paraId="6312B7A4" w14:textId="77777777" w:rsidR="00265C01" w:rsidRPr="005219DA" w:rsidRDefault="00265C01" w:rsidP="00B76F76">
      <w:pPr>
        <w:spacing w:line="360" w:lineRule="auto"/>
      </w:pPr>
    </w:p>
    <w:p w14:paraId="601C08C9" w14:textId="77777777" w:rsidR="00265C01" w:rsidRPr="005219DA" w:rsidRDefault="00265C01" w:rsidP="00B76F76">
      <w:pPr>
        <w:spacing w:line="360" w:lineRule="auto"/>
        <w:rPr>
          <w:u w:val="single"/>
        </w:rPr>
      </w:pPr>
      <w:r w:rsidRPr="005219DA">
        <w:rPr>
          <w:u w:val="single"/>
        </w:rPr>
        <w:t>Enzymatic lysis buffer:</w:t>
      </w:r>
    </w:p>
    <w:p w14:paraId="2E89EAAD" w14:textId="77777777" w:rsidR="00265C01" w:rsidRPr="005219DA" w:rsidRDefault="00265C01" w:rsidP="00B76F76">
      <w:pPr>
        <w:spacing w:line="360" w:lineRule="auto"/>
      </w:pPr>
      <w:r w:rsidRPr="005219DA">
        <w:t>20mM Tris-Cl, pH 8.0</w:t>
      </w:r>
    </w:p>
    <w:p w14:paraId="7BFCB8A6" w14:textId="77777777" w:rsidR="00265C01" w:rsidRPr="005219DA" w:rsidRDefault="00265C01" w:rsidP="00B76F76">
      <w:pPr>
        <w:spacing w:line="360" w:lineRule="auto"/>
      </w:pPr>
      <w:r w:rsidRPr="005219DA">
        <w:t>2mM sodium EDTA</w:t>
      </w:r>
    </w:p>
    <w:p w14:paraId="2944B549" w14:textId="77777777" w:rsidR="00265C01" w:rsidRPr="005219DA" w:rsidRDefault="00265C01" w:rsidP="00B76F76">
      <w:pPr>
        <w:spacing w:line="360" w:lineRule="auto"/>
      </w:pPr>
      <w:r w:rsidRPr="005219DA">
        <w:t>1.2% Triton X-100</w:t>
      </w:r>
    </w:p>
    <w:p w14:paraId="4BEB8A76" w14:textId="77777777" w:rsidR="00265C01" w:rsidRPr="005219DA" w:rsidRDefault="00265C01" w:rsidP="00B76F76">
      <w:pPr>
        <w:spacing w:line="360" w:lineRule="auto"/>
      </w:pPr>
      <w:r w:rsidRPr="005219DA">
        <w:t>20mg/ml lysozyme</w:t>
      </w:r>
    </w:p>
    <w:p w14:paraId="262B9BA6" w14:textId="77777777" w:rsidR="00265C01" w:rsidRPr="005219DA" w:rsidRDefault="00265C01" w:rsidP="00B76F76">
      <w:pPr>
        <w:spacing w:line="360" w:lineRule="auto"/>
      </w:pPr>
    </w:p>
    <w:p w14:paraId="71FEED6B" w14:textId="77777777" w:rsidR="00265C01" w:rsidRPr="005219DA" w:rsidRDefault="00265C01">
      <w:pPr>
        <w:numPr>
          <w:ilvl w:val="0"/>
          <w:numId w:val="38"/>
        </w:numPr>
        <w:spacing w:line="360" w:lineRule="auto"/>
      </w:pPr>
      <w:r w:rsidRPr="005219DA">
        <w:t xml:space="preserve">Incubate for 2 hours at 37°C. </w:t>
      </w:r>
    </w:p>
    <w:p w14:paraId="5BE711F6" w14:textId="77777777" w:rsidR="00265C01" w:rsidRPr="005219DA" w:rsidRDefault="00265C01" w:rsidP="00B76F76">
      <w:pPr>
        <w:spacing w:line="360" w:lineRule="auto"/>
      </w:pPr>
      <w:r w:rsidRPr="005219DA">
        <w:t>(The original Qiagen protocol suggests a 30 minutes incubation period)</w:t>
      </w:r>
    </w:p>
    <w:p w14:paraId="4AA90061" w14:textId="77777777" w:rsidR="00265C01" w:rsidRPr="005219DA" w:rsidRDefault="00265C01" w:rsidP="00B76F76">
      <w:pPr>
        <w:spacing w:line="360" w:lineRule="auto"/>
      </w:pPr>
      <w:r w:rsidRPr="005219DA">
        <w:t>(After incubation, heat the heating block or water bath to 56°C if it is to be used for the incubation in step 6)</w:t>
      </w:r>
    </w:p>
    <w:p w14:paraId="5080664C" w14:textId="77777777" w:rsidR="00265C01" w:rsidRPr="005219DA" w:rsidRDefault="00265C01">
      <w:pPr>
        <w:numPr>
          <w:ilvl w:val="0"/>
          <w:numId w:val="38"/>
        </w:numPr>
        <w:spacing w:line="360" w:lineRule="auto"/>
      </w:pPr>
      <w:r w:rsidRPr="005219DA">
        <w:t xml:space="preserve">Add 25 µl Proteinase K and 200 µl Buffer AL (without ethanol). Mix by </w:t>
      </w:r>
      <w:proofErr w:type="spellStart"/>
      <w:r w:rsidRPr="005219DA">
        <w:t>vortexing</w:t>
      </w:r>
      <w:proofErr w:type="spellEnd"/>
    </w:p>
    <w:p w14:paraId="68E16260" w14:textId="77777777" w:rsidR="00265C01" w:rsidRPr="005219DA" w:rsidRDefault="00265C01">
      <w:pPr>
        <w:numPr>
          <w:ilvl w:val="0"/>
          <w:numId w:val="38"/>
        </w:numPr>
        <w:spacing w:line="360" w:lineRule="auto"/>
      </w:pPr>
      <w:r w:rsidRPr="005219DA">
        <w:t>Incubate at 56°C for 30 min.</w:t>
      </w:r>
    </w:p>
    <w:p w14:paraId="2987E4E1" w14:textId="77777777" w:rsidR="00265C01" w:rsidRPr="005219DA" w:rsidRDefault="00265C01">
      <w:pPr>
        <w:numPr>
          <w:ilvl w:val="0"/>
          <w:numId w:val="38"/>
        </w:numPr>
        <w:spacing w:line="360" w:lineRule="auto"/>
      </w:pPr>
      <w:r w:rsidRPr="005219DA">
        <w:t xml:space="preserve">Add 200 µl ethanol (96–100%) to the sample, and mix thoroughly by </w:t>
      </w:r>
      <w:proofErr w:type="spellStart"/>
      <w:r w:rsidRPr="005219DA">
        <w:t>vortexing</w:t>
      </w:r>
      <w:proofErr w:type="spellEnd"/>
      <w:r w:rsidRPr="005219DA">
        <w:t>.</w:t>
      </w:r>
    </w:p>
    <w:p w14:paraId="5D6443B5" w14:textId="77777777" w:rsidR="00265C01" w:rsidRPr="005219DA" w:rsidRDefault="00265C01">
      <w:pPr>
        <w:numPr>
          <w:ilvl w:val="0"/>
          <w:numId w:val="38"/>
        </w:numPr>
        <w:spacing w:line="360" w:lineRule="auto"/>
      </w:pPr>
      <w:r w:rsidRPr="005219DA">
        <w:t xml:space="preserve">Pipet the mixture from step 3 into the </w:t>
      </w:r>
      <w:proofErr w:type="spellStart"/>
      <w:r w:rsidRPr="005219DA">
        <w:t>DNeasy</w:t>
      </w:r>
      <w:proofErr w:type="spellEnd"/>
      <w:r w:rsidRPr="005219DA">
        <w:t xml:space="preserve"> Mini spin column placed in a 2 ml collection tube (provided). Centrifuge at ≥6000 x g (8000 rpm) for 1 min. Discard flowthrough and collection tube.</w:t>
      </w:r>
    </w:p>
    <w:p w14:paraId="6A866AE4" w14:textId="77777777" w:rsidR="00265C01" w:rsidRPr="005219DA" w:rsidRDefault="00265C01">
      <w:pPr>
        <w:numPr>
          <w:ilvl w:val="0"/>
          <w:numId w:val="38"/>
        </w:numPr>
        <w:spacing w:line="360" w:lineRule="auto"/>
      </w:pPr>
      <w:r w:rsidRPr="005219DA">
        <w:t xml:space="preserve">Place the </w:t>
      </w:r>
      <w:proofErr w:type="spellStart"/>
      <w:r w:rsidRPr="005219DA">
        <w:t>DNeasy</w:t>
      </w:r>
      <w:proofErr w:type="spellEnd"/>
      <w:r w:rsidRPr="005219DA">
        <w:t xml:space="preserve"> Mini spin column in a new 2 ml collection tube (provided), add 500 µl Buffer AW1, and centrifuge for 1 min at ≥6000 x g (8000 rpm). Discard flow-through and collection tube.</w:t>
      </w:r>
    </w:p>
    <w:p w14:paraId="41BF9B7F" w14:textId="77777777" w:rsidR="00265C01" w:rsidRPr="005219DA" w:rsidRDefault="00265C01">
      <w:pPr>
        <w:numPr>
          <w:ilvl w:val="0"/>
          <w:numId w:val="38"/>
        </w:numPr>
        <w:spacing w:line="360" w:lineRule="auto"/>
      </w:pPr>
      <w:r w:rsidRPr="005219DA">
        <w:lastRenderedPageBreak/>
        <w:t xml:space="preserve">Place the </w:t>
      </w:r>
      <w:proofErr w:type="spellStart"/>
      <w:r w:rsidRPr="005219DA">
        <w:t>DNeasy</w:t>
      </w:r>
      <w:proofErr w:type="spellEnd"/>
      <w:r w:rsidRPr="005219DA">
        <w:t xml:space="preserve"> Mini spin column in a new 2 ml collection tube (provided), add 500 µl Buffer AW2, and centrifuge for 3 min at 20,000 x g (14,000 rpm) to dry the </w:t>
      </w:r>
      <w:proofErr w:type="spellStart"/>
      <w:r w:rsidRPr="005219DA">
        <w:t>DNeasy</w:t>
      </w:r>
      <w:proofErr w:type="spellEnd"/>
      <w:r w:rsidRPr="005219DA">
        <w:t xml:space="preserve"> membrane. Discard flow-through and collection tube.</w:t>
      </w:r>
    </w:p>
    <w:p w14:paraId="6EBD3BD6" w14:textId="77777777" w:rsidR="00265C01" w:rsidRPr="005219DA" w:rsidRDefault="00265C01">
      <w:pPr>
        <w:numPr>
          <w:ilvl w:val="0"/>
          <w:numId w:val="38"/>
        </w:numPr>
        <w:spacing w:line="360" w:lineRule="auto"/>
      </w:pPr>
      <w:r w:rsidRPr="005219DA">
        <w:t xml:space="preserve">Place the </w:t>
      </w:r>
      <w:proofErr w:type="spellStart"/>
      <w:r w:rsidRPr="005219DA">
        <w:t>DNeasy</w:t>
      </w:r>
      <w:proofErr w:type="spellEnd"/>
      <w:r w:rsidRPr="005219DA">
        <w:t xml:space="preserve"> Mini spin column in a clean 1.5 ml or 2 ml microcentrifuge tube (not provided), and pipet 100 µl Buffer AE directly onto the </w:t>
      </w:r>
      <w:proofErr w:type="spellStart"/>
      <w:r w:rsidRPr="005219DA">
        <w:t>DNeasy</w:t>
      </w:r>
      <w:proofErr w:type="spellEnd"/>
      <w:r w:rsidRPr="005219DA">
        <w:t xml:space="preserve"> membrane. Incubate at room temperature for 1min, and then centrifuge for 1 min at ≥ 6000 x g (8000 rpm) to elute</w:t>
      </w:r>
    </w:p>
    <w:p w14:paraId="6CAD85BD" w14:textId="77777777" w:rsidR="00265C01" w:rsidRPr="005219DA" w:rsidRDefault="00265C01">
      <w:pPr>
        <w:numPr>
          <w:ilvl w:val="0"/>
          <w:numId w:val="38"/>
        </w:numPr>
      </w:pPr>
      <w:r w:rsidRPr="005219DA">
        <w:br w:type="page"/>
      </w:r>
    </w:p>
    <w:p w14:paraId="30962519" w14:textId="5623F2AD" w:rsidR="00587CD0" w:rsidRDefault="00C964E1" w:rsidP="004F3338">
      <w:pPr>
        <w:pStyle w:val="Heading2"/>
      </w:pPr>
      <w:bookmarkStart w:id="336" w:name="_Toc117766028"/>
      <w:r>
        <w:lastRenderedPageBreak/>
        <w:t xml:space="preserve">Appendix </w:t>
      </w:r>
      <w:r w:rsidR="008A4C67">
        <w:t>6</w:t>
      </w:r>
      <w:r w:rsidR="00195CC4">
        <w:t xml:space="preserve">: </w:t>
      </w:r>
      <w:r w:rsidR="00587CD0">
        <w:t>Further explanation of the phases of the behavioural model</w:t>
      </w:r>
      <w:bookmarkEnd w:id="336"/>
    </w:p>
    <w:p w14:paraId="0B19FC70" w14:textId="77777777" w:rsidR="00587CD0" w:rsidRPr="00A20AB9" w:rsidRDefault="00587CD0" w:rsidP="00C452B0">
      <w:pPr>
        <w:spacing w:line="360" w:lineRule="auto"/>
      </w:pPr>
      <w:r w:rsidRPr="00A20AB9">
        <w:rPr>
          <w:b/>
        </w:rPr>
        <w:t xml:space="preserve">Explanation: </w:t>
      </w:r>
      <w:r w:rsidRPr="00A20AB9">
        <w:t>The first phase of stability begins with parental acceptance of antibiotic prophylaxis after weighing up the associated risks and benefits. A desire to normalise prophylaxis ensues in order to address social norms of not wanting their child to stand out and to make life as easy as possible. This is achieved by establishing a routine and minim</w:t>
      </w:r>
      <w:r>
        <w:t>i</w:t>
      </w:r>
      <w:r w:rsidRPr="00A20AB9">
        <w:t xml:space="preserve">sing environmental disruptions. </w:t>
      </w:r>
    </w:p>
    <w:p w14:paraId="7EF60BAE" w14:textId="77777777" w:rsidR="00587CD0" w:rsidRPr="00A20AB9" w:rsidRDefault="00587CD0" w:rsidP="00587CD0">
      <w:pPr>
        <w:spacing w:line="360" w:lineRule="auto"/>
      </w:pPr>
      <w:r w:rsidRPr="00A20AB9">
        <w:t>Following this parents may rationalise their decisions if exacerbation frequency reduces. Previous concerns may be suppressed, a sense of security develops and restrictions placed on their child’s activities may be lifted. Adherence may be promoted as prophylaxis is seen as vital or complacency may develop.</w:t>
      </w:r>
    </w:p>
    <w:p w14:paraId="402B1EDA" w14:textId="77777777" w:rsidR="00587CD0" w:rsidRPr="00A20AB9" w:rsidRDefault="00587CD0" w:rsidP="00587CD0">
      <w:pPr>
        <w:spacing w:line="360" w:lineRule="auto"/>
      </w:pPr>
      <w:r w:rsidRPr="00A20AB9">
        <w:t xml:space="preserve">Episodes of acute illness inevitably occur. These induce fear that their child will deteriorate and prophylaxis has failed. An objective response follows drawing on previous experiences to assess and manage the situation at home. Barriers need to be overcome if assessment by a health care professional is felt necessary: social norms of wasting people’s time, being seen as “paranoid” and practical aspects of making appointments. Determining the threshold for assessment is difficult for parents but potential drivers are their perceived severity of symptoms or fear of deterioration/ end organ damage. </w:t>
      </w:r>
    </w:p>
    <w:p w14:paraId="514B68C9" w14:textId="77777777" w:rsidR="00587CD0" w:rsidRDefault="00587CD0" w:rsidP="00587CD0">
      <w:pPr>
        <w:spacing w:line="360" w:lineRule="auto"/>
      </w:pPr>
      <w:r w:rsidRPr="00A20AB9">
        <w:t xml:space="preserve">After the acute illness, parents reflect on their parenting response and outcome of the assessment depending on whether treatment was given or not. This may influence their assessment and expectations of future illnesses as well as reflecting on the efficacy of the antibiotic prophylaxis. A period of stability ensues once more and parents reweigh the associated balance of risk. </w:t>
      </w:r>
    </w:p>
    <w:p w14:paraId="7487D338" w14:textId="6DDBA7EE" w:rsidR="00587CD0" w:rsidRDefault="00587CD0" w:rsidP="00751D62">
      <w:r>
        <w:br w:type="page"/>
      </w:r>
    </w:p>
    <w:p w14:paraId="144F0B8F" w14:textId="764461EC" w:rsidR="00386247" w:rsidRDefault="00386247" w:rsidP="00386247">
      <w:pPr>
        <w:pStyle w:val="Heading2"/>
      </w:pPr>
      <w:bookmarkStart w:id="337" w:name="_Toc117766029"/>
      <w:r>
        <w:lastRenderedPageBreak/>
        <w:t xml:space="preserve">Appendix </w:t>
      </w:r>
      <w:r w:rsidR="008A4C67">
        <w:t>7</w:t>
      </w:r>
      <w:r>
        <w:t xml:space="preserve">: </w:t>
      </w:r>
      <w:r w:rsidR="00814CC7">
        <w:t>Final draft of p</w:t>
      </w:r>
      <w:r>
        <w:t>ublished journal article</w:t>
      </w:r>
      <w:bookmarkEnd w:id="337"/>
    </w:p>
    <w:p w14:paraId="3B45DC3D" w14:textId="77777777" w:rsidR="00386247" w:rsidRDefault="00386247" w:rsidP="00386247">
      <w:pPr>
        <w:spacing w:line="360" w:lineRule="auto"/>
        <w:rPr>
          <w:b/>
          <w:sz w:val="28"/>
          <w:szCs w:val="28"/>
        </w:rPr>
      </w:pPr>
      <w:r>
        <w:rPr>
          <w:b/>
          <w:sz w:val="28"/>
          <w:szCs w:val="28"/>
        </w:rPr>
        <w:t>Title: The parental experience of prophylactic antibiotics (PEPPA)</w:t>
      </w:r>
    </w:p>
    <w:p w14:paraId="021EF1F2" w14:textId="77777777" w:rsidR="00386247" w:rsidRDefault="00386247" w:rsidP="00386247">
      <w:pPr>
        <w:spacing w:line="360" w:lineRule="auto"/>
        <w:rPr>
          <w:bCs/>
          <w:u w:val="single"/>
        </w:rPr>
      </w:pPr>
      <w:r>
        <w:rPr>
          <w:bCs/>
          <w:u w:val="single"/>
        </w:rPr>
        <w:t>Corresponding author:</w:t>
      </w:r>
    </w:p>
    <w:p w14:paraId="783485F6" w14:textId="77777777" w:rsidR="00386247" w:rsidRDefault="00386247" w:rsidP="00386247">
      <w:pPr>
        <w:spacing w:line="360" w:lineRule="auto"/>
        <w:rPr>
          <w:bCs/>
        </w:rPr>
      </w:pPr>
      <w:r>
        <w:rPr>
          <w:bCs/>
        </w:rPr>
        <w:t xml:space="preserve">Dr Simon </w:t>
      </w:r>
      <w:proofErr w:type="spellStart"/>
      <w:r>
        <w:rPr>
          <w:bCs/>
        </w:rPr>
        <w:t>Hardman,</w:t>
      </w:r>
      <w:proofErr w:type="spellEnd"/>
      <w:r>
        <w:rPr>
          <w:bCs/>
        </w:rPr>
        <w:t xml:space="preserve"> Room 9, Academic Unit Child Health, Sheffield Children’s Hospital, </w:t>
      </w:r>
      <w:proofErr w:type="spellStart"/>
      <w:r>
        <w:rPr>
          <w:bCs/>
        </w:rPr>
        <w:t>Damer</w:t>
      </w:r>
      <w:proofErr w:type="spellEnd"/>
      <w:r>
        <w:rPr>
          <w:bCs/>
        </w:rPr>
        <w:t xml:space="preserve"> Street, S10 2TH. Email: simonhardman@doctors.net.uk</w:t>
      </w:r>
    </w:p>
    <w:p w14:paraId="12041F4A" w14:textId="77777777" w:rsidR="00386247" w:rsidRDefault="00386247" w:rsidP="00386247">
      <w:pPr>
        <w:spacing w:line="360" w:lineRule="auto"/>
        <w:rPr>
          <w:bCs/>
          <w:u w:val="single"/>
        </w:rPr>
      </w:pPr>
      <w:r>
        <w:rPr>
          <w:bCs/>
          <w:u w:val="single"/>
        </w:rPr>
        <w:t>Co-authors:</w:t>
      </w:r>
    </w:p>
    <w:p w14:paraId="43311A19" w14:textId="77777777" w:rsidR="00386247" w:rsidRDefault="00386247" w:rsidP="00386247">
      <w:pPr>
        <w:spacing w:line="360" w:lineRule="auto"/>
        <w:rPr>
          <w:bCs/>
        </w:rPr>
      </w:pPr>
      <w:r>
        <w:rPr>
          <w:bCs/>
        </w:rPr>
        <w:t xml:space="preserve">Dr Fiona </w:t>
      </w:r>
      <w:proofErr w:type="spellStart"/>
      <w:r>
        <w:rPr>
          <w:bCs/>
        </w:rPr>
        <w:t>Shackley</w:t>
      </w:r>
      <w:proofErr w:type="spellEnd"/>
      <w:r>
        <w:rPr>
          <w:bCs/>
        </w:rPr>
        <w:t>. Sheffield Children's Hospital NHS Foundation Trust, Immunology, Allergy and Infectious Diseases, Sheffield, UK</w:t>
      </w:r>
    </w:p>
    <w:p w14:paraId="4DC2FE1C" w14:textId="77777777" w:rsidR="00386247" w:rsidRDefault="00386247" w:rsidP="00386247">
      <w:pPr>
        <w:spacing w:line="360" w:lineRule="auto"/>
        <w:rPr>
          <w:bCs/>
        </w:rPr>
      </w:pPr>
      <w:r>
        <w:rPr>
          <w:bCs/>
        </w:rPr>
        <w:t xml:space="preserve">Professor Alison </w:t>
      </w:r>
      <w:proofErr w:type="spellStart"/>
      <w:r>
        <w:rPr>
          <w:bCs/>
        </w:rPr>
        <w:t>Condliffe</w:t>
      </w:r>
      <w:proofErr w:type="spellEnd"/>
      <w:r>
        <w:rPr>
          <w:bCs/>
        </w:rPr>
        <w:t>. The University of Sheffield, Infection, Immunity and Cardiovascular Disease, Sheffield, UK</w:t>
      </w:r>
    </w:p>
    <w:p w14:paraId="4C9B4785" w14:textId="77777777" w:rsidR="00386247" w:rsidRDefault="00386247" w:rsidP="00386247">
      <w:pPr>
        <w:spacing w:line="360" w:lineRule="auto"/>
        <w:rPr>
          <w:bCs/>
        </w:rPr>
      </w:pPr>
      <w:r>
        <w:rPr>
          <w:bCs/>
        </w:rPr>
        <w:t>Dr Kelechi Ugonna. Sheffield Children's Hospital NHS Foundation Trust, Paediatric Respiratory Medicine, Sheffield, UK</w:t>
      </w:r>
    </w:p>
    <w:p w14:paraId="7C13A0DD" w14:textId="77777777" w:rsidR="00386247" w:rsidRDefault="00386247" w:rsidP="00386247">
      <w:pPr>
        <w:spacing w:line="360" w:lineRule="auto"/>
        <w:rPr>
          <w:bCs/>
        </w:rPr>
      </w:pPr>
      <w:r>
        <w:rPr>
          <w:bCs/>
        </w:rPr>
        <w:t>Dr Andrew Lee. The University of Sheffield School of Health and Related Research, Public Health, Sheffield, UK</w:t>
      </w:r>
    </w:p>
    <w:p w14:paraId="180F3F8A" w14:textId="77777777" w:rsidR="00386247" w:rsidRDefault="00386247" w:rsidP="00386247">
      <w:pPr>
        <w:spacing w:line="360" w:lineRule="auto"/>
        <w:rPr>
          <w:bCs/>
          <w:u w:val="single"/>
        </w:rPr>
      </w:pPr>
      <w:r>
        <w:rPr>
          <w:bCs/>
          <w:u w:val="single"/>
        </w:rPr>
        <w:t>Keywords:</w:t>
      </w:r>
    </w:p>
    <w:p w14:paraId="1C055159" w14:textId="77777777" w:rsidR="00386247" w:rsidRDefault="00386247" w:rsidP="00386247">
      <w:pPr>
        <w:spacing w:line="360" w:lineRule="auto"/>
        <w:rPr>
          <w:bCs/>
        </w:rPr>
      </w:pPr>
      <w:r>
        <w:rPr>
          <w:bCs/>
        </w:rPr>
        <w:t>paediatrics, qualitative research, parents, antibiotic prophylaxis, respiratory therapy</w:t>
      </w:r>
    </w:p>
    <w:p w14:paraId="130E905D" w14:textId="77777777" w:rsidR="00386247" w:rsidRDefault="00386247" w:rsidP="00386247">
      <w:pPr>
        <w:spacing w:line="360" w:lineRule="auto"/>
        <w:rPr>
          <w:bCs/>
        </w:rPr>
      </w:pPr>
      <w:r>
        <w:rPr>
          <w:bCs/>
          <w:u w:val="single"/>
        </w:rPr>
        <w:t>Word count:</w:t>
      </w:r>
      <w:r>
        <w:rPr>
          <w:bCs/>
        </w:rPr>
        <w:t xml:space="preserve"> 2500</w:t>
      </w:r>
      <w:r>
        <w:rPr>
          <w:b/>
          <w:sz w:val="28"/>
          <w:szCs w:val="28"/>
        </w:rPr>
        <w:br w:type="page"/>
      </w:r>
    </w:p>
    <w:p w14:paraId="30C4E8C6" w14:textId="77777777" w:rsidR="00386247" w:rsidRDefault="00386247" w:rsidP="00386247">
      <w:pPr>
        <w:spacing w:line="360" w:lineRule="auto"/>
        <w:rPr>
          <w:b/>
          <w:sz w:val="28"/>
          <w:szCs w:val="28"/>
        </w:rPr>
      </w:pPr>
      <w:r>
        <w:rPr>
          <w:b/>
          <w:sz w:val="28"/>
          <w:szCs w:val="28"/>
        </w:rPr>
        <w:lastRenderedPageBreak/>
        <w:t>Abstract</w:t>
      </w:r>
    </w:p>
    <w:p w14:paraId="0D22B51F" w14:textId="77777777" w:rsidR="00386247" w:rsidRDefault="00386247" w:rsidP="00386247">
      <w:pPr>
        <w:spacing w:line="360" w:lineRule="auto"/>
        <w:rPr>
          <w:b/>
        </w:rPr>
      </w:pPr>
      <w:r>
        <w:rPr>
          <w:b/>
        </w:rPr>
        <w:t>Background and objectives</w:t>
      </w:r>
    </w:p>
    <w:p w14:paraId="078B1ACA" w14:textId="77777777" w:rsidR="00386247" w:rsidRDefault="00386247" w:rsidP="00386247">
      <w:pPr>
        <w:spacing w:line="360" w:lineRule="auto"/>
        <w:rPr>
          <w:bCs/>
        </w:rPr>
      </w:pPr>
      <w:r>
        <w:rPr>
          <w:bCs/>
        </w:rPr>
        <w:t>Long-term prophylactic antibiotics are often used to prevent bacterial infections. However, supporting evidence for this is not always robust. Including parents in decisions relating to medication is key to medicines optimisation. Parental concern regarding medication is a major determinant of poor adherence. This study explores parental experiences of having a child prescribed prophylactic antibiotics and how that affects their antibiotic use behaviour.</w:t>
      </w:r>
    </w:p>
    <w:p w14:paraId="7E8F7785" w14:textId="77777777" w:rsidR="00386247" w:rsidRDefault="00386247" w:rsidP="00386247">
      <w:pPr>
        <w:spacing w:line="360" w:lineRule="auto"/>
        <w:rPr>
          <w:b/>
        </w:rPr>
      </w:pPr>
      <w:r>
        <w:rPr>
          <w:b/>
        </w:rPr>
        <w:t>Methods</w:t>
      </w:r>
    </w:p>
    <w:p w14:paraId="60E915BC" w14:textId="77777777" w:rsidR="00386247" w:rsidRDefault="00386247" w:rsidP="00386247">
      <w:pPr>
        <w:spacing w:line="360" w:lineRule="auto"/>
        <w:rPr>
          <w:bCs/>
        </w:rPr>
      </w:pPr>
      <w:r>
        <w:rPr>
          <w:bCs/>
        </w:rPr>
        <w:t>We conducted a prospective single centre exploratory qualitative study at Sheffield Children’s Hospital. Through 15 interviews, involving 18 participants, we explored parental’ “lived experiences” and attitudes towards azithromycin prophylaxis prescribed for various respiratory conditions. Thematic analysis was conducted.</w:t>
      </w:r>
    </w:p>
    <w:p w14:paraId="68F3C734" w14:textId="77777777" w:rsidR="00386247" w:rsidRDefault="00386247" w:rsidP="00386247">
      <w:pPr>
        <w:spacing w:line="360" w:lineRule="auto"/>
        <w:rPr>
          <w:b/>
        </w:rPr>
      </w:pPr>
      <w:r>
        <w:rPr>
          <w:b/>
        </w:rPr>
        <w:t>Results</w:t>
      </w:r>
    </w:p>
    <w:p w14:paraId="6B2E0408" w14:textId="77777777" w:rsidR="00386247" w:rsidRDefault="00386247" w:rsidP="00386247">
      <w:pPr>
        <w:spacing w:line="360" w:lineRule="auto"/>
        <w:rPr>
          <w:bCs/>
        </w:rPr>
      </w:pPr>
      <w:r>
        <w:rPr>
          <w:bCs/>
        </w:rPr>
        <w:t xml:space="preserve">The overriding factor influencing parental decisions about the uptake of antibiotic prophylaxis, is wanting their child to be well now. The main concern voiced by parents is that of antibiotic resistance given their children are high users of antibiotics. This is however seen as a problem for the future, not the present. Preparing families adequately helps prevent practical difficulties relating to medication. Facilitating “normalisation” of prophylaxis through daily routines and minimising disruption to the family environment may reduce parental anxiety, promote adherence and result in easing of potential restrictions to the child’s daily activities. </w:t>
      </w:r>
    </w:p>
    <w:p w14:paraId="26F1EE25" w14:textId="77777777" w:rsidR="00386247" w:rsidRDefault="00386247" w:rsidP="00386247">
      <w:pPr>
        <w:spacing w:line="360" w:lineRule="auto"/>
        <w:rPr>
          <w:b/>
        </w:rPr>
      </w:pPr>
    </w:p>
    <w:p w14:paraId="2A49C913" w14:textId="77777777" w:rsidR="00386247" w:rsidRDefault="00386247" w:rsidP="00386247">
      <w:pPr>
        <w:spacing w:line="360" w:lineRule="auto"/>
        <w:rPr>
          <w:b/>
        </w:rPr>
      </w:pPr>
      <w:r>
        <w:rPr>
          <w:b/>
        </w:rPr>
        <w:t>Conclusion</w:t>
      </w:r>
    </w:p>
    <w:p w14:paraId="6BB3AA40" w14:textId="77777777" w:rsidR="00386247" w:rsidRDefault="00386247" w:rsidP="00386247">
      <w:pPr>
        <w:spacing w:line="360" w:lineRule="auto"/>
        <w:rPr>
          <w:b/>
          <w:sz w:val="28"/>
          <w:szCs w:val="28"/>
        </w:rPr>
      </w:pPr>
      <w:r>
        <w:rPr>
          <w:bCs/>
        </w:rPr>
        <w:t>Grounded in our deeper understanding, we propose a behavioural model that describes phases parents go through whilst having a child on prophylactic antibiotics. Time invested in holistically addressing the parental experience and having an awareness of potential issues parents face, may facilitate medication adherence, reduce anxieties and improve doctor-parent relationships.</w:t>
      </w:r>
      <w:r>
        <w:rPr>
          <w:b/>
          <w:sz w:val="28"/>
          <w:szCs w:val="28"/>
        </w:rPr>
        <w:br w:type="page"/>
      </w:r>
    </w:p>
    <w:p w14:paraId="66975CF9" w14:textId="77777777" w:rsidR="00386247" w:rsidRDefault="00386247" w:rsidP="00386247">
      <w:pPr>
        <w:spacing w:line="360" w:lineRule="auto"/>
        <w:rPr>
          <w:b/>
          <w:sz w:val="28"/>
          <w:szCs w:val="28"/>
        </w:rPr>
      </w:pPr>
      <w:r>
        <w:rPr>
          <w:b/>
          <w:sz w:val="28"/>
          <w:szCs w:val="28"/>
        </w:rPr>
        <w:lastRenderedPageBreak/>
        <w:t xml:space="preserve">The parental experience of prophylactic antibiotics (PEPPA) </w:t>
      </w:r>
    </w:p>
    <w:p w14:paraId="57D6A2E2" w14:textId="77777777" w:rsidR="00386247" w:rsidRDefault="00386247" w:rsidP="00386247">
      <w:pPr>
        <w:spacing w:line="360" w:lineRule="auto"/>
        <w:rPr>
          <w:b/>
          <w:sz w:val="28"/>
          <w:szCs w:val="28"/>
        </w:rPr>
      </w:pPr>
    </w:p>
    <w:p w14:paraId="60339D8E" w14:textId="77777777" w:rsidR="00386247" w:rsidRDefault="00386247" w:rsidP="00386247">
      <w:pPr>
        <w:spacing w:line="360" w:lineRule="auto"/>
        <w:rPr>
          <w:b/>
          <w:sz w:val="28"/>
          <w:szCs w:val="28"/>
        </w:rPr>
      </w:pPr>
      <w:r>
        <w:rPr>
          <w:b/>
          <w:sz w:val="28"/>
          <w:szCs w:val="28"/>
        </w:rPr>
        <w:t xml:space="preserve">Background </w:t>
      </w:r>
    </w:p>
    <w:p w14:paraId="3730282E" w14:textId="37EAB001" w:rsidR="00386247" w:rsidRDefault="00386247" w:rsidP="00386247">
      <w:pPr>
        <w:spacing w:line="360" w:lineRule="auto"/>
      </w:pPr>
      <w:r>
        <w:t xml:space="preserve">Long-term prophylactic antibiotics are often used to prevent serious bacterial infections and their sequelae in susceptible populations. Evidence-based guidelines for antibiotic prophylaxis exist for conditions such as HIV and sickle cell disease </w:t>
      </w:r>
      <w:r>
        <w:fldChar w:fldCharType="begin">
          <w:fldData xml:space="preserve">PEVuZE5vdGU+PENpdGU+PEF1dGhvcj5DaGlsZHJlbi48L0F1dGhvcj48WWVhcj4yMDE5PC9ZZWFy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</w:fldData>
        </w:fldChar>
      </w:r>
      <w:r w:rsidR="00250C95">
        <w:instrText xml:space="preserve"> ADDIN EN.CITE </w:instrText>
      </w:r>
      <w:r w:rsidR="00250C95">
        <w:fldChar w:fldCharType="begin">
          <w:fldData xml:space="preserve">PEVuZE5vdGU+PENpdGU+PEF1dGhvcj5DaGlsZHJlbi48L0F1dGhvcj48WWVhcj4yMDE5PC9ZZWFy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</w:fldData>
        </w:fldChar>
      </w:r>
      <w:r w:rsidR="00250C95">
        <w:instrText xml:space="preserve"> ADDIN EN.CITE.DATA </w:instrText>
      </w:r>
      <w:r w:rsidR="00250C95">
        <w:fldChar w:fldCharType="end"/>
      </w:r>
      <w:r>
        <w:fldChar w:fldCharType="separate"/>
      </w:r>
      <w:r w:rsidR="00250C95">
        <w:rPr>
          <w:noProof/>
        </w:rPr>
        <w:t>(</w:t>
      </w:r>
      <w:r w:rsidR="0033208F">
        <w:rPr>
          <w:noProof/>
        </w:rPr>
        <w:t>Panel on Opportunistic infections in HIV</w:t>
      </w:r>
      <w:r w:rsidR="009273EB">
        <w:rPr>
          <w:noProof/>
        </w:rPr>
        <w:t>.,</w:t>
      </w:r>
      <w:r w:rsidR="00250C95">
        <w:rPr>
          <w:noProof/>
        </w:rPr>
        <w:t xml:space="preserve"> 2019; Rankine-Mullings et al., 2017)</w:t>
      </w:r>
      <w:r>
        <w:fldChar w:fldCharType="end"/>
      </w:r>
      <w:r>
        <w:t xml:space="preserve">. However, in other conditions the supporting evidence is less robust </w:t>
      </w:r>
      <w:r>
        <w:fldChar w:fldCharType="begin"/>
      </w:r>
      <w:r w:rsidR="00250C95">
        <w:instrText xml:space="preserve"> ADDIN EN.CITE &lt;EndNote&gt;&lt;Cite&gt;&lt;Author&gt;Bush&lt;/Author&gt;&lt;Year&gt;2019&lt;/Year&gt;&lt;RecNum&gt;196&lt;/RecNum&gt;&lt;DisplayText&gt;(Bush, 2019)&lt;/DisplayText&gt;&lt;record&gt;&lt;rec-number&gt;196&lt;/rec-number&gt;&lt;foreign-keys&gt;&lt;key app="EN" db-id="z50rresss5e5vfe0s2qpewtuxsprsrse5fff" timestamp="1583313559"&gt;196&lt;/key&gt;&lt;/foreign-keys&gt;&lt;ref-type name="Journal Article"&gt;17&lt;/ref-type&gt;&lt;contributors&gt;&lt;authors&gt;&lt;author&gt;Bush, Andrew&lt;/author&gt;&lt;/authors&gt;&lt;/contributors&gt;&lt;titles&gt;&lt;title&gt;Azithromycin is the answer in paediatric respiratory medicine, but what was the question?&lt;/title&gt;&lt;secondary-title&gt;Paediatric Respiratory Reviews&lt;/secondary-title&gt;&lt;/titles&gt;&lt;periodical&gt;&lt;full-title&gt;Paediatric Respiratory Reviews&lt;/full-title&gt;&lt;/periodical&gt;&lt;keywords&gt;&lt;keyword&gt;Asthma&lt;/keyword&gt;&lt;keyword&gt;Bronchiectasis&lt;/keyword&gt;&lt;keyword&gt;Bronchiolitis&lt;/keyword&gt;&lt;keyword&gt;Cystic fibrosis&lt;/keyword&gt;&lt;keyword&gt;Interstitial lung disease&lt;/keyword&gt;&lt;keyword&gt;Preschool wheeze&lt;/keyword&gt;&lt;keyword&gt;Primary ciliary dyskinesia&lt;/keyword&gt;&lt;/keywords&gt;&lt;dates&gt;&lt;year&gt;2019&lt;/year&gt;&lt;pub-dates&gt;&lt;date&gt;2019/08/16/&lt;/date&gt;&lt;/pub-dates&gt;&lt;/dates&gt;&lt;isbn&gt;1526-0542&lt;/isbn&gt;&lt;urls&gt;&lt;related-urls&gt;&lt;url&gt;http://www.sciencedirect.com/science/article/pii/S152605421930065X&lt;/url&gt;&lt;/related-urls&gt;&lt;/urls&gt;&lt;electronic-resource-num&gt;https://doi.org/10.1016/j.prrv.2019.07.002&lt;/electronic-resource-num&gt;&lt;/record&gt;&lt;/Cite&gt;&lt;/EndNote&gt;</w:instrText>
      </w:r>
      <w:r>
        <w:fldChar w:fldCharType="separate"/>
      </w:r>
      <w:r w:rsidR="00250C95">
        <w:rPr>
          <w:noProof/>
        </w:rPr>
        <w:t>(Bush, 2019)</w:t>
      </w:r>
      <w:r>
        <w:fldChar w:fldCharType="end"/>
      </w:r>
      <w:r>
        <w:t xml:space="preserve">. Azithromycin prophylaxis is often used in children with recurrent respiratory tract infections due to its antibiotic and anti-inflammatory effects.  It is recommended for conditions such as bronchiectasis </w:t>
      </w:r>
      <w:r>
        <w:fldChar w:fldCharType="begin"/>
      </w:r>
      <w:r w:rsidR="00250C95">
        <w:instrText xml:space="preserve"> ADDIN EN.CITE &lt;EndNote&gt;&lt;Cite&gt;&lt;Author&gt;T Hill&lt;/Author&gt;&lt;Year&gt;2019&lt;/Year&gt;&lt;RecNum&gt;15&lt;/RecNum&gt;&lt;DisplayText&gt;(T Hill et al., 2019)&lt;/DisplayText&gt;&lt;record&gt;&lt;rec-number&gt;15&lt;/rec-number&gt;&lt;foreign-keys&gt;&lt;key app="EN" db-id="z50rresss5e5vfe0s2qpewtuxsprsrse5fff" timestamp="1560939315"&gt;15&lt;/key&gt;&lt;/foreign-keys&gt;&lt;ref-type name="Journal Article"&gt;17&lt;/ref-type&gt;&lt;contributors&gt;&lt;authors&gt;&lt;author&gt;T Hill, Adam&lt;/author&gt;&lt;author&gt;L Sullivan, Anita&lt;/author&gt;&lt;author&gt;D Chalmers, James&lt;/author&gt;&lt;author&gt;De Soyza, Anthony&lt;/author&gt;&lt;author&gt;Stuart Elborn, J&lt;/author&gt;&lt;author&gt;Andres Floto, R&lt;/author&gt;&lt;author&gt;Grillo, Lizzie&lt;/author&gt;&lt;author&gt;Gruffydd-Jones, Kevin&lt;/author&gt;&lt;author&gt;Harvey, Alex&lt;/author&gt;&lt;author&gt;S Haworth, Charles&lt;/author&gt;&lt;author&gt;Hiscocks, Edwin&lt;/author&gt;&lt;author&gt;R Hurst, John&lt;/author&gt;&lt;author&gt;Johnson, Christopher&lt;/author&gt;&lt;author&gt;Peter Kelleher, W&lt;/author&gt;&lt;author&gt;Bedi, Pallavi&lt;/author&gt;&lt;author&gt;Payne, Karen&lt;/author&gt;&lt;author&gt;Saleh, Hashem&lt;/author&gt;&lt;author&gt;J Screaton, Nicholas&lt;/author&gt;&lt;author&gt;Smith, Maeve&lt;/author&gt;&lt;author&gt;Tunney, Michael&lt;/author&gt;&lt;author&gt;Whitters, Deborah&lt;/author&gt;&lt;author&gt;Wilson, Robert&lt;/author&gt;&lt;author&gt;R Loebinger, Michael&lt;/author&gt;&lt;/authors&gt;&lt;/contributors&gt;&lt;titles&gt;&lt;title&gt;British Thoracic Society Guideline for bronchiectasis in adults&lt;/title&gt;&lt;secondary-title&gt;Thorax&lt;/secondary-title&gt;&lt;/titles&gt;&lt;periodical&gt;&lt;full-title&gt;Thorax&lt;/full-title&gt;&lt;/periodical&gt;&lt;pages&gt;1-69&lt;/pages&gt;&lt;volume&gt;74&lt;/volume&gt;&lt;number&gt;Suppl 1&lt;/number&gt;&lt;dates&gt;&lt;year&gt;2019&lt;/year&gt;&lt;/dates&gt;&lt;urls&gt;&lt;related-urls&gt;&lt;url&gt;https://thorax.bmj.com/content/thoraxjnl/74/Suppl_1/1.full.pdf&lt;/url&gt;&lt;/related-urls&gt;&lt;/urls&gt;&lt;electronic-resource-num&gt;10.1136/thoraxjnl-2018-212463&lt;/electronic-resource-num&gt;&lt;/record&gt;&lt;/Cite&gt;&lt;/EndNote&gt;</w:instrText>
      </w:r>
      <w:r>
        <w:fldChar w:fldCharType="separate"/>
      </w:r>
      <w:r w:rsidR="00250C95">
        <w:rPr>
          <w:noProof/>
        </w:rPr>
        <w:t>(T Hill et al., 2019)</w:t>
      </w:r>
      <w:r>
        <w:fldChar w:fldCharType="end"/>
      </w:r>
      <w:r>
        <w:t xml:space="preserve"> and protracted bacterial bronchitis </w:t>
      </w:r>
      <w:r>
        <w:fldChar w:fldCharType="begin"/>
      </w:r>
      <w:r w:rsidR="00250C95">
        <w:instrText xml:space="preserve"> ADDIN EN.CITE &lt;EndNote&gt;&lt;Cite&gt;&lt;Author&gt;Gilchrist&lt;/Author&gt;&lt;Year&gt;2019&lt;/Year&gt;&lt;RecNum&gt;184&lt;/RecNum&gt;&lt;DisplayText&gt;(Gilchrist, 2019)&lt;/DisplayText&gt;&lt;record&gt;&lt;rec-number&gt;184&lt;/rec-number&gt;&lt;foreign-keys&gt;&lt;key app="EN" db-id="pr9rwt2w8padxcerwx6prd0a9wtda2w5fw2t" timestamp="1629731697"&gt;184&lt;/key&gt;&lt;/foreign-keys&gt;&lt;ref-type name="Journal Article"&gt;17&lt;/ref-type&gt;&lt;contributors&gt;&lt;authors&gt;&lt;author&gt;Gilchrist, Francis J.&lt;/author&gt;&lt;/authors&gt;&lt;/contributors&gt;&lt;titles&gt;&lt;title&gt;Protracted bacterial bronchitis&lt;/title&gt;&lt;secondary-title&gt;Paediatrics and Child Health&lt;/secondary-title&gt;&lt;/titles&gt;&lt;periodical&gt;&lt;full-title&gt;Paediatrics and Child Health&lt;/full-title&gt;&lt;/periodical&gt;&lt;pages&gt;158-160&lt;/pages&gt;&lt;volume&gt;29&lt;/volume&gt;&lt;number&gt;4&lt;/number&gt;&lt;dates&gt;&lt;year&gt;2019&lt;/year&gt;&lt;/dates&gt;&lt;publisher&gt;Elsevier&lt;/publisher&gt;&lt;isbn&gt;1751-7222&lt;/isbn&gt;&lt;urls&gt;&lt;related-urls&gt;&lt;url&gt;https://doi.org/10.1016/j.paed.2019.01.012&lt;/url&gt;&lt;/related-urls&gt;&lt;/urls&gt;&lt;electronic-resource-num&gt;10.1016/j.paed.2019.01.012&lt;/electronic-resource-num&gt;&lt;access-date&gt;2019/07/22&lt;/access-date&gt;&lt;/record&gt;&lt;/Cite&gt;&lt;/EndNote&gt;</w:instrText>
      </w:r>
      <w:r>
        <w:fldChar w:fldCharType="separate"/>
      </w:r>
      <w:r w:rsidR="00250C95">
        <w:rPr>
          <w:noProof/>
        </w:rPr>
        <w:t>(Gilchrist, 2019)</w:t>
      </w:r>
      <w:r>
        <w:fldChar w:fldCharType="end"/>
      </w:r>
      <w:r>
        <w:t>. The benefits of antibiotic prophylaxis need to be weighed against potential risks of antibiotic resistance and medication side-effects. Ideally, this trade-off should be discussed with parents although it is unknown how often this occurs.</w:t>
      </w:r>
    </w:p>
    <w:p w14:paraId="4D822D26" w14:textId="7F1FC786" w:rsidR="00386247" w:rsidRDefault="00386247" w:rsidP="00386247">
      <w:pPr>
        <w:spacing w:line="360" w:lineRule="auto"/>
      </w:pPr>
      <w:r>
        <w:t xml:space="preserve">Including parents and children in decisions relating to medicines is key to medication adherence </w:t>
      </w:r>
      <w:r>
        <w:fldChar w:fldCharType="begin"/>
      </w:r>
      <w:r w:rsidR="00250C95">
        <w:instrText xml:space="preserve"> ADDIN EN.CITE &lt;EndNote&gt;&lt;Cite&gt;&lt;Author&gt;Trivedi&lt;/Author&gt;&lt;Year&gt;2017&lt;/Year&gt;&lt;RecNum&gt;159&lt;/RecNum&gt;&lt;DisplayText&gt;(Trivedi, 2017)&lt;/DisplayText&gt;&lt;record&gt;&lt;rec-number&gt;159&lt;/rec-number&gt;&lt;foreign-keys&gt;&lt;key app="EN" db-id="z50rresss5e5vfe0s2qpewtuxsprsrse5fff" timestamp="1580211390"&gt;159&lt;/key&gt;&lt;/foreign-keys&gt;&lt;ref-type name="Journal Article"&gt;17&lt;/ref-type&gt;&lt;contributors&gt;&lt;authors&gt;&lt;author&gt;A Trivedi&lt;/author&gt;&lt;/authors&gt;&lt;/contributors&gt;&lt;titles&gt;&lt;title&gt;Communicating with parents and involving children in medicines optimisation&lt;/title&gt;&lt;secondary-title&gt;The Pharmaceutical Journal&lt;/secondary-title&gt;&lt;/titles&gt;&lt;periodical&gt;&lt;full-title&gt;The Pharmaceutical Journal&lt;/full-title&gt;&lt;/periodical&gt;&lt;dates&gt;&lt;year&gt;2017&lt;/year&gt;&lt;/dates&gt;&lt;urls&gt;&lt;/urls&gt;&lt;electronic-resource-num&gt;DOI: 10.1211/PJ.2017.20203683&lt;/electronic-resource-num&gt;&lt;/record&gt;&lt;/Cite&gt;&lt;/EndNote&gt;</w:instrText>
      </w:r>
      <w:r>
        <w:fldChar w:fldCharType="separate"/>
      </w:r>
      <w:r w:rsidR="00250C95">
        <w:rPr>
          <w:noProof/>
        </w:rPr>
        <w:t>(Trivedi, 2017)</w:t>
      </w:r>
      <w:r>
        <w:fldChar w:fldCharType="end"/>
      </w:r>
      <w:r>
        <w:t xml:space="preserve">. Indeed, parental concerns regarding medication contribute to poor adherence, which is a significant problem in chronic paediatric illnesses </w:t>
      </w:r>
      <w:r>
        <w:fldChar w:fldCharType="begin">
          <w:fldData xml:space="preserve">PEVuZE5vdGU+PENpdGU+PEF1dGhvcj5Db25uPC9BdXRob3I+PFllYXI+MjAwNTwvWWVhcj48UmVj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</w:fldData>
        </w:fldChar>
      </w:r>
      <w:r w:rsidR="00250C95">
        <w:instrText xml:space="preserve"> ADDIN EN.CITE </w:instrText>
      </w:r>
      <w:r w:rsidR="00250C95">
        <w:fldChar w:fldCharType="begin">
          <w:fldData xml:space="preserve">PEVuZE5vdGU+PENpdGU+PEF1dGhvcj5Db25uPC9BdXRob3I+PFllYXI+MjAwNTwvWWVhcj48UmVj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</w:fldData>
        </w:fldChar>
      </w:r>
      <w:r w:rsidR="00250C95">
        <w:instrText xml:space="preserve"> ADDIN EN.CITE.DATA </w:instrText>
      </w:r>
      <w:r w:rsidR="00250C95">
        <w:fldChar w:fldCharType="end"/>
      </w:r>
      <w:r>
        <w:fldChar w:fldCharType="separate"/>
      </w:r>
      <w:r w:rsidR="00250C95">
        <w:rPr>
          <w:noProof/>
        </w:rPr>
        <w:t>(Conn et al., 2005; McGrady et al., 2013)</w:t>
      </w:r>
      <w:r>
        <w:fldChar w:fldCharType="end"/>
      </w:r>
      <w:r>
        <w:t xml:space="preserve">. Parental knowledge and beliefs are essential considerations when changes in patterns of antibiotic prescribing are required </w:t>
      </w:r>
      <w:r>
        <w:fldChar w:fldCharType="begin"/>
      </w:r>
      <w:r w:rsidR="00250C95">
        <w:instrText xml:space="preserve"> ADDIN EN.CITE &lt;EndNote&gt;&lt;Cite&gt;&lt;Author&gt;Andrews&lt;/Author&gt;&lt;Year&gt;2012&lt;/Year&gt;&lt;RecNum&gt;161&lt;/RecNum&gt;&lt;DisplayText&gt;(Andrews, Thompson, Buckley, Heneghan, Deyo, et al., 2012)&lt;/DisplayText&gt;&lt;record&gt;&lt;rec-number&gt;161&lt;/rec-number&gt;&lt;foreign-keys&gt;&lt;key app="EN" db-id="z50rresss5e5vfe0s2qpewtuxsprsrse5fff" timestamp="1580211624"&gt;161&lt;/key&gt;&lt;/foreign-keys&gt;&lt;ref-type name="Journal Article"&gt;17&lt;/ref-type&gt;&lt;contributors&gt;&lt;authors&gt;&lt;author&gt;Andrews, T.&lt;/author&gt;&lt;author&gt;Thompson, M.&lt;/author&gt;&lt;author&gt;Buckley, D. I.&lt;/author&gt;&lt;author&gt;Heneghan, C.&lt;/author&gt;&lt;author&gt;Deyo, R.&lt;/author&gt;&lt;author&gt;Redmond, N.&lt;/author&gt;&lt;author&gt;Lucas, P. J.&lt;/author&gt;&lt;author&gt;Blair, P. S.&lt;/author&gt;&lt;author&gt;Hay, A. D.&lt;/author&gt;&lt;/authors&gt;&lt;/contributors&gt;&lt;auth-address&gt;Department of Family Medicine, Oregon Health and Science University, Portland, Oregon, United States of America.&lt;/auth-address&gt;&lt;titles&gt;&lt;title&gt;Interventions to influence consulting and antibiotic use for acute respiratory tract infections in children: a systematic review and meta-analysis&lt;/title&gt;&lt;secondary-title&gt;PLoS One&lt;/secondary-title&gt;&lt;/titles&gt;&lt;periodical&gt;&lt;full-title&gt;PloS one&lt;/full-title&gt;&lt;abbr-1&gt;PLoS One&lt;/abbr-1&gt;&lt;/periodical&gt;&lt;pages&gt;e30334&lt;/pages&gt;&lt;volume&gt;7&lt;/volume&gt;&lt;number&gt;1&lt;/number&gt;&lt;edition&gt;2012/02/03&lt;/edition&gt;&lt;keywords&gt;&lt;keyword&gt;Acute Disease&lt;/keyword&gt;&lt;keyword&gt;Adolescent&lt;/keyword&gt;&lt;keyword&gt;Anti-Bacterial Agents/*therapeutic use&lt;/keyword&gt;&lt;keyword&gt;Child&lt;/keyword&gt;&lt;keyword&gt;Child, Preschool&lt;/keyword&gt;&lt;keyword&gt;Humans&lt;/keyword&gt;&lt;keyword&gt;Infant&lt;/keyword&gt;&lt;keyword&gt;Infant, Newborn&lt;/keyword&gt;&lt;keyword&gt;*Referral and Consultation/statistics &amp;amp; numerical data&lt;/keyword&gt;&lt;keyword&gt;Respiratory Tract Infections/epidemiology/*therapy&lt;/keyword&gt;&lt;/keywords&gt;&lt;dates&gt;&lt;year&gt;2012&lt;/year&gt;&lt;/dates&gt;&lt;isbn&gt;1932-6203&lt;/isbn&gt;&lt;accession-num&gt;22299036&lt;/accession-num&gt;&lt;urls&gt;&lt;/urls&gt;&lt;custom2&gt;PMC3267713&lt;/custom2&gt;&lt;electronic-resource-num&gt;10.1371/journal.pone.0030334&lt;/electronic-resource-num&gt;&lt;remote-database-provider&gt;NLM&lt;/remote-database-provider&gt;&lt;language&gt;eng&lt;/language&gt;&lt;/record&gt;&lt;/Cite&gt;&lt;/EndNote&gt;</w:instrText>
      </w:r>
      <w:r>
        <w:fldChar w:fldCharType="separate"/>
      </w:r>
      <w:r w:rsidR="00250C95">
        <w:rPr>
          <w:noProof/>
        </w:rPr>
        <w:t>(Andrews, Thompson, Buckley, Heneghan, Deyo, et al., 2012)</w:t>
      </w:r>
      <w:r>
        <w:fldChar w:fldCharType="end"/>
      </w:r>
      <w:r>
        <w:t>.</w:t>
      </w:r>
    </w:p>
    <w:p w14:paraId="160AECBD" w14:textId="1FCD193F" w:rsidR="00386247" w:rsidRDefault="00386247" w:rsidP="00386247">
      <w:pPr>
        <w:spacing w:line="360" w:lineRule="auto"/>
      </w:pPr>
      <w:r>
        <w:t xml:space="preserve">However, very few studies have investigated parental perceptions of antibiotic prophylaxis. Parents may see antibiotic prophylaxis as beneficial </w:t>
      </w:r>
      <w:r>
        <w:fldChar w:fldCharType="begin">
          <w:fldData xml:space="preserve">PEVuZE5vdGU+PENpdGU+PEF1dGhvcj5EaW9yaW88L0F1dGhvcj48WWVhcj4yMDEyPC9ZZWFyPjxS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=
</w:fldData>
        </w:fldChar>
      </w:r>
      <w:r w:rsidR="00250C95">
        <w:instrText xml:space="preserve"> ADDIN EN.CITE </w:instrText>
      </w:r>
      <w:r w:rsidR="00250C95">
        <w:fldChar w:fldCharType="begin">
          <w:fldData xml:space="preserve">PEVuZE5vdGU+PENpdGU+PEF1dGhvcj5EaW9yaW88L0F1dGhvcj48WWVhcj4yMDEyPC9ZZWFyPjxS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=
</w:fldData>
        </w:fldChar>
      </w:r>
      <w:r w:rsidR="00250C95">
        <w:instrText xml:space="preserve"> ADDIN EN.CITE.DATA </w:instrText>
      </w:r>
      <w:r w:rsidR="00250C95">
        <w:fldChar w:fldCharType="end"/>
      </w:r>
      <w:r>
        <w:fldChar w:fldCharType="separate"/>
      </w:r>
      <w:r w:rsidR="00250C95">
        <w:rPr>
          <w:noProof/>
        </w:rPr>
        <w:t>(Diorio et al., 2012; Elliott et al., 2001)</w:t>
      </w:r>
      <w:r>
        <w:fldChar w:fldCharType="end"/>
      </w:r>
      <w:r>
        <w:t xml:space="preserve">, but this may not necessarily result in good adherence </w:t>
      </w:r>
      <w:r>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250C95">
        <w:instrText xml:space="preserve"> ADDIN EN.CITE </w:instrText>
      </w:r>
      <w:r w:rsidR="00250C95">
        <w:fldChar w:fldCharType="begin">
          <w:fldData xml:space="preserve">PEVuZE5vdGU+PENpdGU+PEF1dGhvcj5FbGxpb3R0PC9BdXRob3I+PFllYXI+MjAwMTwvWWVhcj48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</w:fldData>
        </w:fldChar>
      </w:r>
      <w:r w:rsidR="00250C95">
        <w:instrText xml:space="preserve"> ADDIN EN.CITE.DATA </w:instrText>
      </w:r>
      <w:r w:rsidR="00250C95">
        <w:fldChar w:fldCharType="end"/>
      </w:r>
      <w:r>
        <w:fldChar w:fldCharType="separate"/>
      </w:r>
      <w:r w:rsidR="00250C95">
        <w:rPr>
          <w:noProof/>
        </w:rPr>
        <w:t>(Elliott et al., 2001)</w:t>
      </w:r>
      <w:r>
        <w:fldChar w:fldCharType="end"/>
      </w:r>
      <w:r>
        <w:t xml:space="preserve">. Parental concerns about antibiotic resistance were perceived to be a community problem rather than an issue affecting their children </w:t>
      </w:r>
      <w:r>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250C95">
        <w:instrText xml:space="preserve"> ADDIN EN.CITE </w:instrText>
      </w:r>
      <w:r w:rsidR="00250C95">
        <w:fldChar w:fldCharType="begin">
          <w:fldData xml:space="preserve">PEVuZE5vdGU+PENpdGU+PEF1dGhvcj5EaW9yaW88L0F1dGhvcj48WWVhcj4yMDEyPC9ZZWFyPjxS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</w:fldData>
        </w:fldChar>
      </w:r>
      <w:r w:rsidR="00250C95">
        <w:instrText xml:space="preserve"> ADDIN EN.CITE.DATA </w:instrText>
      </w:r>
      <w:r w:rsidR="00250C95">
        <w:fldChar w:fldCharType="end"/>
      </w:r>
      <w:r>
        <w:fldChar w:fldCharType="separate"/>
      </w:r>
      <w:r w:rsidR="00250C95">
        <w:rPr>
          <w:noProof/>
        </w:rPr>
        <w:t>(Diorio et al., 2012)</w:t>
      </w:r>
      <w:r>
        <w:fldChar w:fldCharType="end"/>
      </w:r>
      <w:r>
        <w:t xml:space="preserve">. This study seeks to understand the parental experience of having a child prescribed prophylactic antibiotics and how that affects their antibiotic use behaviour. </w:t>
      </w:r>
    </w:p>
    <w:p w14:paraId="3C28D1A6" w14:textId="77777777" w:rsidR="00386247" w:rsidRDefault="00386247" w:rsidP="00386247">
      <w:pPr>
        <w:spacing w:line="360" w:lineRule="auto"/>
        <w:rPr>
          <w:b/>
          <w:sz w:val="28"/>
          <w:szCs w:val="28"/>
        </w:rPr>
      </w:pPr>
      <w:r>
        <w:rPr>
          <w:b/>
          <w:sz w:val="28"/>
          <w:szCs w:val="28"/>
        </w:rPr>
        <w:t>Methods</w:t>
      </w:r>
    </w:p>
    <w:p w14:paraId="04FF8F9F" w14:textId="77777777" w:rsidR="00386247" w:rsidRDefault="00386247" w:rsidP="00386247">
      <w:pPr>
        <w:spacing w:line="360" w:lineRule="auto"/>
        <w:rPr>
          <w:b/>
          <w:sz w:val="28"/>
          <w:szCs w:val="28"/>
        </w:rPr>
      </w:pPr>
      <w:r>
        <w:rPr>
          <w:b/>
          <w:sz w:val="28"/>
          <w:szCs w:val="28"/>
        </w:rPr>
        <w:t>Participants and procedure</w:t>
      </w:r>
    </w:p>
    <w:p w14:paraId="5B3570B8" w14:textId="77777777" w:rsidR="00386247" w:rsidRDefault="00386247" w:rsidP="00386247">
      <w:pPr>
        <w:spacing w:line="360" w:lineRule="auto"/>
        <w:rPr>
          <w:lang w:val="en-US"/>
        </w:rPr>
      </w:pPr>
      <w:r>
        <w:t xml:space="preserve">We conducted a prospective, single-centre, exploratory qualitative study at Sheffield Children’s Hospital (SCH) with </w:t>
      </w:r>
      <w:r>
        <w:rPr>
          <w:lang w:val="en-US"/>
        </w:rPr>
        <w:t xml:space="preserve">parents or guardians whose children attended the </w:t>
      </w:r>
      <w:proofErr w:type="spellStart"/>
      <w:r>
        <w:rPr>
          <w:lang w:val="en-US"/>
        </w:rPr>
        <w:t>paediatric</w:t>
      </w:r>
      <w:proofErr w:type="spellEnd"/>
      <w:r>
        <w:rPr>
          <w:lang w:val="en-US"/>
        </w:rPr>
        <w:t xml:space="preserve"> respiratory and </w:t>
      </w:r>
      <w:r>
        <w:rPr>
          <w:lang w:val="en-US"/>
        </w:rPr>
        <w:lastRenderedPageBreak/>
        <w:t>immunology outpatient clinics. All participants gave written informed consent. Travel expenses were covered but no other incentive to participate was offered.</w:t>
      </w:r>
    </w:p>
    <w:p w14:paraId="2C323842" w14:textId="77777777" w:rsidR="00386247" w:rsidRDefault="00386247" w:rsidP="00386247">
      <w:pPr>
        <w:spacing w:line="360" w:lineRule="auto"/>
        <w:rPr>
          <w:color w:val="000000" w:themeColor="text1"/>
        </w:rPr>
      </w:pPr>
      <w:r>
        <w:rPr>
          <w:lang w:val="en-US"/>
        </w:rPr>
        <w:t xml:space="preserve">Parents of children aged 2-10 years who had been taking oral azithromycin prophylaxis for at least 3-months to prevent lower respiratory tract infections, were invited to participate. </w:t>
      </w:r>
    </w:p>
    <w:p w14:paraId="1DA507A8" w14:textId="77777777" w:rsidR="00386247" w:rsidRDefault="00386247" w:rsidP="00386247">
      <w:pPr>
        <w:spacing w:line="360" w:lineRule="auto"/>
        <w:rPr>
          <w:lang w:val="en-US"/>
        </w:rPr>
      </w:pPr>
      <w:r>
        <w:rPr>
          <w:color w:val="000000" w:themeColor="text1"/>
        </w:rPr>
        <w:t>Recruitment took place between 1</w:t>
      </w:r>
      <w:r>
        <w:rPr>
          <w:color w:val="000000" w:themeColor="text1"/>
          <w:vertAlign w:val="superscript"/>
        </w:rPr>
        <w:t>st</w:t>
      </w:r>
      <w:r>
        <w:rPr>
          <w:color w:val="000000" w:themeColor="text1"/>
        </w:rPr>
        <w:t xml:space="preserve"> September 2018 and 31</w:t>
      </w:r>
      <w:r>
        <w:rPr>
          <w:color w:val="000000" w:themeColor="text1"/>
          <w:vertAlign w:val="superscript"/>
        </w:rPr>
        <w:t>st</w:t>
      </w:r>
      <w:r>
        <w:rPr>
          <w:color w:val="000000" w:themeColor="text1"/>
        </w:rPr>
        <w:t xml:space="preserve"> April 2019 using a </w:t>
      </w:r>
      <w:r>
        <w:rPr>
          <w:lang w:val="en-US"/>
        </w:rPr>
        <w:t xml:space="preserve">purposive sampling method to capture a breadth of views based on the ages of parent and child, parental education, ethnicity and severity of the child’s condition (Figure 1). Theoretical saturation was anticipated to occur between 12 and 20 interviews [12]. </w:t>
      </w:r>
    </w:p>
    <w:p w14:paraId="5F237D0A" w14:textId="1EDE5D76" w:rsidR="00386247" w:rsidRDefault="00386247" w:rsidP="00386247">
      <w:pPr>
        <w:spacing w:line="360" w:lineRule="auto"/>
        <w:rPr>
          <w:b/>
          <w:sz w:val="28"/>
          <w:szCs w:val="28"/>
          <w:lang w:val="en-US"/>
        </w:rPr>
      </w:pPr>
      <w:r>
        <w:rPr>
          <w:b/>
          <w:noProof/>
          <w:sz w:val="28"/>
          <w:szCs w:val="28"/>
          <w:lang w:val="en-US"/>
        </w:rPr>
        <w:lastRenderedPageBreak/>
        <w:drawing>
          <wp:inline distT="0" distB="0" distL="0" distR="0" wp14:anchorId="4C923288" wp14:editId="153B4BF9">
            <wp:extent cx="5819775" cy="8229600"/>
            <wp:effectExtent l="0" t="0" r="9525"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6F80CDA2" w14:textId="77777777" w:rsidR="00386247" w:rsidRDefault="00386247" w:rsidP="00386247">
      <w:pPr>
        <w:spacing w:line="360" w:lineRule="auto"/>
        <w:rPr>
          <w:b/>
          <w:sz w:val="28"/>
          <w:szCs w:val="28"/>
          <w:lang w:val="en-US"/>
        </w:rPr>
      </w:pPr>
      <w:r>
        <w:rPr>
          <w:b/>
          <w:sz w:val="28"/>
          <w:szCs w:val="28"/>
          <w:lang w:val="en-US"/>
        </w:rPr>
        <w:lastRenderedPageBreak/>
        <w:t>Interviews</w:t>
      </w:r>
    </w:p>
    <w:p w14:paraId="3B5DBA5C" w14:textId="2F01C5A0" w:rsidR="00386247" w:rsidRDefault="00386247" w:rsidP="00386247">
      <w:pPr>
        <w:spacing w:line="360" w:lineRule="auto"/>
        <w:rPr>
          <w:lang w:val="en-US"/>
        </w:rPr>
      </w:pPr>
      <w:r>
        <w:rPr>
          <w:lang w:val="en-US"/>
        </w:rPr>
        <w:t xml:space="preserve">Face-to-face interviews were conducted by SH, at SCH or the family home, depending on parental convenience. Semi-structured interviews were conducted using an interview questionnaire based on topics of interest to the research question and themes previously identified in the literature relating to parents’ perceptions of acute antibiotics (Appendix </w:t>
      </w:r>
      <w:r w:rsidR="00800891">
        <w:rPr>
          <w:lang w:val="en-US"/>
        </w:rPr>
        <w:t>4</w:t>
      </w:r>
      <w:r>
        <w:rPr>
          <w:lang w:val="en-US"/>
        </w:rPr>
        <w:t xml:space="preserve">). </w:t>
      </w:r>
    </w:p>
    <w:p w14:paraId="15C334AA" w14:textId="77777777" w:rsidR="00386247" w:rsidRDefault="00386247" w:rsidP="00386247">
      <w:pPr>
        <w:spacing w:line="360" w:lineRule="auto"/>
        <w:rPr>
          <w:lang w:val="en-US"/>
        </w:rPr>
      </w:pPr>
      <w:r>
        <w:rPr>
          <w:lang w:val="en-US"/>
        </w:rPr>
        <w:t xml:space="preserve">Interviews focused on parents’ “lived experiences” of having a child who had been prescribed prophylactic azithromycin. Parents were encouraged to fully describe their thoughts, feelings and views regarding prophylactic antibiotic use. An iterative approach was taken building on emerging themes from previous interviews.  </w:t>
      </w:r>
    </w:p>
    <w:p w14:paraId="7CC81E0B" w14:textId="77777777" w:rsidR="00386247" w:rsidRDefault="00386247" w:rsidP="00386247">
      <w:pPr>
        <w:spacing w:line="360" w:lineRule="auto"/>
        <w:rPr>
          <w:lang w:val="en-US"/>
        </w:rPr>
      </w:pPr>
      <w:r>
        <w:rPr>
          <w:lang w:val="en-US"/>
        </w:rPr>
        <w:t xml:space="preserve">Interviews were recorded using an encrypted digital voice recorder and field notes taken of interesting observations. </w:t>
      </w:r>
    </w:p>
    <w:p w14:paraId="2435865B" w14:textId="77777777" w:rsidR="00386247" w:rsidRDefault="00386247" w:rsidP="00386247">
      <w:pPr>
        <w:spacing w:line="360" w:lineRule="auto"/>
        <w:rPr>
          <w:b/>
          <w:sz w:val="28"/>
          <w:szCs w:val="28"/>
          <w:lang w:val="en-US"/>
        </w:rPr>
      </w:pPr>
      <w:r>
        <w:rPr>
          <w:b/>
          <w:sz w:val="28"/>
          <w:szCs w:val="28"/>
          <w:lang w:val="en-US"/>
        </w:rPr>
        <w:t>Analysis</w:t>
      </w:r>
    </w:p>
    <w:p w14:paraId="34701C5D" w14:textId="5DF5D870" w:rsidR="00386247" w:rsidRDefault="00386247" w:rsidP="00386247">
      <w:pPr>
        <w:spacing w:line="360" w:lineRule="auto"/>
        <w:rPr>
          <w:lang w:val="en-US"/>
        </w:rPr>
      </w:pPr>
      <w:r>
        <w:rPr>
          <w:lang w:val="en-US"/>
        </w:rPr>
        <w:t xml:space="preserve">All interviews were transcribed verbatim and standard thematic analysis conducted </w:t>
      </w:r>
      <w:r>
        <w:rPr>
          <w:lang w:val="en-US"/>
        </w:rPr>
        <w:fldChar w:fldCharType="begin"/>
      </w:r>
      <w:r w:rsidR="00250C95">
        <w:rPr>
          <w:lang w:val="en-US"/>
        </w:rPr>
        <w:instrText xml:space="preserve"> ADDIN EN.CITE &lt;EndNote&gt;&lt;Cite&gt;&lt;Author&gt;J Smith&lt;/Author&gt;&lt;Year&gt;2009&lt;/Year&gt;&lt;RecNum&gt;127&lt;/RecNum&gt;&lt;DisplayText&gt;(J Smith, 2009)&lt;/DisplayText&gt;&lt;record&gt;&lt;rec-number&gt;127&lt;/rec-number&gt;&lt;foreign-keys&gt;&lt;key app="EN" db-id="z50rresss5e5vfe0s2qpewtuxsprsrse5fff" timestamp="1580120278"&gt;127&lt;/key&gt;&lt;/foreign-keys&gt;&lt;ref-type name="Journal Article"&gt;17&lt;/ref-type&gt;&lt;contributors&gt;&lt;authors&gt;&lt;author&gt;J Smith, P Flowers, M Larkin&lt;/author&gt;&lt;/authors&gt;&lt;/contributors&gt;&lt;titles&gt;&lt;title&gt;Interpretative phenomenological analysis: theory, method and research&lt;/title&gt;&lt;/titles&gt;&lt;dates&gt;&lt;year&gt;2009&lt;/year&gt;&lt;/dates&gt;&lt;orig-pub&gt;Sage publications&lt;/orig-pub&gt;&lt;label&gt;ISBN 978-1-4129-0833-7&lt;/label&gt;&lt;work-type&gt;Book&lt;/work-type&gt;&lt;urls&gt;&lt;/urls&gt;&lt;/record&gt;&lt;/Cite&gt;&lt;/EndNote&gt;</w:instrText>
      </w:r>
      <w:r>
        <w:rPr>
          <w:lang w:val="en-US"/>
        </w:rPr>
        <w:fldChar w:fldCharType="separate"/>
      </w:r>
      <w:r w:rsidR="00250C95">
        <w:rPr>
          <w:noProof/>
          <w:lang w:val="en-US"/>
        </w:rPr>
        <w:t>(J Smith, 2009)</w:t>
      </w:r>
      <w:r>
        <w:rPr>
          <w:lang w:val="en-US"/>
        </w:rPr>
        <w:fldChar w:fldCharType="end"/>
      </w:r>
      <w:r>
        <w:rPr>
          <w:lang w:val="en-US"/>
        </w:rPr>
        <w:t xml:space="preserve">. Transcripts were coded by SH and reviewed independently by a second researcher (AL). A framework of subthemes was developed and iteratively adapted following each interview. We focused on finding recurrent, unusual, collective and opposing subthemes, in order to understand how parents experienced the events they described, why they had made certain decisions and factors influencing their </w:t>
      </w:r>
      <w:proofErr w:type="spellStart"/>
      <w:r>
        <w:rPr>
          <w:lang w:val="en-US"/>
        </w:rPr>
        <w:t>behaviour</w:t>
      </w:r>
      <w:proofErr w:type="spellEnd"/>
      <w:r>
        <w:rPr>
          <w:lang w:val="en-US"/>
        </w:rPr>
        <w:t xml:space="preserve">. </w:t>
      </w:r>
    </w:p>
    <w:p w14:paraId="4BFCE451" w14:textId="77777777" w:rsidR="00386247" w:rsidRDefault="00386247" w:rsidP="00386247">
      <w:pPr>
        <w:spacing w:line="360" w:lineRule="auto"/>
        <w:rPr>
          <w:lang w:val="en-US"/>
        </w:rPr>
      </w:pPr>
      <w:r>
        <w:rPr>
          <w:lang w:val="en-US"/>
        </w:rPr>
        <w:t xml:space="preserve">Three themes and associated subthemes were identified and agreed on through a continuous process of refinement and discussion between researchers. Background medical and social information was used to </w:t>
      </w:r>
      <w:proofErr w:type="spellStart"/>
      <w:r>
        <w:rPr>
          <w:lang w:val="en-US"/>
        </w:rPr>
        <w:t>contextualise</w:t>
      </w:r>
      <w:proofErr w:type="spellEnd"/>
      <w:r>
        <w:rPr>
          <w:lang w:val="en-US"/>
        </w:rPr>
        <w:t xml:space="preserve"> the meanings of comments.</w:t>
      </w:r>
    </w:p>
    <w:p w14:paraId="3FCFCAAC" w14:textId="77777777" w:rsidR="00386247" w:rsidRDefault="00386247" w:rsidP="00386247">
      <w:pPr>
        <w:spacing w:line="360" w:lineRule="auto"/>
        <w:rPr>
          <w:lang w:val="en-US"/>
        </w:rPr>
      </w:pPr>
      <w:r>
        <w:rPr>
          <w:lang w:val="en-US"/>
        </w:rPr>
        <w:t>Ethical approval was granted by North West - Haydock Research Ethics Committee (Reference 18/NW/0579)</w:t>
      </w:r>
    </w:p>
    <w:p w14:paraId="219EFAC2" w14:textId="77777777" w:rsidR="00386247" w:rsidRDefault="00386247" w:rsidP="00386247">
      <w:pPr>
        <w:spacing w:line="360" w:lineRule="auto"/>
        <w:rPr>
          <w:lang w:val="en-US"/>
        </w:rPr>
      </w:pPr>
    </w:p>
    <w:p w14:paraId="6B06A8E2" w14:textId="77777777" w:rsidR="00386247" w:rsidRDefault="00386247" w:rsidP="00386247">
      <w:pPr>
        <w:spacing w:line="360" w:lineRule="auto"/>
        <w:rPr>
          <w:lang w:val="en-US"/>
        </w:rPr>
      </w:pPr>
    </w:p>
    <w:p w14:paraId="7989E015" w14:textId="77777777" w:rsidR="00386247" w:rsidRDefault="00386247" w:rsidP="00386247">
      <w:pPr>
        <w:spacing w:line="360" w:lineRule="auto"/>
        <w:rPr>
          <w:b/>
          <w:sz w:val="32"/>
          <w:szCs w:val="32"/>
          <w:lang w:val="en-US"/>
        </w:rPr>
      </w:pPr>
      <w:r>
        <w:rPr>
          <w:b/>
          <w:sz w:val="32"/>
          <w:szCs w:val="32"/>
          <w:lang w:val="en-US"/>
        </w:rPr>
        <w:t>Results</w:t>
      </w:r>
    </w:p>
    <w:p w14:paraId="39667ABE" w14:textId="77777777" w:rsidR="00386247" w:rsidRDefault="00386247" w:rsidP="00386247">
      <w:pPr>
        <w:spacing w:line="360" w:lineRule="auto"/>
        <w:rPr>
          <w:lang w:val="en-US"/>
        </w:rPr>
      </w:pPr>
      <w:r>
        <w:rPr>
          <w:lang w:val="en-US"/>
        </w:rPr>
        <w:t xml:space="preserve">18 parents took part in the study through 15 interviews. The participants’ characteristics are </w:t>
      </w:r>
      <w:proofErr w:type="spellStart"/>
      <w:r>
        <w:rPr>
          <w:lang w:val="en-US"/>
        </w:rPr>
        <w:t>summarised</w:t>
      </w:r>
      <w:proofErr w:type="spellEnd"/>
      <w:r>
        <w:rPr>
          <w:lang w:val="en-US"/>
        </w:rPr>
        <w:t xml:space="preserve"> in Table 1. Six interviews were conducted at SCH and nine in the participant’s home. The average interview time was 45 minutes (30-70 minutes range). From these interviews, three main themes emerged as described below (See table 2 with supporting quotes in table 3). </w:t>
      </w:r>
    </w:p>
    <w:p w14:paraId="2B7FA144" w14:textId="25B94D2E" w:rsidR="00386247" w:rsidRDefault="00386247" w:rsidP="00386247">
      <w:pPr>
        <w:spacing w:line="360" w:lineRule="auto"/>
        <w:rPr>
          <w:lang w:val="en-US"/>
        </w:rPr>
      </w:pPr>
      <w:r>
        <w:rPr>
          <w:noProof/>
        </w:rPr>
        <w:lastRenderedPageBreak/>
        <w:drawing>
          <wp:inline distT="0" distB="0" distL="0" distR="0" wp14:anchorId="1FA97881" wp14:editId="6FF50477">
            <wp:extent cx="5448300" cy="5600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448300" cy="5600700"/>
                    </a:xfrm>
                    <a:prstGeom prst="rect">
                      <a:avLst/>
                    </a:prstGeom>
                    <a:noFill/>
                    <a:ln>
                      <a:noFill/>
                    </a:ln>
                  </pic:spPr>
                </pic:pic>
              </a:graphicData>
            </a:graphic>
          </wp:inline>
        </w:drawing>
      </w:r>
    </w:p>
    <w:tbl>
      <w:tblPr>
        <w:tblStyle w:val="TableGrid"/>
        <w:tblpPr w:leftFromText="180" w:rightFromText="180" w:vertAnchor="page" w:horzAnchor="margin" w:tblpY="2251"/>
        <w:tblW w:w="9576" w:type="dxa"/>
        <w:tblLook w:val="04A0" w:firstRow="1" w:lastRow="0" w:firstColumn="1" w:lastColumn="0" w:noHBand="0" w:noVBand="1"/>
      </w:tblPr>
      <w:tblGrid>
        <w:gridCol w:w="2431"/>
        <w:gridCol w:w="2163"/>
        <w:gridCol w:w="2834"/>
        <w:gridCol w:w="2148"/>
      </w:tblGrid>
      <w:tr w:rsidR="00386247" w14:paraId="77A35617" w14:textId="77777777" w:rsidTr="00386247">
        <w:trPr>
          <w:trHeight w:val="136"/>
        </w:trPr>
        <w:tc>
          <w:tcPr>
            <w:tcW w:w="243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5A8A2A" w14:textId="77777777" w:rsidR="00386247" w:rsidRDefault="00386247">
            <w:pPr>
              <w:spacing w:line="360" w:lineRule="auto"/>
              <w:rPr>
                <w:b/>
              </w:rPr>
            </w:pPr>
            <w:r>
              <w:rPr>
                <w:b/>
              </w:rPr>
              <w:lastRenderedPageBreak/>
              <w:t>Main Theme</w:t>
            </w:r>
          </w:p>
        </w:tc>
        <w:tc>
          <w:tcPr>
            <w:tcW w:w="21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734CA4" w14:textId="77777777" w:rsidR="00386247" w:rsidRDefault="00386247">
            <w:pPr>
              <w:spacing w:line="360" w:lineRule="auto"/>
            </w:pPr>
            <w:r>
              <w:t>Subtheme</w:t>
            </w:r>
          </w:p>
        </w:tc>
        <w:tc>
          <w:tcPr>
            <w:tcW w:w="283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501230" w14:textId="77777777" w:rsidR="00386247" w:rsidRDefault="00386247">
            <w:pPr>
              <w:spacing w:line="360" w:lineRule="auto"/>
            </w:pPr>
            <w:r>
              <w:t>Codes</w:t>
            </w:r>
          </w:p>
        </w:tc>
        <w:tc>
          <w:tcPr>
            <w:tcW w:w="21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D6706A" w14:textId="77777777" w:rsidR="00386247" w:rsidRDefault="00386247">
            <w:pPr>
              <w:spacing w:line="360" w:lineRule="auto"/>
            </w:pPr>
            <w:r>
              <w:t>Referenced quotes in Table 3</w:t>
            </w:r>
          </w:p>
        </w:tc>
      </w:tr>
      <w:tr w:rsidR="00386247" w14:paraId="00DD5C5A" w14:textId="77777777" w:rsidTr="00386247">
        <w:trPr>
          <w:trHeight w:val="136"/>
        </w:trPr>
        <w:tc>
          <w:tcPr>
            <w:tcW w:w="2431" w:type="dxa"/>
            <w:vMerge w:val="restart"/>
            <w:tcBorders>
              <w:top w:val="single" w:sz="4" w:space="0" w:color="auto"/>
              <w:left w:val="single" w:sz="4" w:space="0" w:color="auto"/>
              <w:bottom w:val="single" w:sz="4" w:space="0" w:color="auto"/>
              <w:right w:val="single" w:sz="4" w:space="0" w:color="auto"/>
            </w:tcBorders>
          </w:tcPr>
          <w:p w14:paraId="502AAA6A" w14:textId="77777777" w:rsidR="00386247" w:rsidRDefault="00386247">
            <w:pPr>
              <w:spacing w:line="360" w:lineRule="auto"/>
              <w:rPr>
                <w:b/>
              </w:rPr>
            </w:pPr>
            <w:r>
              <w:rPr>
                <w:b/>
              </w:rPr>
              <w:t>Decision making regarding prophylaxis</w:t>
            </w:r>
          </w:p>
          <w:p w14:paraId="0FD8913B" w14:textId="77777777" w:rsidR="00386247" w:rsidRDefault="00386247">
            <w:pPr>
              <w:spacing w:line="360" w:lineRule="auto"/>
            </w:pPr>
          </w:p>
        </w:tc>
        <w:tc>
          <w:tcPr>
            <w:tcW w:w="2163" w:type="dxa"/>
            <w:vMerge w:val="restart"/>
            <w:tcBorders>
              <w:top w:val="single" w:sz="4" w:space="0" w:color="auto"/>
              <w:left w:val="single" w:sz="4" w:space="0" w:color="auto"/>
              <w:bottom w:val="single" w:sz="4" w:space="0" w:color="auto"/>
              <w:right w:val="single" w:sz="4" w:space="0" w:color="auto"/>
            </w:tcBorders>
            <w:hideMark/>
          </w:tcPr>
          <w:p w14:paraId="02484D6B" w14:textId="77777777" w:rsidR="00386247" w:rsidRDefault="00386247">
            <w:pPr>
              <w:spacing w:line="360" w:lineRule="auto"/>
            </w:pPr>
            <w:r>
              <w:t xml:space="preserve">Determinants of active involvement </w:t>
            </w:r>
          </w:p>
        </w:tc>
        <w:tc>
          <w:tcPr>
            <w:tcW w:w="2834" w:type="dxa"/>
            <w:tcBorders>
              <w:top w:val="single" w:sz="4" w:space="0" w:color="auto"/>
              <w:left w:val="single" w:sz="4" w:space="0" w:color="auto"/>
              <w:bottom w:val="single" w:sz="4" w:space="0" w:color="auto"/>
              <w:right w:val="single" w:sz="4" w:space="0" w:color="auto"/>
            </w:tcBorders>
            <w:hideMark/>
          </w:tcPr>
          <w:p w14:paraId="2ACEB234" w14:textId="77777777" w:rsidR="00386247" w:rsidRDefault="00386247">
            <w:pPr>
              <w:spacing w:line="360" w:lineRule="auto"/>
            </w:pPr>
            <w:r>
              <w:t>Self-belief</w:t>
            </w:r>
          </w:p>
        </w:tc>
        <w:tc>
          <w:tcPr>
            <w:tcW w:w="2148" w:type="dxa"/>
            <w:tcBorders>
              <w:top w:val="single" w:sz="4" w:space="0" w:color="auto"/>
              <w:left w:val="single" w:sz="4" w:space="0" w:color="auto"/>
              <w:bottom w:val="single" w:sz="4" w:space="0" w:color="auto"/>
              <w:right w:val="single" w:sz="4" w:space="0" w:color="auto"/>
            </w:tcBorders>
            <w:hideMark/>
          </w:tcPr>
          <w:p w14:paraId="56972E70" w14:textId="77777777" w:rsidR="00386247" w:rsidRDefault="00386247">
            <w:pPr>
              <w:spacing w:line="360" w:lineRule="auto"/>
            </w:pPr>
            <w:r>
              <w:t>1.1 P10, P6</w:t>
            </w:r>
          </w:p>
        </w:tc>
      </w:tr>
      <w:tr w:rsidR="00386247" w14:paraId="7E80AB7B"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C9E1E"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AD24C"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3B22740B" w14:textId="77777777" w:rsidR="00386247" w:rsidRDefault="00386247">
            <w:pPr>
              <w:spacing w:line="360" w:lineRule="auto"/>
            </w:pPr>
            <w:r>
              <w:t>Health literacy</w:t>
            </w:r>
          </w:p>
        </w:tc>
        <w:tc>
          <w:tcPr>
            <w:tcW w:w="2148" w:type="dxa"/>
            <w:tcBorders>
              <w:top w:val="single" w:sz="4" w:space="0" w:color="auto"/>
              <w:left w:val="single" w:sz="4" w:space="0" w:color="auto"/>
              <w:bottom w:val="single" w:sz="4" w:space="0" w:color="auto"/>
              <w:right w:val="single" w:sz="4" w:space="0" w:color="auto"/>
            </w:tcBorders>
            <w:hideMark/>
          </w:tcPr>
          <w:p w14:paraId="33CA99F2" w14:textId="77777777" w:rsidR="00386247" w:rsidRDefault="00386247">
            <w:pPr>
              <w:spacing w:line="360" w:lineRule="auto"/>
            </w:pPr>
            <w:r>
              <w:t>1.3 P1</w:t>
            </w:r>
          </w:p>
        </w:tc>
      </w:tr>
      <w:tr w:rsidR="00386247" w14:paraId="12822409"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F9455"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A4418"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7B82FD92" w14:textId="77777777" w:rsidR="00386247" w:rsidRDefault="00386247">
            <w:pPr>
              <w:spacing w:line="360" w:lineRule="auto"/>
            </w:pPr>
            <w:r>
              <w:t>Impact on parent</w:t>
            </w:r>
          </w:p>
        </w:tc>
        <w:tc>
          <w:tcPr>
            <w:tcW w:w="2148" w:type="dxa"/>
            <w:tcBorders>
              <w:top w:val="single" w:sz="4" w:space="0" w:color="auto"/>
              <w:left w:val="single" w:sz="4" w:space="0" w:color="auto"/>
              <w:bottom w:val="single" w:sz="4" w:space="0" w:color="auto"/>
              <w:right w:val="single" w:sz="4" w:space="0" w:color="auto"/>
            </w:tcBorders>
            <w:hideMark/>
          </w:tcPr>
          <w:p w14:paraId="6B46B45C" w14:textId="77777777" w:rsidR="00386247" w:rsidRDefault="00386247">
            <w:pPr>
              <w:spacing w:line="360" w:lineRule="auto"/>
            </w:pPr>
            <w:r>
              <w:t>1.1 P8</w:t>
            </w:r>
          </w:p>
        </w:tc>
      </w:tr>
      <w:tr w:rsidR="00386247" w14:paraId="33797839"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D356D" w14:textId="77777777" w:rsidR="00386247" w:rsidRDefault="00386247"/>
        </w:tc>
        <w:tc>
          <w:tcPr>
            <w:tcW w:w="2163" w:type="dxa"/>
            <w:vMerge w:val="restart"/>
            <w:tcBorders>
              <w:top w:val="single" w:sz="4" w:space="0" w:color="auto"/>
              <w:left w:val="single" w:sz="4" w:space="0" w:color="auto"/>
              <w:bottom w:val="single" w:sz="4" w:space="0" w:color="auto"/>
              <w:right w:val="single" w:sz="4" w:space="0" w:color="auto"/>
            </w:tcBorders>
            <w:hideMark/>
          </w:tcPr>
          <w:p w14:paraId="00E76D5E" w14:textId="77777777" w:rsidR="00386247" w:rsidRDefault="00386247">
            <w:pPr>
              <w:spacing w:line="360" w:lineRule="auto"/>
            </w:pPr>
            <w:r>
              <w:t>Passive Barriers</w:t>
            </w:r>
          </w:p>
        </w:tc>
        <w:tc>
          <w:tcPr>
            <w:tcW w:w="2834" w:type="dxa"/>
            <w:tcBorders>
              <w:top w:val="single" w:sz="4" w:space="0" w:color="auto"/>
              <w:left w:val="single" w:sz="4" w:space="0" w:color="auto"/>
              <w:bottom w:val="single" w:sz="4" w:space="0" w:color="auto"/>
              <w:right w:val="single" w:sz="4" w:space="0" w:color="auto"/>
            </w:tcBorders>
            <w:hideMark/>
          </w:tcPr>
          <w:p w14:paraId="495B6FA9" w14:textId="77777777" w:rsidR="00386247" w:rsidRDefault="00386247">
            <w:pPr>
              <w:spacing w:line="360" w:lineRule="auto"/>
            </w:pPr>
            <w:r>
              <w:t>Social norms</w:t>
            </w:r>
          </w:p>
        </w:tc>
        <w:tc>
          <w:tcPr>
            <w:tcW w:w="2148" w:type="dxa"/>
            <w:tcBorders>
              <w:top w:val="single" w:sz="4" w:space="0" w:color="auto"/>
              <w:left w:val="single" w:sz="4" w:space="0" w:color="auto"/>
              <w:bottom w:val="single" w:sz="4" w:space="0" w:color="auto"/>
              <w:right w:val="single" w:sz="4" w:space="0" w:color="auto"/>
            </w:tcBorders>
            <w:hideMark/>
          </w:tcPr>
          <w:p w14:paraId="53D78F4B" w14:textId="77777777" w:rsidR="00386247" w:rsidRDefault="00386247">
            <w:pPr>
              <w:spacing w:line="360" w:lineRule="auto"/>
              <w:rPr>
                <w:sz w:val="22"/>
                <w:szCs w:val="22"/>
              </w:rPr>
            </w:pPr>
            <w:r>
              <w:t>1.2 P9, P2</w:t>
            </w:r>
          </w:p>
          <w:p w14:paraId="0FA120F1" w14:textId="77777777" w:rsidR="00386247" w:rsidRDefault="00386247">
            <w:pPr>
              <w:spacing w:line="360" w:lineRule="auto"/>
            </w:pPr>
            <w:r>
              <w:t>1.3 P6</w:t>
            </w:r>
          </w:p>
        </w:tc>
      </w:tr>
      <w:tr w:rsidR="00386247" w14:paraId="73E5D393"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05DECC"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12BE0"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713CFC33" w14:textId="77777777" w:rsidR="00386247" w:rsidRDefault="00386247">
            <w:pPr>
              <w:spacing w:line="360" w:lineRule="auto"/>
            </w:pPr>
            <w:r>
              <w:t>Environmental</w:t>
            </w:r>
          </w:p>
        </w:tc>
        <w:tc>
          <w:tcPr>
            <w:tcW w:w="2148" w:type="dxa"/>
            <w:tcBorders>
              <w:top w:val="single" w:sz="4" w:space="0" w:color="auto"/>
              <w:left w:val="single" w:sz="4" w:space="0" w:color="auto"/>
              <w:bottom w:val="single" w:sz="4" w:space="0" w:color="auto"/>
              <w:right w:val="single" w:sz="4" w:space="0" w:color="auto"/>
            </w:tcBorders>
            <w:hideMark/>
          </w:tcPr>
          <w:p w14:paraId="4BA429D6" w14:textId="77777777" w:rsidR="00386247" w:rsidRDefault="00386247">
            <w:pPr>
              <w:spacing w:line="360" w:lineRule="auto"/>
            </w:pPr>
            <w:r>
              <w:t>1.2 P1</w:t>
            </w:r>
          </w:p>
        </w:tc>
      </w:tr>
      <w:tr w:rsidR="00386247" w14:paraId="5F248F9C"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2B0A0" w14:textId="77777777" w:rsidR="00386247" w:rsidRDefault="00386247"/>
        </w:tc>
        <w:tc>
          <w:tcPr>
            <w:tcW w:w="21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6EDEA3" w14:textId="77777777" w:rsidR="00386247" w:rsidRDefault="00386247">
            <w:pPr>
              <w:spacing w:line="360" w:lineRule="auto"/>
            </w:pPr>
            <w:r>
              <w:t>Influencing factors</w:t>
            </w:r>
          </w:p>
        </w:tc>
        <w:tc>
          <w:tcPr>
            <w:tcW w:w="2834" w:type="dxa"/>
            <w:tcBorders>
              <w:top w:val="single" w:sz="4" w:space="0" w:color="auto"/>
              <w:left w:val="single" w:sz="4" w:space="0" w:color="auto"/>
              <w:bottom w:val="single" w:sz="4" w:space="0" w:color="auto"/>
              <w:right w:val="single" w:sz="4" w:space="0" w:color="auto"/>
            </w:tcBorders>
            <w:hideMark/>
          </w:tcPr>
          <w:p w14:paraId="0F5FFE5E" w14:textId="77777777" w:rsidR="00386247" w:rsidRDefault="00386247">
            <w:pPr>
              <w:spacing w:line="360" w:lineRule="auto"/>
            </w:pPr>
            <w:r>
              <w:t>Perceptions of prophylaxis</w:t>
            </w:r>
          </w:p>
        </w:tc>
        <w:tc>
          <w:tcPr>
            <w:tcW w:w="2148" w:type="dxa"/>
            <w:tcBorders>
              <w:top w:val="single" w:sz="4" w:space="0" w:color="auto"/>
              <w:left w:val="single" w:sz="4" w:space="0" w:color="auto"/>
              <w:bottom w:val="single" w:sz="4" w:space="0" w:color="auto"/>
              <w:right w:val="single" w:sz="4" w:space="0" w:color="auto"/>
            </w:tcBorders>
            <w:hideMark/>
          </w:tcPr>
          <w:p w14:paraId="70AE05E1" w14:textId="77777777" w:rsidR="00386247" w:rsidRDefault="00386247">
            <w:pPr>
              <w:spacing w:line="360" w:lineRule="auto"/>
            </w:pPr>
            <w:r>
              <w:t>1.6 P6, P14</w:t>
            </w:r>
          </w:p>
        </w:tc>
      </w:tr>
      <w:tr w:rsidR="00386247" w14:paraId="2114059B"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62BB7"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7CF5E"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0D0B125B" w14:textId="77777777" w:rsidR="00386247" w:rsidRDefault="00386247">
            <w:pPr>
              <w:spacing w:line="360" w:lineRule="auto"/>
            </w:pPr>
            <w:r>
              <w:t>Health beliefs</w:t>
            </w:r>
          </w:p>
        </w:tc>
        <w:tc>
          <w:tcPr>
            <w:tcW w:w="2148" w:type="dxa"/>
            <w:tcBorders>
              <w:top w:val="single" w:sz="4" w:space="0" w:color="auto"/>
              <w:left w:val="single" w:sz="4" w:space="0" w:color="auto"/>
              <w:bottom w:val="single" w:sz="4" w:space="0" w:color="auto"/>
              <w:right w:val="single" w:sz="4" w:space="0" w:color="auto"/>
            </w:tcBorders>
            <w:hideMark/>
          </w:tcPr>
          <w:p w14:paraId="7CCBF24A" w14:textId="77777777" w:rsidR="00386247" w:rsidRDefault="00386247">
            <w:pPr>
              <w:spacing w:line="360" w:lineRule="auto"/>
              <w:rPr>
                <w:sz w:val="22"/>
                <w:szCs w:val="22"/>
              </w:rPr>
            </w:pPr>
            <w:r>
              <w:t xml:space="preserve">1.4 P3, P4, P9 </w:t>
            </w:r>
          </w:p>
          <w:p w14:paraId="371AFACB" w14:textId="77777777" w:rsidR="00386247" w:rsidRDefault="00386247">
            <w:pPr>
              <w:spacing w:line="360" w:lineRule="auto"/>
            </w:pPr>
            <w:r>
              <w:t>1.5 P12, P2</w:t>
            </w:r>
          </w:p>
        </w:tc>
      </w:tr>
      <w:tr w:rsidR="00386247" w14:paraId="7C5D3953"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7C634"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B89E3"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0F15B0DF" w14:textId="77777777" w:rsidR="00386247" w:rsidRDefault="00386247">
            <w:pPr>
              <w:spacing w:line="360" w:lineRule="auto"/>
            </w:pPr>
            <w:r>
              <w:t>Impact on quality of life</w:t>
            </w:r>
          </w:p>
        </w:tc>
        <w:tc>
          <w:tcPr>
            <w:tcW w:w="2148" w:type="dxa"/>
            <w:tcBorders>
              <w:top w:val="single" w:sz="4" w:space="0" w:color="auto"/>
              <w:left w:val="single" w:sz="4" w:space="0" w:color="auto"/>
              <w:bottom w:val="single" w:sz="4" w:space="0" w:color="auto"/>
              <w:right w:val="single" w:sz="4" w:space="0" w:color="auto"/>
            </w:tcBorders>
            <w:hideMark/>
          </w:tcPr>
          <w:p w14:paraId="4E2F0199" w14:textId="77777777" w:rsidR="00386247" w:rsidRDefault="00386247">
            <w:pPr>
              <w:spacing w:line="360" w:lineRule="auto"/>
            </w:pPr>
            <w:r>
              <w:t>1.4 P8</w:t>
            </w:r>
          </w:p>
        </w:tc>
      </w:tr>
      <w:tr w:rsidR="00386247" w14:paraId="7E7D3816"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6D10D4"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362B493E"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35A59A27" w14:textId="77777777" w:rsidR="00386247" w:rsidRDefault="00386247">
            <w:pPr>
              <w:spacing w:line="360" w:lineRule="auto"/>
            </w:pPr>
            <w:r>
              <w:t>Understanding of science</w:t>
            </w:r>
          </w:p>
        </w:tc>
        <w:tc>
          <w:tcPr>
            <w:tcW w:w="2148" w:type="dxa"/>
            <w:tcBorders>
              <w:top w:val="single" w:sz="4" w:space="0" w:color="auto"/>
              <w:left w:val="single" w:sz="4" w:space="0" w:color="auto"/>
              <w:bottom w:val="single" w:sz="4" w:space="0" w:color="auto"/>
              <w:right w:val="single" w:sz="4" w:space="0" w:color="auto"/>
            </w:tcBorders>
            <w:hideMark/>
          </w:tcPr>
          <w:p w14:paraId="2D17A0B6" w14:textId="77777777" w:rsidR="00386247" w:rsidRDefault="00386247">
            <w:pPr>
              <w:spacing w:line="360" w:lineRule="auto"/>
            </w:pPr>
            <w:r>
              <w:t>1.5 P10</w:t>
            </w:r>
          </w:p>
        </w:tc>
      </w:tr>
      <w:tr w:rsidR="00386247" w14:paraId="7128F5D9"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D9942" w14:textId="77777777" w:rsidR="00386247" w:rsidRDefault="00386247"/>
        </w:tc>
        <w:tc>
          <w:tcPr>
            <w:tcW w:w="2163" w:type="dxa"/>
            <w:vMerge w:val="restart"/>
            <w:tcBorders>
              <w:top w:val="single" w:sz="4" w:space="0" w:color="auto"/>
              <w:left w:val="single" w:sz="4" w:space="0" w:color="auto"/>
              <w:bottom w:val="single" w:sz="4" w:space="0" w:color="auto"/>
              <w:right w:val="single" w:sz="4" w:space="0" w:color="auto"/>
            </w:tcBorders>
            <w:hideMark/>
          </w:tcPr>
          <w:p w14:paraId="644D36CA" w14:textId="77777777" w:rsidR="00386247" w:rsidRDefault="00386247">
            <w:pPr>
              <w:spacing w:line="360" w:lineRule="auto"/>
            </w:pPr>
            <w:r>
              <w:t>Balancing risk</w:t>
            </w:r>
          </w:p>
        </w:tc>
        <w:tc>
          <w:tcPr>
            <w:tcW w:w="2834" w:type="dxa"/>
            <w:tcBorders>
              <w:top w:val="single" w:sz="4" w:space="0" w:color="auto"/>
              <w:left w:val="single" w:sz="4" w:space="0" w:color="auto"/>
              <w:bottom w:val="single" w:sz="4" w:space="0" w:color="auto"/>
              <w:right w:val="single" w:sz="4" w:space="0" w:color="auto"/>
            </w:tcBorders>
            <w:hideMark/>
          </w:tcPr>
          <w:p w14:paraId="013BDDF8" w14:textId="77777777" w:rsidR="00386247" w:rsidRDefault="00386247">
            <w:pPr>
              <w:spacing w:line="360" w:lineRule="auto"/>
            </w:pPr>
            <w:r>
              <w:t xml:space="preserve">Benefits </w:t>
            </w:r>
          </w:p>
        </w:tc>
        <w:tc>
          <w:tcPr>
            <w:tcW w:w="2148" w:type="dxa"/>
            <w:tcBorders>
              <w:top w:val="single" w:sz="4" w:space="0" w:color="auto"/>
              <w:left w:val="single" w:sz="4" w:space="0" w:color="auto"/>
              <w:bottom w:val="single" w:sz="4" w:space="0" w:color="auto"/>
              <w:right w:val="single" w:sz="4" w:space="0" w:color="auto"/>
            </w:tcBorders>
            <w:hideMark/>
          </w:tcPr>
          <w:p w14:paraId="70BF2CDC" w14:textId="77777777" w:rsidR="00386247" w:rsidRDefault="00386247">
            <w:pPr>
              <w:spacing w:line="360" w:lineRule="auto"/>
            </w:pPr>
            <w:r>
              <w:t>1.6 P3</w:t>
            </w:r>
          </w:p>
        </w:tc>
      </w:tr>
      <w:tr w:rsidR="00386247" w14:paraId="428B5882"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C69DC"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609A5"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634CC7EB" w14:textId="77777777" w:rsidR="00386247" w:rsidRDefault="00386247">
            <w:pPr>
              <w:spacing w:line="360" w:lineRule="auto"/>
            </w:pPr>
            <w:r>
              <w:t>Present vs future</w:t>
            </w:r>
          </w:p>
        </w:tc>
        <w:tc>
          <w:tcPr>
            <w:tcW w:w="2148" w:type="dxa"/>
            <w:tcBorders>
              <w:top w:val="single" w:sz="4" w:space="0" w:color="auto"/>
              <w:left w:val="single" w:sz="4" w:space="0" w:color="auto"/>
              <w:bottom w:val="single" w:sz="4" w:space="0" w:color="auto"/>
              <w:right w:val="single" w:sz="4" w:space="0" w:color="auto"/>
            </w:tcBorders>
            <w:hideMark/>
          </w:tcPr>
          <w:p w14:paraId="139E7F6E" w14:textId="77777777" w:rsidR="00386247" w:rsidRDefault="00386247">
            <w:pPr>
              <w:spacing w:line="360" w:lineRule="auto"/>
            </w:pPr>
            <w:r>
              <w:t>1.5 P7</w:t>
            </w:r>
          </w:p>
        </w:tc>
      </w:tr>
      <w:tr w:rsidR="00386247" w14:paraId="05E985E6" w14:textId="77777777" w:rsidTr="00386247">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F39E2" w14:textId="77777777" w:rsidR="00386247" w:rsidRDefault="00386247"/>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C77F5"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38C2B85D" w14:textId="77777777" w:rsidR="00386247" w:rsidRDefault="00386247">
            <w:pPr>
              <w:spacing w:line="360" w:lineRule="auto"/>
            </w:pPr>
            <w:r>
              <w:t xml:space="preserve">Concerns </w:t>
            </w:r>
          </w:p>
        </w:tc>
        <w:tc>
          <w:tcPr>
            <w:tcW w:w="2148" w:type="dxa"/>
            <w:tcBorders>
              <w:top w:val="single" w:sz="4" w:space="0" w:color="auto"/>
              <w:left w:val="single" w:sz="4" w:space="0" w:color="auto"/>
              <w:bottom w:val="single" w:sz="4" w:space="0" w:color="auto"/>
              <w:right w:val="single" w:sz="4" w:space="0" w:color="auto"/>
            </w:tcBorders>
            <w:hideMark/>
          </w:tcPr>
          <w:p w14:paraId="212790C4" w14:textId="77777777" w:rsidR="00386247" w:rsidRDefault="00386247">
            <w:pPr>
              <w:spacing w:line="360" w:lineRule="auto"/>
            </w:pPr>
            <w:r>
              <w:t>1.6 P13</w:t>
            </w:r>
          </w:p>
        </w:tc>
      </w:tr>
      <w:tr w:rsidR="00386247" w14:paraId="66E6EE1E" w14:textId="77777777" w:rsidTr="00386247">
        <w:trPr>
          <w:trHeight w:val="136"/>
        </w:trPr>
        <w:tc>
          <w:tcPr>
            <w:tcW w:w="243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28219" w14:textId="77777777" w:rsidR="00386247" w:rsidRDefault="00386247">
            <w:pPr>
              <w:spacing w:line="360" w:lineRule="auto"/>
              <w:rPr>
                <w:b/>
              </w:rPr>
            </w:pPr>
            <w:r>
              <w:rPr>
                <w:b/>
              </w:rPr>
              <w:t>The context of prophylaxis within the family and their environment</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4305E61A" w14:textId="77777777" w:rsidR="00386247" w:rsidRDefault="00386247">
            <w:pPr>
              <w:spacing w:line="360" w:lineRule="auto"/>
            </w:pPr>
            <w:r>
              <w:t>Normality</w:t>
            </w:r>
          </w:p>
        </w:tc>
        <w:tc>
          <w:tcPr>
            <w:tcW w:w="2834" w:type="dxa"/>
            <w:tcBorders>
              <w:top w:val="single" w:sz="4" w:space="0" w:color="auto"/>
              <w:left w:val="single" w:sz="4" w:space="0" w:color="auto"/>
              <w:bottom w:val="single" w:sz="4" w:space="0" w:color="auto"/>
              <w:right w:val="single" w:sz="4" w:space="0" w:color="auto"/>
            </w:tcBorders>
            <w:hideMark/>
          </w:tcPr>
          <w:p w14:paraId="5459584C" w14:textId="77777777" w:rsidR="00386247" w:rsidRDefault="00386247">
            <w:pPr>
              <w:spacing w:line="360" w:lineRule="auto"/>
            </w:pPr>
            <w:r>
              <w:t>Establishing a routine</w:t>
            </w:r>
          </w:p>
        </w:tc>
        <w:tc>
          <w:tcPr>
            <w:tcW w:w="2148" w:type="dxa"/>
            <w:tcBorders>
              <w:top w:val="single" w:sz="4" w:space="0" w:color="auto"/>
              <w:left w:val="single" w:sz="4" w:space="0" w:color="auto"/>
              <w:bottom w:val="single" w:sz="4" w:space="0" w:color="auto"/>
              <w:right w:val="single" w:sz="4" w:space="0" w:color="auto"/>
            </w:tcBorders>
            <w:hideMark/>
          </w:tcPr>
          <w:p w14:paraId="029D482F" w14:textId="77777777" w:rsidR="00386247" w:rsidRDefault="00386247">
            <w:pPr>
              <w:spacing w:line="360" w:lineRule="auto"/>
            </w:pPr>
            <w:r>
              <w:t>2.1 P2</w:t>
            </w:r>
          </w:p>
        </w:tc>
      </w:tr>
      <w:tr w:rsidR="00386247" w14:paraId="38218557"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9D3D6"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0888A"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2F930122" w14:textId="77777777" w:rsidR="00386247" w:rsidRDefault="00386247">
            <w:pPr>
              <w:spacing w:line="360" w:lineRule="auto"/>
            </w:pPr>
            <w:r>
              <w:t>Barriers</w:t>
            </w:r>
          </w:p>
        </w:tc>
        <w:tc>
          <w:tcPr>
            <w:tcW w:w="2148" w:type="dxa"/>
            <w:tcBorders>
              <w:top w:val="single" w:sz="4" w:space="0" w:color="auto"/>
              <w:left w:val="single" w:sz="4" w:space="0" w:color="auto"/>
              <w:bottom w:val="single" w:sz="4" w:space="0" w:color="auto"/>
              <w:right w:val="single" w:sz="4" w:space="0" w:color="auto"/>
            </w:tcBorders>
            <w:hideMark/>
          </w:tcPr>
          <w:p w14:paraId="359F3784" w14:textId="77777777" w:rsidR="00386247" w:rsidRDefault="00386247">
            <w:pPr>
              <w:spacing w:line="360" w:lineRule="auto"/>
            </w:pPr>
            <w:r>
              <w:t>2.1 P6</w:t>
            </w:r>
          </w:p>
        </w:tc>
      </w:tr>
      <w:tr w:rsidR="00386247" w14:paraId="339857BA"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0531E5" w14:textId="77777777" w:rsidR="00386247" w:rsidRDefault="00386247">
            <w:pPr>
              <w:rPr>
                <w:b/>
              </w:rPr>
            </w:pPr>
          </w:p>
        </w:tc>
        <w:tc>
          <w:tcPr>
            <w:tcW w:w="2163" w:type="dxa"/>
            <w:vMerge w:val="restart"/>
            <w:tcBorders>
              <w:top w:val="single" w:sz="4" w:space="0" w:color="auto"/>
              <w:left w:val="single" w:sz="4" w:space="0" w:color="auto"/>
              <w:bottom w:val="single" w:sz="4" w:space="0" w:color="auto"/>
              <w:right w:val="single" w:sz="4" w:space="0" w:color="auto"/>
            </w:tcBorders>
            <w:hideMark/>
          </w:tcPr>
          <w:p w14:paraId="57580F7B" w14:textId="77777777" w:rsidR="00386247" w:rsidRDefault="00386247">
            <w:pPr>
              <w:spacing w:line="360" w:lineRule="auto"/>
            </w:pPr>
            <w:r>
              <w:t>Practicalities of medication</w:t>
            </w:r>
          </w:p>
        </w:tc>
        <w:tc>
          <w:tcPr>
            <w:tcW w:w="2834" w:type="dxa"/>
            <w:tcBorders>
              <w:top w:val="single" w:sz="4" w:space="0" w:color="auto"/>
              <w:left w:val="single" w:sz="4" w:space="0" w:color="auto"/>
              <w:bottom w:val="single" w:sz="4" w:space="0" w:color="auto"/>
              <w:right w:val="single" w:sz="4" w:space="0" w:color="auto"/>
            </w:tcBorders>
            <w:hideMark/>
          </w:tcPr>
          <w:p w14:paraId="6856D419" w14:textId="77777777" w:rsidR="00386247" w:rsidRDefault="00386247">
            <w:pPr>
              <w:spacing w:line="360" w:lineRule="auto"/>
            </w:pPr>
            <w:r>
              <w:t>Preparedness</w:t>
            </w:r>
          </w:p>
        </w:tc>
        <w:tc>
          <w:tcPr>
            <w:tcW w:w="2148" w:type="dxa"/>
            <w:tcBorders>
              <w:top w:val="single" w:sz="4" w:space="0" w:color="auto"/>
              <w:left w:val="single" w:sz="4" w:space="0" w:color="auto"/>
              <w:bottom w:val="single" w:sz="4" w:space="0" w:color="auto"/>
              <w:right w:val="single" w:sz="4" w:space="0" w:color="auto"/>
            </w:tcBorders>
            <w:hideMark/>
          </w:tcPr>
          <w:p w14:paraId="6613AAEE" w14:textId="77777777" w:rsidR="00386247" w:rsidRDefault="00386247">
            <w:pPr>
              <w:spacing w:line="360" w:lineRule="auto"/>
              <w:rPr>
                <w:sz w:val="22"/>
                <w:szCs w:val="22"/>
              </w:rPr>
            </w:pPr>
            <w:r>
              <w:t>2.1 P5</w:t>
            </w:r>
          </w:p>
          <w:p w14:paraId="1B91633A" w14:textId="77777777" w:rsidR="00386247" w:rsidRDefault="00386247">
            <w:pPr>
              <w:spacing w:line="360" w:lineRule="auto"/>
            </w:pPr>
            <w:r>
              <w:t>2.2 P14, P8</w:t>
            </w:r>
          </w:p>
        </w:tc>
      </w:tr>
      <w:tr w:rsidR="00386247" w14:paraId="39F9052B"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A4220"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7B15F"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3BDC6B25" w14:textId="77777777" w:rsidR="00386247" w:rsidRDefault="00386247">
            <w:pPr>
              <w:spacing w:line="360" w:lineRule="auto"/>
            </w:pPr>
            <w:r>
              <w:t>Administering issues</w:t>
            </w:r>
          </w:p>
        </w:tc>
        <w:tc>
          <w:tcPr>
            <w:tcW w:w="2148" w:type="dxa"/>
            <w:tcBorders>
              <w:top w:val="single" w:sz="4" w:space="0" w:color="auto"/>
              <w:left w:val="single" w:sz="4" w:space="0" w:color="auto"/>
              <w:bottom w:val="single" w:sz="4" w:space="0" w:color="auto"/>
              <w:right w:val="single" w:sz="4" w:space="0" w:color="auto"/>
            </w:tcBorders>
          </w:tcPr>
          <w:p w14:paraId="120737EC" w14:textId="77777777" w:rsidR="00386247" w:rsidRDefault="00386247">
            <w:pPr>
              <w:spacing w:line="360" w:lineRule="auto"/>
            </w:pPr>
          </w:p>
        </w:tc>
      </w:tr>
      <w:tr w:rsidR="00386247" w14:paraId="5B0B59DD"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81173"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21F8C"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6C113598" w14:textId="77777777" w:rsidR="00386247" w:rsidRDefault="00386247">
            <w:pPr>
              <w:spacing w:line="360" w:lineRule="auto"/>
            </w:pPr>
            <w:r>
              <w:t>Waste and disposal</w:t>
            </w:r>
          </w:p>
        </w:tc>
        <w:tc>
          <w:tcPr>
            <w:tcW w:w="2148" w:type="dxa"/>
            <w:tcBorders>
              <w:top w:val="single" w:sz="4" w:space="0" w:color="auto"/>
              <w:left w:val="single" w:sz="4" w:space="0" w:color="auto"/>
              <w:bottom w:val="single" w:sz="4" w:space="0" w:color="auto"/>
              <w:right w:val="single" w:sz="4" w:space="0" w:color="auto"/>
            </w:tcBorders>
            <w:hideMark/>
          </w:tcPr>
          <w:p w14:paraId="6B41EC19" w14:textId="77777777" w:rsidR="00386247" w:rsidRDefault="00386247">
            <w:pPr>
              <w:spacing w:line="360" w:lineRule="auto"/>
            </w:pPr>
            <w:r>
              <w:t>2.2 P15</w:t>
            </w:r>
          </w:p>
        </w:tc>
      </w:tr>
      <w:tr w:rsidR="00386247" w14:paraId="7749E077" w14:textId="77777777" w:rsidTr="00386247">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36AF2" w14:textId="77777777" w:rsidR="00386247" w:rsidRDefault="00386247">
            <w:pPr>
              <w:rPr>
                <w:b/>
              </w:rPr>
            </w:pPr>
          </w:p>
        </w:tc>
        <w:tc>
          <w:tcPr>
            <w:tcW w:w="2163" w:type="dxa"/>
            <w:vMerge w:val="restart"/>
            <w:tcBorders>
              <w:top w:val="single" w:sz="4" w:space="0" w:color="auto"/>
              <w:left w:val="single" w:sz="4" w:space="0" w:color="auto"/>
              <w:bottom w:val="single" w:sz="4" w:space="0" w:color="auto"/>
              <w:right w:val="single" w:sz="4" w:space="0" w:color="auto"/>
            </w:tcBorders>
          </w:tcPr>
          <w:p w14:paraId="15AAA2D4" w14:textId="77777777" w:rsidR="00386247" w:rsidRDefault="00386247">
            <w:pPr>
              <w:spacing w:line="360" w:lineRule="auto"/>
            </w:pPr>
            <w:r>
              <w:t>Adherence</w:t>
            </w:r>
          </w:p>
          <w:p w14:paraId="4E355B7B" w14:textId="77777777" w:rsidR="00386247" w:rsidRDefault="00386247">
            <w:pPr>
              <w:spacing w:line="360" w:lineRule="auto"/>
            </w:pPr>
          </w:p>
        </w:tc>
        <w:tc>
          <w:tcPr>
            <w:tcW w:w="2834" w:type="dxa"/>
            <w:tcBorders>
              <w:top w:val="single" w:sz="4" w:space="0" w:color="auto"/>
              <w:left w:val="single" w:sz="4" w:space="0" w:color="auto"/>
              <w:bottom w:val="single" w:sz="4" w:space="0" w:color="auto"/>
              <w:right w:val="single" w:sz="4" w:space="0" w:color="auto"/>
            </w:tcBorders>
            <w:hideMark/>
          </w:tcPr>
          <w:p w14:paraId="70036DEC" w14:textId="77777777" w:rsidR="00386247" w:rsidRDefault="00386247">
            <w:pPr>
              <w:spacing w:line="360" w:lineRule="auto"/>
            </w:pPr>
            <w:r>
              <w:t>Obstacles and difficulties</w:t>
            </w:r>
          </w:p>
        </w:tc>
        <w:tc>
          <w:tcPr>
            <w:tcW w:w="2148" w:type="dxa"/>
            <w:tcBorders>
              <w:top w:val="single" w:sz="4" w:space="0" w:color="auto"/>
              <w:left w:val="single" w:sz="4" w:space="0" w:color="auto"/>
              <w:bottom w:val="single" w:sz="4" w:space="0" w:color="auto"/>
              <w:right w:val="single" w:sz="4" w:space="0" w:color="auto"/>
            </w:tcBorders>
            <w:hideMark/>
          </w:tcPr>
          <w:p w14:paraId="4E9CFAAF" w14:textId="77777777" w:rsidR="00386247" w:rsidRDefault="00386247">
            <w:pPr>
              <w:spacing w:line="360" w:lineRule="auto"/>
            </w:pPr>
            <w:r>
              <w:t>2.2 P9, P10</w:t>
            </w:r>
          </w:p>
        </w:tc>
      </w:tr>
      <w:tr w:rsidR="00386247" w14:paraId="3EEDF050"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2DB7"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7A251"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1A8AD94A" w14:textId="77777777" w:rsidR="00386247" w:rsidRDefault="00386247">
            <w:pPr>
              <w:spacing w:line="360" w:lineRule="auto"/>
            </w:pPr>
            <w:r>
              <w:t xml:space="preserve">Initiatives </w:t>
            </w:r>
          </w:p>
        </w:tc>
        <w:tc>
          <w:tcPr>
            <w:tcW w:w="2148" w:type="dxa"/>
            <w:tcBorders>
              <w:top w:val="single" w:sz="4" w:space="0" w:color="auto"/>
              <w:left w:val="single" w:sz="4" w:space="0" w:color="auto"/>
              <w:bottom w:val="single" w:sz="4" w:space="0" w:color="auto"/>
              <w:right w:val="single" w:sz="4" w:space="0" w:color="auto"/>
            </w:tcBorders>
          </w:tcPr>
          <w:p w14:paraId="5BBEB9E2" w14:textId="77777777" w:rsidR="00386247" w:rsidRDefault="00386247">
            <w:pPr>
              <w:spacing w:line="360" w:lineRule="auto"/>
            </w:pPr>
          </w:p>
        </w:tc>
      </w:tr>
      <w:tr w:rsidR="00386247" w14:paraId="50690EE8"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290567"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1202D"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1CFC3D6F" w14:textId="77777777" w:rsidR="00386247" w:rsidRDefault="00386247">
            <w:pPr>
              <w:spacing w:line="360" w:lineRule="auto"/>
            </w:pPr>
            <w:r>
              <w:t>Impact on quality of life</w:t>
            </w:r>
          </w:p>
        </w:tc>
        <w:tc>
          <w:tcPr>
            <w:tcW w:w="2148" w:type="dxa"/>
            <w:tcBorders>
              <w:top w:val="single" w:sz="4" w:space="0" w:color="auto"/>
              <w:left w:val="single" w:sz="4" w:space="0" w:color="auto"/>
              <w:bottom w:val="single" w:sz="4" w:space="0" w:color="auto"/>
              <w:right w:val="single" w:sz="4" w:space="0" w:color="auto"/>
            </w:tcBorders>
            <w:hideMark/>
          </w:tcPr>
          <w:p w14:paraId="13CD920F" w14:textId="77777777" w:rsidR="00386247" w:rsidRDefault="00386247">
            <w:pPr>
              <w:spacing w:line="360" w:lineRule="auto"/>
            </w:pPr>
            <w:r>
              <w:t>2.3 P2, P3, P4, P5</w:t>
            </w:r>
          </w:p>
        </w:tc>
      </w:tr>
      <w:tr w:rsidR="00386247" w14:paraId="5E40E1F6" w14:textId="77777777" w:rsidTr="00386247">
        <w:trPr>
          <w:trHeight w:val="384"/>
        </w:trPr>
        <w:tc>
          <w:tcPr>
            <w:tcW w:w="2431" w:type="dxa"/>
            <w:vMerge w:val="restart"/>
            <w:tcBorders>
              <w:top w:val="single" w:sz="4" w:space="0" w:color="auto"/>
              <w:left w:val="single" w:sz="4" w:space="0" w:color="auto"/>
              <w:bottom w:val="single" w:sz="4" w:space="0" w:color="auto"/>
              <w:right w:val="single" w:sz="4" w:space="0" w:color="auto"/>
            </w:tcBorders>
            <w:hideMark/>
          </w:tcPr>
          <w:p w14:paraId="696DC2BB" w14:textId="77777777" w:rsidR="00386247" w:rsidRDefault="00386247">
            <w:pPr>
              <w:spacing w:line="360" w:lineRule="auto"/>
              <w:rPr>
                <w:b/>
              </w:rPr>
            </w:pPr>
            <w:r>
              <w:rPr>
                <w:b/>
              </w:rPr>
              <w:t>Response to acute illness whilst on prophylaxis</w:t>
            </w:r>
          </w:p>
        </w:tc>
        <w:tc>
          <w:tcPr>
            <w:tcW w:w="21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461B7" w14:textId="77777777" w:rsidR="00386247" w:rsidRDefault="00386247">
            <w:pPr>
              <w:spacing w:line="360" w:lineRule="auto"/>
            </w:pPr>
            <w:r>
              <w:t>Emotive reasoning</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584E5" w14:textId="77777777" w:rsidR="00386247" w:rsidRDefault="00386247">
            <w:pPr>
              <w:spacing w:line="360" w:lineRule="auto"/>
            </w:pPr>
            <w:r>
              <w:t>Immediate response</w:t>
            </w:r>
          </w:p>
        </w:tc>
        <w:tc>
          <w:tcPr>
            <w:tcW w:w="2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80FC0" w14:textId="77777777" w:rsidR="00386247" w:rsidRDefault="00386247">
            <w:pPr>
              <w:spacing w:line="360" w:lineRule="auto"/>
            </w:pPr>
            <w:r>
              <w:t>3.1 P1</w:t>
            </w:r>
          </w:p>
        </w:tc>
      </w:tr>
      <w:tr w:rsidR="00386247" w14:paraId="57A37084"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97075"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C2D65"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0DF63CF5" w14:textId="77777777" w:rsidR="00386247" w:rsidRDefault="00386247">
            <w:pPr>
              <w:spacing w:line="360" w:lineRule="auto"/>
            </w:pPr>
            <w:r>
              <w:t>Previous experiences</w:t>
            </w:r>
          </w:p>
        </w:tc>
        <w:tc>
          <w:tcPr>
            <w:tcW w:w="2148" w:type="dxa"/>
            <w:tcBorders>
              <w:top w:val="single" w:sz="4" w:space="0" w:color="auto"/>
              <w:left w:val="single" w:sz="4" w:space="0" w:color="auto"/>
              <w:bottom w:val="single" w:sz="4" w:space="0" w:color="auto"/>
              <w:right w:val="single" w:sz="4" w:space="0" w:color="auto"/>
            </w:tcBorders>
            <w:hideMark/>
          </w:tcPr>
          <w:p w14:paraId="3A8D3E7F" w14:textId="77777777" w:rsidR="00386247" w:rsidRDefault="00386247">
            <w:pPr>
              <w:spacing w:line="360" w:lineRule="auto"/>
            </w:pPr>
            <w:r>
              <w:t>3.1 P8</w:t>
            </w:r>
          </w:p>
        </w:tc>
      </w:tr>
      <w:tr w:rsidR="00386247" w14:paraId="63749AC8"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064C0" w14:textId="77777777" w:rsidR="00386247" w:rsidRDefault="00386247">
            <w:pPr>
              <w:rPr>
                <w:b/>
              </w:rPr>
            </w:pPr>
          </w:p>
        </w:tc>
        <w:tc>
          <w:tcPr>
            <w:tcW w:w="21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5E9B2" w14:textId="77777777" w:rsidR="00386247" w:rsidRDefault="00386247">
            <w:pPr>
              <w:spacing w:line="360" w:lineRule="auto"/>
            </w:pPr>
            <w:r>
              <w:t>Assessment</w:t>
            </w:r>
          </w:p>
        </w:tc>
        <w:tc>
          <w:tcPr>
            <w:tcW w:w="2834" w:type="dxa"/>
            <w:tcBorders>
              <w:top w:val="single" w:sz="4" w:space="0" w:color="auto"/>
              <w:left w:val="single" w:sz="4" w:space="0" w:color="auto"/>
              <w:bottom w:val="single" w:sz="4" w:space="0" w:color="auto"/>
              <w:right w:val="single" w:sz="4" w:space="0" w:color="auto"/>
            </w:tcBorders>
            <w:hideMark/>
          </w:tcPr>
          <w:p w14:paraId="18A34A9A" w14:textId="77777777" w:rsidR="00386247" w:rsidRDefault="00386247">
            <w:pPr>
              <w:spacing w:line="360" w:lineRule="auto"/>
            </w:pPr>
            <w:r>
              <w:t>Threshold for consultation</w:t>
            </w:r>
          </w:p>
        </w:tc>
        <w:tc>
          <w:tcPr>
            <w:tcW w:w="2148" w:type="dxa"/>
            <w:tcBorders>
              <w:top w:val="single" w:sz="4" w:space="0" w:color="auto"/>
              <w:left w:val="single" w:sz="4" w:space="0" w:color="auto"/>
              <w:bottom w:val="single" w:sz="4" w:space="0" w:color="auto"/>
              <w:right w:val="single" w:sz="4" w:space="0" w:color="auto"/>
            </w:tcBorders>
            <w:hideMark/>
          </w:tcPr>
          <w:p w14:paraId="4B71AFDD" w14:textId="77777777" w:rsidR="00386247" w:rsidRDefault="00386247">
            <w:pPr>
              <w:spacing w:line="360" w:lineRule="auto"/>
            </w:pPr>
            <w:r>
              <w:t>3.2 P11</w:t>
            </w:r>
          </w:p>
        </w:tc>
      </w:tr>
      <w:tr w:rsidR="00386247" w14:paraId="51ABC0F2"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62E145"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8DC25"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30D26D9B" w14:textId="77777777" w:rsidR="00386247" w:rsidRDefault="00386247">
            <w:pPr>
              <w:spacing w:line="360" w:lineRule="auto"/>
            </w:pPr>
            <w:r>
              <w:t>Importance of specific symptoms</w:t>
            </w:r>
          </w:p>
        </w:tc>
        <w:tc>
          <w:tcPr>
            <w:tcW w:w="2148" w:type="dxa"/>
            <w:tcBorders>
              <w:top w:val="single" w:sz="4" w:space="0" w:color="auto"/>
              <w:left w:val="single" w:sz="4" w:space="0" w:color="auto"/>
              <w:bottom w:val="single" w:sz="4" w:space="0" w:color="auto"/>
              <w:right w:val="single" w:sz="4" w:space="0" w:color="auto"/>
            </w:tcBorders>
          </w:tcPr>
          <w:p w14:paraId="13C39805" w14:textId="77777777" w:rsidR="00386247" w:rsidRDefault="00386247">
            <w:pPr>
              <w:spacing w:line="360" w:lineRule="auto"/>
            </w:pPr>
          </w:p>
        </w:tc>
      </w:tr>
      <w:tr w:rsidR="00386247" w14:paraId="3E830558" w14:textId="77777777" w:rsidTr="00386247">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5E88B"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6F429"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7851B6A9" w14:textId="77777777" w:rsidR="00386247" w:rsidRDefault="00386247">
            <w:pPr>
              <w:spacing w:line="360" w:lineRule="auto"/>
            </w:pPr>
            <w:r>
              <w:t>Driving pressures to take action</w:t>
            </w:r>
          </w:p>
        </w:tc>
        <w:tc>
          <w:tcPr>
            <w:tcW w:w="2148" w:type="dxa"/>
            <w:tcBorders>
              <w:top w:val="single" w:sz="4" w:space="0" w:color="auto"/>
              <w:left w:val="single" w:sz="4" w:space="0" w:color="auto"/>
              <w:bottom w:val="single" w:sz="4" w:space="0" w:color="auto"/>
              <w:right w:val="single" w:sz="4" w:space="0" w:color="auto"/>
            </w:tcBorders>
            <w:hideMark/>
          </w:tcPr>
          <w:p w14:paraId="71D975A4" w14:textId="77777777" w:rsidR="00386247" w:rsidRDefault="00386247">
            <w:pPr>
              <w:spacing w:line="360" w:lineRule="auto"/>
            </w:pPr>
            <w:r>
              <w:t>3.1 P1, P12</w:t>
            </w:r>
          </w:p>
        </w:tc>
      </w:tr>
      <w:tr w:rsidR="00386247" w14:paraId="2C4012CE"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70E90B" w14:textId="77777777" w:rsidR="00386247" w:rsidRDefault="00386247">
            <w:pPr>
              <w:rPr>
                <w:b/>
              </w:rPr>
            </w:pPr>
          </w:p>
        </w:tc>
        <w:tc>
          <w:tcPr>
            <w:tcW w:w="2163" w:type="dxa"/>
            <w:vMerge w:val="restart"/>
            <w:tcBorders>
              <w:top w:val="single" w:sz="4" w:space="0" w:color="auto"/>
              <w:left w:val="single" w:sz="4" w:space="0" w:color="auto"/>
              <w:bottom w:val="single" w:sz="4" w:space="0" w:color="auto"/>
              <w:right w:val="single" w:sz="4" w:space="0" w:color="auto"/>
            </w:tcBorders>
            <w:hideMark/>
          </w:tcPr>
          <w:p w14:paraId="5DA9304C" w14:textId="77777777" w:rsidR="00386247" w:rsidRDefault="00386247">
            <w:pPr>
              <w:spacing w:line="360" w:lineRule="auto"/>
            </w:pPr>
            <w:r>
              <w:t>Management</w:t>
            </w:r>
          </w:p>
        </w:tc>
        <w:tc>
          <w:tcPr>
            <w:tcW w:w="2834" w:type="dxa"/>
            <w:tcBorders>
              <w:top w:val="single" w:sz="4" w:space="0" w:color="auto"/>
              <w:left w:val="single" w:sz="4" w:space="0" w:color="auto"/>
              <w:bottom w:val="single" w:sz="4" w:space="0" w:color="auto"/>
              <w:right w:val="single" w:sz="4" w:space="0" w:color="auto"/>
            </w:tcBorders>
            <w:hideMark/>
          </w:tcPr>
          <w:p w14:paraId="3EAEC3A1" w14:textId="77777777" w:rsidR="00386247" w:rsidRDefault="00386247">
            <w:pPr>
              <w:spacing w:line="360" w:lineRule="auto"/>
            </w:pPr>
            <w:r>
              <w:t xml:space="preserve">Misconceptions of terminology and concepts  </w:t>
            </w:r>
          </w:p>
        </w:tc>
        <w:tc>
          <w:tcPr>
            <w:tcW w:w="2148" w:type="dxa"/>
            <w:tcBorders>
              <w:top w:val="single" w:sz="4" w:space="0" w:color="auto"/>
              <w:left w:val="single" w:sz="4" w:space="0" w:color="auto"/>
              <w:bottom w:val="single" w:sz="4" w:space="0" w:color="auto"/>
              <w:right w:val="single" w:sz="4" w:space="0" w:color="auto"/>
            </w:tcBorders>
            <w:hideMark/>
          </w:tcPr>
          <w:p w14:paraId="5193C02B" w14:textId="77777777" w:rsidR="00386247" w:rsidRDefault="00386247">
            <w:pPr>
              <w:spacing w:line="360" w:lineRule="auto"/>
            </w:pPr>
            <w:r>
              <w:t>3.3 P2</w:t>
            </w:r>
          </w:p>
        </w:tc>
      </w:tr>
      <w:tr w:rsidR="00386247" w14:paraId="547095E5"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E32DE"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233CE"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79DA58C6" w14:textId="77777777" w:rsidR="00386247" w:rsidRDefault="00386247">
            <w:pPr>
              <w:spacing w:line="360" w:lineRule="auto"/>
            </w:pPr>
            <w:r>
              <w:t xml:space="preserve">Expectations </w:t>
            </w:r>
          </w:p>
        </w:tc>
        <w:tc>
          <w:tcPr>
            <w:tcW w:w="2148" w:type="dxa"/>
            <w:tcBorders>
              <w:top w:val="single" w:sz="4" w:space="0" w:color="auto"/>
              <w:left w:val="single" w:sz="4" w:space="0" w:color="auto"/>
              <w:bottom w:val="single" w:sz="4" w:space="0" w:color="auto"/>
              <w:right w:val="single" w:sz="4" w:space="0" w:color="auto"/>
            </w:tcBorders>
          </w:tcPr>
          <w:p w14:paraId="488C9658" w14:textId="77777777" w:rsidR="00386247" w:rsidRDefault="00386247">
            <w:pPr>
              <w:spacing w:line="360" w:lineRule="auto"/>
            </w:pPr>
          </w:p>
        </w:tc>
      </w:tr>
      <w:tr w:rsidR="00386247" w14:paraId="24573FF2" w14:textId="77777777" w:rsidTr="00386247">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3498E" w14:textId="77777777" w:rsidR="00386247" w:rsidRDefault="00386247">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9C4D9" w14:textId="77777777" w:rsidR="00386247" w:rsidRDefault="00386247"/>
        </w:tc>
        <w:tc>
          <w:tcPr>
            <w:tcW w:w="2834" w:type="dxa"/>
            <w:tcBorders>
              <w:top w:val="single" w:sz="4" w:space="0" w:color="auto"/>
              <w:left w:val="single" w:sz="4" w:space="0" w:color="auto"/>
              <w:bottom w:val="single" w:sz="4" w:space="0" w:color="auto"/>
              <w:right w:val="single" w:sz="4" w:space="0" w:color="auto"/>
            </w:tcBorders>
            <w:hideMark/>
          </w:tcPr>
          <w:p w14:paraId="762180D6" w14:textId="77777777" w:rsidR="00386247" w:rsidRDefault="00386247">
            <w:pPr>
              <w:spacing w:line="360" w:lineRule="auto"/>
            </w:pPr>
            <w:r>
              <w:t>Understanding of antibiotics</w:t>
            </w:r>
          </w:p>
        </w:tc>
        <w:tc>
          <w:tcPr>
            <w:tcW w:w="2148" w:type="dxa"/>
            <w:tcBorders>
              <w:top w:val="single" w:sz="4" w:space="0" w:color="auto"/>
              <w:left w:val="single" w:sz="4" w:space="0" w:color="auto"/>
              <w:bottom w:val="single" w:sz="4" w:space="0" w:color="auto"/>
              <w:right w:val="single" w:sz="4" w:space="0" w:color="auto"/>
            </w:tcBorders>
            <w:hideMark/>
          </w:tcPr>
          <w:p w14:paraId="7E5880EF" w14:textId="77777777" w:rsidR="00386247" w:rsidRDefault="00386247">
            <w:pPr>
              <w:spacing w:line="360" w:lineRule="auto"/>
            </w:pPr>
            <w:r>
              <w:t>3.3 P5</w:t>
            </w:r>
          </w:p>
        </w:tc>
      </w:tr>
    </w:tbl>
    <w:p w14:paraId="423CE8C7" w14:textId="77777777" w:rsidR="00386247" w:rsidRDefault="00386247" w:rsidP="00386247">
      <w:pPr>
        <w:spacing w:line="360" w:lineRule="auto"/>
        <w:rPr>
          <w:rFonts w:asciiTheme="minorHAnsi" w:hAnsiTheme="minorHAnsi" w:cstheme="minorBidi"/>
          <w:b/>
          <w:sz w:val="22"/>
          <w:szCs w:val="22"/>
          <w:lang w:val="en-US"/>
        </w:rPr>
      </w:pPr>
      <w:r>
        <w:rPr>
          <w:b/>
          <w:lang w:val="en-US"/>
        </w:rPr>
        <w:t>Table 2: Themes identified in the analysis</w:t>
      </w:r>
    </w:p>
    <w:p w14:paraId="35BAE72C" w14:textId="77777777" w:rsidR="00386247" w:rsidRDefault="00386247" w:rsidP="00386247">
      <w:pPr>
        <w:spacing w:line="360" w:lineRule="auto"/>
        <w:rPr>
          <w:b/>
          <w:lang w:val="en-US"/>
        </w:rPr>
      </w:pPr>
    </w:p>
    <w:p w14:paraId="5E434465" w14:textId="77777777" w:rsidR="00386247" w:rsidRDefault="00386247" w:rsidP="00386247">
      <w:pPr>
        <w:spacing w:line="360" w:lineRule="auto"/>
        <w:rPr>
          <w:b/>
          <w:lang w:val="en-US"/>
        </w:rPr>
      </w:pPr>
    </w:p>
    <w:p w14:paraId="55A3C67C" w14:textId="77777777" w:rsidR="00386247" w:rsidRDefault="00386247" w:rsidP="00386247">
      <w:pPr>
        <w:spacing w:line="360" w:lineRule="auto"/>
        <w:rPr>
          <w:b/>
          <w:lang w:val="en-US"/>
        </w:rPr>
      </w:pPr>
      <w:r>
        <w:rPr>
          <w:b/>
          <w:lang w:val="en-US"/>
        </w:rPr>
        <w:t xml:space="preserve">Legend. </w:t>
      </w:r>
    </w:p>
    <w:p w14:paraId="07025D30" w14:textId="77777777" w:rsidR="00386247" w:rsidRDefault="00386247" w:rsidP="00386247">
      <w:pPr>
        <w:spacing w:line="360" w:lineRule="auto"/>
        <w:rPr>
          <w:bCs/>
          <w:lang w:val="en-US"/>
        </w:rPr>
      </w:pPr>
      <w:r>
        <w:rPr>
          <w:bCs/>
          <w:lang w:val="en-US"/>
        </w:rPr>
        <w:t>Table 2 shows the framework of subthemes that developed from codes applied to the interview transcripts. A consensus of three main themes was then agreed upon. This was through discussions amongst the researchers with regards to interpretation of the findings consideration of the surrounding literature and ensuring the story line of the participants was conveyed. Supportive quotations from the interviews are referenced within table 2. These can be found in Table 3 (P=parent)</w:t>
      </w:r>
    </w:p>
    <w:p w14:paraId="00BDC1A0" w14:textId="77777777" w:rsidR="00386247" w:rsidRDefault="00386247" w:rsidP="00386247">
      <w:pPr>
        <w:spacing w:line="360" w:lineRule="auto"/>
        <w:rPr>
          <w:b/>
          <w:lang w:val="en-US"/>
        </w:rPr>
      </w:pPr>
    </w:p>
    <w:p w14:paraId="0AB9B9AC" w14:textId="77777777" w:rsidR="00386247" w:rsidRDefault="00386247" w:rsidP="00386247">
      <w:pPr>
        <w:numPr>
          <w:ilvl w:val="0"/>
          <w:numId w:val="79"/>
        </w:numPr>
        <w:spacing w:line="360" w:lineRule="auto"/>
        <w:contextualSpacing/>
        <w:rPr>
          <w:b/>
          <w:sz w:val="28"/>
          <w:szCs w:val="28"/>
          <w:lang w:val="en-US"/>
        </w:rPr>
      </w:pPr>
      <w:r>
        <w:rPr>
          <w:b/>
          <w:sz w:val="28"/>
          <w:szCs w:val="28"/>
          <w:lang w:val="en-US"/>
        </w:rPr>
        <w:t>Decision making regarding prophylaxis</w:t>
      </w:r>
    </w:p>
    <w:p w14:paraId="1214A4D9" w14:textId="77777777" w:rsidR="00386247" w:rsidRDefault="00386247" w:rsidP="00386247">
      <w:pPr>
        <w:spacing w:line="360" w:lineRule="auto"/>
        <w:rPr>
          <w:lang w:val="en-US"/>
        </w:rPr>
      </w:pPr>
      <w:r>
        <w:rPr>
          <w:lang w:val="en-US"/>
        </w:rPr>
        <w:t xml:space="preserve">Parents took on both active and passive roles in medical consultations when making decisions regarding the use of antibiotic prophylaxis. Some parents had strong feelings of being experts of their children and wanted to more actively engage with consultants. [Table 3, 1.1] </w:t>
      </w:r>
    </w:p>
    <w:p w14:paraId="3D04E200" w14:textId="77777777" w:rsidR="00386247" w:rsidRDefault="00386247" w:rsidP="00386247">
      <w:pPr>
        <w:spacing w:line="360" w:lineRule="auto"/>
        <w:rPr>
          <w:lang w:val="en-US"/>
        </w:rPr>
      </w:pPr>
      <w:r>
        <w:rPr>
          <w:lang w:val="en-US"/>
        </w:rPr>
        <w:t xml:space="preserve">Parents who described taking a more passive role reported feeling less informed. Barriers to engagement identified by these parents included chaotic consultation rooms, poor eye contact from the doctor, time pressures, social norms of politeness, not wanting to be made to feel like a “drama queen” and seeing the doctor as a higher authority. [Table 3, 1.2] These barriers led to unvoiced concerns that in turn meant parents sought increased support from health care professionals in the future. </w:t>
      </w:r>
    </w:p>
    <w:p w14:paraId="7F5EEEED" w14:textId="77777777" w:rsidR="00386247" w:rsidRDefault="00386247" w:rsidP="00386247">
      <w:pPr>
        <w:spacing w:line="360" w:lineRule="auto"/>
        <w:rPr>
          <w:i/>
          <w:lang w:val="en-US"/>
        </w:rPr>
      </w:pPr>
      <w:r>
        <w:rPr>
          <w:lang w:val="en-US"/>
        </w:rPr>
        <w:lastRenderedPageBreak/>
        <w:t>Interestingly, three parents described a transition from passive to active involvement once prophylactic antibiotics were brought up in the consultation. Reasons behind this included perceived significant risks of antibiotic prophylaxis, a desire to improve their knowledge given the increase in severity of the situation and frustration at feeling uninformed. [Table 3, 1.3]</w:t>
      </w:r>
    </w:p>
    <w:p w14:paraId="78010935" w14:textId="77777777" w:rsidR="00386247" w:rsidRDefault="00386247" w:rsidP="00386247">
      <w:pPr>
        <w:spacing w:line="360" w:lineRule="auto"/>
        <w:rPr>
          <w:lang w:val="en-US"/>
        </w:rPr>
      </w:pPr>
      <w:r>
        <w:rPr>
          <w:lang w:val="en-US"/>
        </w:rPr>
        <w:t xml:space="preserve">All parents hoped or expected antibiotic prophylaxis to reduce the number of respiratory tract infections, improve their child’s health and restore normality to their lives. Fear of a common cold progressing to a hospital admission and significant clinical deterioration was a recurrent concern. </w:t>
      </w:r>
      <w:r>
        <w:rPr>
          <w:shd w:val="clear" w:color="auto" w:fill="FFFFFF" w:themeFill="background1"/>
          <w:lang w:val="en-US"/>
        </w:rPr>
        <w:t>Parents talked about how their health beliefs of antibiotics sometimes conflicted with a decision to start long-term antibiotics. Such health beliefs included aversions to taking antibiotics as they hadn’t needed them in childhood, preferences for alternative medicine and fears about what antibiotics do to the body. [</w:t>
      </w:r>
      <w:r>
        <w:rPr>
          <w:lang w:val="en-US"/>
        </w:rPr>
        <w:t>Table 3, 1.4]</w:t>
      </w:r>
    </w:p>
    <w:p w14:paraId="5ACB340F" w14:textId="77777777" w:rsidR="00386247" w:rsidRDefault="00386247" w:rsidP="00386247">
      <w:pPr>
        <w:spacing w:line="360" w:lineRule="auto"/>
        <w:rPr>
          <w:lang w:val="en-US"/>
        </w:rPr>
      </w:pPr>
    </w:p>
    <w:p w14:paraId="4098FC64" w14:textId="77777777" w:rsidR="00386247" w:rsidRDefault="00386247" w:rsidP="00386247">
      <w:pPr>
        <w:spacing w:line="360" w:lineRule="auto"/>
        <w:rPr>
          <w:lang w:val="en-US"/>
        </w:rPr>
      </w:pPr>
      <w:r>
        <w:rPr>
          <w:lang w:val="en-US"/>
        </w:rPr>
        <w:t>The majority considered antibiotic resistance when deciding on antibiotic prophylaxis for their child. This was often described as “the body becoming immune to antibiotics”. Parents perceived their children to be at “high risk” for acquiring resistant organisms due to high antibiotic exposure. This however was not seen as an imminent threat for their children rather as a problem for when they were older. Medication side effects were less well appreciated. Many parents were influenced by media messages relating to antibiotic use but felt in a state of conflict as they believed their child needed antibiotics. [Table 3, 1.5]</w:t>
      </w:r>
    </w:p>
    <w:p w14:paraId="4817531B" w14:textId="77777777" w:rsidR="00386247" w:rsidRDefault="00386247" w:rsidP="00386247">
      <w:pPr>
        <w:spacing w:line="360" w:lineRule="auto"/>
        <w:rPr>
          <w:lang w:val="en-US"/>
        </w:rPr>
      </w:pPr>
      <w:r>
        <w:rPr>
          <w:lang w:val="en-US"/>
        </w:rPr>
        <w:t>Most parents reported that antibiotic prophylaxis was the only option left having exhausted all others. Other contributing factors included pressures relating to poor school attendance and competing demands from siblings and employers, due to multiple hospital admissions. The desire for their child to be well and have a better quality of life at that moment in time was overwhelmingly the most significant factor when deciding whether to try prophylactic antibiotics</w:t>
      </w:r>
      <w:r>
        <w:t>.</w:t>
      </w:r>
      <w:r>
        <w:rPr>
          <w:lang w:val="en-US"/>
        </w:rPr>
        <w:t xml:space="preserve"> [Table 3, 1.6]</w:t>
      </w:r>
    </w:p>
    <w:p w14:paraId="41DC174A" w14:textId="77777777" w:rsidR="00386247" w:rsidRDefault="00386247" w:rsidP="00386247">
      <w:pPr>
        <w:spacing w:line="360" w:lineRule="auto"/>
        <w:rPr>
          <w:sz w:val="22"/>
          <w:szCs w:val="22"/>
          <w:lang w:val="en-US"/>
        </w:rPr>
      </w:pPr>
    </w:p>
    <w:p w14:paraId="33763B9D" w14:textId="77777777" w:rsidR="00386247" w:rsidRDefault="00386247" w:rsidP="00386247">
      <w:pPr>
        <w:spacing w:line="360" w:lineRule="auto"/>
        <w:rPr>
          <w:lang w:val="en-US"/>
        </w:rPr>
      </w:pPr>
    </w:p>
    <w:p w14:paraId="59D9C5AF" w14:textId="77777777" w:rsidR="00386247" w:rsidRDefault="00386247" w:rsidP="00386247">
      <w:pPr>
        <w:numPr>
          <w:ilvl w:val="0"/>
          <w:numId w:val="79"/>
        </w:numPr>
        <w:spacing w:line="360" w:lineRule="auto"/>
        <w:contextualSpacing/>
        <w:rPr>
          <w:b/>
          <w:sz w:val="32"/>
          <w:szCs w:val="32"/>
          <w:lang w:val="en-US"/>
        </w:rPr>
      </w:pPr>
      <w:r>
        <w:rPr>
          <w:b/>
          <w:sz w:val="32"/>
          <w:szCs w:val="32"/>
          <w:lang w:val="en-US"/>
        </w:rPr>
        <w:t>The context of prophylaxis within the family and their environment</w:t>
      </w:r>
    </w:p>
    <w:p w14:paraId="1281A7A3" w14:textId="77777777" w:rsidR="00386247" w:rsidRDefault="00386247" w:rsidP="00386247">
      <w:pPr>
        <w:spacing w:line="360" w:lineRule="auto"/>
        <w:ind w:left="360"/>
        <w:contextualSpacing/>
        <w:rPr>
          <w:b/>
          <w:sz w:val="22"/>
          <w:szCs w:val="22"/>
          <w:lang w:val="en-US"/>
        </w:rPr>
      </w:pPr>
    </w:p>
    <w:p w14:paraId="1308E29F" w14:textId="77777777" w:rsidR="00386247" w:rsidRDefault="00386247" w:rsidP="00386247">
      <w:pPr>
        <w:spacing w:line="360" w:lineRule="auto"/>
        <w:contextualSpacing/>
        <w:rPr>
          <w:lang w:val="en-US"/>
        </w:rPr>
      </w:pPr>
      <w:r>
        <w:rPr>
          <w:lang w:val="en-US"/>
        </w:rPr>
        <w:lastRenderedPageBreak/>
        <w:t xml:space="preserve">Parents described various ways in which they </w:t>
      </w:r>
      <w:proofErr w:type="spellStart"/>
      <w:r>
        <w:rPr>
          <w:lang w:val="en-US"/>
        </w:rPr>
        <w:t>normalised</w:t>
      </w:r>
      <w:proofErr w:type="spellEnd"/>
      <w:r>
        <w:rPr>
          <w:lang w:val="en-US"/>
        </w:rPr>
        <w:t xml:space="preserve"> their lives incorporating their child’s antibiotic prophylaxis. Establishing a routine was the main way of creating a sense of normality. This was often achieved using visual cues and electronic devices as reminders. A number of barriers were cited such as school holidays, when the established routine was interrupted and ensuring timely collection of prescriptions. Some parents admitted it was easy to forget to give the antibiotics.  [Table 3, 2.1]</w:t>
      </w:r>
    </w:p>
    <w:p w14:paraId="56EAAF66" w14:textId="77777777" w:rsidR="00386247" w:rsidRDefault="00386247" w:rsidP="00386247">
      <w:pPr>
        <w:spacing w:line="360" w:lineRule="auto"/>
        <w:contextualSpacing/>
        <w:rPr>
          <w:lang w:val="en-US"/>
        </w:rPr>
      </w:pPr>
    </w:p>
    <w:p w14:paraId="0457BA65" w14:textId="77777777" w:rsidR="00386247" w:rsidRDefault="00386247" w:rsidP="00386247">
      <w:pPr>
        <w:spacing w:line="360" w:lineRule="auto"/>
        <w:contextualSpacing/>
        <w:rPr>
          <w:lang w:val="en-US"/>
        </w:rPr>
      </w:pPr>
      <w:r>
        <w:rPr>
          <w:lang w:val="en-US"/>
        </w:rPr>
        <w:t>Parents often have to reconstitute the antibiotic powder at home. Whilst this negates the need for weekly pharmacy visits to collect pre-made suspension, many parents were not expecting to have to do this and found it somewhat daunting. They also found it difficult to get repeat prescriptions in a timely fashion which impacted on adherence. Two parents said that significant prescription difficulties made them want to stop prophylaxis. Many were concerned about the amount and cost of wasted antibiotics and were not aware of appropriate disposal methods. Some reported flushing surplus antibiotics down the toilet or sink. [Table 3, 2.2]</w:t>
      </w:r>
    </w:p>
    <w:p w14:paraId="34965C1B" w14:textId="77777777" w:rsidR="00386247" w:rsidRDefault="00386247" w:rsidP="00386247">
      <w:pPr>
        <w:spacing w:line="360" w:lineRule="auto"/>
        <w:contextualSpacing/>
        <w:rPr>
          <w:b/>
          <w:lang w:val="en-US"/>
        </w:rPr>
      </w:pPr>
    </w:p>
    <w:p w14:paraId="0758401E" w14:textId="77777777" w:rsidR="00386247" w:rsidRDefault="00386247" w:rsidP="00386247">
      <w:pPr>
        <w:spacing w:line="360" w:lineRule="auto"/>
        <w:contextualSpacing/>
        <w:rPr>
          <w:lang w:val="en-US"/>
        </w:rPr>
      </w:pPr>
      <w:r>
        <w:rPr>
          <w:lang w:val="en-US"/>
        </w:rPr>
        <w:t>Most parents felt prophylaxis was beneficial in reducing infections, hospital admissions, or improved school attendance. Some reported they previously isolated their child from social situations that had potential for infection such as school or public transport. They viewed antibiotic prophylaxis as a protective measure which enabled their child to take part in more activities. A few parents described prophylaxis as a reminder that their child was susceptible and needed their activities restricted. [Table 3, 2.3]</w:t>
      </w:r>
    </w:p>
    <w:p w14:paraId="5FA07D3D" w14:textId="77777777" w:rsidR="00386247" w:rsidRDefault="00386247" w:rsidP="00386247">
      <w:pPr>
        <w:spacing w:line="360" w:lineRule="auto"/>
        <w:contextualSpacing/>
        <w:rPr>
          <w:lang w:val="en-US"/>
        </w:rPr>
      </w:pPr>
    </w:p>
    <w:p w14:paraId="2AF16BCC" w14:textId="77777777" w:rsidR="00386247" w:rsidRDefault="00386247" w:rsidP="00386247">
      <w:pPr>
        <w:spacing w:line="360" w:lineRule="auto"/>
        <w:contextualSpacing/>
        <w:rPr>
          <w:lang w:val="en-US"/>
        </w:rPr>
      </w:pPr>
    </w:p>
    <w:p w14:paraId="0AC13466" w14:textId="77777777" w:rsidR="00386247" w:rsidRDefault="00386247" w:rsidP="00386247">
      <w:pPr>
        <w:spacing w:line="360" w:lineRule="auto"/>
        <w:contextualSpacing/>
        <w:rPr>
          <w:lang w:val="en-US"/>
        </w:rPr>
      </w:pPr>
    </w:p>
    <w:p w14:paraId="3103E4E1" w14:textId="77777777" w:rsidR="00386247" w:rsidRDefault="00386247" w:rsidP="00386247">
      <w:pPr>
        <w:numPr>
          <w:ilvl w:val="0"/>
          <w:numId w:val="79"/>
        </w:numPr>
        <w:spacing w:line="360" w:lineRule="auto"/>
        <w:contextualSpacing/>
        <w:rPr>
          <w:b/>
          <w:sz w:val="32"/>
          <w:szCs w:val="32"/>
          <w:lang w:val="en-US"/>
        </w:rPr>
      </w:pPr>
      <w:r>
        <w:rPr>
          <w:b/>
          <w:sz w:val="32"/>
          <w:szCs w:val="32"/>
          <w:lang w:val="en-US"/>
        </w:rPr>
        <w:t>Response to acute illness whilst on prophylaxis</w:t>
      </w:r>
    </w:p>
    <w:p w14:paraId="7D704B93" w14:textId="77777777" w:rsidR="00386247" w:rsidRDefault="00386247" w:rsidP="00386247">
      <w:pPr>
        <w:spacing w:line="360" w:lineRule="auto"/>
        <w:rPr>
          <w:lang w:val="en-US"/>
        </w:rPr>
      </w:pPr>
      <w:r>
        <w:rPr>
          <w:lang w:val="en-US"/>
        </w:rPr>
        <w:t>Despite taking prophylactic azithromycin, most children had breakthrough respiratory illnesses. There was often an initial emotive response when parents heard their child starting to cough. This evoked fears of progression to a hospital admission. Combined with feelings of helplessness and futility of self-help measures, parents often felt driven to take action. [Table 3, 3.1]</w:t>
      </w:r>
    </w:p>
    <w:p w14:paraId="58103D50" w14:textId="77777777" w:rsidR="00386247" w:rsidRDefault="00386247" w:rsidP="00386247">
      <w:pPr>
        <w:spacing w:line="360" w:lineRule="auto"/>
        <w:rPr>
          <w:lang w:val="en-US"/>
        </w:rPr>
      </w:pPr>
      <w:r>
        <w:rPr>
          <w:lang w:val="en-US"/>
        </w:rPr>
        <w:t xml:space="preserve">Parents found it difficult to decide on the threshold for consulting a healthcare professional during acute illnesses. As well as looking for clinical cues, they also reported social norms and </w:t>
      </w:r>
      <w:r>
        <w:rPr>
          <w:lang w:val="en-US"/>
        </w:rPr>
        <w:lastRenderedPageBreak/>
        <w:t xml:space="preserve">practicalities as barriers to consulting. These included, “not wanting to waste the doctor’s time” or being seen as a “paranoid mother” and difficulties making GP appointments. </w:t>
      </w:r>
    </w:p>
    <w:p w14:paraId="020D0A19" w14:textId="77777777" w:rsidR="00386247" w:rsidRDefault="00386247" w:rsidP="00386247">
      <w:pPr>
        <w:spacing w:line="360" w:lineRule="auto"/>
        <w:rPr>
          <w:lang w:val="en-US"/>
        </w:rPr>
      </w:pPr>
      <w:r>
        <w:rPr>
          <w:lang w:val="en-US"/>
        </w:rPr>
        <w:t>The perceived severity of their child’s illness and susceptibility did not always correspond to that of the healthcare professional or underlying diagnosis. Parents of two children with bronchiectasis had higher thresholds for seeking medical attention and isolated their children less, despite having a more severe underlying diagnosis. [Table 3, 3.2]</w:t>
      </w:r>
    </w:p>
    <w:p w14:paraId="49490100" w14:textId="77777777" w:rsidR="00386247" w:rsidRDefault="00386247" w:rsidP="00386247">
      <w:pPr>
        <w:spacing w:line="360" w:lineRule="auto"/>
        <w:rPr>
          <w:lang w:val="en-US"/>
        </w:rPr>
      </w:pPr>
      <w:r>
        <w:rPr>
          <w:lang w:val="en-US"/>
        </w:rPr>
        <w:t>Parents’ understanding of science, relating to antibiotics and infections, plays a role in determining their expectations for antibiotic prescribing during acute respiratory illnesses. All parents knew antibiotics should not be used for common colds. Despite some knowing viruses caused the common cold, the term “infection” was often misinterpreted as being severe and requiring antibiotics. Confusion arose when they were told their child had a virus but were given antibiotics for the “viral infection”.  This reinforced the severity of the situation and started a cycle of expectations for future antibiotic courses. [Table 3, 3.3]</w:t>
      </w:r>
    </w:p>
    <w:p w14:paraId="10B84561" w14:textId="77777777" w:rsidR="00386247" w:rsidRDefault="00386247" w:rsidP="00386247">
      <w:pPr>
        <w:spacing w:line="360" w:lineRule="auto"/>
        <w:rPr>
          <w:b/>
          <w:sz w:val="22"/>
          <w:szCs w:val="22"/>
          <w:lang w:val="en-US"/>
        </w:rPr>
      </w:pPr>
      <w:r>
        <w:rPr>
          <w:b/>
          <w:sz w:val="40"/>
          <w:szCs w:val="40"/>
          <w:lang w:val="en-US"/>
        </w:rPr>
        <w:t xml:space="preserve">Discussion </w:t>
      </w:r>
    </w:p>
    <w:p w14:paraId="084A65B2" w14:textId="77777777" w:rsidR="00386247" w:rsidRDefault="00386247" w:rsidP="00386247">
      <w:pPr>
        <w:spacing w:line="360" w:lineRule="auto"/>
        <w:rPr>
          <w:lang w:val="en-US"/>
        </w:rPr>
      </w:pPr>
      <w:r>
        <w:rPr>
          <w:lang w:val="en-US"/>
        </w:rPr>
        <w:t xml:space="preserve">The overriding factor influencing parental decisions about the uptake of antibiotic prophylaxis, is wanting their child to be well now. The main concern voiced by most parents is that of antibiotic resistance, but this is seen as a problem for the future, not the present. </w:t>
      </w:r>
    </w:p>
    <w:p w14:paraId="292C0DC5" w14:textId="77777777" w:rsidR="00386247" w:rsidRDefault="00386247" w:rsidP="00386247">
      <w:pPr>
        <w:spacing w:line="360" w:lineRule="auto"/>
        <w:rPr>
          <w:b/>
          <w:lang w:val="en-US"/>
        </w:rPr>
      </w:pPr>
      <w:r>
        <w:rPr>
          <w:lang w:val="en-US"/>
        </w:rPr>
        <w:t xml:space="preserve">Based on our findings, we propose a </w:t>
      </w:r>
      <w:proofErr w:type="spellStart"/>
      <w:r>
        <w:rPr>
          <w:lang w:val="en-US"/>
        </w:rPr>
        <w:t>behavioural</w:t>
      </w:r>
      <w:proofErr w:type="spellEnd"/>
      <w:r>
        <w:rPr>
          <w:lang w:val="en-US"/>
        </w:rPr>
        <w:t xml:space="preserve"> model describing phases parents’ cycle through once their child is prescribed antibiotic prophylaxis. The model illustrates how the key themes inter-relate (See figure 2 for model and explanation). An awareness of this cycle may help clinicians prepare families for prophylaxis, pre-empt potential difficulties and focus on areas to improve the family’s experience.</w:t>
      </w:r>
    </w:p>
    <w:p w14:paraId="1A190993" w14:textId="77777777" w:rsidR="00386247" w:rsidRDefault="00386247" w:rsidP="00386247">
      <w:pPr>
        <w:spacing w:line="360" w:lineRule="auto"/>
        <w:rPr>
          <w:lang w:val="en-US"/>
        </w:rPr>
      </w:pPr>
    </w:p>
    <w:p w14:paraId="4D90F90F" w14:textId="77777777" w:rsidR="00386247" w:rsidRDefault="00386247" w:rsidP="00386247">
      <w:pPr>
        <w:spacing w:line="360" w:lineRule="auto"/>
        <w:rPr>
          <w:lang w:val="en-US"/>
        </w:rPr>
      </w:pPr>
    </w:p>
    <w:p w14:paraId="4DAF982E" w14:textId="178C2579" w:rsidR="00386247" w:rsidRDefault="00386247" w:rsidP="00386247">
      <w:pPr>
        <w:spacing w:line="360" w:lineRule="auto"/>
        <w:rPr>
          <w:lang w:val="en-US"/>
        </w:rPr>
      </w:pPr>
      <w:r>
        <w:rPr>
          <w:noProof/>
          <w:lang w:val="en-US"/>
        </w:rPr>
        <w:lastRenderedPageBreak/>
        <w:drawing>
          <wp:inline distT="0" distB="0" distL="0" distR="0" wp14:anchorId="4380B252" wp14:editId="59AE875F">
            <wp:extent cx="5819775" cy="8229600"/>
            <wp:effectExtent l="0" t="0" r="9525"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646DED7B" w14:textId="53DF20E9" w:rsidR="00386247" w:rsidRDefault="00386247" w:rsidP="00386247">
      <w:pPr>
        <w:spacing w:line="360" w:lineRule="auto"/>
        <w:rPr>
          <w:b/>
          <w:sz w:val="28"/>
          <w:szCs w:val="28"/>
          <w:lang w:val="en-US"/>
        </w:rPr>
      </w:pPr>
      <w:r>
        <w:rPr>
          <w:lang w:val="en-US"/>
        </w:rPr>
        <w:lastRenderedPageBreak/>
        <w:t xml:space="preserve">Parents have the responsibility of making medical decisions on behalf of their children. Those parents  actively participating in decisions have feelings of security and control over the situation and are more convinced the treatment prescribed is correct </w:t>
      </w:r>
      <w:r>
        <w:rPr>
          <w:lang w:val="en-US"/>
        </w:rPr>
        <w:fldChar w:fldCharType="begin"/>
      </w:r>
      <w:r w:rsidR="00250C95">
        <w:rPr>
          <w:lang w:val="en-US"/>
        </w:rPr>
        <w:instrText xml:space="preserve"> ADDIN EN.CITE &lt;EndNote&gt;&lt;Cite&gt;&lt;Author&gt;Boland&lt;/Author&gt;&lt;Year&gt;2017&lt;/Year&gt;&lt;RecNum&gt;140&lt;/RecNum&gt;&lt;DisplayText&gt;(Boland et al., 2017)&lt;/DisplayText&gt;&lt;record&gt;&lt;rec-number&gt;140&lt;/rec-number&gt;&lt;foreign-keys&gt;&lt;key app="EN" db-id="z50rresss5e5vfe0s2qpewtuxsprsrse5fff" timestamp="1580122070"&gt;140&lt;/key&gt;&lt;/foreign-keys&gt;&lt;ref-type name="Journal Article"&gt;17&lt;/ref-type&gt;&lt;contributors&gt;&lt;authors&gt;&lt;author&gt;Boland, Laura&lt;/author&gt;&lt;author&gt;Kryworuchko, Jennifer&lt;/author&gt;&lt;author&gt;Saarimaki, Anton&lt;/author&gt;&lt;author&gt;Lawson, Margaret L.&lt;/author&gt;&lt;/authors&gt;&lt;/contributors&gt;&lt;titles&gt;&lt;title&gt;Parental decision making involvement and decisional conflict: a descriptive study&lt;/title&gt;&lt;secondary-title&gt;BMC Pediatrics&lt;/secondary-title&gt;&lt;/titles&gt;&lt;periodical&gt;&lt;full-title&gt;BMC pediatrics&lt;/full-title&gt;&lt;abbr-1&gt;BMC Pediatr&lt;/abbr-1&gt;&lt;/periodical&gt;&lt;pages&gt;146&lt;/pages&gt;&lt;volume&gt;17&lt;/volume&gt;&lt;number&gt;1&lt;/number&gt;&lt;dates&gt;&lt;year&gt;2017&lt;/year&gt;&lt;pub-dates&gt;&lt;date&gt;2017/06/13&lt;/date&gt;&lt;/pub-dates&gt;&lt;/dates&gt;&lt;isbn&gt;1471-2431&lt;/isbn&gt;&lt;urls&gt;&lt;related-urls&gt;&lt;url&gt;https://doi.org/10.1186/s12887-017-0899-4&lt;/url&gt;&lt;/related-urls&gt;&lt;/urls&gt;&lt;electronic-resource-num&gt;10.1186/s12887-017-0899-4&lt;/electronic-resource-num&gt;&lt;/record&gt;&lt;/Cite&gt;&lt;/EndNote&gt;</w:instrText>
      </w:r>
      <w:r>
        <w:rPr>
          <w:lang w:val="en-US"/>
        </w:rPr>
        <w:fldChar w:fldCharType="separate"/>
      </w:r>
      <w:r w:rsidR="00250C95">
        <w:rPr>
          <w:noProof/>
          <w:lang w:val="en-US"/>
        </w:rPr>
        <w:t>(Boland et al., 2017)</w:t>
      </w:r>
      <w:r>
        <w:rPr>
          <w:lang w:val="en-US"/>
        </w:rPr>
        <w:fldChar w:fldCharType="end"/>
      </w:r>
      <w:r>
        <w:rPr>
          <w:lang w:val="en-US"/>
        </w:rPr>
        <w:t xml:space="preserve">. In comparison, those passively taking part are reported to have post-consultation decisional conflict and feel powerless and insecure </w:t>
      </w:r>
      <w:r>
        <w:rPr>
          <w:lang w:val="en-US"/>
        </w:rPr>
        <w:fldChar w:fldCharType="begin"/>
      </w:r>
      <w:r w:rsidR="00250C95">
        <w:rPr>
          <w:lang w:val="en-US"/>
        </w:rPr>
        <w:instrText xml:space="preserve"> ADDIN EN.CITE &lt;EndNote&gt;&lt;Cite&gt;&lt;Author&gt;Boland&lt;/Author&gt;&lt;Year&gt;2017&lt;/Year&gt;&lt;RecNum&gt;140&lt;/RecNum&gt;&lt;DisplayText&gt;(Boland et al., 2017)&lt;/DisplayText&gt;&lt;record&gt;&lt;rec-number&gt;140&lt;/rec-number&gt;&lt;foreign-keys&gt;&lt;key app="EN" db-id="z50rresss5e5vfe0s2qpewtuxsprsrse5fff" timestamp="1580122070"&gt;140&lt;/key&gt;&lt;/foreign-keys&gt;&lt;ref-type name="Journal Article"&gt;17&lt;/ref-type&gt;&lt;contributors&gt;&lt;authors&gt;&lt;author&gt;Boland, Laura&lt;/author&gt;&lt;author&gt;Kryworuchko, Jennifer&lt;/author&gt;&lt;author&gt;Saarimaki, Anton&lt;/author&gt;&lt;author&gt;Lawson, Margaret L.&lt;/author&gt;&lt;/authors&gt;&lt;/contributors&gt;&lt;titles&gt;&lt;title&gt;Parental decision making involvement and decisional conflict: a descriptive study&lt;/title&gt;&lt;secondary-title&gt;BMC Pediatrics&lt;/secondary-title&gt;&lt;/titles&gt;&lt;periodical&gt;&lt;full-title&gt;BMC pediatrics&lt;/full-title&gt;&lt;abbr-1&gt;BMC Pediatr&lt;/abbr-1&gt;&lt;/periodical&gt;&lt;pages&gt;146&lt;/pages&gt;&lt;volume&gt;17&lt;/volume&gt;&lt;number&gt;1&lt;/number&gt;&lt;dates&gt;&lt;year&gt;2017&lt;/year&gt;&lt;pub-dates&gt;&lt;date&gt;2017/06/13&lt;/date&gt;&lt;/pub-dates&gt;&lt;/dates&gt;&lt;isbn&gt;1471-2431&lt;/isbn&gt;&lt;urls&gt;&lt;related-urls&gt;&lt;url&gt;https://doi.org/10.1186/s12887-017-0899-4&lt;/url&gt;&lt;/related-urls&gt;&lt;/urls&gt;&lt;electronic-resource-num&gt;10.1186/s12887-017-0899-4&lt;/electronic-resource-num&gt;&lt;/record&gt;&lt;/Cite&gt;&lt;/EndNote&gt;</w:instrText>
      </w:r>
      <w:r>
        <w:rPr>
          <w:lang w:val="en-US"/>
        </w:rPr>
        <w:fldChar w:fldCharType="separate"/>
      </w:r>
      <w:r w:rsidR="00250C95">
        <w:rPr>
          <w:noProof/>
          <w:lang w:val="en-US"/>
        </w:rPr>
        <w:t>(Boland et al., 2017)</w:t>
      </w:r>
      <w:r>
        <w:rPr>
          <w:lang w:val="en-US"/>
        </w:rPr>
        <w:fldChar w:fldCharType="end"/>
      </w:r>
      <w:r>
        <w:rPr>
          <w:lang w:val="en-US"/>
        </w:rPr>
        <w:t xml:space="preserve">. Parents may not always want to be actively involved in decisions. Their desire to be involved may change with time, knowledge, the gravity of the decision and their emotional response </w:t>
      </w:r>
      <w:r>
        <w:rPr>
          <w:lang w:val="en-US"/>
        </w:rPr>
        <w:fldChar w:fldCharType="begin"/>
      </w:r>
      <w:r w:rsidR="00250C95">
        <w:rPr>
          <w:lang w:val="en-US"/>
        </w:rPr>
        <w:instrText xml:space="preserve"> ADDIN EN.CITE &lt;EndNote&gt;&lt;Cite&gt;&lt;Author&gt;Aarthun&lt;/Author&gt;&lt;Year&gt;2014&lt;/Year&gt;&lt;RecNum&gt;298&lt;/RecNum&gt;&lt;DisplayText&gt;(Aarthun et al., 2014)&lt;/DisplayText&gt;&lt;record&gt;&lt;rec-number&gt;298&lt;/rec-number&gt;&lt;foreign-keys&gt;&lt;key app="EN" db-id="pr9rwt2w8padxcerwx6prd0a9wtda2w5fw2t" timestamp="1629731697"&gt;298&lt;/key&gt;&lt;/foreign-keys&gt;&lt;ref-type name="Journal Article"&gt;17&lt;/ref-type&gt;&lt;contributors&gt;&lt;authors&gt;&lt;author&gt;Aarthun, A.&lt;/author&gt;&lt;author&gt;Akerjordet, K.&lt;/author&gt;&lt;/authors&gt;&lt;/contributors&gt;&lt;auth-address&gt;Department of Therapy, Stavanger University Hospital, Stavanger, Norway.&lt;/auth-address&gt;&lt;titles&gt;&lt;title&gt;Parent participation in decision-making in health-care services for children: an integrative review&lt;/title&gt;&lt;secondary-title&gt;J Nurs Manag&lt;/secondary-title&gt;&lt;/titles&gt;&lt;periodical&gt;&lt;full-title&gt;J Nurs Manag&lt;/full-title&gt;&lt;/periodical&gt;&lt;pages&gt;177-91&lt;/pages&gt;&lt;volume&gt;22&lt;/volume&gt;&lt;number&gt;2&lt;/number&gt;&lt;edition&gt;2013/02/15&lt;/edition&gt;&lt;keywords&gt;&lt;keyword&gt;Attitude to Health&lt;/keyword&gt;&lt;keyword&gt;*Decision Making&lt;/keyword&gt;&lt;keyword&gt;Humans&lt;/keyword&gt;&lt;keyword&gt;*Parents&lt;/keyword&gt;&lt;keyword&gt;*Patient Participation/psychology&lt;/keyword&gt;&lt;keyword&gt;Pediatric Nursing&lt;/keyword&gt;&lt;keyword&gt;*Professional-Family Relations&lt;/keyword&gt;&lt;keyword&gt;decision-making&lt;/keyword&gt;&lt;keyword&gt;health-care services&lt;/keyword&gt;&lt;keyword&gt;parent participation&lt;/keyword&gt;&lt;keyword&gt;parent-health professional relationship&lt;/keyword&gt;&lt;keyword&gt;review&lt;/keyword&gt;&lt;/keywords&gt;&lt;dates&gt;&lt;year&gt;2014&lt;/year&gt;&lt;pub-dates&gt;&lt;date&gt;Mar&lt;/date&gt;&lt;/pub-dates&gt;&lt;/dates&gt;&lt;isbn&gt;0966-0429&lt;/isbn&gt;&lt;accession-num&gt;23406447&lt;/accession-num&gt;&lt;urls&gt;&lt;/urls&gt;&lt;electronic-resource-num&gt;10.1111/j.1365-2834.2012.01457.x&lt;/electronic-resource-num&gt;&lt;remote-database-provider&gt;NLM&lt;/remote-database-provider&gt;&lt;language&gt;eng&lt;/language&gt;&lt;/record&gt;&lt;/Cite&gt;&lt;/EndNote&gt;</w:instrText>
      </w:r>
      <w:r>
        <w:rPr>
          <w:lang w:val="en-US"/>
        </w:rPr>
        <w:fldChar w:fldCharType="separate"/>
      </w:r>
      <w:r w:rsidR="00250C95">
        <w:rPr>
          <w:noProof/>
          <w:lang w:val="en-US"/>
        </w:rPr>
        <w:t>(Aarthun et al., 2014)</w:t>
      </w:r>
      <w:r>
        <w:rPr>
          <w:lang w:val="en-US"/>
        </w:rPr>
        <w:fldChar w:fldCharType="end"/>
      </w:r>
      <w:r>
        <w:rPr>
          <w:lang w:val="en-US"/>
        </w:rPr>
        <w:t xml:space="preserve">. Those parents, supported by health care professionals, who acknowledge the importance of the parents’ contributions, have a positive experience and are more likely to become involved in future decisions </w:t>
      </w:r>
      <w:r>
        <w:rPr>
          <w:lang w:val="en-US"/>
        </w:rPr>
        <w:fldChar w:fldCharType="begin"/>
      </w:r>
      <w:r w:rsidR="00250C95">
        <w:rPr>
          <w:lang w:val="en-US"/>
        </w:rPr>
        <w:instrText xml:space="preserve"> ADDIN EN.CITE &lt;EndNote&gt;&lt;Cite&gt;&lt;Author&gt;Aarthun&lt;/Author&gt;&lt;Year&gt;2018&lt;/Year&gt;&lt;RecNum&gt;270&lt;/RecNum&gt;&lt;DisplayText&gt;(Aarthun et al., 2018)&lt;/DisplayText&gt;&lt;record&gt;&lt;rec-number&gt;270&lt;/rec-number&gt;&lt;foreign-keys&gt;&lt;key app="EN" db-id="pr9rwt2w8padxcerwx6prd0a9wtda2w5fw2t" timestamp="1629731697"&gt;270&lt;/key&gt;&lt;/foreign-keys&gt;&lt;ref-type name="Journal Article"&gt;17&lt;/ref-type&gt;&lt;contributors&gt;&lt;authors&gt;&lt;author&gt;Aarthun, Antje&lt;/author&gt;&lt;author&gt;Øymar, Knut A.&lt;/author&gt;&lt;author&gt;Akerjordet, Kristin&lt;/author&gt;&lt;/authors&gt;&lt;/contributors&gt;&lt;titles&gt;&lt;title&gt;Parental involvement in decision-making about their child&amp;apos;s health care at the hospital&lt;/title&gt;&lt;secondary-title&gt;Nursing open&lt;/secondary-title&gt;&lt;alt-title&gt;Nurs Open&lt;/alt-title&gt;&lt;/titles&gt;&lt;periodical&gt;&lt;full-title&gt;Nursing open&lt;/full-title&gt;&lt;abbr-1&gt;Nurs Open&lt;/abbr-1&gt;&lt;/periodical&gt;&lt;alt-periodical&gt;&lt;full-title&gt;Nursing open&lt;/full-title&gt;&lt;abbr-1&gt;Nurs Open&lt;/abbr-1&gt;&lt;/alt-periodical&gt;&lt;pages&gt;50-58&lt;/pages&gt;&lt;volume&gt;6&lt;/volume&gt;&lt;number&gt;1&lt;/number&gt;&lt;keywords&gt;&lt;keyword&gt;coping&lt;/keyword&gt;&lt;keyword&gt;decision‐making&lt;/keyword&gt;&lt;keyword&gt;health promotion&lt;/keyword&gt;&lt;keyword&gt;paediatric&lt;/keyword&gt;&lt;keyword&gt;parent involvement&lt;/keyword&gt;&lt;keyword&gt;parent role&lt;/keyword&gt;&lt;/keywords&gt;&lt;dates&gt;&lt;year&gt;2018&lt;/year&gt;&lt;/dates&gt;&lt;publisher&gt;John Wiley and Sons Inc.&lt;/publisher&gt;&lt;isbn&gt;2054-1058&lt;/isbn&gt;&lt;accession-num&gt;30534394&lt;/accession-num&gt;&lt;urls&gt;&lt;related-urls&gt;&lt;url&gt;https://www.ncbi.nlm.nih.gov/pubmed/30534394&lt;/url&gt;&lt;url&gt;https://www.ncbi.nlm.nih.gov/pmc/articles/PMC6279730/&lt;/url&gt;&lt;/related-urls&gt;&lt;/urls&gt;&lt;electronic-resource-num&gt;10.1002/nop2.180&lt;/electronic-resource-num&gt;&lt;remote-database-name&gt;PubMed&lt;/remote-database-name&gt;&lt;language&gt;eng&lt;/language&gt;&lt;/record&gt;&lt;/Cite&gt;&lt;/EndNote&gt;</w:instrText>
      </w:r>
      <w:r>
        <w:rPr>
          <w:lang w:val="en-US"/>
        </w:rPr>
        <w:fldChar w:fldCharType="separate"/>
      </w:r>
      <w:r w:rsidR="00250C95">
        <w:rPr>
          <w:noProof/>
          <w:lang w:val="en-US"/>
        </w:rPr>
        <w:t>(Aarthun et al., 2018)</w:t>
      </w:r>
      <w:r>
        <w:rPr>
          <w:lang w:val="en-US"/>
        </w:rPr>
        <w:fldChar w:fldCharType="end"/>
      </w:r>
      <w:r>
        <w:rPr>
          <w:lang w:val="en-US"/>
        </w:rPr>
        <w:t>.</w:t>
      </w:r>
      <w:r>
        <w:rPr>
          <w:b/>
          <w:sz w:val="28"/>
          <w:szCs w:val="28"/>
          <w:lang w:val="en-US"/>
        </w:rPr>
        <w:tab/>
      </w:r>
    </w:p>
    <w:p w14:paraId="683C808A" w14:textId="77777777" w:rsidR="00386247" w:rsidRDefault="00386247" w:rsidP="00386247">
      <w:pPr>
        <w:spacing w:line="360" w:lineRule="auto"/>
        <w:rPr>
          <w:lang w:val="en-US"/>
        </w:rPr>
      </w:pPr>
      <w:r>
        <w:rPr>
          <w:lang w:val="en-US"/>
        </w:rPr>
        <w:t xml:space="preserve">From our study, clinicians should be mindful of passive parents with unvoiced concerns when making decision regarding prophylaxis. Breaking down potential barriers that dissuade parents’ participation may help a transition to more active involvement. This includes acknowledging parents as experts in their own right, irrespective of heath literacy, focusing eye contact on parents rather than computer screens, providing adequate information and addressing social norms. </w:t>
      </w:r>
    </w:p>
    <w:p w14:paraId="741C2DCF" w14:textId="77777777" w:rsidR="00386247" w:rsidRDefault="00386247" w:rsidP="00386247">
      <w:pPr>
        <w:spacing w:line="360" w:lineRule="auto"/>
        <w:rPr>
          <w:lang w:val="en-US"/>
        </w:rPr>
      </w:pPr>
      <w:r>
        <w:rPr>
          <w:lang w:val="en-US"/>
        </w:rPr>
        <w:t>Parental understanding significantly impacts on decision making about their child’s health [17]. It is suggested that clearer explanations about antibiotic indications in terms of signs and symptoms and clarification of the severity of bacterial and viral infections would help reduce misconceptions about when antibiotics are required or not [16]. Our finding of a parental misconception of the word “infection” corroborates this literature.</w:t>
      </w:r>
    </w:p>
    <w:p w14:paraId="78164BD1" w14:textId="77777777" w:rsidR="00386247" w:rsidRDefault="00386247" w:rsidP="00386247">
      <w:pPr>
        <w:spacing w:line="360" w:lineRule="auto"/>
        <w:rPr>
          <w:lang w:val="en-US"/>
        </w:rPr>
      </w:pPr>
      <w:r>
        <w:rPr>
          <w:lang w:val="en-US"/>
        </w:rPr>
        <w:t>Our study echoes findings previously reported of ongoing misconceptions relating to resistance, i.e. the body rather than the pathogen becoming resistant [14, 15], and confusion between viral and bacterial infections and hence the need for antibiotics [15, 16]. Previous reports suggest parents perceiving their children as low antibiotic users do not see antibiotic resistance as an issue for their children [16]. However, parents in our cohort see their children as high users of antibiotics, who are at risk of resistance (albeit in the future) and weighed this factor when making decisions about prophylaxis. This was not reported in the only previous study looking at perceptions of parents on an oncology unit [10] and is a novel observation.</w:t>
      </w:r>
    </w:p>
    <w:p w14:paraId="0A67873E" w14:textId="77777777" w:rsidR="00386247" w:rsidRDefault="00386247" w:rsidP="00386247">
      <w:pPr>
        <w:spacing w:line="360" w:lineRule="auto"/>
        <w:rPr>
          <w:lang w:val="en-US"/>
        </w:rPr>
      </w:pPr>
      <w:r>
        <w:rPr>
          <w:lang w:val="en-US"/>
        </w:rPr>
        <w:t xml:space="preserve">Ensuring parents are prepared for prophylaxis is important. This requires that practical aspects of medication are covered and ways of medication </w:t>
      </w:r>
      <w:proofErr w:type="spellStart"/>
      <w:r>
        <w:rPr>
          <w:lang w:val="en-US"/>
        </w:rPr>
        <w:t>normalisation</w:t>
      </w:r>
      <w:proofErr w:type="spellEnd"/>
      <w:r>
        <w:rPr>
          <w:lang w:val="en-US"/>
        </w:rPr>
        <w:t xml:space="preserve"> are discussed. The aims are to </w:t>
      </w:r>
      <w:r>
        <w:rPr>
          <w:lang w:val="en-US"/>
        </w:rPr>
        <w:lastRenderedPageBreak/>
        <w:t xml:space="preserve">facilitate adherence, acceptance and reduce anxiety. Unintentional effects of prophylaxis should be considered. Paradoxically, parental anxiety may increase with prophylaxis promoting a sense of susceptibility to infections resulting in childhood activities being further restricted. Preparatory counseling could be undertaken by a variety of health care professional including pharmacists. </w:t>
      </w:r>
    </w:p>
    <w:p w14:paraId="40BC01CE" w14:textId="77777777" w:rsidR="00386247" w:rsidRDefault="00386247" w:rsidP="00386247">
      <w:pPr>
        <w:spacing w:line="360" w:lineRule="auto"/>
        <w:rPr>
          <w:lang w:val="en-US"/>
        </w:rPr>
      </w:pPr>
      <w:r>
        <w:rPr>
          <w:lang w:val="en-US"/>
        </w:rPr>
        <w:t>Treatment adherence is challenging and a complex balancing act between competing concerns including parental beliefs, child resistance, preserving family relationships and promoting “normal life” for the family [17]. Remembering to administer medication was reported to be one of the biggest challenges [18] which was re-iterated in our cohort of parents.</w:t>
      </w:r>
    </w:p>
    <w:p w14:paraId="079E2317" w14:textId="77777777" w:rsidR="00386247" w:rsidRDefault="00386247" w:rsidP="00386247">
      <w:pPr>
        <w:spacing w:line="360" w:lineRule="auto"/>
        <w:rPr>
          <w:b/>
          <w:lang w:val="en-US"/>
        </w:rPr>
      </w:pPr>
      <w:r>
        <w:rPr>
          <w:lang w:val="en-US"/>
        </w:rPr>
        <w:t xml:space="preserve">Discussing thresholds for seeking medical assessment during acute illnesses is helpful. It enables parents to feel they are seeking assessment at appropriate times, alleviates anxieties and through good communication with general practitioners, raises awareness of suggested management plans. This in turn may break a cycle of expectations for future antibiotics. </w:t>
      </w:r>
    </w:p>
    <w:p w14:paraId="58B4E85E" w14:textId="77777777" w:rsidR="00386247" w:rsidRDefault="00386247" w:rsidP="00386247">
      <w:pPr>
        <w:spacing w:line="360" w:lineRule="auto"/>
        <w:rPr>
          <w:iCs/>
          <w:color w:val="000000" w:themeColor="text1"/>
          <w:lang w:val="en-US"/>
        </w:rPr>
      </w:pPr>
      <w:r>
        <w:rPr>
          <w:lang w:val="en-US"/>
        </w:rPr>
        <w:t xml:space="preserve">Our study has limitations. The cohort of parents interviewed does not fully represent the diversity of families seen at SCH. Only three male parents and one non-white British family were interviewed. Non-English speaking parents were excluded as interpreters could not be funded. Further research is needed to explore the ethnic and cultural dimensions that may influence parents’ experiences. The parents interviewed may be a self-selecting group, choosing to participate in order to voice concerns or opinions. </w:t>
      </w:r>
      <w:r>
        <w:rPr>
          <w:iCs/>
          <w:color w:val="000000" w:themeColor="text1"/>
          <w:lang w:val="en-US"/>
        </w:rPr>
        <w:t xml:space="preserve">Parents who did not participate may potentially be different and have other diverse experiences. The interviewer was a </w:t>
      </w:r>
      <w:proofErr w:type="spellStart"/>
      <w:r>
        <w:rPr>
          <w:iCs/>
          <w:color w:val="000000" w:themeColor="text1"/>
          <w:lang w:val="en-US"/>
        </w:rPr>
        <w:t>paediatric</w:t>
      </w:r>
      <w:proofErr w:type="spellEnd"/>
      <w:r>
        <w:rPr>
          <w:iCs/>
          <w:color w:val="000000" w:themeColor="text1"/>
          <w:lang w:val="en-US"/>
        </w:rPr>
        <w:t xml:space="preserve"> registrar whose medical outlook may have biased the questions asked and interpretation of the parents’ comments. Finally, the proposed model is based on prophylaxis to prevent respiratory tract infections and may not be </w:t>
      </w:r>
      <w:proofErr w:type="spellStart"/>
      <w:r>
        <w:rPr>
          <w:iCs/>
          <w:color w:val="000000" w:themeColor="text1"/>
          <w:lang w:val="en-US"/>
        </w:rPr>
        <w:t>generalisable</w:t>
      </w:r>
      <w:proofErr w:type="spellEnd"/>
      <w:r>
        <w:rPr>
          <w:iCs/>
          <w:color w:val="000000" w:themeColor="text1"/>
          <w:lang w:val="en-US"/>
        </w:rPr>
        <w:t xml:space="preserve"> to other indications of antibiotic prophylaxis. The parental experience may differ where antibiotics are prescribed with multiple other medications, for example, as occurs in patients with cystic fibrosis.</w:t>
      </w:r>
    </w:p>
    <w:p w14:paraId="2F435523" w14:textId="77777777" w:rsidR="00386247" w:rsidRDefault="00386247" w:rsidP="00386247">
      <w:pPr>
        <w:spacing w:line="360" w:lineRule="auto"/>
        <w:rPr>
          <w:lang w:val="en-US"/>
        </w:rPr>
      </w:pPr>
    </w:p>
    <w:p w14:paraId="4525E446" w14:textId="77777777" w:rsidR="00386247" w:rsidRDefault="00386247" w:rsidP="00386247">
      <w:pPr>
        <w:spacing w:line="360" w:lineRule="auto"/>
        <w:rPr>
          <w:b/>
          <w:sz w:val="28"/>
          <w:szCs w:val="28"/>
          <w:lang w:val="en-US"/>
        </w:rPr>
      </w:pPr>
      <w:r>
        <w:rPr>
          <w:b/>
          <w:sz w:val="28"/>
          <w:szCs w:val="28"/>
          <w:lang w:val="en-US"/>
        </w:rPr>
        <w:t xml:space="preserve">Conclusion </w:t>
      </w:r>
    </w:p>
    <w:p w14:paraId="59B332FC" w14:textId="77777777" w:rsidR="00386247" w:rsidRDefault="00386247" w:rsidP="00386247">
      <w:pPr>
        <w:spacing w:line="360" w:lineRule="auto"/>
        <w:rPr>
          <w:lang w:val="en-US"/>
        </w:rPr>
      </w:pPr>
      <w:r>
        <w:rPr>
          <w:lang w:val="en-US"/>
        </w:rPr>
        <w:t xml:space="preserve">It is not sufficient for clinicians to prescribe prophylactic antibiotics with the expectation that parents will adhere. This “current” approach does not take into account the complex interplay between health, psychology and </w:t>
      </w:r>
      <w:proofErr w:type="spellStart"/>
      <w:r>
        <w:rPr>
          <w:lang w:val="en-US"/>
        </w:rPr>
        <w:t>behaviour</w:t>
      </w:r>
      <w:proofErr w:type="spellEnd"/>
      <w:r>
        <w:rPr>
          <w:lang w:val="en-US"/>
        </w:rPr>
        <w:t xml:space="preserve">. We need to address the parental experience holistically when prescribing long term antibiotic prophylaxis by preparing families and breaking </w:t>
      </w:r>
      <w:r>
        <w:rPr>
          <w:lang w:val="en-US"/>
        </w:rPr>
        <w:lastRenderedPageBreak/>
        <w:t>down barriers that may prevent their active involvement in consultations. Time and effort invested in this we believe, would facilitate antibiotic adherence, reduce anxieties and improve relationships between parents and medical professionals.</w:t>
      </w:r>
    </w:p>
    <w:p w14:paraId="4AB7DA6B" w14:textId="77777777" w:rsidR="00386247" w:rsidRDefault="00386247" w:rsidP="00386247">
      <w:pPr>
        <w:spacing w:line="360" w:lineRule="auto"/>
        <w:rPr>
          <w:lang w:val="en-US"/>
        </w:rPr>
      </w:pPr>
    </w:p>
    <w:p w14:paraId="0A4311CB" w14:textId="77777777" w:rsidR="00386247" w:rsidRDefault="00386247" w:rsidP="00386247">
      <w:pPr>
        <w:spacing w:line="360" w:lineRule="auto"/>
        <w:rPr>
          <w:lang w:val="en-US"/>
        </w:rPr>
      </w:pPr>
    </w:p>
    <w:p w14:paraId="4A0E40D5" w14:textId="77777777" w:rsidR="00386247" w:rsidRDefault="00386247" w:rsidP="00386247">
      <w:pPr>
        <w:spacing w:line="360" w:lineRule="auto"/>
        <w:rPr>
          <w:b/>
          <w:bCs/>
          <w:lang w:val="en-US"/>
        </w:rPr>
      </w:pPr>
      <w:r>
        <w:rPr>
          <w:b/>
          <w:bCs/>
          <w:lang w:val="en-US"/>
        </w:rPr>
        <w:t>Acknowledgements</w:t>
      </w:r>
    </w:p>
    <w:p w14:paraId="1FDA0C0A" w14:textId="77777777" w:rsidR="00386247" w:rsidRDefault="00386247" w:rsidP="00386247">
      <w:pPr>
        <w:spacing w:line="360" w:lineRule="auto"/>
        <w:rPr>
          <w:lang w:val="en-US"/>
        </w:rPr>
      </w:pPr>
      <w:r>
        <w:rPr>
          <w:lang w:val="en-US"/>
        </w:rPr>
        <w:t xml:space="preserve">We acknowledge the parents and careers who took part in the interviews and the specialist nurses who helped with the recruitment process. </w:t>
      </w:r>
    </w:p>
    <w:p w14:paraId="0B0C9B40" w14:textId="77777777" w:rsidR="00386247" w:rsidRDefault="00386247" w:rsidP="00386247">
      <w:pPr>
        <w:spacing w:line="360" w:lineRule="auto"/>
        <w:rPr>
          <w:lang w:val="en-US"/>
        </w:rPr>
      </w:pPr>
    </w:p>
    <w:p w14:paraId="7DACA1E4" w14:textId="77777777" w:rsidR="00386247" w:rsidRDefault="00386247" w:rsidP="00386247">
      <w:pPr>
        <w:spacing w:line="360" w:lineRule="auto"/>
        <w:rPr>
          <w:b/>
          <w:bCs/>
          <w:lang w:val="en-US"/>
        </w:rPr>
      </w:pPr>
      <w:r>
        <w:rPr>
          <w:b/>
          <w:bCs/>
          <w:lang w:val="en-US"/>
        </w:rPr>
        <w:t>Funding Statement</w:t>
      </w:r>
    </w:p>
    <w:p w14:paraId="62CB9825" w14:textId="77777777" w:rsidR="00386247" w:rsidRDefault="00386247" w:rsidP="00386247">
      <w:pPr>
        <w:spacing w:line="360" w:lineRule="auto"/>
        <w:rPr>
          <w:lang w:val="en-US"/>
        </w:rPr>
      </w:pPr>
      <w:r>
        <w:rPr>
          <w:lang w:val="en-US"/>
        </w:rPr>
        <w:t xml:space="preserve">This research was supported by the Bassetlaw clinical research fellowship scheme, post reference no. 50059609, and the charity Antibiotic Research UK, ANTSRG 03/2018. </w:t>
      </w:r>
    </w:p>
    <w:p w14:paraId="3798A812" w14:textId="77777777" w:rsidR="00386247" w:rsidRDefault="00386247" w:rsidP="00386247">
      <w:pPr>
        <w:spacing w:line="360" w:lineRule="auto"/>
        <w:rPr>
          <w:b/>
          <w:bCs/>
          <w:lang w:val="en-US"/>
        </w:rPr>
      </w:pPr>
      <w:r>
        <w:rPr>
          <w:b/>
          <w:bCs/>
          <w:lang w:val="en-US"/>
        </w:rPr>
        <w:t>Contribution Statement</w:t>
      </w:r>
    </w:p>
    <w:p w14:paraId="76749234" w14:textId="77777777" w:rsidR="00386247" w:rsidRDefault="00386247" w:rsidP="00386247">
      <w:pPr>
        <w:spacing w:line="360" w:lineRule="auto"/>
        <w:rPr>
          <w:lang w:val="en-US"/>
        </w:rPr>
      </w:pPr>
      <w:r>
        <w:rPr>
          <w:lang w:val="en-US"/>
        </w:rPr>
        <w:t>FS conceived the idea. All authors contributed to the study design. SH conducted the interviews. AL and SH conducted the initial analysis and developed the framework of themes. AC, FS and KU contributed to the final analysis. SH drafted the manuscript. All authors provided critical feedback and helped shape the manuscript.</w:t>
      </w:r>
      <w:r>
        <w:rPr>
          <w:lang w:val="en-US"/>
        </w:rPr>
        <w:br w:type="page"/>
      </w:r>
    </w:p>
    <w:p w14:paraId="7119C2A8" w14:textId="77777777" w:rsidR="00386247" w:rsidRDefault="00386247" w:rsidP="00386247">
      <w:pPr>
        <w:spacing w:line="360" w:lineRule="auto"/>
        <w:contextualSpacing/>
        <w:rPr>
          <w:b/>
          <w:lang w:val="en-US"/>
        </w:rPr>
      </w:pPr>
      <w:r>
        <w:rPr>
          <w:b/>
          <w:lang w:val="en-US"/>
        </w:rPr>
        <w:lastRenderedPageBreak/>
        <w:t>“What is already known on this topic”</w:t>
      </w:r>
    </w:p>
    <w:p w14:paraId="044DAB49" w14:textId="77777777" w:rsidR="00386247" w:rsidRDefault="00386247" w:rsidP="00386247">
      <w:pPr>
        <w:numPr>
          <w:ilvl w:val="0"/>
          <w:numId w:val="80"/>
        </w:numPr>
        <w:spacing w:line="360" w:lineRule="auto"/>
        <w:contextualSpacing/>
        <w:rPr>
          <w:lang w:val="en-US"/>
        </w:rPr>
      </w:pPr>
      <w:r>
        <w:rPr>
          <w:lang w:val="en-US"/>
        </w:rPr>
        <w:t>Parental knowledge and beliefs have been identified as essential factors to consider when changes in antibiotic prescribing are required.</w:t>
      </w:r>
    </w:p>
    <w:p w14:paraId="32B0B390" w14:textId="77777777" w:rsidR="00386247" w:rsidRDefault="00386247" w:rsidP="00386247">
      <w:pPr>
        <w:numPr>
          <w:ilvl w:val="0"/>
          <w:numId w:val="80"/>
        </w:numPr>
        <w:spacing w:line="360" w:lineRule="auto"/>
        <w:contextualSpacing/>
        <w:rPr>
          <w:lang w:val="en-US"/>
        </w:rPr>
      </w:pPr>
      <w:r>
        <w:rPr>
          <w:lang w:val="en-US"/>
        </w:rPr>
        <w:t xml:space="preserve">Active parent involvement in decision making promotes feelings of security that the correct medication has been prescribed. </w:t>
      </w:r>
    </w:p>
    <w:p w14:paraId="3FE55CF3" w14:textId="77777777" w:rsidR="00386247" w:rsidRDefault="00386247" w:rsidP="00386247">
      <w:pPr>
        <w:numPr>
          <w:ilvl w:val="0"/>
          <w:numId w:val="80"/>
        </w:numPr>
        <w:spacing w:line="360" w:lineRule="auto"/>
        <w:contextualSpacing/>
        <w:rPr>
          <w:lang w:val="en-US"/>
        </w:rPr>
      </w:pPr>
      <w:r>
        <w:rPr>
          <w:lang w:val="en-US"/>
        </w:rPr>
        <w:t>Parents feel that prophylactic antibiotic use is beneficial and are less concerned that antibiotic resistance may directly affect their children.</w:t>
      </w:r>
    </w:p>
    <w:p w14:paraId="5D2BB49C" w14:textId="77777777" w:rsidR="00386247" w:rsidRDefault="00386247" w:rsidP="00386247">
      <w:pPr>
        <w:spacing w:line="360" w:lineRule="auto"/>
        <w:rPr>
          <w:b/>
          <w:lang w:val="en-US"/>
        </w:rPr>
      </w:pPr>
      <w:r>
        <w:rPr>
          <w:b/>
          <w:lang w:val="en-US"/>
        </w:rPr>
        <w:t>“What this study adds”</w:t>
      </w:r>
    </w:p>
    <w:p w14:paraId="70BCB8CF" w14:textId="77777777" w:rsidR="00386247" w:rsidRDefault="00386247" w:rsidP="00386247">
      <w:pPr>
        <w:numPr>
          <w:ilvl w:val="0"/>
          <w:numId w:val="81"/>
        </w:numPr>
        <w:spacing w:line="360" w:lineRule="auto"/>
        <w:contextualSpacing/>
        <w:rPr>
          <w:lang w:val="en-US"/>
        </w:rPr>
      </w:pPr>
      <w:r>
        <w:rPr>
          <w:lang w:val="en-US"/>
        </w:rPr>
        <w:t>Parents feel antibiotic prophylaxis is beneficial but they are concerned about future antibiotic resistance affecting their children and running out of treatment options.</w:t>
      </w:r>
    </w:p>
    <w:p w14:paraId="130ACBDF" w14:textId="77777777" w:rsidR="00386247" w:rsidRDefault="00386247" w:rsidP="00386247">
      <w:pPr>
        <w:numPr>
          <w:ilvl w:val="0"/>
          <w:numId w:val="81"/>
        </w:numPr>
        <w:spacing w:line="360" w:lineRule="auto"/>
        <w:contextualSpacing/>
        <w:rPr>
          <w:lang w:val="en-US"/>
        </w:rPr>
      </w:pPr>
      <w:r>
        <w:rPr>
          <w:lang w:val="en-US"/>
        </w:rPr>
        <w:t xml:space="preserve">Improving preparation for antibiotic prophylaxis may help address issues of adherence, antibiotic resistance and reduce parental anxieties.  </w:t>
      </w:r>
    </w:p>
    <w:p w14:paraId="203BE86E" w14:textId="77777777" w:rsidR="00386247" w:rsidRDefault="00386247" w:rsidP="00386247">
      <w:pPr>
        <w:pStyle w:val="ListParagraph"/>
        <w:numPr>
          <w:ilvl w:val="0"/>
          <w:numId w:val="81"/>
        </w:numPr>
        <w:spacing w:after="0" w:line="360" w:lineRule="auto"/>
        <w:ind w:left="2154" w:hanging="357"/>
        <w:rPr>
          <w:sz w:val="24"/>
          <w:szCs w:val="24"/>
          <w:lang w:val="en-US"/>
        </w:rPr>
      </w:pPr>
      <w:r>
        <w:rPr>
          <w:sz w:val="24"/>
          <w:szCs w:val="24"/>
          <w:lang w:val="en-US"/>
        </w:rPr>
        <w:t xml:space="preserve">A </w:t>
      </w:r>
      <w:proofErr w:type="spellStart"/>
      <w:r>
        <w:rPr>
          <w:sz w:val="24"/>
          <w:szCs w:val="24"/>
          <w:lang w:val="en-US"/>
        </w:rPr>
        <w:t>behavioural</w:t>
      </w:r>
      <w:proofErr w:type="spellEnd"/>
      <w:r>
        <w:rPr>
          <w:sz w:val="24"/>
          <w:szCs w:val="24"/>
          <w:lang w:val="en-US"/>
        </w:rPr>
        <w:t xml:space="preserve"> model reflecting different phases parents go through with regards to antibiotic prophylaxis is proposed that could be used to enhance parental experience. </w:t>
      </w:r>
    </w:p>
    <w:p w14:paraId="35508334" w14:textId="77777777" w:rsidR="00386247" w:rsidRDefault="00386247" w:rsidP="00386247">
      <w:pPr>
        <w:spacing w:line="360" w:lineRule="auto"/>
        <w:rPr>
          <w:lang w:val="en-US"/>
        </w:rPr>
      </w:pPr>
      <w:r>
        <w:rPr>
          <w:lang w:val="en-US"/>
        </w:rPr>
        <w:br w:type="page"/>
      </w:r>
    </w:p>
    <w:p w14:paraId="6CC6210E" w14:textId="77777777" w:rsidR="00386247" w:rsidRDefault="00386247" w:rsidP="00386247">
      <w:pPr>
        <w:spacing w:line="360" w:lineRule="auto"/>
        <w:contextualSpacing/>
        <w:rPr>
          <w:b/>
          <w:sz w:val="28"/>
          <w:szCs w:val="28"/>
          <w:lang w:val="en-US"/>
        </w:rPr>
      </w:pPr>
      <w:r>
        <w:rPr>
          <w:b/>
          <w:sz w:val="28"/>
          <w:szCs w:val="28"/>
          <w:lang w:val="en-US"/>
        </w:rPr>
        <w:lastRenderedPageBreak/>
        <w:t>References:</w:t>
      </w:r>
    </w:p>
    <w:p w14:paraId="07EEF4A6" w14:textId="77777777" w:rsidR="00386247" w:rsidRDefault="00386247" w:rsidP="00386247">
      <w:pPr>
        <w:spacing w:line="360" w:lineRule="auto"/>
        <w:rPr>
          <w:b/>
          <w:sz w:val="28"/>
          <w:szCs w:val="28"/>
          <w:lang w:val="en-US"/>
        </w:rPr>
      </w:pPr>
    </w:p>
    <w:p w14:paraId="752C40C5"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Panel on Opportunistic Infections in HIV-Exposed and HIV-Infected Children. Guidelines for the Prevention and Treatment of Opportunistic Infections in HIV-Exposed and HIV-Infected Children. Department of Health and Human Services. Available at http://aidsinfo.nih.gov/contentfiles/lvguidelines/ oi_guidelines_pediatrics.pdf. Section accessed 01/02/2020</w:t>
      </w:r>
    </w:p>
    <w:p w14:paraId="3DBDB5CF"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Rankine-Mullings AE, Owusu-Ofori S. Prophylactic antibiotics for preventing pneumococcal infection in children with sickle cell disease. </w:t>
      </w:r>
      <w:r>
        <w:rPr>
          <w:bCs/>
          <w:i/>
          <w:iCs/>
          <w:sz w:val="24"/>
          <w:szCs w:val="24"/>
          <w:lang w:val="en-US"/>
        </w:rPr>
        <w:t>Cochrane Database Syst Rev</w:t>
      </w:r>
      <w:r>
        <w:rPr>
          <w:bCs/>
          <w:sz w:val="24"/>
          <w:szCs w:val="24"/>
          <w:lang w:val="en-US"/>
        </w:rPr>
        <w:t>. 2017;10:Cd003427.</w:t>
      </w:r>
    </w:p>
    <w:p w14:paraId="31F4A3F0"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Bush A. Azithromycin is the answer in </w:t>
      </w:r>
      <w:proofErr w:type="spellStart"/>
      <w:r>
        <w:rPr>
          <w:bCs/>
          <w:sz w:val="24"/>
          <w:szCs w:val="24"/>
          <w:lang w:val="en-US"/>
        </w:rPr>
        <w:t>paediatric</w:t>
      </w:r>
      <w:proofErr w:type="spellEnd"/>
      <w:r>
        <w:rPr>
          <w:bCs/>
          <w:sz w:val="24"/>
          <w:szCs w:val="24"/>
          <w:lang w:val="en-US"/>
        </w:rPr>
        <w:t xml:space="preserve"> respiratory medicine, but what was the question? </w:t>
      </w:r>
      <w:proofErr w:type="spellStart"/>
      <w:r>
        <w:rPr>
          <w:bCs/>
          <w:i/>
          <w:iCs/>
          <w:sz w:val="24"/>
          <w:szCs w:val="24"/>
          <w:lang w:val="en-US"/>
        </w:rPr>
        <w:t>Paediat</w:t>
      </w:r>
      <w:proofErr w:type="spellEnd"/>
      <w:r>
        <w:rPr>
          <w:bCs/>
          <w:i/>
          <w:iCs/>
          <w:sz w:val="24"/>
          <w:szCs w:val="24"/>
          <w:lang w:val="en-US"/>
        </w:rPr>
        <w:t xml:space="preserve"> Respir Rev</w:t>
      </w:r>
      <w:r>
        <w:rPr>
          <w:bCs/>
          <w:sz w:val="24"/>
          <w:szCs w:val="24"/>
          <w:lang w:val="en-US"/>
        </w:rPr>
        <w:t>. 2019;S1526-0542(19)30065-X</w:t>
      </w:r>
    </w:p>
    <w:p w14:paraId="1141EA95"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Hill AT, Sullivan AL, Chalmers JD et al. British Thoracic Society Guideline for bronchiectasis in adults. </w:t>
      </w:r>
      <w:r>
        <w:rPr>
          <w:bCs/>
          <w:i/>
          <w:iCs/>
          <w:sz w:val="24"/>
          <w:szCs w:val="24"/>
          <w:lang w:val="en-US"/>
        </w:rPr>
        <w:t>BMJ Open Respir Res</w:t>
      </w:r>
      <w:r>
        <w:rPr>
          <w:bCs/>
          <w:sz w:val="24"/>
          <w:szCs w:val="24"/>
          <w:lang w:val="en-US"/>
        </w:rPr>
        <w:t>. 2018;5:e000348</w:t>
      </w:r>
    </w:p>
    <w:p w14:paraId="28D1190B"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Gilchrist FJ. Protracted bacterial bronchitis. </w:t>
      </w:r>
      <w:proofErr w:type="spellStart"/>
      <w:r>
        <w:rPr>
          <w:bCs/>
          <w:i/>
          <w:iCs/>
          <w:sz w:val="24"/>
          <w:szCs w:val="24"/>
          <w:lang w:val="en-US"/>
        </w:rPr>
        <w:t>Paediatrics</w:t>
      </w:r>
      <w:proofErr w:type="spellEnd"/>
      <w:r>
        <w:rPr>
          <w:bCs/>
          <w:i/>
          <w:iCs/>
          <w:sz w:val="24"/>
          <w:szCs w:val="24"/>
          <w:lang w:val="en-US"/>
        </w:rPr>
        <w:t xml:space="preserve"> and Child Health</w:t>
      </w:r>
      <w:r>
        <w:rPr>
          <w:bCs/>
          <w:sz w:val="24"/>
          <w:szCs w:val="24"/>
          <w:lang w:val="en-US"/>
        </w:rPr>
        <w:t>. 2019;29:158-160</w:t>
      </w:r>
    </w:p>
    <w:p w14:paraId="78BA7656"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Trivedi A. Communicating with parents and involving children in medicines optimization. </w:t>
      </w:r>
      <w:r>
        <w:rPr>
          <w:bCs/>
          <w:i/>
          <w:iCs/>
          <w:sz w:val="24"/>
          <w:szCs w:val="24"/>
          <w:lang w:val="en-US"/>
        </w:rPr>
        <w:t>The pharmaceutical Journal</w:t>
      </w:r>
      <w:r>
        <w:rPr>
          <w:bCs/>
          <w:sz w:val="24"/>
          <w:szCs w:val="24"/>
          <w:lang w:val="en-US"/>
        </w:rPr>
        <w:t>. 2017;299:231-234</w:t>
      </w:r>
    </w:p>
    <w:p w14:paraId="245ABC0D"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Conn KM, </w:t>
      </w:r>
      <w:proofErr w:type="spellStart"/>
      <w:r>
        <w:rPr>
          <w:bCs/>
          <w:sz w:val="24"/>
          <w:szCs w:val="24"/>
          <w:lang w:val="en-US"/>
        </w:rPr>
        <w:t>Halterman</w:t>
      </w:r>
      <w:proofErr w:type="spellEnd"/>
      <w:r>
        <w:rPr>
          <w:bCs/>
          <w:sz w:val="24"/>
          <w:szCs w:val="24"/>
          <w:lang w:val="en-US"/>
        </w:rPr>
        <w:t xml:space="preserve"> JS, Fisher SG et al. Parental Beliefs About Medications and Medication Adherence Among Urban Children With Asthma. </w:t>
      </w:r>
      <w:proofErr w:type="spellStart"/>
      <w:r>
        <w:rPr>
          <w:bCs/>
          <w:i/>
          <w:iCs/>
          <w:sz w:val="24"/>
          <w:szCs w:val="24"/>
          <w:lang w:val="en-US"/>
        </w:rPr>
        <w:t>Ambul</w:t>
      </w:r>
      <w:proofErr w:type="spellEnd"/>
      <w:r>
        <w:rPr>
          <w:bCs/>
          <w:i/>
          <w:iCs/>
          <w:sz w:val="24"/>
          <w:szCs w:val="24"/>
          <w:lang w:val="en-US"/>
        </w:rPr>
        <w:t xml:space="preserve"> </w:t>
      </w:r>
      <w:proofErr w:type="spellStart"/>
      <w:r>
        <w:rPr>
          <w:bCs/>
          <w:i/>
          <w:iCs/>
          <w:sz w:val="24"/>
          <w:szCs w:val="24"/>
          <w:lang w:val="en-US"/>
        </w:rPr>
        <w:t>pediatr</w:t>
      </w:r>
      <w:proofErr w:type="spellEnd"/>
      <w:r>
        <w:rPr>
          <w:bCs/>
          <w:sz w:val="24"/>
          <w:szCs w:val="24"/>
          <w:lang w:val="en-US"/>
        </w:rPr>
        <w:t>. 2005;5:306-310</w:t>
      </w:r>
    </w:p>
    <w:p w14:paraId="47ED0D79"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McGrady ME, </w:t>
      </w:r>
      <w:proofErr w:type="spellStart"/>
      <w:r>
        <w:rPr>
          <w:bCs/>
          <w:sz w:val="24"/>
          <w:szCs w:val="24"/>
          <w:lang w:val="en-US"/>
        </w:rPr>
        <w:t>Hommel</w:t>
      </w:r>
      <w:proofErr w:type="spellEnd"/>
      <w:r>
        <w:rPr>
          <w:bCs/>
          <w:sz w:val="24"/>
          <w:szCs w:val="24"/>
          <w:lang w:val="en-US"/>
        </w:rPr>
        <w:t xml:space="preserve"> KA.</w:t>
      </w:r>
      <w:r>
        <w:rPr>
          <w:lang w:val="en-US"/>
        </w:rPr>
        <w:t xml:space="preserve"> </w:t>
      </w:r>
      <w:r>
        <w:rPr>
          <w:bCs/>
          <w:sz w:val="24"/>
          <w:szCs w:val="24"/>
          <w:lang w:val="en-US"/>
        </w:rPr>
        <w:t xml:space="preserve">Medication adherence and health care utilization in pediatric chronic illness: a systematic review. </w:t>
      </w:r>
      <w:proofErr w:type="spellStart"/>
      <w:r>
        <w:rPr>
          <w:bCs/>
          <w:sz w:val="24"/>
          <w:szCs w:val="24"/>
          <w:lang w:val="en-US"/>
        </w:rPr>
        <w:t>Pediatr</w:t>
      </w:r>
      <w:proofErr w:type="spellEnd"/>
      <w:r>
        <w:rPr>
          <w:bCs/>
          <w:sz w:val="24"/>
          <w:szCs w:val="24"/>
          <w:lang w:val="en-US"/>
        </w:rPr>
        <w:t>. 2013;132:730-740</w:t>
      </w:r>
    </w:p>
    <w:p w14:paraId="6C2AB11F"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Andrews T, Thompson M, Buckley DI et al. Interventions to influence consulting and antibiotic use for acute respiratory tract infections in children: a systematic review and meta-analysis. </w:t>
      </w:r>
      <w:proofErr w:type="spellStart"/>
      <w:r>
        <w:rPr>
          <w:bCs/>
          <w:i/>
          <w:iCs/>
          <w:sz w:val="24"/>
          <w:szCs w:val="24"/>
          <w:lang w:val="en-US"/>
        </w:rPr>
        <w:t>PLos</w:t>
      </w:r>
      <w:proofErr w:type="spellEnd"/>
      <w:r>
        <w:rPr>
          <w:bCs/>
          <w:i/>
          <w:iCs/>
          <w:sz w:val="24"/>
          <w:szCs w:val="24"/>
          <w:lang w:val="en-US"/>
        </w:rPr>
        <w:t xml:space="preserve"> One</w:t>
      </w:r>
      <w:r>
        <w:rPr>
          <w:bCs/>
          <w:sz w:val="24"/>
          <w:szCs w:val="24"/>
          <w:lang w:val="en-US"/>
        </w:rPr>
        <w:t>. 2012;7:e47815</w:t>
      </w:r>
    </w:p>
    <w:p w14:paraId="3CD9EE1E" w14:textId="77777777" w:rsidR="00386247" w:rsidRDefault="00386247" w:rsidP="00386247">
      <w:pPr>
        <w:pStyle w:val="ListParagraph"/>
        <w:numPr>
          <w:ilvl w:val="0"/>
          <w:numId w:val="82"/>
        </w:numPr>
        <w:spacing w:line="360" w:lineRule="auto"/>
        <w:rPr>
          <w:bCs/>
          <w:sz w:val="24"/>
          <w:szCs w:val="24"/>
          <w:lang w:val="en-US"/>
        </w:rPr>
      </w:pPr>
      <w:proofErr w:type="spellStart"/>
      <w:r>
        <w:rPr>
          <w:bCs/>
          <w:sz w:val="24"/>
          <w:szCs w:val="24"/>
          <w:lang w:val="en-US"/>
        </w:rPr>
        <w:t>Diorio</w:t>
      </w:r>
      <w:proofErr w:type="spellEnd"/>
      <w:r>
        <w:rPr>
          <w:bCs/>
          <w:sz w:val="24"/>
          <w:szCs w:val="24"/>
          <w:lang w:val="en-US"/>
        </w:rPr>
        <w:t xml:space="preserve"> C, Tomlinson D, Boydell KM et al. Attitudes toward infection prophylaxis in pediatric oncology: a qualitative approach. </w:t>
      </w:r>
      <w:proofErr w:type="spellStart"/>
      <w:r>
        <w:rPr>
          <w:bCs/>
          <w:i/>
          <w:iCs/>
          <w:sz w:val="24"/>
          <w:szCs w:val="24"/>
          <w:lang w:val="en-US"/>
        </w:rPr>
        <w:t>PLos</w:t>
      </w:r>
      <w:proofErr w:type="spellEnd"/>
      <w:r>
        <w:rPr>
          <w:bCs/>
          <w:i/>
          <w:iCs/>
          <w:sz w:val="24"/>
          <w:szCs w:val="24"/>
          <w:lang w:val="en-US"/>
        </w:rPr>
        <w:t xml:space="preserve"> One</w:t>
      </w:r>
      <w:r>
        <w:rPr>
          <w:bCs/>
          <w:sz w:val="24"/>
          <w:szCs w:val="24"/>
          <w:lang w:val="en-US"/>
        </w:rPr>
        <w:t>. 2012;7:e47815</w:t>
      </w:r>
    </w:p>
    <w:p w14:paraId="0F90D87B"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lastRenderedPageBreak/>
        <w:t xml:space="preserve">Elliott V, Morgan S, Day S et al. Parental health beliefs and compliance with prophylactic penicillin administration in children with sickle cell disease. </w:t>
      </w:r>
      <w:r>
        <w:rPr>
          <w:bCs/>
          <w:i/>
          <w:iCs/>
          <w:sz w:val="24"/>
          <w:szCs w:val="24"/>
          <w:lang w:val="en-US"/>
        </w:rPr>
        <w:t xml:space="preserve">J </w:t>
      </w:r>
      <w:proofErr w:type="spellStart"/>
      <w:r>
        <w:rPr>
          <w:bCs/>
          <w:i/>
          <w:iCs/>
          <w:sz w:val="24"/>
          <w:szCs w:val="24"/>
          <w:lang w:val="en-US"/>
        </w:rPr>
        <w:t>pediatr</w:t>
      </w:r>
      <w:proofErr w:type="spellEnd"/>
      <w:r>
        <w:rPr>
          <w:bCs/>
          <w:i/>
          <w:iCs/>
          <w:sz w:val="24"/>
          <w:szCs w:val="24"/>
          <w:lang w:val="en-US"/>
        </w:rPr>
        <w:t xml:space="preserve"> </w:t>
      </w:r>
      <w:proofErr w:type="spellStart"/>
      <w:r>
        <w:rPr>
          <w:bCs/>
          <w:i/>
          <w:iCs/>
          <w:sz w:val="24"/>
          <w:szCs w:val="24"/>
          <w:lang w:val="en-US"/>
        </w:rPr>
        <w:t>Hematol</w:t>
      </w:r>
      <w:proofErr w:type="spellEnd"/>
      <w:r>
        <w:rPr>
          <w:bCs/>
          <w:i/>
          <w:iCs/>
          <w:sz w:val="24"/>
          <w:szCs w:val="24"/>
          <w:lang w:val="en-US"/>
        </w:rPr>
        <w:t xml:space="preserve"> Oncol</w:t>
      </w:r>
      <w:r>
        <w:rPr>
          <w:bCs/>
          <w:sz w:val="24"/>
          <w:szCs w:val="24"/>
          <w:lang w:val="en-US"/>
        </w:rPr>
        <w:t>. 2001;23:112-116</w:t>
      </w:r>
    </w:p>
    <w:p w14:paraId="42CDA985" w14:textId="77777777" w:rsidR="00386247" w:rsidRDefault="00386247" w:rsidP="00386247">
      <w:pPr>
        <w:pStyle w:val="ListParagraph"/>
        <w:numPr>
          <w:ilvl w:val="0"/>
          <w:numId w:val="82"/>
        </w:numPr>
        <w:spacing w:line="360" w:lineRule="auto"/>
        <w:rPr>
          <w:bCs/>
          <w:sz w:val="24"/>
          <w:szCs w:val="24"/>
          <w:lang w:val="en-US"/>
        </w:rPr>
      </w:pPr>
      <w:proofErr w:type="spellStart"/>
      <w:r>
        <w:rPr>
          <w:bCs/>
          <w:sz w:val="24"/>
          <w:szCs w:val="24"/>
          <w:lang w:val="en-US"/>
        </w:rPr>
        <w:t>Hennink</w:t>
      </w:r>
      <w:proofErr w:type="spellEnd"/>
      <w:r>
        <w:rPr>
          <w:bCs/>
          <w:sz w:val="24"/>
          <w:szCs w:val="24"/>
          <w:lang w:val="en-US"/>
        </w:rPr>
        <w:t xml:space="preserve"> MM, Kaiser BN, Marconi VC. Code Saturation Versus Meaning Saturation: How Many Interviews Are Enough? Qual Health Res. 2017;27:591-608 </w:t>
      </w:r>
    </w:p>
    <w:p w14:paraId="66ED2E0D"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Braun, V, Clarke V. Using thematic analysis in psychology. Qualitative Research in Psychology. 2006 3(2), 77–101.</w:t>
      </w:r>
    </w:p>
    <w:p w14:paraId="340CA7A7"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Van Hecke O, Butler CC, Wang K et al. Parents' perceptions of antibiotic use and antibiotic resistance (PAUSE): a qualitative interview study.</w:t>
      </w:r>
      <w:r>
        <w:rPr>
          <w:lang w:val="en-US"/>
        </w:rPr>
        <w:t xml:space="preserve"> </w:t>
      </w:r>
      <w:r>
        <w:rPr>
          <w:bCs/>
          <w:i/>
          <w:iCs/>
          <w:sz w:val="24"/>
          <w:szCs w:val="24"/>
          <w:lang w:val="en-US"/>
        </w:rPr>
        <w:t xml:space="preserve">J </w:t>
      </w:r>
      <w:proofErr w:type="spellStart"/>
      <w:r>
        <w:rPr>
          <w:bCs/>
          <w:i/>
          <w:iCs/>
          <w:sz w:val="24"/>
          <w:szCs w:val="24"/>
          <w:lang w:val="en-US"/>
        </w:rPr>
        <w:t>Antimicrob</w:t>
      </w:r>
      <w:proofErr w:type="spellEnd"/>
      <w:r>
        <w:rPr>
          <w:bCs/>
          <w:i/>
          <w:iCs/>
          <w:sz w:val="24"/>
          <w:szCs w:val="24"/>
          <w:lang w:val="en-US"/>
        </w:rPr>
        <w:t xml:space="preserve"> </w:t>
      </w:r>
      <w:proofErr w:type="spellStart"/>
      <w:r>
        <w:rPr>
          <w:bCs/>
          <w:i/>
          <w:iCs/>
          <w:sz w:val="24"/>
          <w:szCs w:val="24"/>
          <w:lang w:val="en-US"/>
        </w:rPr>
        <w:t>Chemother</w:t>
      </w:r>
      <w:proofErr w:type="spellEnd"/>
      <w:r>
        <w:rPr>
          <w:bCs/>
          <w:sz w:val="24"/>
          <w:szCs w:val="24"/>
          <w:lang w:val="en-US"/>
        </w:rPr>
        <w:t>. 2019;74:1741-1747</w:t>
      </w:r>
    </w:p>
    <w:p w14:paraId="64887FF7"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Halls A, </w:t>
      </w:r>
      <w:proofErr w:type="spellStart"/>
      <w:r>
        <w:rPr>
          <w:bCs/>
          <w:sz w:val="24"/>
          <w:szCs w:val="24"/>
          <w:lang w:val="en-US"/>
        </w:rPr>
        <w:t>Van’t</w:t>
      </w:r>
      <w:proofErr w:type="spellEnd"/>
      <w:r>
        <w:rPr>
          <w:bCs/>
          <w:sz w:val="24"/>
          <w:szCs w:val="24"/>
          <w:lang w:val="en-US"/>
        </w:rPr>
        <w:t xml:space="preserve"> Hoff C, Little P et al. Qualitative interview study of parents’ perspectives, concerns and experiences of the management of lower respiratory tract infections in children in primary care. </w:t>
      </w:r>
      <w:r>
        <w:rPr>
          <w:bCs/>
          <w:i/>
          <w:iCs/>
          <w:sz w:val="24"/>
          <w:szCs w:val="24"/>
          <w:lang w:val="en-US"/>
        </w:rPr>
        <w:t>BMJ Open</w:t>
      </w:r>
      <w:r>
        <w:rPr>
          <w:bCs/>
          <w:sz w:val="24"/>
          <w:szCs w:val="24"/>
          <w:lang w:val="en-US"/>
        </w:rPr>
        <w:t>. 2017;7:e015701</w:t>
      </w:r>
    </w:p>
    <w:p w14:paraId="63A21FD0"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Cabral C, Ingram J, Lucas PJ et al. Influence of Clinical Communication on Parents' Antibiotic Expectations for Children With Respiratory Tract Infections. </w:t>
      </w:r>
      <w:r>
        <w:rPr>
          <w:bCs/>
          <w:i/>
          <w:iCs/>
          <w:sz w:val="24"/>
          <w:szCs w:val="24"/>
          <w:lang w:val="en-US"/>
        </w:rPr>
        <w:t>Ann Fam Med</w:t>
      </w:r>
      <w:r>
        <w:rPr>
          <w:bCs/>
          <w:sz w:val="24"/>
          <w:szCs w:val="24"/>
          <w:lang w:val="en-US"/>
        </w:rPr>
        <w:t>. 2016;14:141-7.</w:t>
      </w:r>
    </w:p>
    <w:p w14:paraId="5DAB5CC8"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Boland L, </w:t>
      </w:r>
      <w:proofErr w:type="spellStart"/>
      <w:r>
        <w:rPr>
          <w:bCs/>
          <w:sz w:val="24"/>
          <w:szCs w:val="24"/>
          <w:lang w:val="en-US"/>
        </w:rPr>
        <w:t>Kryworuchko</w:t>
      </w:r>
      <w:proofErr w:type="spellEnd"/>
      <w:r>
        <w:rPr>
          <w:bCs/>
          <w:sz w:val="24"/>
          <w:szCs w:val="24"/>
          <w:lang w:val="en-US"/>
        </w:rPr>
        <w:t xml:space="preserve"> J, </w:t>
      </w:r>
      <w:proofErr w:type="spellStart"/>
      <w:r>
        <w:rPr>
          <w:bCs/>
          <w:sz w:val="24"/>
          <w:szCs w:val="24"/>
          <w:lang w:val="en-US"/>
        </w:rPr>
        <w:t>Saarimaki</w:t>
      </w:r>
      <w:proofErr w:type="spellEnd"/>
      <w:r>
        <w:rPr>
          <w:bCs/>
          <w:sz w:val="24"/>
          <w:szCs w:val="24"/>
          <w:lang w:val="en-US"/>
        </w:rPr>
        <w:t xml:space="preserve"> A et al. Parental decision making involvement and decisional conflict: a descriptive study. </w:t>
      </w:r>
      <w:r>
        <w:rPr>
          <w:bCs/>
          <w:i/>
          <w:iCs/>
          <w:sz w:val="24"/>
          <w:szCs w:val="24"/>
          <w:lang w:val="en-US"/>
        </w:rPr>
        <w:t>BMC Pediatrics</w:t>
      </w:r>
      <w:r>
        <w:rPr>
          <w:bCs/>
          <w:sz w:val="24"/>
          <w:szCs w:val="24"/>
          <w:lang w:val="en-US"/>
        </w:rPr>
        <w:t>. 2017;17:146.</w:t>
      </w:r>
    </w:p>
    <w:p w14:paraId="121345EB" w14:textId="77777777" w:rsidR="00386247" w:rsidRDefault="00386247" w:rsidP="00386247">
      <w:pPr>
        <w:pStyle w:val="ListParagraph"/>
        <w:numPr>
          <w:ilvl w:val="0"/>
          <w:numId w:val="82"/>
        </w:numPr>
        <w:spacing w:line="360" w:lineRule="auto"/>
        <w:rPr>
          <w:bCs/>
          <w:sz w:val="24"/>
          <w:szCs w:val="24"/>
          <w:lang w:val="en-US"/>
        </w:rPr>
      </w:pPr>
      <w:proofErr w:type="spellStart"/>
      <w:r>
        <w:rPr>
          <w:bCs/>
          <w:sz w:val="24"/>
          <w:szCs w:val="24"/>
          <w:lang w:val="en-US"/>
        </w:rPr>
        <w:t>Aathun</w:t>
      </w:r>
      <w:proofErr w:type="spellEnd"/>
      <w:r>
        <w:rPr>
          <w:bCs/>
          <w:sz w:val="24"/>
          <w:szCs w:val="24"/>
          <w:lang w:val="en-US"/>
        </w:rPr>
        <w:t xml:space="preserve"> A, </w:t>
      </w:r>
      <w:proofErr w:type="spellStart"/>
      <w:r>
        <w:rPr>
          <w:bCs/>
          <w:sz w:val="24"/>
          <w:szCs w:val="24"/>
          <w:lang w:val="en-US"/>
        </w:rPr>
        <w:t>Akerjordet</w:t>
      </w:r>
      <w:proofErr w:type="spellEnd"/>
      <w:r>
        <w:rPr>
          <w:bCs/>
          <w:sz w:val="24"/>
          <w:szCs w:val="24"/>
          <w:lang w:val="en-US"/>
        </w:rPr>
        <w:t xml:space="preserve"> K. Parent participation in decision-making in health-care services for children: an integrative review. </w:t>
      </w:r>
      <w:r>
        <w:rPr>
          <w:bCs/>
          <w:i/>
          <w:iCs/>
          <w:sz w:val="24"/>
          <w:szCs w:val="24"/>
          <w:lang w:val="en-US"/>
        </w:rPr>
        <w:t xml:space="preserve">J </w:t>
      </w:r>
      <w:proofErr w:type="spellStart"/>
      <w:r>
        <w:rPr>
          <w:bCs/>
          <w:i/>
          <w:iCs/>
          <w:sz w:val="24"/>
          <w:szCs w:val="24"/>
          <w:lang w:val="en-US"/>
        </w:rPr>
        <w:t>Nurs</w:t>
      </w:r>
      <w:proofErr w:type="spellEnd"/>
      <w:r>
        <w:rPr>
          <w:bCs/>
          <w:i/>
          <w:iCs/>
          <w:sz w:val="24"/>
          <w:szCs w:val="24"/>
          <w:lang w:val="en-US"/>
        </w:rPr>
        <w:t xml:space="preserve"> </w:t>
      </w:r>
      <w:proofErr w:type="spellStart"/>
      <w:r>
        <w:rPr>
          <w:bCs/>
          <w:i/>
          <w:iCs/>
          <w:sz w:val="24"/>
          <w:szCs w:val="24"/>
          <w:lang w:val="en-US"/>
        </w:rPr>
        <w:t>Manag</w:t>
      </w:r>
      <w:proofErr w:type="spellEnd"/>
      <w:r>
        <w:rPr>
          <w:bCs/>
          <w:sz w:val="24"/>
          <w:szCs w:val="24"/>
          <w:lang w:val="en-US"/>
        </w:rPr>
        <w:t>, 2014;22:177-91.</w:t>
      </w:r>
    </w:p>
    <w:p w14:paraId="086DF302" w14:textId="77777777" w:rsidR="00386247" w:rsidRDefault="00386247" w:rsidP="00386247">
      <w:pPr>
        <w:pStyle w:val="ListParagraph"/>
        <w:numPr>
          <w:ilvl w:val="0"/>
          <w:numId w:val="82"/>
        </w:numPr>
        <w:spacing w:line="360" w:lineRule="auto"/>
        <w:rPr>
          <w:bCs/>
          <w:sz w:val="24"/>
          <w:szCs w:val="24"/>
          <w:lang w:val="en-US"/>
        </w:rPr>
      </w:pPr>
      <w:r>
        <w:rPr>
          <w:bCs/>
          <w:sz w:val="24"/>
          <w:szCs w:val="24"/>
          <w:lang w:val="en-US"/>
        </w:rPr>
        <w:t xml:space="preserve">Aston J, Wilson KA, Terry DRP. The treatment-related experiences of parents, children and young people with regular prescribed medication. </w:t>
      </w:r>
      <w:r>
        <w:rPr>
          <w:bCs/>
          <w:i/>
          <w:iCs/>
          <w:sz w:val="24"/>
          <w:szCs w:val="24"/>
          <w:lang w:val="en-US"/>
        </w:rPr>
        <w:t>International Journal of Clinical Pharmacy</w:t>
      </w:r>
      <w:r>
        <w:rPr>
          <w:bCs/>
          <w:sz w:val="24"/>
          <w:szCs w:val="24"/>
          <w:lang w:val="en-US"/>
        </w:rPr>
        <w:t>. 2019;41:113-12</w:t>
      </w:r>
    </w:p>
    <w:p w14:paraId="7D1054C3" w14:textId="77777777" w:rsidR="00386247" w:rsidRDefault="00386247" w:rsidP="00386247">
      <w:pPr>
        <w:pStyle w:val="ListParagraph"/>
        <w:numPr>
          <w:ilvl w:val="0"/>
          <w:numId w:val="82"/>
        </w:numPr>
        <w:spacing w:line="360" w:lineRule="auto"/>
        <w:rPr>
          <w:bCs/>
          <w:sz w:val="24"/>
          <w:szCs w:val="24"/>
          <w:lang w:val="en-US"/>
        </w:rPr>
      </w:pPr>
      <w:proofErr w:type="spellStart"/>
      <w:r>
        <w:rPr>
          <w:bCs/>
          <w:sz w:val="24"/>
          <w:szCs w:val="24"/>
          <w:lang w:val="en-US"/>
        </w:rPr>
        <w:t>Aarthun</w:t>
      </w:r>
      <w:proofErr w:type="spellEnd"/>
      <w:r>
        <w:rPr>
          <w:bCs/>
          <w:sz w:val="24"/>
          <w:szCs w:val="24"/>
          <w:lang w:val="en-US"/>
        </w:rPr>
        <w:t xml:space="preserve"> A, </w:t>
      </w:r>
      <w:proofErr w:type="spellStart"/>
      <w:r>
        <w:rPr>
          <w:bCs/>
          <w:sz w:val="24"/>
          <w:szCs w:val="24"/>
          <w:lang w:val="en-US"/>
        </w:rPr>
        <w:t>Øymar</w:t>
      </w:r>
      <w:proofErr w:type="spellEnd"/>
      <w:r>
        <w:rPr>
          <w:bCs/>
          <w:sz w:val="24"/>
          <w:szCs w:val="24"/>
          <w:lang w:val="en-US"/>
        </w:rPr>
        <w:t xml:space="preserve"> KA, </w:t>
      </w:r>
      <w:proofErr w:type="spellStart"/>
      <w:r>
        <w:rPr>
          <w:bCs/>
          <w:sz w:val="24"/>
          <w:szCs w:val="24"/>
          <w:lang w:val="en-US"/>
        </w:rPr>
        <w:t>Akerjordet</w:t>
      </w:r>
      <w:proofErr w:type="spellEnd"/>
      <w:r>
        <w:rPr>
          <w:bCs/>
          <w:sz w:val="24"/>
          <w:szCs w:val="24"/>
          <w:lang w:val="en-US"/>
        </w:rPr>
        <w:t xml:space="preserve"> K. Parental involvement in decision-making about their child's health care at the hospital. </w:t>
      </w:r>
      <w:r>
        <w:rPr>
          <w:bCs/>
          <w:i/>
          <w:iCs/>
          <w:sz w:val="24"/>
          <w:szCs w:val="24"/>
          <w:lang w:val="en-US"/>
        </w:rPr>
        <w:t>Nursing open</w:t>
      </w:r>
      <w:r>
        <w:rPr>
          <w:bCs/>
          <w:sz w:val="24"/>
          <w:szCs w:val="24"/>
          <w:lang w:val="en-US"/>
        </w:rPr>
        <w:t>. 2018;6:50-58</w:t>
      </w:r>
    </w:p>
    <w:p w14:paraId="7690B027" w14:textId="77777777" w:rsidR="00386247" w:rsidRDefault="00386247" w:rsidP="00386247">
      <w:pPr>
        <w:spacing w:line="360" w:lineRule="auto"/>
        <w:rPr>
          <w:bCs/>
          <w:lang w:val="en-US"/>
        </w:rPr>
      </w:pPr>
    </w:p>
    <w:p w14:paraId="27C2B6FD" w14:textId="77777777" w:rsidR="00386247" w:rsidRDefault="00386247" w:rsidP="00386247">
      <w:pPr>
        <w:spacing w:line="360" w:lineRule="auto"/>
        <w:contextualSpacing/>
        <w:rPr>
          <w:b/>
          <w:sz w:val="28"/>
          <w:szCs w:val="28"/>
          <w:lang w:val="en-US"/>
        </w:rPr>
      </w:pPr>
    </w:p>
    <w:p w14:paraId="73F2D442" w14:textId="77777777" w:rsidR="00386247" w:rsidRDefault="00386247" w:rsidP="00386247">
      <w:pPr>
        <w:spacing w:line="360" w:lineRule="auto"/>
        <w:rPr>
          <w:lang w:val="en-US"/>
        </w:rPr>
      </w:pPr>
    </w:p>
    <w:p w14:paraId="654FCF00" w14:textId="77777777" w:rsidR="00386247" w:rsidRDefault="00386247" w:rsidP="00386247">
      <w:pPr>
        <w:spacing w:line="360" w:lineRule="auto"/>
      </w:pPr>
    </w:p>
    <w:p w14:paraId="41C512AF" w14:textId="77777777" w:rsidR="00386247" w:rsidRDefault="00386247" w:rsidP="00386247">
      <w:pPr>
        <w:spacing w:line="360" w:lineRule="auto"/>
        <w:rPr>
          <w:b/>
        </w:rPr>
      </w:pPr>
      <w:r>
        <w:rPr>
          <w:b/>
          <w:sz w:val="28"/>
          <w:szCs w:val="28"/>
        </w:rPr>
        <w:lastRenderedPageBreak/>
        <w:t xml:space="preserve">Table 3 </w:t>
      </w:r>
      <w:r>
        <w:rPr>
          <w:b/>
        </w:rPr>
        <w:t>Anonymised quotations (Parental consent specifically obtained)</w:t>
      </w:r>
    </w:p>
    <w:tbl>
      <w:tblPr>
        <w:tblStyle w:val="TableGrid"/>
        <w:tblW w:w="0" w:type="auto"/>
        <w:tblLook w:val="04A0" w:firstRow="1" w:lastRow="0" w:firstColumn="1" w:lastColumn="0" w:noHBand="0" w:noVBand="1"/>
      </w:tblPr>
      <w:tblGrid>
        <w:gridCol w:w="1496"/>
        <w:gridCol w:w="7854"/>
      </w:tblGrid>
      <w:tr w:rsidR="00386247" w14:paraId="3B83E39E" w14:textId="77777777" w:rsidTr="00386247">
        <w:tc>
          <w:tcPr>
            <w:tcW w:w="1404" w:type="dxa"/>
            <w:tcBorders>
              <w:top w:val="single" w:sz="4" w:space="0" w:color="auto"/>
              <w:left w:val="single" w:sz="4" w:space="0" w:color="auto"/>
              <w:bottom w:val="single" w:sz="4" w:space="0" w:color="auto"/>
              <w:right w:val="single" w:sz="4" w:space="0" w:color="auto"/>
            </w:tcBorders>
            <w:hideMark/>
          </w:tcPr>
          <w:p w14:paraId="406A9BB1" w14:textId="77777777" w:rsidR="00386247" w:rsidRDefault="00386247">
            <w:pPr>
              <w:spacing w:line="360" w:lineRule="auto"/>
              <w:rPr>
                <w:sz w:val="22"/>
                <w:szCs w:val="22"/>
              </w:rPr>
            </w:pPr>
            <w:r>
              <w:t>Theme identification number</w:t>
            </w:r>
          </w:p>
        </w:tc>
        <w:tc>
          <w:tcPr>
            <w:tcW w:w="8172" w:type="dxa"/>
            <w:tcBorders>
              <w:top w:val="single" w:sz="4" w:space="0" w:color="auto"/>
              <w:left w:val="single" w:sz="4" w:space="0" w:color="auto"/>
              <w:bottom w:val="single" w:sz="4" w:space="0" w:color="auto"/>
              <w:right w:val="single" w:sz="4" w:space="0" w:color="auto"/>
            </w:tcBorders>
            <w:hideMark/>
          </w:tcPr>
          <w:p w14:paraId="54E3A027" w14:textId="77777777" w:rsidR="00386247" w:rsidRDefault="00386247">
            <w:pPr>
              <w:spacing w:line="360" w:lineRule="auto"/>
            </w:pPr>
            <w:r>
              <w:t>Quotations</w:t>
            </w:r>
          </w:p>
        </w:tc>
      </w:tr>
      <w:tr w:rsidR="00386247" w14:paraId="3285854A"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BFEA02" w14:textId="77777777" w:rsidR="00386247" w:rsidRDefault="00386247">
            <w:pPr>
              <w:spacing w:line="360" w:lineRule="auto"/>
            </w:pPr>
            <w:r>
              <w:t>1.1</w:t>
            </w:r>
          </w:p>
        </w:tc>
        <w:tc>
          <w:tcPr>
            <w:tcW w:w="8172" w:type="dxa"/>
            <w:tcBorders>
              <w:top w:val="single" w:sz="4" w:space="0" w:color="auto"/>
              <w:left w:val="single" w:sz="4" w:space="0" w:color="auto"/>
              <w:bottom w:val="single" w:sz="4" w:space="0" w:color="auto"/>
              <w:right w:val="single" w:sz="4" w:space="0" w:color="auto"/>
            </w:tcBorders>
            <w:hideMark/>
          </w:tcPr>
          <w:p w14:paraId="56811EC0" w14:textId="77777777" w:rsidR="00386247" w:rsidRDefault="00386247">
            <w:pPr>
              <w:spacing w:line="360" w:lineRule="auto"/>
            </w:pPr>
            <w:r>
              <w:t xml:space="preserve">“We all help to decide. I mean if we weren't doing our job as parents, keeping an eye on him, we wouldn't know he’s got that cold and things like that.” </w:t>
            </w:r>
            <w:r>
              <w:rPr>
                <w:b/>
              </w:rPr>
              <w:t>(Parent 10)</w:t>
            </w:r>
          </w:p>
        </w:tc>
      </w:tr>
      <w:tr w:rsidR="00386247" w14:paraId="456A8EBD"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757440B"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79DA43DE" w14:textId="77777777" w:rsidR="00386247" w:rsidRDefault="00386247">
            <w:pPr>
              <w:spacing w:line="360" w:lineRule="auto"/>
            </w:pPr>
            <w:r>
              <w:t xml:space="preserve">“They (doctors) are qualified. They think they know best. But they don't. They don't go through the nights of the child not sleeping because they can’t breathe, they do not know… they might know on a medical concept.” </w:t>
            </w:r>
            <w:r>
              <w:rPr>
                <w:b/>
              </w:rPr>
              <w:t>(Parent 8)</w:t>
            </w:r>
          </w:p>
        </w:tc>
      </w:tr>
      <w:tr w:rsidR="00386247" w14:paraId="6687C35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23F2C280"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331C7A2C" w14:textId="77777777" w:rsidR="00386247" w:rsidRDefault="00386247">
            <w:pPr>
              <w:spacing w:line="360" w:lineRule="auto"/>
            </w:pPr>
            <w:r>
              <w:t xml:space="preserve">“They will ask, do you have any questions and how we feel about his medication. It does feel like a 2-way discussion. It’s that we are being passive.” </w:t>
            </w:r>
            <w:r>
              <w:rPr>
                <w:b/>
              </w:rPr>
              <w:t>(Parent 6)</w:t>
            </w:r>
          </w:p>
        </w:tc>
      </w:tr>
      <w:tr w:rsidR="00386247" w14:paraId="1EF00582"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5F081B" w14:textId="77777777" w:rsidR="00386247" w:rsidRDefault="00386247">
            <w:pPr>
              <w:spacing w:line="360" w:lineRule="auto"/>
            </w:pPr>
            <w:r>
              <w:t>1.2</w:t>
            </w:r>
          </w:p>
        </w:tc>
        <w:tc>
          <w:tcPr>
            <w:tcW w:w="8172" w:type="dxa"/>
            <w:tcBorders>
              <w:top w:val="single" w:sz="4" w:space="0" w:color="auto"/>
              <w:left w:val="single" w:sz="4" w:space="0" w:color="auto"/>
              <w:bottom w:val="single" w:sz="4" w:space="0" w:color="auto"/>
              <w:right w:val="single" w:sz="4" w:space="0" w:color="auto"/>
            </w:tcBorders>
            <w:hideMark/>
          </w:tcPr>
          <w:p w14:paraId="35C69933" w14:textId="77777777" w:rsidR="00386247" w:rsidRDefault="00386247">
            <w:pPr>
              <w:spacing w:line="360" w:lineRule="auto"/>
            </w:pPr>
            <w:r>
              <w:t xml:space="preserve">“...the doctor tells me the plan is and as a parent I just go along and think he's the doctor, he knows best... I think me  asking questions, I'm holding that doctor up, I don’t' want to bother him. It isn’t till I come home I think, is it doing him any good (prophylaxis)? Is it harming him?” </w:t>
            </w:r>
            <w:r>
              <w:rPr>
                <w:b/>
              </w:rPr>
              <w:t>(Parent 9)</w:t>
            </w:r>
          </w:p>
        </w:tc>
      </w:tr>
      <w:tr w:rsidR="00386247" w14:paraId="64686045" w14:textId="77777777" w:rsidTr="00386247">
        <w:trPr>
          <w:trHeight w:val="8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101235"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78976E1E" w14:textId="77777777" w:rsidR="00386247" w:rsidRDefault="00386247">
            <w:pPr>
              <w:spacing w:line="360" w:lineRule="auto"/>
            </w:pPr>
            <w:r>
              <w:t xml:space="preserve">“You can't always concentrate. Your toddler is sticking his hands in the orange bin with the gross stuff or dragging a car up the wall when you are trying to listen to really important information. It’s ever so difficult. </w:t>
            </w:r>
            <w:r>
              <w:rPr>
                <w:b/>
              </w:rPr>
              <w:t>(Parent 1)</w:t>
            </w:r>
          </w:p>
        </w:tc>
      </w:tr>
      <w:tr w:rsidR="00386247" w14:paraId="7D8926A0"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13421C26"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6A3E928D" w14:textId="77777777" w:rsidR="00386247" w:rsidRDefault="00386247">
            <w:pPr>
              <w:spacing w:line="360" w:lineRule="auto"/>
            </w:pPr>
            <w:r>
              <w:t xml:space="preserve">” I go into clinic and they (doctors) are sat at the computer typing away or writing. It is very rare they even give you eye contact. And you think they are under so much pressure and you are just another body. I feel I’m just another body, with another poorly child.” </w:t>
            </w:r>
            <w:r>
              <w:rPr>
                <w:b/>
              </w:rPr>
              <w:t>(Parent 9)</w:t>
            </w:r>
          </w:p>
        </w:tc>
      </w:tr>
      <w:tr w:rsidR="00386247" w14:paraId="0790EF7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119BCE8D"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214FA59B" w14:textId="77777777" w:rsidR="00386247" w:rsidRDefault="00386247">
            <w:pPr>
              <w:spacing w:line="360" w:lineRule="auto"/>
            </w:pPr>
            <w:r>
              <w:t xml:space="preserve">“I don't want to seem like a paranoid mum. I feel she has taken a turn for the worst when she is coughing and being sick. Believe me I’m not a drama queen” </w:t>
            </w:r>
            <w:r>
              <w:rPr>
                <w:b/>
              </w:rPr>
              <w:t>(Parent 2)</w:t>
            </w:r>
          </w:p>
        </w:tc>
      </w:tr>
      <w:tr w:rsidR="00386247" w14:paraId="15337ABF"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4099DA" w14:textId="77777777" w:rsidR="00386247" w:rsidRDefault="00386247">
            <w:pPr>
              <w:spacing w:line="360" w:lineRule="auto"/>
            </w:pPr>
            <w:r>
              <w:t>1.3</w:t>
            </w:r>
          </w:p>
        </w:tc>
        <w:tc>
          <w:tcPr>
            <w:tcW w:w="8172" w:type="dxa"/>
            <w:tcBorders>
              <w:top w:val="single" w:sz="4" w:space="0" w:color="auto"/>
              <w:left w:val="single" w:sz="4" w:space="0" w:color="auto"/>
              <w:bottom w:val="single" w:sz="4" w:space="0" w:color="auto"/>
              <w:right w:val="single" w:sz="4" w:space="0" w:color="auto"/>
            </w:tcBorders>
            <w:hideMark/>
          </w:tcPr>
          <w:p w14:paraId="6F5B1B4E" w14:textId="77777777" w:rsidR="00386247" w:rsidRDefault="00386247">
            <w:pPr>
              <w:spacing w:line="360" w:lineRule="auto"/>
            </w:pPr>
            <w:r>
              <w:t xml:space="preserve">“We're in such a position now that we constantly ask questions. Not to be difficult but  we want to know why. We had big questions about long term antibiotic use. You hear a lot in the press about the use of antibiotics and so we </w:t>
            </w:r>
            <w:r>
              <w:lastRenderedPageBreak/>
              <w:t xml:space="preserve">had a lot of questions regarding that. It was us asking rather than people proactively telling us anything.” </w:t>
            </w:r>
            <w:r>
              <w:rPr>
                <w:b/>
              </w:rPr>
              <w:t>(Parent 1)</w:t>
            </w:r>
          </w:p>
        </w:tc>
      </w:tr>
      <w:tr w:rsidR="00386247" w14:paraId="2DC2E65C"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72F8AB27"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8CAF918" w14:textId="77777777" w:rsidR="00386247" w:rsidRDefault="00386247">
            <w:pPr>
              <w:spacing w:line="360" w:lineRule="auto"/>
            </w:pPr>
            <w:r>
              <w:t xml:space="preserve">“I think people perceived doctors being that higher authority that sometimes can't be questioned. That is not how it is in society these days. Doctors are saying you are the expert on your illness.” </w:t>
            </w:r>
            <w:r>
              <w:rPr>
                <w:b/>
              </w:rPr>
              <w:t>(Parent 6)</w:t>
            </w:r>
          </w:p>
        </w:tc>
      </w:tr>
      <w:tr w:rsidR="00386247" w14:paraId="59FB7626"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0C2CB1" w14:textId="77777777" w:rsidR="00386247" w:rsidRDefault="00386247">
            <w:pPr>
              <w:spacing w:line="360" w:lineRule="auto"/>
            </w:pPr>
            <w:r>
              <w:t>1.4</w:t>
            </w:r>
          </w:p>
        </w:tc>
        <w:tc>
          <w:tcPr>
            <w:tcW w:w="8172" w:type="dxa"/>
            <w:tcBorders>
              <w:top w:val="single" w:sz="4" w:space="0" w:color="auto"/>
              <w:left w:val="single" w:sz="4" w:space="0" w:color="auto"/>
              <w:bottom w:val="single" w:sz="4" w:space="0" w:color="auto"/>
              <w:right w:val="single" w:sz="4" w:space="0" w:color="auto"/>
            </w:tcBorders>
            <w:hideMark/>
          </w:tcPr>
          <w:p w14:paraId="531B50E6" w14:textId="77777777" w:rsidR="00386247" w:rsidRDefault="00386247">
            <w:pPr>
              <w:spacing w:line="360" w:lineRule="auto"/>
            </w:pPr>
            <w:r>
              <w:t xml:space="preserve">“I was brought up with natural medicines and homeopathy and it always worked. I hate antibiotics because I was brought up to hate them. But they have worked so I was grateful, but very uncomfortable with him having to be on them.” </w:t>
            </w:r>
            <w:r>
              <w:rPr>
                <w:b/>
              </w:rPr>
              <w:t>(Parent 4)</w:t>
            </w:r>
          </w:p>
        </w:tc>
      </w:tr>
      <w:tr w:rsidR="00386247" w14:paraId="0FFED2BE"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1EF06D8B"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8A729E4" w14:textId="77777777" w:rsidR="00386247" w:rsidRDefault="00386247">
            <w:pPr>
              <w:spacing w:line="360" w:lineRule="auto"/>
            </w:pPr>
            <w:r>
              <w:t xml:space="preserve">“Again I've mixed feelings. Because I think, is it natural to be on an antibiotic for all that long term?” </w:t>
            </w:r>
            <w:r>
              <w:rPr>
                <w:b/>
              </w:rPr>
              <w:t>(Parent 9)</w:t>
            </w:r>
          </w:p>
        </w:tc>
      </w:tr>
      <w:tr w:rsidR="00386247" w14:paraId="776E85E4"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3DE77E5E"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74E7B097" w14:textId="77777777" w:rsidR="00386247" w:rsidRDefault="00386247">
            <w:pPr>
              <w:spacing w:line="360" w:lineRule="auto"/>
            </w:pPr>
            <w:r>
              <w:t xml:space="preserve">“I was always very anti antibiotics. If I could get away without having them, I would. I mean your body can stop most things. </w:t>
            </w:r>
            <w:r>
              <w:rPr>
                <w:b/>
              </w:rPr>
              <w:t>(Parent 3)</w:t>
            </w:r>
          </w:p>
        </w:tc>
      </w:tr>
      <w:tr w:rsidR="00386247" w14:paraId="412BCE55"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6613718A"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12F7A2C3" w14:textId="77777777" w:rsidR="00386247" w:rsidRDefault="00386247">
            <w:pPr>
              <w:spacing w:line="360" w:lineRule="auto"/>
            </w:pPr>
            <w:r>
              <w:t xml:space="preserve">“We won’t' go on holiday because we are fearful that it is going to be another hospital admission and we don't want to be in a strange place in a strange hospital. </w:t>
            </w:r>
            <w:r>
              <w:rPr>
                <w:b/>
              </w:rPr>
              <w:t>(Parent 8)</w:t>
            </w:r>
          </w:p>
        </w:tc>
      </w:tr>
      <w:tr w:rsidR="00386247" w14:paraId="709FE8E0"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977542" w14:textId="77777777" w:rsidR="00386247" w:rsidRDefault="00386247">
            <w:pPr>
              <w:spacing w:line="360" w:lineRule="auto"/>
            </w:pPr>
            <w:r>
              <w:t>1.5</w:t>
            </w:r>
          </w:p>
        </w:tc>
        <w:tc>
          <w:tcPr>
            <w:tcW w:w="8172" w:type="dxa"/>
            <w:tcBorders>
              <w:top w:val="single" w:sz="4" w:space="0" w:color="auto"/>
              <w:left w:val="single" w:sz="4" w:space="0" w:color="auto"/>
              <w:bottom w:val="single" w:sz="4" w:space="0" w:color="auto"/>
              <w:right w:val="single" w:sz="4" w:space="0" w:color="auto"/>
            </w:tcBorders>
            <w:hideMark/>
          </w:tcPr>
          <w:p w14:paraId="757A51C5" w14:textId="77777777" w:rsidR="00386247" w:rsidRDefault="00386247">
            <w:pPr>
              <w:spacing w:line="360" w:lineRule="auto"/>
            </w:pPr>
            <w:r>
              <w:t xml:space="preserve">“You just don’t' want him to get something really bad when he is older and nothing (antibiotics) works.” </w:t>
            </w:r>
            <w:r>
              <w:rPr>
                <w:b/>
              </w:rPr>
              <w:t>(Parent 7)</w:t>
            </w:r>
          </w:p>
        </w:tc>
      </w:tr>
      <w:tr w:rsidR="00386247" w14:paraId="0E45D073"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1B5D262"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7754E0ED" w14:textId="77777777" w:rsidR="00386247" w:rsidRDefault="00386247">
            <w:pPr>
              <w:spacing w:line="360" w:lineRule="auto"/>
            </w:pPr>
            <w:r>
              <w:t xml:space="preserve">“Well it would be a problem for him wouldn’t it when he is older.” </w:t>
            </w:r>
            <w:r>
              <w:rPr>
                <w:b/>
              </w:rPr>
              <w:t>(Parent 14)</w:t>
            </w:r>
          </w:p>
        </w:tc>
      </w:tr>
      <w:tr w:rsidR="00386247" w14:paraId="71EBA726"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275A7211"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53D6C90C" w14:textId="77777777" w:rsidR="00386247" w:rsidRDefault="00386247">
            <w:pPr>
              <w:spacing w:line="360" w:lineRule="auto"/>
            </w:pPr>
            <w:r>
              <w:t xml:space="preserve">“I mean I were brought up with you got antibiotics for pretty much anything. But I know nowadays they don't like it. As you get older and you really do need them, if you have them too often you are eventually immune to it..” </w:t>
            </w:r>
            <w:r>
              <w:rPr>
                <w:b/>
              </w:rPr>
              <w:t>(Parent 12)</w:t>
            </w:r>
          </w:p>
        </w:tc>
      </w:tr>
      <w:tr w:rsidR="00386247" w14:paraId="7A7780B8"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78785C2E"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3C7548D2" w14:textId="77777777" w:rsidR="00386247" w:rsidRDefault="00386247">
            <w:pPr>
              <w:spacing w:line="360" w:lineRule="auto"/>
            </w:pPr>
            <w:r>
              <w:t xml:space="preserve">“If you take antibiotics, your body can grow immune to it.” </w:t>
            </w:r>
            <w:r>
              <w:rPr>
                <w:b/>
              </w:rPr>
              <w:t>(Parent 10)</w:t>
            </w:r>
          </w:p>
        </w:tc>
      </w:tr>
      <w:tr w:rsidR="00386247" w14:paraId="6960B7D4"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55920A47"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5EA13450" w14:textId="77777777" w:rsidR="00386247" w:rsidRDefault="00386247">
            <w:pPr>
              <w:spacing w:line="360" w:lineRule="auto"/>
            </w:pPr>
            <w:r>
              <w:t xml:space="preserve">“It’s just a bit of scaremongering. It goes whichever way it wants to go, media in my opinion… They play it down a bit like antibiotics won't cure your cold and stuff. But for us, we’re not abusing antibiotics. It’s quite clearly she’s dependent upon them. We have to go with the specialists.” </w:t>
            </w:r>
            <w:r>
              <w:rPr>
                <w:b/>
              </w:rPr>
              <w:t>(Parent 2)</w:t>
            </w:r>
          </w:p>
        </w:tc>
      </w:tr>
      <w:tr w:rsidR="00386247" w14:paraId="504181CC"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E7926E5" w14:textId="77777777" w:rsidR="00386247" w:rsidRDefault="00386247">
            <w:pPr>
              <w:spacing w:line="360" w:lineRule="auto"/>
            </w:pPr>
            <w:r>
              <w:lastRenderedPageBreak/>
              <w:t>1.6</w:t>
            </w:r>
          </w:p>
        </w:tc>
        <w:tc>
          <w:tcPr>
            <w:tcW w:w="8172" w:type="dxa"/>
            <w:tcBorders>
              <w:top w:val="single" w:sz="4" w:space="0" w:color="auto"/>
              <w:left w:val="single" w:sz="4" w:space="0" w:color="auto"/>
              <w:bottom w:val="single" w:sz="4" w:space="0" w:color="auto"/>
              <w:right w:val="single" w:sz="4" w:space="0" w:color="auto"/>
            </w:tcBorders>
            <w:hideMark/>
          </w:tcPr>
          <w:p w14:paraId="48D5E1BA" w14:textId="77777777" w:rsidR="00386247" w:rsidRDefault="00386247">
            <w:pPr>
              <w:spacing w:line="360" w:lineRule="auto"/>
            </w:pPr>
            <w:r>
              <w:t xml:space="preserve">“I was a bit worried about how long is it going to be before they (prophylaxis) stop working. Because I know your body builds up a resistance towards them… I just thought about him being well now. I mean in years to come there might be more antibiotics available. Here and now I just wanted him to be as well as he can be. Like he were only at school 50% of the time. So he were behind on school work. I thought that it were the right thing to do to start him on the antibiotics.” </w:t>
            </w:r>
            <w:r>
              <w:rPr>
                <w:b/>
              </w:rPr>
              <w:t>(Parent 13)</w:t>
            </w:r>
          </w:p>
        </w:tc>
      </w:tr>
      <w:tr w:rsidR="00386247" w14:paraId="05D1328D"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7C1D5828"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CCBE9B3" w14:textId="77777777" w:rsidR="00386247" w:rsidRDefault="00386247">
            <w:pPr>
              <w:spacing w:line="360" w:lineRule="auto"/>
            </w:pPr>
            <w:r>
              <w:t>“Well, I could have said no I don't want (prophylaxis) but there wasn't like… well if you don't want to do that we'll do this instead. So it was kind of like you can do this or you can't do this, but there was no like this is another option. “</w:t>
            </w:r>
            <w:r>
              <w:rPr>
                <w:b/>
              </w:rPr>
              <w:t>(parent 14)</w:t>
            </w:r>
          </w:p>
        </w:tc>
      </w:tr>
      <w:tr w:rsidR="00386247" w14:paraId="7A98502D"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58CF961"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C47D3E2" w14:textId="77777777" w:rsidR="00386247" w:rsidRDefault="00386247">
            <w:pPr>
              <w:spacing w:line="360" w:lineRule="auto"/>
            </w:pPr>
            <w:r>
              <w:t xml:space="preserve">“It (prophylaxis) felt as if it was something that was done almost as a last resort.”  </w:t>
            </w:r>
            <w:r>
              <w:rPr>
                <w:b/>
              </w:rPr>
              <w:t>(Parent 6)</w:t>
            </w:r>
          </w:p>
        </w:tc>
      </w:tr>
      <w:tr w:rsidR="00386247" w14:paraId="483F863C"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048CEB3"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42E88B6" w14:textId="77777777" w:rsidR="00386247" w:rsidRDefault="00386247">
            <w:pPr>
              <w:spacing w:line="360" w:lineRule="auto"/>
            </w:pPr>
            <w:r>
              <w:t xml:space="preserve">“Erm I just hated seeing her so ill all the time. I just wanted them to do something, I didn't care at the time what. I was happy for her to try them (prophylaxis) at that point. And I never thought I'd say that as I'm not an antibiotic fan. I never used to be but I am now.” </w:t>
            </w:r>
            <w:r>
              <w:rPr>
                <w:b/>
              </w:rPr>
              <w:t>(Parent 3)</w:t>
            </w:r>
          </w:p>
        </w:tc>
      </w:tr>
      <w:tr w:rsidR="00386247" w14:paraId="20B616B9" w14:textId="77777777" w:rsidTr="00386247">
        <w:trPr>
          <w:trHeight w:val="1469"/>
        </w:trPr>
        <w:tc>
          <w:tcPr>
            <w:tcW w:w="140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80D76A6" w14:textId="77777777" w:rsidR="00386247" w:rsidRDefault="00386247">
            <w:pPr>
              <w:spacing w:line="360" w:lineRule="auto"/>
            </w:pPr>
            <w:r>
              <w:t>2.1</w:t>
            </w:r>
          </w:p>
        </w:tc>
        <w:tc>
          <w:tcPr>
            <w:tcW w:w="8172" w:type="dxa"/>
            <w:tcBorders>
              <w:top w:val="single" w:sz="4" w:space="0" w:color="auto"/>
              <w:left w:val="single" w:sz="4" w:space="0" w:color="auto"/>
              <w:bottom w:val="single" w:sz="4" w:space="0" w:color="auto"/>
              <w:right w:val="single" w:sz="4" w:space="0" w:color="auto"/>
            </w:tcBorders>
            <w:hideMark/>
          </w:tcPr>
          <w:p w14:paraId="478DA9C0" w14:textId="77777777" w:rsidR="00386247" w:rsidRDefault="00386247">
            <w:pPr>
              <w:spacing w:line="360" w:lineRule="auto"/>
            </w:pPr>
            <w:r>
              <w:t xml:space="preserve">“I was given this bag of medicines and it was you need to give it to him Monday Wednesday Friday and it freaked me out to be honest... I were terrified of forgetting. What if I forget just one day? He’s going to get ill. If I don’t give it to him on time, what if I give them to him late, will that make any difference to him? Could he get an infection because I've given him his antibiotics in the afternoon and not the morning?” </w:t>
            </w:r>
            <w:r>
              <w:rPr>
                <w:b/>
              </w:rPr>
              <w:t>(Parent 5)</w:t>
            </w:r>
          </w:p>
        </w:tc>
      </w:tr>
      <w:tr w:rsidR="00386247" w14:paraId="27EA1B9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0492873C"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45ABBFA" w14:textId="77777777" w:rsidR="00386247" w:rsidRDefault="00386247">
            <w:pPr>
              <w:spacing w:line="360" w:lineRule="auto"/>
            </w:pPr>
            <w:r>
              <w:t xml:space="preserve">“…it’s easy to forget it. I mean you go a week and actually no he’s not had it… Yeah we do find that he will start to be more unwell. Like we notice he just gets a bit more wheeze especially at night. Have we done it, have you done it? No, ahh that might be why.” </w:t>
            </w:r>
            <w:r>
              <w:rPr>
                <w:b/>
              </w:rPr>
              <w:t>(Parent 6)</w:t>
            </w:r>
          </w:p>
        </w:tc>
      </w:tr>
      <w:tr w:rsidR="00386247" w14:paraId="5164D05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5B326645"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378A5828" w14:textId="77777777" w:rsidR="00386247" w:rsidRDefault="00386247">
            <w:pPr>
              <w:spacing w:line="360" w:lineRule="auto"/>
            </w:pPr>
            <w:r>
              <w:t xml:space="preserve">“Remembering what day you are on when you are doing Monday, Wednesday, Friday, (can be difficult). Whereas if it’s part of your daily routine, yeah we just get up, brush our teeth, have our medicine, have our breakfast and mark it on the calendar which we all share. </w:t>
            </w:r>
            <w:r>
              <w:rPr>
                <w:b/>
              </w:rPr>
              <w:t>(Parent 2)</w:t>
            </w:r>
          </w:p>
        </w:tc>
      </w:tr>
      <w:tr w:rsidR="00386247" w14:paraId="623C8574"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9A9E30" w14:textId="77777777" w:rsidR="00386247" w:rsidRDefault="00386247">
            <w:pPr>
              <w:spacing w:line="360" w:lineRule="auto"/>
            </w:pPr>
            <w:r>
              <w:lastRenderedPageBreak/>
              <w:t>2.2</w:t>
            </w:r>
          </w:p>
        </w:tc>
        <w:tc>
          <w:tcPr>
            <w:tcW w:w="8172" w:type="dxa"/>
            <w:tcBorders>
              <w:top w:val="single" w:sz="4" w:space="0" w:color="auto"/>
              <w:left w:val="single" w:sz="4" w:space="0" w:color="auto"/>
              <w:bottom w:val="single" w:sz="4" w:space="0" w:color="auto"/>
              <w:right w:val="single" w:sz="4" w:space="0" w:color="auto"/>
            </w:tcBorders>
            <w:hideMark/>
          </w:tcPr>
          <w:p w14:paraId="7DB34A76" w14:textId="77777777" w:rsidR="00386247" w:rsidRDefault="00386247">
            <w:pPr>
              <w:spacing w:line="360" w:lineRule="auto"/>
            </w:pPr>
            <w:r>
              <w:t xml:space="preserve">“The consultant explained it very well, what it was for, what they hoped it would do, and he would stop it. It was literally I had no idea it was a powder and I had to make it so that was a bit of a surprise.” </w:t>
            </w:r>
            <w:r>
              <w:rPr>
                <w:b/>
              </w:rPr>
              <w:t>(Parent 14)</w:t>
            </w:r>
          </w:p>
        </w:tc>
      </w:tr>
      <w:tr w:rsidR="00386247" w14:paraId="7D539185"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6D8A542"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048A0F5" w14:textId="77777777" w:rsidR="00386247" w:rsidRDefault="00386247">
            <w:pPr>
              <w:spacing w:line="360" w:lineRule="auto"/>
            </w:pPr>
            <w:r>
              <w:t xml:space="preserve">I had nothing but hassle with this antibiotic. Just the simplest thing from getting it from the chemist because at the start they wouldn't give me dry powder to make it up myself. So I was like battling to and </w:t>
            </w:r>
            <w:proofErr w:type="spellStart"/>
            <w:r>
              <w:t>fro</w:t>
            </w:r>
            <w:proofErr w:type="spellEnd"/>
            <w:r>
              <w:t xml:space="preserve"> trying to get this antibiotic and even now, I didn’t have no medicine for him on the. So every month I've had to phone up the doctors and say, I've no medicine left for Monday. </w:t>
            </w:r>
            <w:r>
              <w:rPr>
                <w:b/>
              </w:rPr>
              <w:t>(Parent 9)</w:t>
            </w:r>
          </w:p>
        </w:tc>
      </w:tr>
      <w:tr w:rsidR="00386247" w14:paraId="2C8D623C"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0A029634"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2049068F" w14:textId="77777777" w:rsidR="00386247" w:rsidRDefault="00386247">
            <w:pPr>
              <w:spacing w:line="360" w:lineRule="auto"/>
            </w:pPr>
            <w:r>
              <w:t xml:space="preserve">“On a personal side of things it were like, thank God we don't have to do that now (administer prophylaxis)... It’s a case of that little bit of relief now.” </w:t>
            </w:r>
            <w:r>
              <w:rPr>
                <w:b/>
              </w:rPr>
              <w:t>(Parent 10)</w:t>
            </w:r>
          </w:p>
        </w:tc>
      </w:tr>
      <w:tr w:rsidR="00386247" w14:paraId="69A6939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6FE59CF"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26C83504" w14:textId="77777777" w:rsidR="00386247" w:rsidRDefault="00386247">
            <w:pPr>
              <w:spacing w:line="360" w:lineRule="auto"/>
            </w:pPr>
            <w:r>
              <w:t xml:space="preserve">“The new antibiotics only last 5 days. You have to discard whatever is left…. I'm wasting antibiotics every week, which... That is NHS money. (Interviewer: What do you do with the antibiotics?) Well I just have to flush it away. We don't know how to dispose of it really.” </w:t>
            </w:r>
            <w:r>
              <w:rPr>
                <w:b/>
              </w:rPr>
              <w:t>(Parent 15)</w:t>
            </w:r>
          </w:p>
        </w:tc>
      </w:tr>
      <w:tr w:rsidR="00386247" w14:paraId="2321C0A9"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367A2B4E"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7DC226F" w14:textId="77777777" w:rsidR="00386247" w:rsidRDefault="00386247">
            <w:pPr>
              <w:spacing w:line="360" w:lineRule="auto"/>
            </w:pPr>
            <w:r>
              <w:t xml:space="preserve">They don't provide you with enough information when they give them (prophylaxis) you. They just say here, have some antibiotics. So I don't' know much about the antibiotics to be fair. </w:t>
            </w:r>
            <w:r>
              <w:rPr>
                <w:b/>
              </w:rPr>
              <w:t>(Parent 8)</w:t>
            </w:r>
          </w:p>
        </w:tc>
      </w:tr>
      <w:tr w:rsidR="00386247" w14:paraId="3F37503A"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0E8E00B" w14:textId="77777777" w:rsidR="00386247" w:rsidRDefault="00386247">
            <w:pPr>
              <w:spacing w:line="360" w:lineRule="auto"/>
            </w:pPr>
            <w:r>
              <w:t>2.3</w:t>
            </w:r>
          </w:p>
        </w:tc>
        <w:tc>
          <w:tcPr>
            <w:tcW w:w="8172" w:type="dxa"/>
            <w:tcBorders>
              <w:top w:val="single" w:sz="4" w:space="0" w:color="auto"/>
              <w:left w:val="single" w:sz="4" w:space="0" w:color="auto"/>
              <w:bottom w:val="single" w:sz="4" w:space="0" w:color="auto"/>
              <w:right w:val="single" w:sz="4" w:space="0" w:color="auto"/>
            </w:tcBorders>
            <w:hideMark/>
          </w:tcPr>
          <w:p w14:paraId="60E7FF3A" w14:textId="77777777" w:rsidR="00386247" w:rsidRDefault="00386247">
            <w:pPr>
              <w:spacing w:line="360" w:lineRule="auto"/>
            </w:pPr>
            <w:r>
              <w:t xml:space="preserve">“Like I said with the ball pools and things like that. If he wasn't on those antibiotics, he wouldn't set foot in the place. I'd be too scared of him picking something up. While ever he's on these antibiotics, I’ve got that little peace of mind that they are protecting him. If he came off them I’d think that would stop and the only place he'd go would be the garden..” </w:t>
            </w:r>
            <w:r>
              <w:rPr>
                <w:b/>
              </w:rPr>
              <w:t>(Parent 5)</w:t>
            </w:r>
          </w:p>
        </w:tc>
      </w:tr>
      <w:tr w:rsidR="00386247" w14:paraId="57B1A604"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480D9A16"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CDD0FBD" w14:textId="77777777" w:rsidR="00386247" w:rsidRDefault="00386247">
            <w:pPr>
              <w:spacing w:line="360" w:lineRule="auto"/>
            </w:pPr>
            <w:r>
              <w:t xml:space="preserve">“She now does swimming lessons whereas I couldn't let her do that before because I'd be worried in case she picked more bugs up.” </w:t>
            </w:r>
            <w:r>
              <w:rPr>
                <w:b/>
              </w:rPr>
              <w:t>(Parent 3)</w:t>
            </w:r>
          </w:p>
        </w:tc>
      </w:tr>
      <w:tr w:rsidR="00386247" w14:paraId="66B09ABD"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553AD7EB"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D7A44DC" w14:textId="77777777" w:rsidR="00386247" w:rsidRDefault="00386247">
            <w:pPr>
              <w:spacing w:line="360" w:lineRule="auto"/>
            </w:pPr>
            <w:r>
              <w:t xml:space="preserve">“I throw her in at everything. When we are outside, she can do mucky play. I don't treat her any differently (being on prophylaxis)” </w:t>
            </w:r>
            <w:r>
              <w:rPr>
                <w:b/>
              </w:rPr>
              <w:t>(Parent 2)</w:t>
            </w:r>
          </w:p>
        </w:tc>
      </w:tr>
      <w:tr w:rsidR="00386247" w14:paraId="3F50E92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202D374D"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1AF5B5E" w14:textId="77777777" w:rsidR="00386247" w:rsidRDefault="00386247">
            <w:pPr>
              <w:spacing w:line="360" w:lineRule="auto"/>
            </w:pPr>
            <w:r>
              <w:t xml:space="preserve">We haven’t been swimming but yeah in terms of mixing with people, I feel more comfortable that I know we have got that cover. But if someone has got a cough, don't cough on him but he has got the antibiotics. Yeah so I guess it </w:t>
            </w:r>
            <w:r>
              <w:lastRenderedPageBreak/>
              <w:t xml:space="preserve">gives you some kind of reassurance that he’s not completely on his own. </w:t>
            </w:r>
            <w:r>
              <w:rPr>
                <w:b/>
              </w:rPr>
              <w:t>(Parent 4)</w:t>
            </w:r>
          </w:p>
        </w:tc>
      </w:tr>
      <w:tr w:rsidR="00386247" w14:paraId="24322BD6"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FED6ED"/>
            <w:hideMark/>
          </w:tcPr>
          <w:p w14:paraId="1E0E8738" w14:textId="77777777" w:rsidR="00386247" w:rsidRDefault="00386247">
            <w:pPr>
              <w:spacing w:line="360" w:lineRule="auto"/>
            </w:pPr>
            <w:r>
              <w:lastRenderedPageBreak/>
              <w:t>3.1</w:t>
            </w:r>
          </w:p>
        </w:tc>
        <w:tc>
          <w:tcPr>
            <w:tcW w:w="8172" w:type="dxa"/>
            <w:tcBorders>
              <w:top w:val="single" w:sz="4" w:space="0" w:color="auto"/>
              <w:left w:val="single" w:sz="4" w:space="0" w:color="auto"/>
              <w:bottom w:val="single" w:sz="4" w:space="0" w:color="auto"/>
              <w:right w:val="single" w:sz="4" w:space="0" w:color="auto"/>
            </w:tcBorders>
            <w:hideMark/>
          </w:tcPr>
          <w:p w14:paraId="2E664357" w14:textId="77777777" w:rsidR="00386247" w:rsidRDefault="00386247">
            <w:pPr>
              <w:spacing w:line="360" w:lineRule="auto"/>
            </w:pPr>
            <w:r>
              <w:t xml:space="preserve">“Even if he just does 2 coughs in his sleep, you go, here we go again. You know and I try and put it into perspective because I think well… We always get through it... So yeah when he starts with a cough. I always expect the worse. We'll end up in hospital he’ll go onto oxygen.” </w:t>
            </w:r>
            <w:r>
              <w:rPr>
                <w:b/>
              </w:rPr>
              <w:t>(Parent 1)</w:t>
            </w:r>
          </w:p>
        </w:tc>
      </w:tr>
      <w:tr w:rsidR="00386247" w14:paraId="49A65849"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33C8724E"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2BD5F1B4" w14:textId="77777777" w:rsidR="00386247" w:rsidRDefault="00386247">
            <w:pPr>
              <w:spacing w:line="360" w:lineRule="auto"/>
            </w:pPr>
            <w:r>
              <w:t xml:space="preserve">“Back to chest infections and in and out of hospital. It’s a destruction of her life that she doesn't need. A common cold can quite easily turn into a severe chest infection. It is just stress. Stress for her, stress for me and progression from normal common colds to chest infections. It is just so drastic.” </w:t>
            </w:r>
            <w:r>
              <w:rPr>
                <w:b/>
              </w:rPr>
              <w:t>(Parent 8)</w:t>
            </w:r>
          </w:p>
        </w:tc>
      </w:tr>
      <w:tr w:rsidR="00386247" w14:paraId="78A2FF42"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0D95D6D1"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485ED1CA" w14:textId="77777777" w:rsidR="00386247" w:rsidRDefault="00386247">
            <w:pPr>
              <w:spacing w:line="360" w:lineRule="auto"/>
            </w:pPr>
            <w:r>
              <w:t xml:space="preserve">“But a lot of the time it is viral and I know that antibiotics won't help but you feel like you are doing something. And I know that... but as a parent you want to be doing something.” </w:t>
            </w:r>
            <w:r>
              <w:rPr>
                <w:b/>
              </w:rPr>
              <w:t>(Parent 1)</w:t>
            </w:r>
          </w:p>
        </w:tc>
      </w:tr>
      <w:tr w:rsidR="00386247" w14:paraId="1754AD82"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20276EC1"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23D0AB9F" w14:textId="77777777" w:rsidR="00386247" w:rsidRDefault="00386247">
            <w:pPr>
              <w:spacing w:line="360" w:lineRule="auto"/>
            </w:pPr>
            <w:r>
              <w:t xml:space="preserve">“(giving acute courses of antibiotics) you feel like you are doing something. I mean when kids get poorly you feel pretty helpless. Cough syrups don’t' work. You can't give them decongestants. So you can pretty much just give them paracetamol and hope it works.” </w:t>
            </w:r>
            <w:r>
              <w:rPr>
                <w:b/>
              </w:rPr>
              <w:t>(Parent 12)</w:t>
            </w:r>
          </w:p>
        </w:tc>
      </w:tr>
      <w:tr w:rsidR="00386247" w14:paraId="0CE58677"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FED6ED"/>
            <w:hideMark/>
          </w:tcPr>
          <w:p w14:paraId="2691174A" w14:textId="77777777" w:rsidR="00386247" w:rsidRDefault="00386247">
            <w:pPr>
              <w:spacing w:line="360" w:lineRule="auto"/>
            </w:pPr>
            <w:r>
              <w:t>3.2</w:t>
            </w:r>
          </w:p>
        </w:tc>
        <w:tc>
          <w:tcPr>
            <w:tcW w:w="8172" w:type="dxa"/>
            <w:tcBorders>
              <w:top w:val="single" w:sz="4" w:space="0" w:color="auto"/>
              <w:left w:val="single" w:sz="4" w:space="0" w:color="auto"/>
              <w:bottom w:val="single" w:sz="4" w:space="0" w:color="auto"/>
              <w:right w:val="single" w:sz="4" w:space="0" w:color="auto"/>
            </w:tcBorders>
            <w:hideMark/>
          </w:tcPr>
          <w:p w14:paraId="27373B2A" w14:textId="77777777" w:rsidR="00386247" w:rsidRDefault="00386247">
            <w:pPr>
              <w:spacing w:line="360" w:lineRule="auto"/>
            </w:pPr>
            <w:r>
              <w:t xml:space="preserve">“Initially we were told; when she has a temperature it might be that she has a worse infection so get her checked out. She gets temperatures less times than not. So that is not a very good gauge for us. Then we were told if her cough is lasting for a couple of weeks, go and get it checked out. And then we were told actually 2 weeks is too long to be waiting. So because of our not wanting her to be on antibiotics too much, coupled with her not getting high temperatures, we haven’t been going and getting extra antibiotics that much. So, I think that is why we have been told, we need to lower our threshold… So I guess the more it happens, the more I’m getting to know when she might need to have some extra help and when not.” </w:t>
            </w:r>
            <w:r>
              <w:rPr>
                <w:b/>
              </w:rPr>
              <w:t>(Parent 11)</w:t>
            </w:r>
          </w:p>
        </w:tc>
      </w:tr>
      <w:tr w:rsidR="00386247" w14:paraId="56B6A32F"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5C642C4A"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0A040168" w14:textId="77777777" w:rsidR="00386247" w:rsidRDefault="00386247">
            <w:pPr>
              <w:spacing w:line="360" w:lineRule="auto"/>
            </w:pPr>
            <w:r>
              <w:t xml:space="preserve">“It’s a bit stressful because it is difficult to get a GP appointment and I know it sounds awful but to fit it in. To try and fit it in, phoning up at 08:00 in the morning…I don't necessarily feel like I'm doing a good job at managing it.” </w:t>
            </w:r>
            <w:r>
              <w:rPr>
                <w:b/>
              </w:rPr>
              <w:t>(Parent 11)</w:t>
            </w:r>
          </w:p>
        </w:tc>
      </w:tr>
      <w:tr w:rsidR="00386247" w14:paraId="52CF3293" w14:textId="77777777" w:rsidTr="00386247">
        <w:tc>
          <w:tcPr>
            <w:tcW w:w="1404" w:type="dxa"/>
            <w:vMerge w:val="restart"/>
            <w:tcBorders>
              <w:top w:val="single" w:sz="4" w:space="0" w:color="auto"/>
              <w:left w:val="single" w:sz="4" w:space="0" w:color="auto"/>
              <w:bottom w:val="single" w:sz="4" w:space="0" w:color="auto"/>
              <w:right w:val="single" w:sz="4" w:space="0" w:color="auto"/>
            </w:tcBorders>
            <w:shd w:val="clear" w:color="auto" w:fill="FED6ED"/>
            <w:hideMark/>
          </w:tcPr>
          <w:p w14:paraId="379F28F4" w14:textId="77777777" w:rsidR="00386247" w:rsidRDefault="00386247">
            <w:pPr>
              <w:spacing w:line="360" w:lineRule="auto"/>
            </w:pPr>
            <w:r>
              <w:lastRenderedPageBreak/>
              <w:t>3.3</w:t>
            </w:r>
          </w:p>
        </w:tc>
        <w:tc>
          <w:tcPr>
            <w:tcW w:w="8172" w:type="dxa"/>
            <w:tcBorders>
              <w:top w:val="single" w:sz="4" w:space="0" w:color="auto"/>
              <w:left w:val="single" w:sz="4" w:space="0" w:color="auto"/>
              <w:bottom w:val="single" w:sz="4" w:space="0" w:color="auto"/>
              <w:right w:val="single" w:sz="4" w:space="0" w:color="auto"/>
            </w:tcBorders>
            <w:hideMark/>
          </w:tcPr>
          <w:p w14:paraId="6FF2DB2D" w14:textId="77777777" w:rsidR="00386247" w:rsidRDefault="00386247">
            <w:pPr>
              <w:spacing w:line="360" w:lineRule="auto"/>
            </w:pPr>
            <w:r>
              <w:t xml:space="preserve">“You can get other bacterial infections like hand foot and mouth, that was going round school and I kept him at home…They ask people not to take antibiotics for a cold because they don't </w:t>
            </w:r>
            <w:proofErr w:type="spellStart"/>
            <w:r>
              <w:t>work.There’s</w:t>
            </w:r>
            <w:proofErr w:type="spellEnd"/>
            <w:r>
              <w:t xml:space="preserve"> nothing you can do its </w:t>
            </w:r>
            <w:proofErr w:type="spellStart"/>
            <w:r>
              <w:t>gonna</w:t>
            </w:r>
            <w:proofErr w:type="spellEnd"/>
            <w:r>
              <w:t xml:space="preserve"> run its course unless it does change and you get an infection then you can have some antibiotics.” </w:t>
            </w:r>
            <w:r>
              <w:rPr>
                <w:b/>
              </w:rPr>
              <w:t>(Parent 5)</w:t>
            </w:r>
          </w:p>
        </w:tc>
      </w:tr>
      <w:tr w:rsidR="00386247" w14:paraId="3AFC8866" w14:textId="77777777" w:rsidTr="00386247">
        <w:tc>
          <w:tcPr>
            <w:tcW w:w="0" w:type="auto"/>
            <w:vMerge/>
            <w:tcBorders>
              <w:top w:val="single" w:sz="4" w:space="0" w:color="auto"/>
              <w:left w:val="single" w:sz="4" w:space="0" w:color="auto"/>
              <w:bottom w:val="single" w:sz="4" w:space="0" w:color="auto"/>
              <w:right w:val="single" w:sz="4" w:space="0" w:color="auto"/>
            </w:tcBorders>
            <w:vAlign w:val="center"/>
            <w:hideMark/>
          </w:tcPr>
          <w:p w14:paraId="71D41A86" w14:textId="77777777" w:rsidR="00386247" w:rsidRDefault="00386247">
            <w:pPr>
              <w:rPr>
                <w:sz w:val="22"/>
                <w:szCs w:val="22"/>
              </w:rPr>
            </w:pPr>
          </w:p>
        </w:tc>
        <w:tc>
          <w:tcPr>
            <w:tcW w:w="8172" w:type="dxa"/>
            <w:tcBorders>
              <w:top w:val="single" w:sz="4" w:space="0" w:color="auto"/>
              <w:left w:val="single" w:sz="4" w:space="0" w:color="auto"/>
              <w:bottom w:val="single" w:sz="4" w:space="0" w:color="auto"/>
              <w:right w:val="single" w:sz="4" w:space="0" w:color="auto"/>
            </w:tcBorders>
            <w:hideMark/>
          </w:tcPr>
          <w:p w14:paraId="710A80CF" w14:textId="77777777" w:rsidR="00386247" w:rsidRDefault="00386247">
            <w:pPr>
              <w:spacing w:line="360" w:lineRule="auto"/>
            </w:pPr>
            <w:r>
              <w:t xml:space="preserve">“There’s quite a few bugs out there like viruses and stuff that can be beaten by the human body but obviously when it’s an infection it needs treating by antibiotics.” </w:t>
            </w:r>
            <w:r>
              <w:rPr>
                <w:b/>
              </w:rPr>
              <w:t>(Parent 2)</w:t>
            </w:r>
          </w:p>
        </w:tc>
      </w:tr>
    </w:tbl>
    <w:p w14:paraId="05098CFF" w14:textId="77777777" w:rsidR="00386247" w:rsidRDefault="00386247" w:rsidP="00386247">
      <w:pPr>
        <w:spacing w:line="360" w:lineRule="auto"/>
        <w:rPr>
          <w:rFonts w:asciiTheme="minorHAnsi" w:hAnsiTheme="minorHAnsi" w:cstheme="minorBidi"/>
          <w:sz w:val="22"/>
          <w:szCs w:val="22"/>
          <w:lang w:val="en-US"/>
        </w:rPr>
      </w:pPr>
    </w:p>
    <w:p w14:paraId="5A72C13E" w14:textId="77777777" w:rsidR="00386247" w:rsidRDefault="00386247" w:rsidP="00386247">
      <w:pPr>
        <w:spacing w:line="360" w:lineRule="auto"/>
        <w:rPr>
          <w:lang w:val="en-US"/>
        </w:rPr>
      </w:pPr>
      <w:r>
        <w:rPr>
          <w:lang w:val="en-US"/>
        </w:rPr>
        <w:t>Legend</w:t>
      </w:r>
    </w:p>
    <w:p w14:paraId="41AE8EA8" w14:textId="53C73A7A" w:rsidR="00386247" w:rsidRPr="00752DA8" w:rsidRDefault="00386247" w:rsidP="00752DA8">
      <w:pPr>
        <w:spacing w:line="360" w:lineRule="auto"/>
        <w:rPr>
          <w:lang w:val="en-US"/>
        </w:rPr>
      </w:pPr>
      <w:r>
        <w:rPr>
          <w:lang w:val="en-US"/>
        </w:rPr>
        <w:t xml:space="preserve">Quotations in this table have been taken directly from the interview transcripts. They have been selected to support the themes developed in the final analysis as reported in table 2 and described in detail within the results section. </w:t>
      </w:r>
      <w:r>
        <w:rPr>
          <w:lang w:val="en-US"/>
        </w:rPr>
        <w:br w:type="page"/>
      </w:r>
    </w:p>
    <w:p w14:paraId="5F0F7784" w14:textId="36E7DCD2" w:rsidR="00F2544F" w:rsidRDefault="00587CD0" w:rsidP="004F3338">
      <w:pPr>
        <w:pStyle w:val="Heading2"/>
      </w:pPr>
      <w:bookmarkStart w:id="338" w:name="_Toc117766030"/>
      <w:r>
        <w:lastRenderedPageBreak/>
        <w:t>Appendi</w:t>
      </w:r>
      <w:r w:rsidR="00C964E1">
        <w:t xml:space="preserve">x </w:t>
      </w:r>
      <w:r w:rsidR="008A4C67">
        <w:t>8</w:t>
      </w:r>
      <w:r w:rsidR="00195CC4">
        <w:t xml:space="preserve">: </w:t>
      </w:r>
      <w:r w:rsidR="004C0DE4">
        <w:t>BAL bacterial culture results from participants in PBB study 1 and 2</w:t>
      </w:r>
      <w:bookmarkEnd w:id="338"/>
    </w:p>
    <w:p w14:paraId="19BEF4B2" w14:textId="33FD553A" w:rsidR="00587CD0" w:rsidRPr="009321A5" w:rsidRDefault="00587CD0" w:rsidP="001D04B2">
      <w:pPr>
        <w:pStyle w:val="Heading3"/>
      </w:pPr>
      <w:bookmarkStart w:id="339" w:name="_Toc117766031"/>
      <w:r w:rsidRPr="009321A5">
        <w:t>BAL results of participants with a microbiological diagnosis of PBB</w:t>
      </w:r>
      <w:r w:rsidR="00624028">
        <w:t xml:space="preserve"> – Study 1 PBB</w:t>
      </w:r>
      <w:bookmarkEnd w:id="339"/>
    </w:p>
    <w:p w14:paraId="4DBE1320" w14:textId="77777777" w:rsidR="00587CD0" w:rsidRDefault="00587CD0" w:rsidP="00587CD0">
      <w:pPr>
        <w:rPr>
          <w:b/>
        </w:rPr>
      </w:pPr>
    </w:p>
    <w:p w14:paraId="0FF090E3" w14:textId="2EAEA145" w:rsidR="00587CD0" w:rsidRPr="00A20AB9" w:rsidRDefault="00587CD0" w:rsidP="00800891">
      <w:pPr>
        <w:spacing w:line="360" w:lineRule="auto"/>
        <w:contextualSpacing/>
      </w:pPr>
      <w:r w:rsidRPr="00A20AB9">
        <w:t>Bacterial isolates grown from bronchoalveolar lavage (BAL) in those with a microbiological diagnosis of PBB</w:t>
      </w:r>
      <w:r>
        <w:t xml:space="preserve"> in PBB study 1</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72"/>
        <w:gridCol w:w="3261"/>
        <w:gridCol w:w="3401"/>
      </w:tblGrid>
      <w:tr w:rsidR="00587CD0" w:rsidRPr="008F33C8" w14:paraId="465322DF" w14:textId="77777777" w:rsidTr="00587CD0">
        <w:tc>
          <w:tcPr>
            <w:tcW w:w="2972" w:type="dxa"/>
            <w:shd w:val="clear" w:color="auto" w:fill="BDD6EE" w:themeFill="accent1" w:themeFillTint="66"/>
          </w:tcPr>
          <w:p w14:paraId="1AF31B46" w14:textId="77777777" w:rsidR="00587CD0" w:rsidRPr="00A20AB9" w:rsidRDefault="00587CD0" w:rsidP="00587CD0">
            <w:r w:rsidRPr="00A20AB9">
              <w:t>Bacterial isolate growth on BAL</w:t>
            </w:r>
          </w:p>
        </w:tc>
        <w:tc>
          <w:tcPr>
            <w:tcW w:w="3261" w:type="dxa"/>
            <w:shd w:val="clear" w:color="auto" w:fill="BDD6EE" w:themeFill="accent1" w:themeFillTint="66"/>
          </w:tcPr>
          <w:p w14:paraId="7B6A18DA" w14:textId="77777777" w:rsidR="00587CD0" w:rsidRPr="00A20AB9" w:rsidRDefault="00587CD0" w:rsidP="00587CD0">
            <w:pPr>
              <w:rPr>
                <w:b/>
              </w:rPr>
            </w:pPr>
            <w:r w:rsidRPr="00A20AB9">
              <w:rPr>
                <w:b/>
              </w:rPr>
              <w:t xml:space="preserve">Control </w:t>
            </w:r>
          </w:p>
          <w:p w14:paraId="30486DE4" w14:textId="77777777" w:rsidR="00587CD0" w:rsidRPr="00A20AB9" w:rsidRDefault="00587CD0" w:rsidP="00587CD0">
            <w:r w:rsidRPr="00A20AB9">
              <w:t>Microbiological diagnosis N = 5</w:t>
            </w:r>
          </w:p>
        </w:tc>
        <w:tc>
          <w:tcPr>
            <w:tcW w:w="3401" w:type="dxa"/>
            <w:shd w:val="clear" w:color="auto" w:fill="BDD6EE" w:themeFill="accent1" w:themeFillTint="66"/>
          </w:tcPr>
          <w:p w14:paraId="65AC7FB2" w14:textId="77777777" w:rsidR="00587CD0" w:rsidRPr="00A20AB9" w:rsidRDefault="00587CD0" w:rsidP="00587CD0">
            <w:pPr>
              <w:rPr>
                <w:b/>
              </w:rPr>
            </w:pPr>
            <w:r w:rsidRPr="00A20AB9">
              <w:rPr>
                <w:b/>
              </w:rPr>
              <w:t>Azithromycin</w:t>
            </w:r>
          </w:p>
          <w:p w14:paraId="25ABAE86" w14:textId="77777777" w:rsidR="00587CD0" w:rsidRPr="00A20AB9" w:rsidRDefault="00587CD0" w:rsidP="00587CD0">
            <w:r w:rsidRPr="00A20AB9">
              <w:t>Microbiological diagnosis N = 6</w:t>
            </w:r>
          </w:p>
        </w:tc>
      </w:tr>
      <w:tr w:rsidR="00587CD0" w:rsidRPr="008F33C8" w14:paraId="37370009" w14:textId="77777777" w:rsidTr="00587CD0">
        <w:tc>
          <w:tcPr>
            <w:tcW w:w="2972" w:type="dxa"/>
          </w:tcPr>
          <w:p w14:paraId="7E6D96D4" w14:textId="77777777" w:rsidR="00587CD0" w:rsidRPr="00A20AB9" w:rsidRDefault="00587CD0" w:rsidP="00587CD0">
            <w:pPr>
              <w:rPr>
                <w:i/>
              </w:rPr>
            </w:pPr>
            <w:r w:rsidRPr="00A20AB9">
              <w:rPr>
                <w:i/>
              </w:rPr>
              <w:t>H. influenzae</w:t>
            </w:r>
          </w:p>
        </w:tc>
        <w:tc>
          <w:tcPr>
            <w:tcW w:w="3261" w:type="dxa"/>
          </w:tcPr>
          <w:p w14:paraId="4D4050B4" w14:textId="77777777" w:rsidR="00587CD0" w:rsidRPr="00A20AB9" w:rsidRDefault="00587CD0" w:rsidP="00587CD0">
            <w:r w:rsidRPr="00A20AB9">
              <w:t>3</w:t>
            </w:r>
          </w:p>
        </w:tc>
        <w:tc>
          <w:tcPr>
            <w:tcW w:w="3401" w:type="dxa"/>
          </w:tcPr>
          <w:p w14:paraId="3764F5D0" w14:textId="77777777" w:rsidR="00587CD0" w:rsidRPr="00A20AB9" w:rsidRDefault="00587CD0" w:rsidP="00587CD0">
            <w:r w:rsidRPr="00A20AB9">
              <w:t>4</w:t>
            </w:r>
          </w:p>
        </w:tc>
      </w:tr>
      <w:tr w:rsidR="00587CD0" w:rsidRPr="008F33C8" w14:paraId="4CCC777F" w14:textId="77777777" w:rsidTr="00587CD0">
        <w:tc>
          <w:tcPr>
            <w:tcW w:w="2972" w:type="dxa"/>
          </w:tcPr>
          <w:p w14:paraId="54091A15" w14:textId="77777777" w:rsidR="00587CD0" w:rsidRPr="00A20AB9" w:rsidRDefault="00587CD0" w:rsidP="00587CD0">
            <w:pPr>
              <w:rPr>
                <w:i/>
              </w:rPr>
            </w:pPr>
            <w:r w:rsidRPr="00A20AB9">
              <w:rPr>
                <w:i/>
              </w:rPr>
              <w:t>S. pneumoniae</w:t>
            </w:r>
          </w:p>
        </w:tc>
        <w:tc>
          <w:tcPr>
            <w:tcW w:w="3261" w:type="dxa"/>
          </w:tcPr>
          <w:p w14:paraId="7C3A7609" w14:textId="77777777" w:rsidR="00587CD0" w:rsidRPr="00A20AB9" w:rsidRDefault="00587CD0" w:rsidP="00587CD0">
            <w:r w:rsidRPr="00A20AB9">
              <w:t>3</w:t>
            </w:r>
          </w:p>
        </w:tc>
        <w:tc>
          <w:tcPr>
            <w:tcW w:w="3401" w:type="dxa"/>
          </w:tcPr>
          <w:p w14:paraId="69CF3260" w14:textId="77777777" w:rsidR="00587CD0" w:rsidRPr="00A20AB9" w:rsidRDefault="00587CD0" w:rsidP="00587CD0">
            <w:r w:rsidRPr="00A20AB9">
              <w:t>1</w:t>
            </w:r>
          </w:p>
        </w:tc>
      </w:tr>
      <w:tr w:rsidR="00587CD0" w:rsidRPr="008F33C8" w14:paraId="37A43DC2" w14:textId="77777777" w:rsidTr="00587CD0">
        <w:tc>
          <w:tcPr>
            <w:tcW w:w="2972" w:type="dxa"/>
          </w:tcPr>
          <w:p w14:paraId="5B112F2F" w14:textId="77777777" w:rsidR="00587CD0" w:rsidRPr="00A20AB9" w:rsidRDefault="00587CD0" w:rsidP="00587CD0">
            <w:pPr>
              <w:rPr>
                <w:i/>
              </w:rPr>
            </w:pPr>
            <w:r w:rsidRPr="00A20AB9">
              <w:rPr>
                <w:i/>
              </w:rPr>
              <w:t>M. catarrhalis</w:t>
            </w:r>
          </w:p>
        </w:tc>
        <w:tc>
          <w:tcPr>
            <w:tcW w:w="3261" w:type="dxa"/>
          </w:tcPr>
          <w:p w14:paraId="3D4BF511" w14:textId="77777777" w:rsidR="00587CD0" w:rsidRPr="00A20AB9" w:rsidRDefault="00587CD0" w:rsidP="00587CD0">
            <w:r w:rsidRPr="00A20AB9">
              <w:t>3</w:t>
            </w:r>
          </w:p>
        </w:tc>
        <w:tc>
          <w:tcPr>
            <w:tcW w:w="3401" w:type="dxa"/>
          </w:tcPr>
          <w:p w14:paraId="26056299" w14:textId="77777777" w:rsidR="00587CD0" w:rsidRPr="00A20AB9" w:rsidRDefault="00587CD0" w:rsidP="00587CD0">
            <w:r w:rsidRPr="00A20AB9">
              <w:t>1</w:t>
            </w:r>
          </w:p>
        </w:tc>
      </w:tr>
      <w:tr w:rsidR="00587CD0" w:rsidRPr="008F33C8" w14:paraId="6129D83A" w14:textId="77777777" w:rsidTr="00587CD0">
        <w:tc>
          <w:tcPr>
            <w:tcW w:w="2972" w:type="dxa"/>
          </w:tcPr>
          <w:p w14:paraId="32E1FB77" w14:textId="77777777" w:rsidR="00587CD0" w:rsidRPr="00A20AB9" w:rsidRDefault="00587CD0" w:rsidP="00587CD0">
            <w:pPr>
              <w:rPr>
                <w:i/>
              </w:rPr>
            </w:pPr>
            <w:r w:rsidRPr="00A20AB9">
              <w:rPr>
                <w:i/>
              </w:rPr>
              <w:t xml:space="preserve">H. </w:t>
            </w:r>
            <w:proofErr w:type="spellStart"/>
            <w:r w:rsidRPr="00A20AB9">
              <w:rPr>
                <w:i/>
              </w:rPr>
              <w:t>parainfluenzae</w:t>
            </w:r>
            <w:proofErr w:type="spellEnd"/>
          </w:p>
        </w:tc>
        <w:tc>
          <w:tcPr>
            <w:tcW w:w="3261" w:type="dxa"/>
          </w:tcPr>
          <w:p w14:paraId="2278E2B8" w14:textId="77777777" w:rsidR="00587CD0" w:rsidRPr="00A20AB9" w:rsidRDefault="00587CD0" w:rsidP="00587CD0">
            <w:r w:rsidRPr="00A20AB9">
              <w:t>0</w:t>
            </w:r>
          </w:p>
        </w:tc>
        <w:tc>
          <w:tcPr>
            <w:tcW w:w="3401" w:type="dxa"/>
          </w:tcPr>
          <w:p w14:paraId="129E6232" w14:textId="77777777" w:rsidR="00587CD0" w:rsidRPr="00A20AB9" w:rsidRDefault="00587CD0" w:rsidP="00587CD0">
            <w:r w:rsidRPr="00A20AB9">
              <w:t>2</w:t>
            </w:r>
          </w:p>
        </w:tc>
      </w:tr>
    </w:tbl>
    <w:p w14:paraId="1D590E87" w14:textId="77777777" w:rsidR="00587CD0" w:rsidRDefault="00587CD0" w:rsidP="00587CD0">
      <w:pPr>
        <w:pStyle w:val="ListParagraph"/>
        <w:spacing w:line="360" w:lineRule="auto"/>
        <w:ind w:left="0"/>
        <w:rPr>
          <w:sz w:val="24"/>
          <w:szCs w:val="24"/>
        </w:rPr>
      </w:pPr>
    </w:p>
    <w:p w14:paraId="72A852AF" w14:textId="06A3A8D0" w:rsidR="00105B61" w:rsidRDefault="00105B61" w:rsidP="00984685">
      <w:pPr>
        <w:pStyle w:val="Heading3"/>
      </w:pPr>
      <w:bookmarkStart w:id="340" w:name="_Toc117766032"/>
      <w:r>
        <w:t>BAL results of participants with a microbiological diagnosis of PBB – Study PBB 2</w:t>
      </w:r>
      <w:bookmarkEnd w:id="340"/>
    </w:p>
    <w:p w14:paraId="7C8F0244" w14:textId="686E8319" w:rsidR="00587CD0" w:rsidRPr="00241369" w:rsidRDefault="00587CD0" w:rsidP="00587CD0">
      <w:pPr>
        <w:spacing w:line="360" w:lineRule="auto"/>
        <w:rPr>
          <w:b/>
        </w:rPr>
      </w:pPr>
      <w:r w:rsidRPr="00A20AB9">
        <w:t>Bacterial isolates grown from bronchoalveolar lavage (BAL) in those with a microbiological diagnosis of PBB in PBB study 2</w:t>
      </w:r>
    </w:p>
    <w:tbl>
      <w:tblPr>
        <w:tblW w:w="100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16"/>
        <w:gridCol w:w="3258"/>
        <w:gridCol w:w="3686"/>
      </w:tblGrid>
      <w:tr w:rsidR="00587CD0" w:rsidRPr="008F33C8" w14:paraId="72210499" w14:textId="77777777" w:rsidTr="00587CD0">
        <w:tc>
          <w:tcPr>
            <w:tcW w:w="3116" w:type="dxa"/>
            <w:shd w:val="clear" w:color="auto" w:fill="BDD6EE" w:themeFill="accent1" w:themeFillTint="66"/>
          </w:tcPr>
          <w:p w14:paraId="1556F7DF" w14:textId="77777777" w:rsidR="00587CD0" w:rsidRPr="00A20AB9" w:rsidRDefault="00587CD0" w:rsidP="00587CD0">
            <w:r w:rsidRPr="00A20AB9">
              <w:t>Bacterial isolate growth on BAL</w:t>
            </w:r>
          </w:p>
        </w:tc>
        <w:tc>
          <w:tcPr>
            <w:tcW w:w="3258" w:type="dxa"/>
            <w:shd w:val="clear" w:color="auto" w:fill="BDD6EE" w:themeFill="accent1" w:themeFillTint="66"/>
          </w:tcPr>
          <w:p w14:paraId="446FE194" w14:textId="77777777" w:rsidR="00587CD0" w:rsidRPr="00A20AB9" w:rsidRDefault="00587CD0" w:rsidP="00587CD0">
            <w:pPr>
              <w:rPr>
                <w:b/>
              </w:rPr>
            </w:pPr>
            <w:r w:rsidRPr="00A20AB9">
              <w:rPr>
                <w:b/>
              </w:rPr>
              <w:t>Control</w:t>
            </w:r>
          </w:p>
          <w:p w14:paraId="132DD41E" w14:textId="7B3499F8" w:rsidR="00587CD0" w:rsidRPr="00A20AB9" w:rsidRDefault="00587CD0" w:rsidP="00587CD0">
            <w:r w:rsidRPr="00A20AB9">
              <w:t>Microbiological diagnosis N=</w:t>
            </w:r>
            <w:r w:rsidR="00CF7BD8">
              <w:t>8</w:t>
            </w:r>
          </w:p>
        </w:tc>
        <w:tc>
          <w:tcPr>
            <w:tcW w:w="3686" w:type="dxa"/>
            <w:shd w:val="clear" w:color="auto" w:fill="BDD6EE" w:themeFill="accent1" w:themeFillTint="66"/>
          </w:tcPr>
          <w:p w14:paraId="602F4535" w14:textId="77777777" w:rsidR="00587CD0" w:rsidRPr="00A20AB9" w:rsidRDefault="00587CD0" w:rsidP="00587CD0">
            <w:pPr>
              <w:rPr>
                <w:b/>
              </w:rPr>
            </w:pPr>
            <w:r w:rsidRPr="00A20AB9">
              <w:rPr>
                <w:b/>
              </w:rPr>
              <w:t>Azithromycin</w:t>
            </w:r>
          </w:p>
          <w:p w14:paraId="107EF8F2" w14:textId="25AC457F" w:rsidR="00587CD0" w:rsidRPr="00A20AB9" w:rsidRDefault="00587CD0" w:rsidP="00587CD0">
            <w:r w:rsidRPr="00A20AB9">
              <w:t>Microbiological diagnosis N=1</w:t>
            </w:r>
            <w:r w:rsidR="00CF7BD8">
              <w:t>4</w:t>
            </w:r>
            <w:r w:rsidRPr="00A20AB9">
              <w:t xml:space="preserve"> </w:t>
            </w:r>
          </w:p>
        </w:tc>
      </w:tr>
      <w:tr w:rsidR="00587CD0" w:rsidRPr="008F33C8" w14:paraId="3B19A9DB" w14:textId="77777777" w:rsidTr="00587CD0">
        <w:tc>
          <w:tcPr>
            <w:tcW w:w="3116" w:type="dxa"/>
          </w:tcPr>
          <w:p w14:paraId="77BA539F" w14:textId="77777777" w:rsidR="00587CD0" w:rsidRPr="00A20AB9" w:rsidRDefault="00587CD0" w:rsidP="00587CD0">
            <w:pPr>
              <w:rPr>
                <w:i/>
              </w:rPr>
            </w:pPr>
            <w:r w:rsidRPr="00A20AB9">
              <w:rPr>
                <w:i/>
              </w:rPr>
              <w:t>H. influenzae</w:t>
            </w:r>
          </w:p>
        </w:tc>
        <w:tc>
          <w:tcPr>
            <w:tcW w:w="3258" w:type="dxa"/>
          </w:tcPr>
          <w:p w14:paraId="4226E649" w14:textId="6AC88762" w:rsidR="00587CD0" w:rsidRPr="00A20AB9" w:rsidRDefault="00CF7BD8" w:rsidP="00587CD0">
            <w:r>
              <w:t>5</w:t>
            </w:r>
          </w:p>
        </w:tc>
        <w:tc>
          <w:tcPr>
            <w:tcW w:w="3686" w:type="dxa"/>
          </w:tcPr>
          <w:p w14:paraId="695D4B2B" w14:textId="77777777" w:rsidR="00587CD0" w:rsidRPr="00A20AB9" w:rsidRDefault="00587CD0" w:rsidP="00587CD0">
            <w:r w:rsidRPr="00A20AB9">
              <w:t>12</w:t>
            </w:r>
          </w:p>
        </w:tc>
      </w:tr>
      <w:tr w:rsidR="00587CD0" w:rsidRPr="008F33C8" w14:paraId="19E452A5" w14:textId="77777777" w:rsidTr="00587CD0">
        <w:tc>
          <w:tcPr>
            <w:tcW w:w="3116" w:type="dxa"/>
          </w:tcPr>
          <w:p w14:paraId="62960C5A" w14:textId="77777777" w:rsidR="00587CD0" w:rsidRPr="00A20AB9" w:rsidRDefault="00587CD0" w:rsidP="00587CD0">
            <w:pPr>
              <w:rPr>
                <w:i/>
              </w:rPr>
            </w:pPr>
            <w:r w:rsidRPr="00A20AB9">
              <w:rPr>
                <w:i/>
              </w:rPr>
              <w:t xml:space="preserve">S. pneumoniae </w:t>
            </w:r>
          </w:p>
        </w:tc>
        <w:tc>
          <w:tcPr>
            <w:tcW w:w="3258" w:type="dxa"/>
          </w:tcPr>
          <w:p w14:paraId="3164B1B6" w14:textId="77777777" w:rsidR="00587CD0" w:rsidRPr="00A20AB9" w:rsidRDefault="00587CD0" w:rsidP="00587CD0">
            <w:r w:rsidRPr="00A20AB9">
              <w:t>2</w:t>
            </w:r>
          </w:p>
        </w:tc>
        <w:tc>
          <w:tcPr>
            <w:tcW w:w="3686" w:type="dxa"/>
          </w:tcPr>
          <w:p w14:paraId="7F0264DC" w14:textId="77777777" w:rsidR="00587CD0" w:rsidRPr="00A20AB9" w:rsidRDefault="00587CD0" w:rsidP="00587CD0">
            <w:r w:rsidRPr="00A20AB9">
              <w:t>3</w:t>
            </w:r>
          </w:p>
        </w:tc>
      </w:tr>
      <w:tr w:rsidR="00587CD0" w:rsidRPr="008F33C8" w14:paraId="79992654" w14:textId="77777777" w:rsidTr="00587CD0">
        <w:tc>
          <w:tcPr>
            <w:tcW w:w="3116" w:type="dxa"/>
          </w:tcPr>
          <w:p w14:paraId="67434E31" w14:textId="77777777" w:rsidR="00587CD0" w:rsidRPr="00A20AB9" w:rsidRDefault="00587CD0" w:rsidP="00587CD0">
            <w:pPr>
              <w:rPr>
                <w:i/>
              </w:rPr>
            </w:pPr>
            <w:r w:rsidRPr="00A20AB9">
              <w:rPr>
                <w:i/>
              </w:rPr>
              <w:t>M. catarrhalis</w:t>
            </w:r>
          </w:p>
        </w:tc>
        <w:tc>
          <w:tcPr>
            <w:tcW w:w="3258" w:type="dxa"/>
          </w:tcPr>
          <w:p w14:paraId="1C1BAE3B" w14:textId="2BE1278E" w:rsidR="00587CD0" w:rsidRPr="00A20AB9" w:rsidRDefault="00CF7BD8" w:rsidP="00587CD0">
            <w:r>
              <w:t>3</w:t>
            </w:r>
          </w:p>
        </w:tc>
        <w:tc>
          <w:tcPr>
            <w:tcW w:w="3686" w:type="dxa"/>
          </w:tcPr>
          <w:p w14:paraId="6CF7CDA5" w14:textId="77777777" w:rsidR="00587CD0" w:rsidRPr="00A20AB9" w:rsidRDefault="00587CD0" w:rsidP="00587CD0">
            <w:r w:rsidRPr="00A20AB9">
              <w:t>2</w:t>
            </w:r>
          </w:p>
        </w:tc>
      </w:tr>
    </w:tbl>
    <w:p w14:paraId="03605A3B" w14:textId="229B64FF" w:rsidR="00587CD0" w:rsidRDefault="00587CD0" w:rsidP="00587CD0">
      <w:pPr>
        <w:spacing w:line="360" w:lineRule="auto"/>
        <w:rPr>
          <w:b/>
        </w:rPr>
      </w:pPr>
    </w:p>
    <w:p w14:paraId="3E7E606E" w14:textId="114634FB" w:rsidR="00C2034B" w:rsidRDefault="00C2034B" w:rsidP="00587CD0">
      <w:pPr>
        <w:spacing w:line="360" w:lineRule="auto"/>
        <w:rPr>
          <w:b/>
        </w:rPr>
      </w:pPr>
    </w:p>
    <w:p w14:paraId="4D6B2C91" w14:textId="23999709" w:rsidR="00C2034B" w:rsidRDefault="00C2034B" w:rsidP="00587CD0">
      <w:pPr>
        <w:spacing w:line="360" w:lineRule="auto"/>
        <w:rPr>
          <w:b/>
        </w:rPr>
      </w:pPr>
    </w:p>
    <w:p w14:paraId="5643FE5F" w14:textId="09827501" w:rsidR="00C2034B" w:rsidRDefault="00C2034B" w:rsidP="00587CD0">
      <w:pPr>
        <w:spacing w:line="360" w:lineRule="auto"/>
        <w:rPr>
          <w:b/>
        </w:rPr>
      </w:pPr>
    </w:p>
    <w:p w14:paraId="6CCF6FD1" w14:textId="1EC6366C" w:rsidR="00C2034B" w:rsidRDefault="00C2034B" w:rsidP="00587CD0">
      <w:pPr>
        <w:spacing w:line="360" w:lineRule="auto"/>
        <w:rPr>
          <w:b/>
        </w:rPr>
      </w:pPr>
    </w:p>
    <w:p w14:paraId="07FFC6B4" w14:textId="7A769252" w:rsidR="00751D62" w:rsidRPr="00A20AB9" w:rsidRDefault="00B76F76" w:rsidP="00B76F76">
      <w:pPr>
        <w:spacing w:after="160" w:line="259" w:lineRule="auto"/>
        <w:rPr>
          <w:b/>
        </w:rPr>
      </w:pPr>
      <w:r>
        <w:rPr>
          <w:b/>
        </w:rPr>
        <w:br w:type="page"/>
      </w:r>
    </w:p>
    <w:p w14:paraId="4E86634B" w14:textId="7DB9B9D9" w:rsidR="000352DC" w:rsidRDefault="000352DC" w:rsidP="004F3338">
      <w:pPr>
        <w:pStyle w:val="Heading2"/>
      </w:pPr>
      <w:bookmarkStart w:id="341" w:name="_Toc117766033"/>
      <w:r>
        <w:lastRenderedPageBreak/>
        <w:t xml:space="preserve">Appendix </w:t>
      </w:r>
      <w:r w:rsidR="008A4C67">
        <w:t>9</w:t>
      </w:r>
      <w:r>
        <w:t>: PBB study 1: MIC data</w:t>
      </w:r>
      <w:bookmarkEnd w:id="341"/>
    </w:p>
    <w:p w14:paraId="791D848A" w14:textId="77777777" w:rsidR="000352DC" w:rsidRPr="00202F4F" w:rsidRDefault="000352DC" w:rsidP="001D04B2"/>
    <w:p w14:paraId="1EA54E70" w14:textId="18F0AEC1" w:rsidR="000352DC" w:rsidRDefault="000352DC" w:rsidP="000352DC">
      <w:r>
        <w:rPr>
          <w:noProof/>
        </w:rPr>
        <w:drawing>
          <wp:inline distT="0" distB="0" distL="0" distR="0" wp14:anchorId="646CCE2B" wp14:editId="618FFD0E">
            <wp:extent cx="5857875" cy="1609725"/>
            <wp:effectExtent l="0" t="0" r="9525" b="9525"/>
            <wp:docPr id="61" name="Chart 61">
              <a:extLst xmlns:a="http://schemas.openxmlformats.org/drawingml/2006/main">
                <a:ext uri="{FF2B5EF4-FFF2-40B4-BE49-F238E27FC236}">
                  <a16:creationId xmlns:a16="http://schemas.microsoft.com/office/drawing/2014/main" id="{F9DB09B2-3B90-4C82-9462-DDF743C6D4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14:paraId="249C6F63" w14:textId="02F1BC22" w:rsidR="000352DC" w:rsidRDefault="000352DC" w:rsidP="000352DC"/>
    <w:p w14:paraId="0ECB1FA0" w14:textId="77777777" w:rsidR="00AC2855" w:rsidRDefault="00AC2855" w:rsidP="000352DC"/>
    <w:p w14:paraId="025B071E" w14:textId="2FDEC32F" w:rsidR="000352DC" w:rsidRDefault="000352DC" w:rsidP="000352DC">
      <w:r>
        <w:rPr>
          <w:noProof/>
        </w:rPr>
        <w:drawing>
          <wp:inline distT="0" distB="0" distL="0" distR="0" wp14:anchorId="2DCBC4C0" wp14:editId="7FF3CF07">
            <wp:extent cx="5943600" cy="1734331"/>
            <wp:effectExtent l="0" t="0" r="0" b="18415"/>
            <wp:docPr id="62" name="Chart 62">
              <a:extLst xmlns:a="http://schemas.openxmlformats.org/drawingml/2006/main">
                <a:ext uri="{FF2B5EF4-FFF2-40B4-BE49-F238E27FC236}">
                  <a16:creationId xmlns:a16="http://schemas.microsoft.com/office/drawing/2014/main" id="{F9807FEF-21E2-4FD2-9A7A-DAE6F4117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14:paraId="5390E3A4" w14:textId="77777777" w:rsidR="00B76F76" w:rsidRDefault="00B76F76" w:rsidP="000352DC">
      <w:pPr>
        <w:rPr>
          <w:i/>
          <w:iCs/>
        </w:rPr>
      </w:pPr>
    </w:p>
    <w:p w14:paraId="61674D0F" w14:textId="31D85711" w:rsidR="000352DC" w:rsidRPr="00400887" w:rsidRDefault="000352DC" w:rsidP="00B76F76">
      <w:pPr>
        <w:spacing w:line="360" w:lineRule="auto"/>
        <w:rPr>
          <w:i/>
          <w:iCs/>
        </w:rPr>
      </w:pPr>
      <w:r w:rsidRPr="00400887">
        <w:rPr>
          <w:i/>
          <w:iCs/>
        </w:rPr>
        <w:t xml:space="preserve">All bacterial isolates were tested for azithromycin susceptibility using E-test strips. The EUCAST breakpoints were used to determine susceptibility or resistance. The dotted red line indicates the breakpoint for each bacteria. </w:t>
      </w:r>
    </w:p>
    <w:p w14:paraId="6306FB76" w14:textId="5AB4AA68" w:rsidR="000352DC" w:rsidRPr="00400887" w:rsidRDefault="000352DC">
      <w:pPr>
        <w:numPr>
          <w:ilvl w:val="0"/>
          <w:numId w:val="10"/>
        </w:numPr>
        <w:spacing w:line="360" w:lineRule="auto"/>
        <w:rPr>
          <w:i/>
          <w:iCs/>
        </w:rPr>
      </w:pPr>
      <w:r w:rsidRPr="00400887">
        <w:rPr>
          <w:i/>
          <w:iCs/>
        </w:rPr>
        <w:t>M. catarrhalis:</w:t>
      </w:r>
      <w:r w:rsidRPr="00400887">
        <w:rPr>
          <w:i/>
          <w:iCs/>
        </w:rPr>
        <w:tab/>
        <w:t>&gt;0.5 mg/L</w:t>
      </w:r>
    </w:p>
    <w:p w14:paraId="1DE9C066" w14:textId="77777777" w:rsidR="000352DC" w:rsidRPr="00400887" w:rsidRDefault="000352DC">
      <w:pPr>
        <w:numPr>
          <w:ilvl w:val="0"/>
          <w:numId w:val="10"/>
        </w:numPr>
        <w:spacing w:line="360" w:lineRule="auto"/>
        <w:rPr>
          <w:i/>
          <w:iCs/>
        </w:rPr>
      </w:pPr>
      <w:r w:rsidRPr="00400887">
        <w:rPr>
          <w:i/>
          <w:iCs/>
        </w:rPr>
        <w:t>S. aureus:</w:t>
      </w:r>
      <w:r w:rsidRPr="00400887">
        <w:rPr>
          <w:i/>
          <w:iCs/>
        </w:rPr>
        <w:tab/>
      </w:r>
      <w:r w:rsidRPr="00400887">
        <w:rPr>
          <w:i/>
          <w:iCs/>
        </w:rPr>
        <w:tab/>
        <w:t>&gt; 2 mg/L</w:t>
      </w:r>
    </w:p>
    <w:p w14:paraId="041CCE25" w14:textId="65F51C7D" w:rsidR="000352DC" w:rsidRPr="00202F4F" w:rsidRDefault="00751D62" w:rsidP="00B76F76">
      <w:pPr>
        <w:spacing w:line="360" w:lineRule="auto"/>
      </w:pPr>
      <w:r>
        <w:br w:type="page"/>
      </w:r>
    </w:p>
    <w:p w14:paraId="53261A28" w14:textId="3A57CCFC" w:rsidR="00642450" w:rsidRDefault="00186299" w:rsidP="004F3338">
      <w:pPr>
        <w:pStyle w:val="Heading2"/>
      </w:pPr>
      <w:bookmarkStart w:id="342" w:name="_Toc117766034"/>
      <w:r>
        <w:lastRenderedPageBreak/>
        <w:t xml:space="preserve">Appendix </w:t>
      </w:r>
      <w:r w:rsidR="008A4C67">
        <w:t>10</w:t>
      </w:r>
      <w:r>
        <w:t xml:space="preserve">: </w:t>
      </w:r>
      <w:r w:rsidR="00642450">
        <w:t xml:space="preserve">Quality </w:t>
      </w:r>
      <w:r w:rsidR="004451A4">
        <w:t>c</w:t>
      </w:r>
      <w:r w:rsidR="00642450">
        <w:t xml:space="preserve">ontrol using </w:t>
      </w:r>
      <w:r w:rsidR="004451A4">
        <w:t>‘</w:t>
      </w:r>
      <w:proofErr w:type="spellStart"/>
      <w:r w:rsidR="004451A4">
        <w:t>d</w:t>
      </w:r>
      <w:r w:rsidR="00642450">
        <w:t>econtam</w:t>
      </w:r>
      <w:proofErr w:type="spellEnd"/>
      <w:r w:rsidR="004451A4">
        <w:t>’</w:t>
      </w:r>
      <w:r w:rsidR="00642450">
        <w:t xml:space="preserve"> in R</w:t>
      </w:r>
      <w:bookmarkEnd w:id="342"/>
    </w:p>
    <w:p w14:paraId="35595029" w14:textId="23A8367D" w:rsidR="00A659DA" w:rsidRDefault="00642450" w:rsidP="00400887">
      <w:pPr>
        <w:spacing w:line="360" w:lineRule="auto"/>
      </w:pPr>
      <w:r>
        <w:t xml:space="preserve">The following graphs were generated </w:t>
      </w:r>
      <w:r w:rsidR="00606386">
        <w:t>during the quality control process in R using the package</w:t>
      </w:r>
      <w:r w:rsidR="00625D44">
        <w:t>s ‘</w:t>
      </w:r>
      <w:proofErr w:type="spellStart"/>
      <w:r w:rsidR="00625D44">
        <w:t>phyloseq</w:t>
      </w:r>
      <w:proofErr w:type="spellEnd"/>
      <w:r w:rsidR="00625D44">
        <w:t>’ and ‘</w:t>
      </w:r>
      <w:proofErr w:type="spellStart"/>
      <w:r w:rsidR="00625D44">
        <w:t>d</w:t>
      </w:r>
      <w:r w:rsidR="00606386">
        <w:t>econtam</w:t>
      </w:r>
      <w:proofErr w:type="spellEnd"/>
      <w:r w:rsidR="00625D44">
        <w:t>’</w:t>
      </w:r>
      <w:r w:rsidR="00606386">
        <w:t>.</w:t>
      </w:r>
      <w:r w:rsidR="00A659DA">
        <w:t xml:space="preserve"> First the raw reads were to ensure that the samples reads were higher than the controls, </w:t>
      </w:r>
    </w:p>
    <w:p w14:paraId="5960741E" w14:textId="54F30DE7" w:rsidR="00A659DA" w:rsidRDefault="00A659DA" w:rsidP="001D04B2">
      <w:pPr>
        <w:pStyle w:val="Heading3"/>
      </w:pPr>
      <w:bookmarkStart w:id="343" w:name="_Toc117766035"/>
      <w:r>
        <w:t>Raw read</w:t>
      </w:r>
      <w:r w:rsidR="00C8097D">
        <w:t>s</w:t>
      </w:r>
      <w:r>
        <w:t xml:space="preserve"> in relation to sample type</w:t>
      </w:r>
      <w:bookmarkEnd w:id="343"/>
    </w:p>
    <w:p w14:paraId="5804C072" w14:textId="5A19F491" w:rsidR="00A659DA" w:rsidRPr="00642450" w:rsidRDefault="00A659DA" w:rsidP="001D04B2">
      <w:r>
        <w:rPr>
          <w:noProof/>
        </w:rPr>
        <w:drawing>
          <wp:inline distT="0" distB="0" distL="0" distR="0" wp14:anchorId="30C83CB6" wp14:editId="142987C1">
            <wp:extent cx="6633652" cy="4419600"/>
            <wp:effectExtent l="0" t="0" r="0" b="0"/>
            <wp:docPr id="401" name="Picture 4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Chart&#10;&#10;Description automatically generated"/>
                    <pic:cNvPicPr/>
                  </pic:nvPicPr>
                  <pic:blipFill>
                    <a:blip r:embed="rId350"/>
                    <a:stretch>
                      <a:fillRect/>
                    </a:stretch>
                  </pic:blipFill>
                  <pic:spPr>
                    <a:xfrm>
                      <a:off x="0" y="0"/>
                      <a:ext cx="6635094" cy="4420561"/>
                    </a:xfrm>
                    <a:prstGeom prst="rect">
                      <a:avLst/>
                    </a:prstGeom>
                  </pic:spPr>
                </pic:pic>
              </a:graphicData>
            </a:graphic>
          </wp:inline>
        </w:drawing>
      </w:r>
    </w:p>
    <w:p w14:paraId="1B1851CF" w14:textId="34F57A7D" w:rsidR="00186299" w:rsidRPr="00400887" w:rsidRDefault="00A659DA" w:rsidP="00186299">
      <w:pPr>
        <w:rPr>
          <w:i/>
          <w:iCs/>
        </w:rPr>
      </w:pPr>
      <w:r w:rsidRPr="00400887">
        <w:t xml:space="preserve"> </w:t>
      </w:r>
      <w:r w:rsidRPr="00400887">
        <w:rPr>
          <w:i/>
          <w:iCs/>
        </w:rPr>
        <w:t xml:space="preserve">A graph to show the number of raw reads per sample in relation to the </w:t>
      </w:r>
      <w:r w:rsidR="00C8097D" w:rsidRPr="00400887">
        <w:rPr>
          <w:i/>
          <w:iCs/>
        </w:rPr>
        <w:t xml:space="preserve">4 </w:t>
      </w:r>
      <w:r w:rsidRPr="00400887">
        <w:rPr>
          <w:i/>
          <w:iCs/>
        </w:rPr>
        <w:t>sample type</w:t>
      </w:r>
      <w:r w:rsidR="00C8097D" w:rsidRPr="00400887">
        <w:rPr>
          <w:i/>
          <w:iCs/>
        </w:rPr>
        <w:t xml:space="preserve">s. </w:t>
      </w:r>
    </w:p>
    <w:p w14:paraId="19951BEC" w14:textId="3DEA4ABF" w:rsidR="00692C1E" w:rsidRDefault="00692C1E" w:rsidP="001D04B2">
      <w:pPr>
        <w:pStyle w:val="Heading3"/>
      </w:pPr>
      <w:bookmarkStart w:id="344" w:name="_Toc117766036"/>
      <w:r>
        <w:lastRenderedPageBreak/>
        <w:t>Microbial composition of all negative controls</w:t>
      </w:r>
      <w:bookmarkEnd w:id="344"/>
    </w:p>
    <w:p w14:paraId="292B3228" w14:textId="3EE89D7E" w:rsidR="00CF02CE" w:rsidRDefault="00CF02CE" w:rsidP="00186299">
      <w:r>
        <w:rPr>
          <w:noProof/>
        </w:rPr>
        <w:drawing>
          <wp:inline distT="0" distB="0" distL="0" distR="0" wp14:anchorId="488CEE90" wp14:editId="4927FF15">
            <wp:extent cx="6719432" cy="4476750"/>
            <wp:effectExtent l="0" t="0" r="5715" b="0"/>
            <wp:docPr id="402" name="Picture 40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A picture containing chart&#10;&#10;Description automatically generated"/>
                    <pic:cNvPicPr/>
                  </pic:nvPicPr>
                  <pic:blipFill>
                    <a:blip r:embed="rId351"/>
                    <a:stretch>
                      <a:fillRect/>
                    </a:stretch>
                  </pic:blipFill>
                  <pic:spPr>
                    <a:xfrm>
                      <a:off x="0" y="0"/>
                      <a:ext cx="6728097" cy="4482523"/>
                    </a:xfrm>
                    <a:prstGeom prst="rect">
                      <a:avLst/>
                    </a:prstGeom>
                  </pic:spPr>
                </pic:pic>
              </a:graphicData>
            </a:graphic>
          </wp:inline>
        </w:drawing>
      </w:r>
    </w:p>
    <w:p w14:paraId="7CEEBAA5" w14:textId="6D66BC8B" w:rsidR="00CF02CE" w:rsidRPr="00400887" w:rsidRDefault="00CF02CE" w:rsidP="00186299">
      <w:pPr>
        <w:rPr>
          <w:i/>
          <w:iCs/>
        </w:rPr>
      </w:pPr>
      <w:r w:rsidRPr="00400887">
        <w:rPr>
          <w:i/>
          <w:iCs/>
        </w:rPr>
        <w:t xml:space="preserve">A graph to show the raw read count and relative abundance of the top 15 ASVs in the negative controls. Blank_526_1a and _1b were PCR blanks and removed. </w:t>
      </w:r>
    </w:p>
    <w:p w14:paraId="3C00C53E" w14:textId="5A02D2C5" w:rsidR="00CF02CE" w:rsidRDefault="00CF02CE" w:rsidP="00186299"/>
    <w:p w14:paraId="395CA7E8" w14:textId="19BB57F5" w:rsidR="00CF02CE" w:rsidRDefault="00CF02CE" w:rsidP="00186299"/>
    <w:p w14:paraId="4999A727" w14:textId="5EA65EA9" w:rsidR="00CF02CE" w:rsidRDefault="00B76F76" w:rsidP="00B76F76">
      <w:pPr>
        <w:spacing w:after="160" w:line="259" w:lineRule="auto"/>
      </w:pPr>
      <w:r>
        <w:br w:type="page"/>
      </w:r>
    </w:p>
    <w:p w14:paraId="3AAF9E6D" w14:textId="1E0ADF04" w:rsidR="00634886" w:rsidRDefault="00634886" w:rsidP="001D04B2">
      <w:pPr>
        <w:pStyle w:val="Heading3"/>
      </w:pPr>
      <w:bookmarkStart w:id="345" w:name="_Toc117766037"/>
      <w:r>
        <w:lastRenderedPageBreak/>
        <w:t>Microbial composition of the mock communities</w:t>
      </w:r>
      <w:bookmarkEnd w:id="345"/>
    </w:p>
    <w:p w14:paraId="7A12860C" w14:textId="77777777" w:rsidR="00634886" w:rsidRDefault="00634886" w:rsidP="00186299"/>
    <w:p w14:paraId="3CC8A72B" w14:textId="0E1311D2" w:rsidR="00186299" w:rsidRDefault="00634886" w:rsidP="00186299">
      <w:r>
        <w:rPr>
          <w:noProof/>
        </w:rPr>
        <w:drawing>
          <wp:inline distT="0" distB="0" distL="0" distR="0" wp14:anchorId="19EA2A60" wp14:editId="7D459C18">
            <wp:extent cx="6719432" cy="4476750"/>
            <wp:effectExtent l="0" t="0" r="5715" b="0"/>
            <wp:docPr id="389" name="Picture 3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Chart, bar chart&#10;&#10;Description automatically generated"/>
                    <pic:cNvPicPr/>
                  </pic:nvPicPr>
                  <pic:blipFill>
                    <a:blip r:embed="rId352"/>
                    <a:stretch>
                      <a:fillRect/>
                    </a:stretch>
                  </pic:blipFill>
                  <pic:spPr>
                    <a:xfrm>
                      <a:off x="0" y="0"/>
                      <a:ext cx="6722022" cy="4478476"/>
                    </a:xfrm>
                    <a:prstGeom prst="rect">
                      <a:avLst/>
                    </a:prstGeom>
                  </pic:spPr>
                </pic:pic>
              </a:graphicData>
            </a:graphic>
          </wp:inline>
        </w:drawing>
      </w:r>
    </w:p>
    <w:p w14:paraId="72E22736" w14:textId="27CA2755" w:rsidR="00634886" w:rsidRPr="00400887" w:rsidRDefault="00CF02CE" w:rsidP="00186299">
      <w:pPr>
        <w:rPr>
          <w:i/>
          <w:iCs/>
        </w:rPr>
      </w:pPr>
      <w:r w:rsidRPr="00400887">
        <w:rPr>
          <w:i/>
          <w:iCs/>
        </w:rPr>
        <w:t>A grap</w:t>
      </w:r>
      <w:r w:rsidR="00400887" w:rsidRPr="00400887">
        <w:rPr>
          <w:i/>
          <w:iCs/>
        </w:rPr>
        <w:t>h</w:t>
      </w:r>
      <w:r w:rsidRPr="00400887">
        <w:rPr>
          <w:i/>
          <w:iCs/>
        </w:rPr>
        <w:t xml:space="preserve"> to show the r</w:t>
      </w:r>
      <w:r w:rsidR="00634886" w:rsidRPr="00400887">
        <w:rPr>
          <w:i/>
          <w:iCs/>
        </w:rPr>
        <w:t>elative abundance of the top 15 ASVs in the two positive control mock communities</w:t>
      </w:r>
      <w:r w:rsidR="00606386" w:rsidRPr="00400887">
        <w:rPr>
          <w:i/>
          <w:iCs/>
        </w:rPr>
        <w:t xml:space="preserve"> with known community compositions.</w:t>
      </w:r>
    </w:p>
    <w:p w14:paraId="79C399C9" w14:textId="77777777" w:rsidR="00634886" w:rsidRDefault="00634886" w:rsidP="00186299"/>
    <w:p w14:paraId="0C9F4B48" w14:textId="649CEF28" w:rsidR="00634886" w:rsidRDefault="00634886" w:rsidP="001D04B2">
      <w:pPr>
        <w:pStyle w:val="Heading3"/>
      </w:pPr>
      <w:bookmarkStart w:id="346" w:name="_Toc117766038"/>
      <w:r>
        <w:lastRenderedPageBreak/>
        <w:t xml:space="preserve">Microbial composition of the </w:t>
      </w:r>
      <w:proofErr w:type="spellStart"/>
      <w:r w:rsidR="00642450">
        <w:t>I</w:t>
      </w:r>
      <w:r>
        <w:t>so</w:t>
      </w:r>
      <w:r w:rsidR="00642450">
        <w:t>_</w:t>
      </w:r>
      <w:r>
        <w:t>blank</w:t>
      </w:r>
      <w:proofErr w:type="spellEnd"/>
      <w:r w:rsidR="00642450">
        <w:t xml:space="preserve"> controls</w:t>
      </w:r>
      <w:bookmarkEnd w:id="346"/>
    </w:p>
    <w:p w14:paraId="732C3C19" w14:textId="64922858" w:rsidR="00634886" w:rsidRDefault="00634886" w:rsidP="00186299">
      <w:r>
        <w:rPr>
          <w:noProof/>
        </w:rPr>
        <w:drawing>
          <wp:inline distT="0" distB="0" distL="0" distR="0" wp14:anchorId="02B6D690" wp14:editId="10F790E2">
            <wp:extent cx="5943600" cy="3959860"/>
            <wp:effectExtent l="0" t="0" r="0" b="2540"/>
            <wp:docPr id="394" name="Picture 3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Chart&#10;&#10;Description automatically generated"/>
                    <pic:cNvPicPr/>
                  </pic:nvPicPr>
                  <pic:blipFill>
                    <a:blip r:embed="rId353"/>
                    <a:stretch>
                      <a:fillRect/>
                    </a:stretch>
                  </pic:blipFill>
                  <pic:spPr>
                    <a:xfrm>
                      <a:off x="0" y="0"/>
                      <a:ext cx="5943600" cy="3959860"/>
                    </a:xfrm>
                    <a:prstGeom prst="rect">
                      <a:avLst/>
                    </a:prstGeom>
                  </pic:spPr>
                </pic:pic>
              </a:graphicData>
            </a:graphic>
          </wp:inline>
        </w:drawing>
      </w:r>
    </w:p>
    <w:p w14:paraId="5622AFB4" w14:textId="7107CF83" w:rsidR="00634886" w:rsidRDefault="00634886" w:rsidP="001D04B2">
      <w:pPr>
        <w:rPr>
          <w:i/>
          <w:iCs/>
        </w:rPr>
      </w:pPr>
      <w:r w:rsidRPr="00400887">
        <w:rPr>
          <w:i/>
          <w:iCs/>
        </w:rPr>
        <w:t>L</w:t>
      </w:r>
      <w:r w:rsidR="00CF02CE" w:rsidRPr="00400887">
        <w:rPr>
          <w:i/>
          <w:iCs/>
        </w:rPr>
        <w:t>A graph to show the raw read count and r</w:t>
      </w:r>
      <w:r w:rsidRPr="00400887">
        <w:rPr>
          <w:i/>
          <w:iCs/>
        </w:rPr>
        <w:t xml:space="preserve">elative abundance of the top 15 </w:t>
      </w:r>
      <w:r w:rsidR="00CF02CE" w:rsidRPr="00400887">
        <w:rPr>
          <w:i/>
          <w:iCs/>
        </w:rPr>
        <w:t xml:space="preserve">most abundant </w:t>
      </w:r>
      <w:r w:rsidRPr="00400887">
        <w:rPr>
          <w:i/>
          <w:iCs/>
        </w:rPr>
        <w:t xml:space="preserve">ASVs in the 10 negative </w:t>
      </w:r>
      <w:proofErr w:type="spellStart"/>
      <w:r w:rsidRPr="00400887">
        <w:rPr>
          <w:i/>
          <w:iCs/>
        </w:rPr>
        <w:t>ISO_blank</w:t>
      </w:r>
      <w:proofErr w:type="spellEnd"/>
      <w:r w:rsidRPr="00400887">
        <w:rPr>
          <w:i/>
          <w:iCs/>
        </w:rPr>
        <w:t xml:space="preserve"> controls containing reagents</w:t>
      </w:r>
      <w:r w:rsidR="00D534B4" w:rsidRPr="00400887">
        <w:rPr>
          <w:i/>
          <w:iCs/>
        </w:rPr>
        <w:t xml:space="preserve"> aliquoted during the DNA extraction</w:t>
      </w:r>
    </w:p>
    <w:p w14:paraId="53B0BEC3" w14:textId="3E932784" w:rsidR="00400887" w:rsidRDefault="00400887" w:rsidP="001D04B2">
      <w:pPr>
        <w:rPr>
          <w:i/>
          <w:iCs/>
        </w:rPr>
      </w:pPr>
    </w:p>
    <w:p w14:paraId="674E17F5" w14:textId="7AAFE659" w:rsidR="00400887" w:rsidRDefault="00B76F76" w:rsidP="00B76F76">
      <w:pPr>
        <w:spacing w:after="160" w:line="259" w:lineRule="auto"/>
        <w:rPr>
          <w:i/>
          <w:iCs/>
        </w:rPr>
      </w:pPr>
      <w:r>
        <w:rPr>
          <w:i/>
          <w:iCs/>
        </w:rPr>
        <w:br w:type="page"/>
      </w:r>
    </w:p>
    <w:p w14:paraId="747E216A" w14:textId="77777777" w:rsidR="00400887" w:rsidRPr="00400887" w:rsidRDefault="00400887" w:rsidP="001D04B2">
      <w:pPr>
        <w:rPr>
          <w:i/>
          <w:iCs/>
        </w:rPr>
      </w:pPr>
    </w:p>
    <w:p w14:paraId="30D39DF3" w14:textId="6975D9FC" w:rsidR="00642450" w:rsidRDefault="00634886" w:rsidP="00642450">
      <w:pPr>
        <w:pStyle w:val="Heading3"/>
      </w:pPr>
      <w:bookmarkStart w:id="347" w:name="_Toc117766039"/>
      <w:r>
        <w:t>Microbial composition of the nasopharyngeal swab transport medium blanks</w:t>
      </w:r>
      <w:bookmarkEnd w:id="347"/>
    </w:p>
    <w:p w14:paraId="31D308E7" w14:textId="77777777" w:rsidR="00642450" w:rsidRPr="00642450" w:rsidRDefault="00642450" w:rsidP="001D04B2"/>
    <w:p w14:paraId="51F6884A" w14:textId="06F18B43" w:rsidR="00634886" w:rsidRDefault="00634886" w:rsidP="00642450">
      <w:r>
        <w:rPr>
          <w:noProof/>
        </w:rPr>
        <w:drawing>
          <wp:inline distT="0" distB="0" distL="0" distR="0" wp14:anchorId="0EFAAE9D" wp14:editId="58038B04">
            <wp:extent cx="6600825" cy="4397729"/>
            <wp:effectExtent l="0" t="0" r="0" b="3175"/>
            <wp:docPr id="400" name="Picture 40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Chart&#10;&#10;Description automatically generated with medium confidence"/>
                    <pic:cNvPicPr/>
                  </pic:nvPicPr>
                  <pic:blipFill>
                    <a:blip r:embed="rId354"/>
                    <a:stretch>
                      <a:fillRect/>
                    </a:stretch>
                  </pic:blipFill>
                  <pic:spPr>
                    <a:xfrm>
                      <a:off x="0" y="0"/>
                      <a:ext cx="6610145" cy="4403938"/>
                    </a:xfrm>
                    <a:prstGeom prst="rect">
                      <a:avLst/>
                    </a:prstGeom>
                  </pic:spPr>
                </pic:pic>
              </a:graphicData>
            </a:graphic>
          </wp:inline>
        </w:drawing>
      </w:r>
    </w:p>
    <w:p w14:paraId="7B783997" w14:textId="28E79053" w:rsidR="00642450" w:rsidRPr="00400887" w:rsidRDefault="00CF02CE" w:rsidP="001D04B2">
      <w:pPr>
        <w:rPr>
          <w:i/>
          <w:iCs/>
        </w:rPr>
      </w:pPr>
      <w:r w:rsidRPr="00400887">
        <w:rPr>
          <w:i/>
          <w:iCs/>
        </w:rPr>
        <w:t>A graph to show the m</w:t>
      </w:r>
      <w:r w:rsidR="00642450" w:rsidRPr="00400887">
        <w:rPr>
          <w:i/>
          <w:iCs/>
        </w:rPr>
        <w:t>icrobial composition</w:t>
      </w:r>
      <w:r w:rsidRPr="00400887">
        <w:rPr>
          <w:i/>
          <w:iCs/>
        </w:rPr>
        <w:t xml:space="preserve"> and raw read count</w:t>
      </w:r>
      <w:r w:rsidR="00642450" w:rsidRPr="00400887">
        <w:rPr>
          <w:i/>
          <w:iCs/>
        </w:rPr>
        <w:t xml:space="preserve"> of the 4 nasopharyngeal transport medium controls</w:t>
      </w:r>
      <w:r w:rsidR="00D534B4" w:rsidRPr="00400887">
        <w:rPr>
          <w:i/>
          <w:iCs/>
        </w:rPr>
        <w:t xml:space="preserve"> that did not contain any samples or reagents.</w:t>
      </w:r>
      <w:r w:rsidRPr="00400887">
        <w:rPr>
          <w:i/>
          <w:iCs/>
        </w:rPr>
        <w:t xml:space="preserve"> Only the top 15 most abundant ASVs are shown. </w:t>
      </w:r>
    </w:p>
    <w:p w14:paraId="3BDBE0B8" w14:textId="1AE4BF57" w:rsidR="00642450" w:rsidRDefault="00642450"/>
    <w:p w14:paraId="548D3104" w14:textId="7F083106" w:rsidR="00DD6355" w:rsidRDefault="00DD6355"/>
    <w:p w14:paraId="784DB148" w14:textId="796D4369" w:rsidR="00DD6355" w:rsidRDefault="00DD6355"/>
    <w:p w14:paraId="6FBFFED0" w14:textId="7784F6D1" w:rsidR="00DD6355" w:rsidRDefault="00DD6355"/>
    <w:p w14:paraId="42FD99CD" w14:textId="4C76ED14" w:rsidR="00DD6355" w:rsidRDefault="00DD6355"/>
    <w:p w14:paraId="0971E43F" w14:textId="19703557" w:rsidR="00DD6355" w:rsidRDefault="00DD6355"/>
    <w:p w14:paraId="00BB0534" w14:textId="3FF3EAAD" w:rsidR="00DD6355" w:rsidRDefault="00DD6355"/>
    <w:p w14:paraId="0B7EC2D9" w14:textId="258B8A7A" w:rsidR="00DD6355" w:rsidRDefault="00DD6355"/>
    <w:p w14:paraId="2251FB5A" w14:textId="4924E3C9" w:rsidR="00DD6355" w:rsidRDefault="00DD6355"/>
    <w:p w14:paraId="27436ED0" w14:textId="60FEDE67" w:rsidR="00B76F76" w:rsidRDefault="00B76F76"/>
    <w:p w14:paraId="2CA70224" w14:textId="2AE06AFD" w:rsidR="00B76F76" w:rsidRDefault="00B76F76"/>
    <w:p w14:paraId="7E753290" w14:textId="1DEB2443" w:rsidR="00B76F76" w:rsidRDefault="00B76F76"/>
    <w:p w14:paraId="60DAD5A3" w14:textId="11D59707" w:rsidR="00B76F76" w:rsidRDefault="00B76F76"/>
    <w:p w14:paraId="4A0F9925" w14:textId="77777777" w:rsidR="00B76F76" w:rsidRDefault="00B76F76"/>
    <w:p w14:paraId="2794FCCE" w14:textId="20914B1E" w:rsidR="00DD6355" w:rsidRDefault="00DD6355" w:rsidP="004F3338">
      <w:pPr>
        <w:pStyle w:val="Heading2"/>
      </w:pPr>
      <w:bookmarkStart w:id="348" w:name="_Toc117766040"/>
      <w:r>
        <w:lastRenderedPageBreak/>
        <w:t xml:space="preserve">Appendix </w:t>
      </w:r>
      <w:r w:rsidR="008A4C67">
        <w:t>11</w:t>
      </w:r>
      <w:r>
        <w:t>: Additional NMDS plots</w:t>
      </w:r>
      <w:bookmarkEnd w:id="348"/>
    </w:p>
    <w:p w14:paraId="2DF10760" w14:textId="307EE83B" w:rsidR="00DD6355" w:rsidRDefault="00DD6355" w:rsidP="00DD6355"/>
    <w:p w14:paraId="0F9FFF32" w14:textId="373E642C" w:rsidR="008407C2" w:rsidRPr="0003144C" w:rsidRDefault="008407C2" w:rsidP="0003144C">
      <w:pPr>
        <w:spacing w:line="360" w:lineRule="auto"/>
        <w:rPr>
          <w:u w:val="single"/>
        </w:rPr>
      </w:pPr>
      <w:r w:rsidRPr="0003144C">
        <w:rPr>
          <w:u w:val="single"/>
        </w:rPr>
        <w:t>Baseline comparisons</w:t>
      </w:r>
    </w:p>
    <w:p w14:paraId="4652D010" w14:textId="16B9C3EC" w:rsidR="00AF4243" w:rsidRPr="0003144C" w:rsidRDefault="00E66B47" w:rsidP="0003144C">
      <w:pPr>
        <w:spacing w:line="360" w:lineRule="auto"/>
      </w:pPr>
      <w:r w:rsidRPr="0003144C">
        <w:t>Neither being in the active vs comparison group nor the mode of delivery were significant when tested in multivariable PERMANOVA model; R2= 0.04, p= 0.37 and R2= 0.04, p=0.47 respectively.</w:t>
      </w:r>
      <w:r w:rsidR="00AF4243" w:rsidRPr="0003144C">
        <w:t xml:space="preserve"> A univariant PERMANOVA model was run in order to ensure that there was not a large effect of the azithromycin treatment masking the effect of the mode of delivery when in a multivariable model. This was however not the case; R=0.04, p=0.53.</w:t>
      </w:r>
    </w:p>
    <w:p w14:paraId="2FD533E1" w14:textId="7204E0BC" w:rsidR="00E66B47" w:rsidRDefault="00E66B47" w:rsidP="00E66B47"/>
    <w:p w14:paraId="75329042" w14:textId="77777777" w:rsidR="00E66B47" w:rsidRDefault="00E66B47" w:rsidP="00DD6355"/>
    <w:p w14:paraId="53D253DB" w14:textId="77777777" w:rsidR="00DD6355" w:rsidRDefault="00DD6355" w:rsidP="00400887">
      <w:pPr>
        <w:pStyle w:val="ListParagraph"/>
      </w:pPr>
    </w:p>
    <w:p w14:paraId="59996A14" w14:textId="10E24734" w:rsidR="00DD6355" w:rsidRDefault="00DD6355" w:rsidP="001D04B2">
      <w:pPr>
        <w:pStyle w:val="ListParagraph"/>
      </w:pPr>
      <w:r w:rsidRPr="00DD6355">
        <w:rPr>
          <w:noProof/>
        </w:rPr>
        <w:drawing>
          <wp:inline distT="0" distB="0" distL="0" distR="0" wp14:anchorId="79ECD95D" wp14:editId="41E7AA41">
            <wp:extent cx="5943600" cy="3668395"/>
            <wp:effectExtent l="0" t="0" r="0" b="8255"/>
            <wp:docPr id="207" name="Picture 20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 bubble chart&#10;&#10;Description automatically generated"/>
                    <pic:cNvPicPr/>
                  </pic:nvPicPr>
                  <pic:blipFill>
                    <a:blip r:embed="rId355"/>
                    <a:stretch>
                      <a:fillRect/>
                    </a:stretch>
                  </pic:blipFill>
                  <pic:spPr>
                    <a:xfrm>
                      <a:off x="0" y="0"/>
                      <a:ext cx="5943600" cy="3668395"/>
                    </a:xfrm>
                    <a:prstGeom prst="rect">
                      <a:avLst/>
                    </a:prstGeom>
                  </pic:spPr>
                </pic:pic>
              </a:graphicData>
            </a:graphic>
          </wp:inline>
        </w:drawing>
      </w:r>
    </w:p>
    <w:p w14:paraId="3BA4C161" w14:textId="2557D500" w:rsidR="00DD6355" w:rsidRPr="00400887" w:rsidRDefault="00DD6355" w:rsidP="001D04B2">
      <w:pPr>
        <w:pStyle w:val="ListParagraph"/>
        <w:rPr>
          <w:i/>
          <w:iCs/>
          <w:sz w:val="24"/>
          <w:szCs w:val="24"/>
        </w:rPr>
      </w:pPr>
      <w:r w:rsidRPr="00400887">
        <w:rPr>
          <w:i/>
          <w:iCs/>
          <w:sz w:val="24"/>
          <w:szCs w:val="24"/>
        </w:rPr>
        <w:t xml:space="preserve">Beta diversity calculated using the Bray-Curtis dissimilarity measure and plotted using Non-Metric Multidimensional Scaling (NMDS). Coloured plots indicate </w:t>
      </w:r>
      <w:r w:rsidR="00DD49F6" w:rsidRPr="00400887">
        <w:rPr>
          <w:i/>
          <w:iCs/>
          <w:sz w:val="24"/>
          <w:szCs w:val="24"/>
        </w:rPr>
        <w:t xml:space="preserve">the baseline </w:t>
      </w:r>
      <w:r w:rsidRPr="00400887">
        <w:rPr>
          <w:i/>
          <w:iCs/>
          <w:sz w:val="24"/>
          <w:szCs w:val="24"/>
        </w:rPr>
        <w:t xml:space="preserve">samples taken from participants either in the comparison or azithromycin group. </w:t>
      </w:r>
      <w:r w:rsidR="00DD49F6" w:rsidRPr="00400887">
        <w:rPr>
          <w:i/>
          <w:iCs/>
          <w:sz w:val="24"/>
          <w:szCs w:val="24"/>
        </w:rPr>
        <w:t xml:space="preserve">The square or cross represents whether the participant was delivered vaginal delivery or not. </w:t>
      </w:r>
    </w:p>
    <w:p w14:paraId="35931A19" w14:textId="1C760D57" w:rsidR="00DD49F6" w:rsidRDefault="00DD49F6" w:rsidP="00DD49F6">
      <w:pPr>
        <w:pStyle w:val="ListParagraph"/>
      </w:pPr>
    </w:p>
    <w:p w14:paraId="073E08F3" w14:textId="13D523B7" w:rsidR="00E66B47" w:rsidRDefault="00E66B47" w:rsidP="00DD49F6">
      <w:pPr>
        <w:pStyle w:val="ListParagraph"/>
      </w:pPr>
    </w:p>
    <w:p w14:paraId="36104B8B" w14:textId="6564D09C" w:rsidR="00DD6355" w:rsidRDefault="00DD6355" w:rsidP="00DD6355"/>
    <w:p w14:paraId="67A3E81B" w14:textId="160C422E" w:rsidR="00AC094A" w:rsidRDefault="00AC094A" w:rsidP="00DD6355"/>
    <w:p w14:paraId="6F53A78A" w14:textId="774F4840" w:rsidR="00AC094A" w:rsidRPr="0003144C" w:rsidRDefault="00AC094A" w:rsidP="0003144C">
      <w:pPr>
        <w:spacing w:line="360" w:lineRule="auto"/>
      </w:pPr>
    </w:p>
    <w:p w14:paraId="6520C1DF" w14:textId="76417E46" w:rsidR="00AC094A" w:rsidRPr="0003144C" w:rsidRDefault="00AC094A" w:rsidP="0003144C">
      <w:pPr>
        <w:spacing w:line="360" w:lineRule="auto"/>
      </w:pPr>
      <w:r w:rsidRPr="0003144C">
        <w:lastRenderedPageBreak/>
        <w:t>Neither being in the active vs comparison group nor being breast fed or not were significant when tested in multivariable PERMANOVA model; R2= 0.04, p= 0.39 and R2= 0.05, p=0.30 respectively. A univariant PERMANOVA model was run in order to ensure that there was not a large effect of the azithromycin treatment masking the effect of the mode of delivery when in a multivariable model. This was however not the case; R=0.05, p=0.26.</w:t>
      </w:r>
    </w:p>
    <w:p w14:paraId="3793A77A" w14:textId="368CC046" w:rsidR="00AC094A" w:rsidRDefault="00AC094A" w:rsidP="00DD6355"/>
    <w:p w14:paraId="50B905CF" w14:textId="77777777" w:rsidR="00AC094A" w:rsidRDefault="00AC094A" w:rsidP="00DD6355"/>
    <w:p w14:paraId="7F0459FB" w14:textId="55BC6BDE" w:rsidR="00DD6355" w:rsidRDefault="00DD4ABB" w:rsidP="00DD4ABB">
      <w:pPr>
        <w:pStyle w:val="ListParagraph"/>
      </w:pPr>
      <w:r w:rsidRPr="00DD4ABB">
        <w:rPr>
          <w:noProof/>
        </w:rPr>
        <w:drawing>
          <wp:inline distT="0" distB="0" distL="0" distR="0" wp14:anchorId="5CABC6B8" wp14:editId="15AEAE15">
            <wp:extent cx="5943600" cy="3668395"/>
            <wp:effectExtent l="0" t="0" r="0" b="8255"/>
            <wp:docPr id="208" name="Picture 20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bubble chart&#10;&#10;Description automatically generated"/>
                    <pic:cNvPicPr/>
                  </pic:nvPicPr>
                  <pic:blipFill>
                    <a:blip r:embed="rId356"/>
                    <a:stretch>
                      <a:fillRect/>
                    </a:stretch>
                  </pic:blipFill>
                  <pic:spPr>
                    <a:xfrm>
                      <a:off x="0" y="0"/>
                      <a:ext cx="5943600" cy="3668395"/>
                    </a:xfrm>
                    <a:prstGeom prst="rect">
                      <a:avLst/>
                    </a:prstGeom>
                  </pic:spPr>
                </pic:pic>
              </a:graphicData>
            </a:graphic>
          </wp:inline>
        </w:drawing>
      </w:r>
    </w:p>
    <w:p w14:paraId="09FBC1FD" w14:textId="528070E0" w:rsidR="00DD4ABB" w:rsidRPr="00400887" w:rsidRDefault="00DD4ABB" w:rsidP="001D04B2">
      <w:pPr>
        <w:pStyle w:val="ListParagraph"/>
        <w:rPr>
          <w:i/>
          <w:iCs/>
          <w:sz w:val="24"/>
          <w:szCs w:val="24"/>
        </w:rPr>
      </w:pPr>
      <w:r w:rsidRPr="00400887">
        <w:rPr>
          <w:i/>
          <w:iCs/>
          <w:sz w:val="24"/>
          <w:szCs w:val="24"/>
        </w:rPr>
        <w:t xml:space="preserve">Beta diversity calculated using the Bray-Curtis dissimilarity measure and plotted using Non-Metric Multidimensional Scaling (NMDS). Coloured plots indicate the baseline samples taken from participants either in the comparison or azithromycin group. The square or cross represents whether there was </w:t>
      </w:r>
      <w:r w:rsidR="00B536C6" w:rsidRPr="00400887">
        <w:rPr>
          <w:i/>
          <w:iCs/>
          <w:sz w:val="24"/>
          <w:szCs w:val="24"/>
        </w:rPr>
        <w:t>breast fed</w:t>
      </w:r>
      <w:r w:rsidRPr="00400887">
        <w:rPr>
          <w:i/>
          <w:iCs/>
          <w:sz w:val="24"/>
          <w:szCs w:val="24"/>
        </w:rPr>
        <w:t xml:space="preserve"> or not. </w:t>
      </w:r>
    </w:p>
    <w:p w14:paraId="1A4DB19F" w14:textId="77777777" w:rsidR="00DD4ABB" w:rsidRDefault="00DD4ABB" w:rsidP="00DD4ABB">
      <w:pPr>
        <w:pStyle w:val="ListParagraph"/>
      </w:pPr>
    </w:p>
    <w:p w14:paraId="38830F9F" w14:textId="07C2827A" w:rsidR="00DD4ABB" w:rsidRDefault="00DD4ABB" w:rsidP="00DD4ABB"/>
    <w:p w14:paraId="126D1BE4" w14:textId="1F66A508" w:rsidR="00DD6355" w:rsidRDefault="00DD6355" w:rsidP="00400887"/>
    <w:p w14:paraId="20778006" w14:textId="284255A1" w:rsidR="00AC094A" w:rsidRDefault="00AC094A" w:rsidP="001D04B2">
      <w:pPr>
        <w:pStyle w:val="ListParagraph"/>
      </w:pPr>
    </w:p>
    <w:p w14:paraId="13DBD8A2" w14:textId="3C52DD04" w:rsidR="00B76F76" w:rsidRDefault="00B76F76" w:rsidP="001D04B2">
      <w:pPr>
        <w:pStyle w:val="ListParagraph"/>
      </w:pPr>
    </w:p>
    <w:p w14:paraId="51F5C0DD" w14:textId="5BF4B307" w:rsidR="00B76F76" w:rsidRDefault="00B76F76" w:rsidP="001D04B2">
      <w:pPr>
        <w:pStyle w:val="ListParagraph"/>
      </w:pPr>
    </w:p>
    <w:p w14:paraId="5584FE17" w14:textId="6A149D6E" w:rsidR="00B76F76" w:rsidRDefault="00B76F76" w:rsidP="001D04B2">
      <w:pPr>
        <w:pStyle w:val="ListParagraph"/>
      </w:pPr>
    </w:p>
    <w:p w14:paraId="33E88670" w14:textId="77777777" w:rsidR="00B76F76" w:rsidRDefault="00B76F76" w:rsidP="001D04B2">
      <w:pPr>
        <w:pStyle w:val="ListParagraph"/>
      </w:pPr>
    </w:p>
    <w:p w14:paraId="3D4D2CFC" w14:textId="5385238F" w:rsidR="00AC094A" w:rsidRPr="0003144C" w:rsidRDefault="00AC094A" w:rsidP="0003144C">
      <w:pPr>
        <w:spacing w:line="360" w:lineRule="auto"/>
      </w:pPr>
      <w:r w:rsidRPr="0003144C">
        <w:lastRenderedPageBreak/>
        <w:t>Neither being in the active vs comparison group nor exposure to parental smoking were significant when tested in multivariable PERMANOVA model; R2= 0.04, p= 0.42 and R2= 0.03, p=0.75 respectively. A univariant PERMANOVA model was run in order to ensure that there was not a large effect of the azithromycin treatment masking the effect of the mode of delivery when in a multivariable model. This was however not the case; R=0.03, p=0.76.</w:t>
      </w:r>
    </w:p>
    <w:p w14:paraId="099C72E8" w14:textId="51F0E14F" w:rsidR="00AC094A" w:rsidRDefault="00AC094A" w:rsidP="001D04B2">
      <w:pPr>
        <w:pStyle w:val="ListParagraph"/>
      </w:pPr>
    </w:p>
    <w:p w14:paraId="210061ED" w14:textId="77777777" w:rsidR="00AC094A" w:rsidRDefault="00AC094A" w:rsidP="001D04B2">
      <w:pPr>
        <w:pStyle w:val="ListParagraph"/>
      </w:pPr>
    </w:p>
    <w:p w14:paraId="469EE1EF" w14:textId="37706D0E" w:rsidR="00B536C6" w:rsidRDefault="00B536C6" w:rsidP="001D04B2">
      <w:pPr>
        <w:pStyle w:val="ListParagraph"/>
      </w:pPr>
      <w:r w:rsidRPr="00B536C6">
        <w:rPr>
          <w:noProof/>
        </w:rPr>
        <w:drawing>
          <wp:inline distT="0" distB="0" distL="0" distR="0" wp14:anchorId="1ED637EF" wp14:editId="46042506">
            <wp:extent cx="5943600" cy="3668395"/>
            <wp:effectExtent l="0" t="0" r="0" b="8255"/>
            <wp:docPr id="215" name="Picture 21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Chart, bubble chart&#10;&#10;Description automatically generated"/>
                    <pic:cNvPicPr/>
                  </pic:nvPicPr>
                  <pic:blipFill>
                    <a:blip r:embed="rId357"/>
                    <a:stretch>
                      <a:fillRect/>
                    </a:stretch>
                  </pic:blipFill>
                  <pic:spPr>
                    <a:xfrm>
                      <a:off x="0" y="0"/>
                      <a:ext cx="5943600" cy="3668395"/>
                    </a:xfrm>
                    <a:prstGeom prst="rect">
                      <a:avLst/>
                    </a:prstGeom>
                  </pic:spPr>
                </pic:pic>
              </a:graphicData>
            </a:graphic>
          </wp:inline>
        </w:drawing>
      </w:r>
    </w:p>
    <w:p w14:paraId="4A5A5D58" w14:textId="30DC24CE" w:rsidR="00B536C6" w:rsidRPr="00400887" w:rsidRDefault="00B536C6" w:rsidP="00B536C6">
      <w:pPr>
        <w:pStyle w:val="ListParagraph"/>
        <w:rPr>
          <w:i/>
          <w:iCs/>
          <w:sz w:val="24"/>
          <w:szCs w:val="24"/>
        </w:rPr>
      </w:pPr>
      <w:r w:rsidRPr="00400887">
        <w:rPr>
          <w:i/>
          <w:iCs/>
          <w:sz w:val="24"/>
          <w:szCs w:val="24"/>
        </w:rPr>
        <w:t xml:space="preserve">Beta diversity calculated using the Bray-Curtis dissimilarity measure and plotted using Non-Metric Multidimensional Scaling (NMDS). Coloured plots indicate the baseline samples taken from participants either in the comparison or azithromycin group. The square or cross represents whether there was parental smoking or not. </w:t>
      </w:r>
    </w:p>
    <w:p w14:paraId="07BBD7D5" w14:textId="77777777" w:rsidR="00B536C6" w:rsidRDefault="00B536C6" w:rsidP="00B536C6">
      <w:pPr>
        <w:pStyle w:val="ListParagraph"/>
      </w:pPr>
    </w:p>
    <w:p w14:paraId="1A442F99" w14:textId="07DCAB03" w:rsidR="00DD6355" w:rsidRDefault="00DD6355" w:rsidP="00DD6355"/>
    <w:p w14:paraId="37993B3A" w14:textId="20540943" w:rsidR="00DD6355" w:rsidRDefault="00DD6355" w:rsidP="001D04B2"/>
    <w:p w14:paraId="3A336D7A" w14:textId="77777777" w:rsidR="008407C2" w:rsidRDefault="008407C2"/>
    <w:p w14:paraId="12253B9D" w14:textId="77777777" w:rsidR="008407C2" w:rsidRDefault="008407C2"/>
    <w:p w14:paraId="7FC35B14" w14:textId="7A7A4BBA" w:rsidR="000E2DDA" w:rsidRDefault="000E2DDA"/>
    <w:p w14:paraId="40B824FE" w14:textId="736FF904" w:rsidR="00B76F76" w:rsidRDefault="00B76F76"/>
    <w:p w14:paraId="29B0F901" w14:textId="054D5A3B" w:rsidR="00B76F76" w:rsidRDefault="00B76F76"/>
    <w:p w14:paraId="038B4C20" w14:textId="77777777" w:rsidR="00B76F76" w:rsidRDefault="00B76F76"/>
    <w:p w14:paraId="3FA1C008" w14:textId="11E5CB0E" w:rsidR="000E2DDA" w:rsidRDefault="000E2DDA" w:rsidP="001D04B2"/>
    <w:p w14:paraId="35A16CB0" w14:textId="4B24CB6F" w:rsidR="00C2034B" w:rsidRDefault="00E57671" w:rsidP="004F3338">
      <w:pPr>
        <w:pStyle w:val="Heading2"/>
      </w:pPr>
      <w:bookmarkStart w:id="349" w:name="_Toc117766041"/>
      <w:r>
        <w:lastRenderedPageBreak/>
        <w:t xml:space="preserve">Appendix </w:t>
      </w:r>
      <w:r w:rsidR="00105B61">
        <w:t>1</w:t>
      </w:r>
      <w:r w:rsidR="008A4C67">
        <w:t>2</w:t>
      </w:r>
      <w:r>
        <w:t xml:space="preserve">: </w:t>
      </w:r>
      <w:r w:rsidR="004C0DE4">
        <w:t>Draft of clinical trial protocol for future study</w:t>
      </w:r>
      <w:bookmarkEnd w:id="349"/>
      <w:r w:rsidR="004C0DE4">
        <w:t xml:space="preserve"> </w:t>
      </w:r>
    </w:p>
    <w:p w14:paraId="60FD51C3" w14:textId="71368E36" w:rsidR="00A26D50" w:rsidRDefault="00A26D50" w:rsidP="00A26D50"/>
    <w:p w14:paraId="48B38C2E" w14:textId="30D1B077" w:rsidR="00A26D50" w:rsidRPr="00A26D50" w:rsidRDefault="00A26D50" w:rsidP="00A26D50">
      <w:pPr>
        <w:jc w:val="right"/>
        <w:rPr>
          <w:rFonts w:ascii="Arial" w:hAnsi="Arial" w:cs="Arial"/>
          <w:sz w:val="20"/>
          <w:szCs w:val="20"/>
        </w:rPr>
      </w:pPr>
      <w:r w:rsidRPr="00A26D50">
        <w:rPr>
          <w:rFonts w:ascii="Arial" w:hAnsi="Arial" w:cs="Arial"/>
          <w:noProof/>
          <w:sz w:val="20"/>
          <w:szCs w:val="20"/>
        </w:rPr>
        <w:drawing>
          <wp:inline distT="0" distB="0" distL="0" distR="0" wp14:anchorId="6062C885" wp14:editId="14342DE7">
            <wp:extent cx="2286000" cy="428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a:ln>
                      <a:noFill/>
                    </a:ln>
                  </pic:spPr>
                </pic:pic>
              </a:graphicData>
            </a:graphic>
          </wp:inline>
        </w:drawing>
      </w:r>
    </w:p>
    <w:p w14:paraId="2B158FD6" w14:textId="77777777" w:rsidR="00A26D50" w:rsidRPr="00A26D50" w:rsidRDefault="00A26D50" w:rsidP="00A26D50">
      <w:pPr>
        <w:rPr>
          <w:rFonts w:ascii="Arial" w:hAnsi="Arial" w:cs="Arial"/>
          <w:sz w:val="20"/>
          <w:szCs w:val="20"/>
        </w:rPr>
      </w:pPr>
    </w:p>
    <w:p w14:paraId="753BD763" w14:textId="77777777" w:rsidR="00A26D50" w:rsidRPr="00B76F76" w:rsidRDefault="00A26D50" w:rsidP="00A26D50">
      <w:pPr>
        <w:tabs>
          <w:tab w:val="center" w:pos="4153"/>
          <w:tab w:val="right" w:pos="8306"/>
        </w:tabs>
        <w:jc w:val="center"/>
        <w:rPr>
          <w:rFonts w:ascii="Arial" w:hAnsi="Arial" w:cs="Arial"/>
          <w:b/>
        </w:rPr>
      </w:pPr>
      <w:r w:rsidRPr="00B76F76">
        <w:rPr>
          <w:rFonts w:ascii="Arial" w:hAnsi="Arial" w:cs="Arial"/>
          <w:b/>
        </w:rPr>
        <w:t xml:space="preserve">TRIAL FULL TITLE – </w:t>
      </w:r>
      <w:r w:rsidRPr="00B76F76">
        <w:rPr>
          <w:rFonts w:ascii="Arial" w:hAnsi="Arial" w:cs="Arial"/>
          <w:bCs/>
        </w:rPr>
        <w:t>Long-term high vs low dose azithromycin in children with protracted bacterial bronchitis: a randomised controlled trial</w:t>
      </w:r>
    </w:p>
    <w:p w14:paraId="13C2D838" w14:textId="77777777" w:rsidR="00A26D50" w:rsidRPr="00B76F76" w:rsidRDefault="00A26D50" w:rsidP="00A26D50">
      <w:pPr>
        <w:jc w:val="center"/>
        <w:rPr>
          <w:rFonts w:ascii="Arial" w:hAnsi="Arial" w:cs="Arial"/>
        </w:rPr>
      </w:pPr>
    </w:p>
    <w:p w14:paraId="34ED9B82" w14:textId="77777777" w:rsidR="00A26D50" w:rsidRPr="00B76F76" w:rsidRDefault="00A26D50" w:rsidP="00A26D50">
      <w:pPr>
        <w:jc w:val="center"/>
        <w:rPr>
          <w:rFonts w:ascii="Arial" w:hAnsi="Arial" w:cs="Arial"/>
        </w:rPr>
      </w:pPr>
      <w:r w:rsidRPr="00B76F76">
        <w:rPr>
          <w:rFonts w:ascii="Arial" w:hAnsi="Arial" w:cs="Arial"/>
          <w:b/>
        </w:rPr>
        <w:t>TRIAL SHORT TITLE</w:t>
      </w:r>
      <w:r w:rsidRPr="00B76F76">
        <w:rPr>
          <w:rFonts w:ascii="Arial" w:hAnsi="Arial" w:cs="Arial"/>
        </w:rPr>
        <w:t xml:space="preserve"> – Long-term azithromycin dosing in PBB</w:t>
      </w:r>
    </w:p>
    <w:p w14:paraId="621F09B3" w14:textId="77777777" w:rsidR="00A26D50" w:rsidRPr="00B76F76" w:rsidRDefault="00A26D50" w:rsidP="00A26D50">
      <w:pPr>
        <w:jc w:val="center"/>
        <w:rPr>
          <w:rFonts w:ascii="Arial" w:hAnsi="Arial" w:cs="Arial"/>
        </w:rPr>
      </w:pPr>
    </w:p>
    <w:p w14:paraId="5BC3FA55" w14:textId="4BAF8FF4" w:rsidR="00A26D50" w:rsidRPr="00B76F76" w:rsidRDefault="00A26D50" w:rsidP="00A26D50">
      <w:pPr>
        <w:jc w:val="center"/>
        <w:rPr>
          <w:rFonts w:ascii="Arial" w:hAnsi="Arial" w:cs="Arial"/>
        </w:rPr>
      </w:pPr>
      <w:r w:rsidRPr="00B76F76">
        <w:rPr>
          <w:rFonts w:ascii="Arial" w:hAnsi="Arial" w:cs="Arial"/>
          <w:b/>
        </w:rPr>
        <w:t>DATE AND VERSION NUMBER</w:t>
      </w:r>
      <w:r w:rsidRPr="00B76F76">
        <w:rPr>
          <w:rFonts w:ascii="Arial" w:hAnsi="Arial" w:cs="Arial"/>
        </w:rPr>
        <w:t xml:space="preserve"> – </w:t>
      </w:r>
      <w:r w:rsidR="00AF75B1" w:rsidRPr="00B76F76">
        <w:rPr>
          <w:rFonts w:ascii="Arial" w:hAnsi="Arial" w:cs="Arial"/>
        </w:rPr>
        <w:t>31</w:t>
      </w:r>
      <w:r w:rsidRPr="00B76F76">
        <w:rPr>
          <w:rFonts w:ascii="Arial" w:hAnsi="Arial" w:cs="Arial"/>
        </w:rPr>
        <w:t>/05/202</w:t>
      </w:r>
      <w:r w:rsidR="00AF75B1" w:rsidRPr="00B76F76">
        <w:rPr>
          <w:rFonts w:ascii="Arial" w:hAnsi="Arial" w:cs="Arial"/>
        </w:rPr>
        <w:t>2</w:t>
      </w:r>
      <w:r w:rsidRPr="00B76F76">
        <w:rPr>
          <w:rFonts w:ascii="Arial" w:hAnsi="Arial" w:cs="Arial"/>
        </w:rPr>
        <w:t xml:space="preserve"> Version 1</w:t>
      </w:r>
    </w:p>
    <w:p w14:paraId="6C9FCBD9" w14:textId="77777777" w:rsidR="00A26D50" w:rsidRPr="00A26D50" w:rsidRDefault="00A26D50" w:rsidP="00A26D50">
      <w:pPr>
        <w:jc w:val="center"/>
        <w:rPr>
          <w:rFonts w:ascii="Arial" w:hAnsi="Arial" w:cs="Arial"/>
          <w:sz w:val="20"/>
          <w:szCs w:val="20"/>
        </w:rPr>
      </w:pPr>
    </w:p>
    <w:p w14:paraId="495C27A3" w14:textId="77777777" w:rsidR="00A26D50" w:rsidRPr="00A26D50" w:rsidRDefault="00A26D50" w:rsidP="00A26D50">
      <w:pPr>
        <w:jc w:val="center"/>
        <w:rPr>
          <w:rFonts w:ascii="Arial" w:hAnsi="Arial" w:cs="Arial"/>
          <w:sz w:val="20"/>
          <w:szCs w:val="20"/>
        </w:rPr>
      </w:pPr>
    </w:p>
    <w:p w14:paraId="6F696FF4" w14:textId="77777777" w:rsidR="00A26D50" w:rsidRPr="00A26D50" w:rsidRDefault="00A26D50" w:rsidP="00A26D50">
      <w:pPr>
        <w:jc w:val="center"/>
        <w:rPr>
          <w:rFonts w:ascii="Arial" w:hAnsi="Arial" w:cs="Arial"/>
          <w:sz w:val="20"/>
          <w:szCs w:val="20"/>
        </w:rPr>
      </w:pPr>
    </w:p>
    <w:p w14:paraId="3AF8D861" w14:textId="77777777" w:rsidR="00A26D50" w:rsidRPr="00A26D50" w:rsidRDefault="00A26D50" w:rsidP="00A26D50">
      <w:pPr>
        <w:jc w:val="center"/>
        <w:rPr>
          <w:rFonts w:ascii="Arial" w:hAnsi="Arial" w:cs="Arial"/>
          <w:sz w:val="20"/>
          <w:szCs w:val="20"/>
        </w:rPr>
      </w:pPr>
    </w:p>
    <w:p w14:paraId="7791DB13" w14:textId="77777777" w:rsidR="00A26D50" w:rsidRPr="00A26D50" w:rsidRDefault="00A26D50" w:rsidP="00A26D50">
      <w:pPr>
        <w:jc w:val="center"/>
        <w:rPr>
          <w:rFonts w:ascii="Arial" w:hAnsi="Arial" w:cs="Arial"/>
          <w:b/>
          <w:sz w:val="20"/>
          <w:szCs w:val="20"/>
        </w:rPr>
      </w:pPr>
    </w:p>
    <w:p w14:paraId="318E5FF0" w14:textId="77777777" w:rsidR="00A26D50" w:rsidRPr="00A26D50" w:rsidRDefault="00A26D50" w:rsidP="00A26D50">
      <w:pPr>
        <w:jc w:val="center"/>
        <w:rPr>
          <w:rFonts w:ascii="Arial" w:hAnsi="Arial" w:cs="Arial"/>
          <w:b/>
          <w:sz w:val="20"/>
          <w:szCs w:val="20"/>
        </w:rPr>
      </w:pPr>
    </w:p>
    <w:p w14:paraId="3E0353BA" w14:textId="77777777" w:rsidR="00A26D50" w:rsidRPr="00A26D50" w:rsidRDefault="00A26D50" w:rsidP="00A26D50">
      <w:pPr>
        <w:jc w:val="center"/>
        <w:rPr>
          <w:rFonts w:ascii="Arial" w:hAnsi="Arial" w:cs="Arial"/>
          <w:b/>
          <w:sz w:val="20"/>
          <w:szCs w:val="20"/>
        </w:rPr>
      </w:pPr>
    </w:p>
    <w:p w14:paraId="20AFE2BC" w14:textId="15B5E843" w:rsidR="00A26D50" w:rsidRPr="00A26D50" w:rsidRDefault="00A26D50" w:rsidP="00A26D50">
      <w:pPr>
        <w:jc w:val="center"/>
        <w:rPr>
          <w:rFonts w:ascii="Arial" w:hAnsi="Arial" w:cs="Arial"/>
          <w:b/>
          <w:sz w:val="20"/>
          <w:szCs w:val="20"/>
        </w:rPr>
      </w:pPr>
      <w:r w:rsidRPr="00A26D50">
        <w:rPr>
          <w:rFonts w:ascii="Arial" w:hAnsi="Arial" w:cs="Arial"/>
          <w:b/>
          <w:sz w:val="20"/>
          <w:szCs w:val="20"/>
        </w:rPr>
        <w:t xml:space="preserve">LAY SUMMARY </w:t>
      </w:r>
    </w:p>
    <w:p w14:paraId="169A09CF" w14:textId="77777777" w:rsidR="00A26D50" w:rsidRPr="00A26D50" w:rsidRDefault="00A26D50" w:rsidP="00A26D50">
      <w:pPr>
        <w:jc w:val="center"/>
        <w:rPr>
          <w:rFonts w:ascii="Arial" w:hAnsi="Arial" w:cs="Arial"/>
          <w:sz w:val="20"/>
          <w:szCs w:val="20"/>
        </w:rPr>
      </w:pPr>
    </w:p>
    <w:p w14:paraId="51823368" w14:textId="77777777" w:rsidR="00A26D50" w:rsidRPr="002B4B61" w:rsidRDefault="00A26D50" w:rsidP="00A26D50">
      <w:pPr>
        <w:rPr>
          <w:rFonts w:cstheme="minorHAnsi"/>
        </w:rPr>
      </w:pPr>
    </w:p>
    <w:p w14:paraId="397A5E56" w14:textId="2A0E519A" w:rsidR="000075DF" w:rsidRDefault="00355BCE" w:rsidP="00CF27B2">
      <w:pPr>
        <w:spacing w:line="360" w:lineRule="auto"/>
        <w:rPr>
          <w:rFonts w:cstheme="minorHAnsi"/>
        </w:rPr>
      </w:pPr>
      <w:r w:rsidRPr="00355BCE">
        <w:rPr>
          <w:rFonts w:cstheme="minorHAnsi"/>
        </w:rPr>
        <w:t xml:space="preserve">Chronic wet cough in preschool children is very common and may be due to bacterial or viral infections. In practice it is difficult to tell them apart; Viral infections usually get better on their own and do not respond to antibiotics. Recurrent bacterial chest infections may however cause permanent damage to the breathing tubes (airways). This condition is known as bronchiectasis and predisposes to infection, hence reducing the number of </w:t>
      </w:r>
      <w:r w:rsidR="00AF75B1" w:rsidRPr="002B4B61">
        <w:rPr>
          <w:rFonts w:cstheme="minorHAnsi"/>
        </w:rPr>
        <w:t>infections</w:t>
      </w:r>
      <w:r w:rsidRPr="00355BCE">
        <w:rPr>
          <w:rFonts w:cstheme="minorHAnsi"/>
        </w:rPr>
        <w:t xml:space="preserve"> is important. Children who are at risk of developing bronchiectasis, are often prescribed long-term ‘prophylactic’ antibiotics (especially over the winter months)</w:t>
      </w:r>
      <w:r w:rsidRPr="00355BCE" w:rsidDel="00817513">
        <w:rPr>
          <w:rFonts w:cstheme="minorHAnsi"/>
        </w:rPr>
        <w:t xml:space="preserve"> </w:t>
      </w:r>
      <w:r w:rsidRPr="00355BCE">
        <w:rPr>
          <w:rFonts w:cstheme="minorHAnsi"/>
        </w:rPr>
        <w:t xml:space="preserve">to try and reduce the number of infections and thus the risk of airway scarring. In particular, there is increasing use of a strong antibiotic called Azithromycin. The use of </w:t>
      </w:r>
      <w:r w:rsidR="00AF75B1" w:rsidRPr="002B4B61">
        <w:rPr>
          <w:rFonts w:cstheme="minorHAnsi"/>
        </w:rPr>
        <w:t>long-term</w:t>
      </w:r>
      <w:r w:rsidRPr="00355BCE">
        <w:rPr>
          <w:rFonts w:cstheme="minorHAnsi"/>
        </w:rPr>
        <w:t xml:space="preserve"> antibiotics is however associated with various side effects. These include not only the potential side effects directly relating to the antibiotic (e.g. diarrhoea) but also promotion of antibiotic resistance and the destruction of colonising beneficial bacterial populations that reside within us</w:t>
      </w:r>
      <w:r w:rsidR="000075DF">
        <w:rPr>
          <w:rFonts w:cstheme="minorHAnsi"/>
        </w:rPr>
        <w:t xml:space="preserve"> particularly in the gut and airways</w:t>
      </w:r>
      <w:r w:rsidRPr="00355BCE">
        <w:rPr>
          <w:rFonts w:cstheme="minorHAnsi"/>
        </w:rPr>
        <w:t xml:space="preserve"> (the microbiome). Results from adult studies investigating the effects of long-term azithromycin to prevent bronchiectasis and respiratory tract infections have found azithromycin to be efficacious at low doses.  In children the optimal dosing regimen has not been studied. </w:t>
      </w:r>
      <w:r w:rsidR="00CB21BA">
        <w:rPr>
          <w:rFonts w:cstheme="minorHAnsi"/>
        </w:rPr>
        <w:t xml:space="preserve">Preliminary results </w:t>
      </w:r>
      <w:r w:rsidR="0076758A">
        <w:rPr>
          <w:rFonts w:cstheme="minorHAnsi"/>
        </w:rPr>
        <w:t xml:space="preserve">from studies </w:t>
      </w:r>
      <w:r w:rsidR="00CB21BA">
        <w:rPr>
          <w:rFonts w:cstheme="minorHAnsi"/>
        </w:rPr>
        <w:t xml:space="preserve">have shown </w:t>
      </w:r>
      <w:r w:rsidR="0076758A">
        <w:rPr>
          <w:rFonts w:cstheme="minorHAnsi"/>
        </w:rPr>
        <w:t xml:space="preserve">that </w:t>
      </w:r>
      <w:r w:rsidR="00CB21BA">
        <w:rPr>
          <w:rFonts w:cstheme="minorHAnsi"/>
        </w:rPr>
        <w:t xml:space="preserve">lactulose </w:t>
      </w:r>
      <w:r w:rsidR="0076758A">
        <w:rPr>
          <w:rFonts w:cstheme="minorHAnsi"/>
        </w:rPr>
        <w:t xml:space="preserve">(a medication often used for constipation) </w:t>
      </w:r>
      <w:r w:rsidR="00CB21BA">
        <w:rPr>
          <w:rFonts w:cstheme="minorHAnsi"/>
        </w:rPr>
        <w:t>may restore changes to the gut microbiome following long term antibiotic use</w:t>
      </w:r>
      <w:r w:rsidR="0076758A">
        <w:rPr>
          <w:rFonts w:cstheme="minorHAnsi"/>
        </w:rPr>
        <w:t>.</w:t>
      </w:r>
    </w:p>
    <w:p w14:paraId="025D552B" w14:textId="77777777" w:rsidR="0076758A" w:rsidRDefault="0076758A" w:rsidP="00CF27B2">
      <w:pPr>
        <w:spacing w:line="360" w:lineRule="auto"/>
        <w:rPr>
          <w:rFonts w:cstheme="minorHAnsi"/>
        </w:rPr>
      </w:pPr>
    </w:p>
    <w:p w14:paraId="09ECFB1A" w14:textId="6F68FB7E" w:rsidR="00355BCE" w:rsidRPr="00355BCE" w:rsidRDefault="00355BCE" w:rsidP="00CF27B2">
      <w:pPr>
        <w:spacing w:line="360" w:lineRule="auto"/>
        <w:rPr>
          <w:rFonts w:cstheme="minorHAnsi"/>
        </w:rPr>
      </w:pPr>
      <w:r w:rsidRPr="00355BCE">
        <w:rPr>
          <w:rFonts w:cstheme="minorHAnsi"/>
        </w:rPr>
        <w:t xml:space="preserve">We hypothesis </w:t>
      </w:r>
      <w:r w:rsidR="000075DF">
        <w:rPr>
          <w:rFonts w:cstheme="minorHAnsi"/>
        </w:rPr>
        <w:t xml:space="preserve">firstly </w:t>
      </w:r>
      <w:r w:rsidRPr="00355BCE">
        <w:rPr>
          <w:rFonts w:cstheme="minorHAnsi"/>
        </w:rPr>
        <w:t xml:space="preserve">that using low-dose long-term </w:t>
      </w:r>
      <w:r w:rsidR="000075DF">
        <w:rPr>
          <w:rFonts w:cstheme="minorHAnsi"/>
        </w:rPr>
        <w:t>a</w:t>
      </w:r>
      <w:r w:rsidRPr="00355BCE">
        <w:rPr>
          <w:rFonts w:cstheme="minorHAnsi"/>
        </w:rPr>
        <w:t xml:space="preserve">zithromycin is as effective as the usual dose long-term </w:t>
      </w:r>
      <w:r w:rsidR="000075DF">
        <w:rPr>
          <w:rFonts w:cstheme="minorHAnsi"/>
        </w:rPr>
        <w:t>a</w:t>
      </w:r>
      <w:r w:rsidRPr="00355BCE">
        <w:rPr>
          <w:rFonts w:cstheme="minorHAnsi"/>
        </w:rPr>
        <w:t xml:space="preserve">zithromycin. We postulate that a low dose regimen would have less detrimental effects on the microbiome and reduce the risk of harbouring antibiotic resistance. </w:t>
      </w:r>
      <w:r w:rsidR="000075DF">
        <w:rPr>
          <w:rFonts w:cstheme="minorHAnsi"/>
        </w:rPr>
        <w:t>Our second hypothesis is that administering 2 weeks of lactulose on stopping long term azithromycin will restore any changes to the gut microbiome</w:t>
      </w:r>
      <w:r w:rsidR="0076758A">
        <w:rPr>
          <w:rFonts w:cstheme="minorHAnsi"/>
        </w:rPr>
        <w:t xml:space="preserve"> quicker than a control group not exposed to lactulose. </w:t>
      </w:r>
    </w:p>
    <w:p w14:paraId="6369C6B9" w14:textId="77777777" w:rsidR="00355BCE" w:rsidRPr="00355BCE" w:rsidRDefault="00355BCE" w:rsidP="00CF27B2">
      <w:pPr>
        <w:spacing w:line="360" w:lineRule="auto"/>
        <w:rPr>
          <w:rFonts w:cstheme="minorHAnsi"/>
        </w:rPr>
      </w:pPr>
    </w:p>
    <w:p w14:paraId="6BF987F9" w14:textId="77777777" w:rsidR="00355BCE" w:rsidRPr="00355BCE" w:rsidRDefault="00355BCE" w:rsidP="00CF27B2">
      <w:pPr>
        <w:spacing w:line="360" w:lineRule="auto"/>
        <w:rPr>
          <w:rFonts w:cstheme="minorHAnsi"/>
        </w:rPr>
      </w:pPr>
      <w:r w:rsidRPr="00355BCE">
        <w:rPr>
          <w:rFonts w:cstheme="minorHAnsi"/>
        </w:rPr>
        <w:t>We aim to:</w:t>
      </w:r>
    </w:p>
    <w:p w14:paraId="5EE25F08" w14:textId="77777777" w:rsidR="00355BCE" w:rsidRPr="00355BCE" w:rsidRDefault="00355BCE">
      <w:pPr>
        <w:numPr>
          <w:ilvl w:val="0"/>
          <w:numId w:val="31"/>
        </w:numPr>
        <w:spacing w:line="360" w:lineRule="auto"/>
        <w:rPr>
          <w:rFonts w:cstheme="minorHAnsi"/>
        </w:rPr>
      </w:pPr>
      <w:r w:rsidRPr="00355BCE">
        <w:rPr>
          <w:rFonts w:cstheme="minorHAnsi"/>
        </w:rPr>
        <w:t xml:space="preserve">Investigate whether low dose Azithromycin (5mg/kg/dose thrice weekly) is as effective as the usual dose of Azithromycin (10mg/kg/dose thrice weekly) long-term in reducing pulmonary exacerbations </w:t>
      </w:r>
    </w:p>
    <w:p w14:paraId="2D648E40" w14:textId="298505F7" w:rsidR="00355BCE" w:rsidRDefault="00355BCE">
      <w:pPr>
        <w:numPr>
          <w:ilvl w:val="0"/>
          <w:numId w:val="31"/>
        </w:numPr>
        <w:spacing w:line="360" w:lineRule="auto"/>
        <w:rPr>
          <w:rFonts w:cstheme="minorHAnsi"/>
        </w:rPr>
      </w:pPr>
      <w:r w:rsidRPr="00355BCE">
        <w:rPr>
          <w:rFonts w:cstheme="minorHAnsi"/>
        </w:rPr>
        <w:t>Assess the impact of the above dosing regimens on the nasopharyngeal and intestinal microbiome, and antibiotic resistance patterns</w:t>
      </w:r>
    </w:p>
    <w:p w14:paraId="6F428B80" w14:textId="6CC59206" w:rsidR="0076758A" w:rsidRPr="00355BCE" w:rsidRDefault="0076758A">
      <w:pPr>
        <w:numPr>
          <w:ilvl w:val="0"/>
          <w:numId w:val="31"/>
        </w:numPr>
        <w:spacing w:line="360" w:lineRule="auto"/>
        <w:rPr>
          <w:rFonts w:cstheme="minorHAnsi"/>
        </w:rPr>
      </w:pPr>
      <w:r>
        <w:rPr>
          <w:rFonts w:cstheme="minorHAnsi"/>
        </w:rPr>
        <w:t>Investigate whether 2 weeks of oral lactulose of stopping long term azithromycin facilitates restoration of the gut microbiome</w:t>
      </w:r>
    </w:p>
    <w:p w14:paraId="42CEFA43" w14:textId="77777777" w:rsidR="00A26D50" w:rsidRPr="002B4B61" w:rsidRDefault="00A26D50" w:rsidP="00B52149">
      <w:pPr>
        <w:spacing w:line="360" w:lineRule="auto"/>
        <w:rPr>
          <w:rFonts w:cstheme="minorHAnsi"/>
        </w:rPr>
      </w:pPr>
    </w:p>
    <w:p w14:paraId="3746A54B" w14:textId="77777777" w:rsidR="00A26D50" w:rsidRPr="002B4B61" w:rsidRDefault="00A26D50" w:rsidP="00A26D50">
      <w:pPr>
        <w:rPr>
          <w:rFonts w:cstheme="minorHAnsi"/>
        </w:rPr>
      </w:pPr>
    </w:p>
    <w:p w14:paraId="482E4D63" w14:textId="625A89EE" w:rsidR="00A26D50" w:rsidRPr="002B4B61" w:rsidRDefault="00A26D50" w:rsidP="00A26D50">
      <w:pPr>
        <w:rPr>
          <w:rFonts w:cstheme="minorHAnsi"/>
          <w:b/>
          <w:u w:val="single"/>
        </w:rPr>
      </w:pPr>
      <w:r w:rsidRPr="00B52149">
        <w:rPr>
          <w:rFonts w:cstheme="minorHAnsi"/>
          <w:b/>
        </w:rPr>
        <w:t>1.0</w:t>
      </w:r>
      <w:r w:rsidRPr="00B52149">
        <w:rPr>
          <w:rFonts w:cstheme="minorHAnsi"/>
          <w:b/>
        </w:rPr>
        <w:tab/>
      </w:r>
      <w:r w:rsidRPr="00B52149">
        <w:rPr>
          <w:rFonts w:cstheme="minorHAnsi"/>
          <w:b/>
          <w:u w:val="single"/>
        </w:rPr>
        <w:t xml:space="preserve">BACKGROUND </w:t>
      </w:r>
    </w:p>
    <w:p w14:paraId="335B9FF7" w14:textId="77777777" w:rsidR="00A26D50" w:rsidRPr="002B4B61" w:rsidRDefault="00A26D50" w:rsidP="00A26D50">
      <w:pPr>
        <w:rPr>
          <w:rFonts w:cstheme="minorHAnsi"/>
        </w:rPr>
      </w:pPr>
    </w:p>
    <w:p w14:paraId="5D1487C4" w14:textId="77777777" w:rsidR="00A26D50" w:rsidRPr="002B4B61" w:rsidRDefault="00A26D50" w:rsidP="00A26D50">
      <w:pPr>
        <w:spacing w:line="360" w:lineRule="auto"/>
        <w:rPr>
          <w:rFonts w:cstheme="minorHAnsi"/>
          <w:bCs/>
        </w:rPr>
      </w:pPr>
      <w:r w:rsidRPr="002B4B61">
        <w:rPr>
          <w:rFonts w:cstheme="minorHAnsi"/>
          <w:bCs/>
        </w:rPr>
        <w:t xml:space="preserve">Chronic cough in children is extremely common with a prevalence in the region of 9% (Leonardi et al., 2002).  It is a cause of multiple medical consultations and has a negative impact on quality of life. Protracted bacterial bronchitis (PBB) is diagnosed in up to 40% of children presenting to paediatric respiratory specialists with chronic cough (Marchant et al., 2006). PBB is defined as wet cough for &gt;4 weeks with no other detectable chronic respiratory disease and a perceptible response to 14 days of oral antibiotics (Kantar et al., 2017) it has been associated with neutrophilic inflammation on bronchoalveolar lavage (Chang et al., 2006) and with positive bacterial cultures, particularly Haemophilus influenzae (Marchant et al., 2006). It is most often described in children under the age of 6 years and because of the challenges of invasive sampling in this age group, the diagnosis is usually made on clinical grounds. </w:t>
      </w:r>
    </w:p>
    <w:p w14:paraId="77A95D84" w14:textId="77777777" w:rsidR="00A26D50" w:rsidRPr="002B4B61" w:rsidRDefault="00A26D50" w:rsidP="00A26D50">
      <w:pPr>
        <w:spacing w:line="360" w:lineRule="auto"/>
        <w:rPr>
          <w:rFonts w:cstheme="minorHAnsi"/>
          <w:bCs/>
        </w:rPr>
      </w:pPr>
    </w:p>
    <w:p w14:paraId="37757FB3" w14:textId="77777777" w:rsidR="00A26D50" w:rsidRPr="002B4B61" w:rsidRDefault="00A26D50" w:rsidP="00A26D50">
      <w:pPr>
        <w:spacing w:line="360" w:lineRule="auto"/>
        <w:rPr>
          <w:rFonts w:cstheme="minorHAnsi"/>
          <w:bCs/>
        </w:rPr>
      </w:pPr>
      <w:r w:rsidRPr="002B4B61">
        <w:rPr>
          <w:rFonts w:cstheme="minorHAnsi"/>
          <w:bCs/>
        </w:rPr>
        <w:t xml:space="preserve">Many children with PBB continue to have pulmonary exacerbations characterised by increased cough, volume of sputum and associated with new chest signs such as crackles.  These recurrent </w:t>
      </w:r>
      <w:r w:rsidRPr="002B4B61">
        <w:rPr>
          <w:rFonts w:cstheme="minorHAnsi"/>
          <w:bCs/>
        </w:rPr>
        <w:lastRenderedPageBreak/>
        <w:t>episodes may be due to bacterial or viral causes but in children it is often difficult to tell them apart. In practice, these episodes are usually treated with at least 2 weeks of antibiotics. Although the natural history is unclear, recurrent PBB (&gt;3 episodes per year) has been reported to be predictive of the future diagnosis of bronchiectasis  (Goyal et al., 2014) (Wurzel et al., 2015), which confers lifelong susceptibility to respiratory infection and increased risk of premature death  (Quint et al., 2016).</w:t>
      </w:r>
    </w:p>
    <w:p w14:paraId="31B0BB7D" w14:textId="77777777" w:rsidR="00A26D50" w:rsidRPr="002B4B61" w:rsidRDefault="00A26D50" w:rsidP="00A26D50">
      <w:pPr>
        <w:spacing w:line="360" w:lineRule="auto"/>
        <w:rPr>
          <w:rFonts w:cstheme="minorHAnsi"/>
          <w:bCs/>
        </w:rPr>
      </w:pPr>
    </w:p>
    <w:p w14:paraId="2C53658C" w14:textId="76EC9C3F" w:rsidR="00355BCE" w:rsidRPr="00355BCE" w:rsidRDefault="00355BCE" w:rsidP="00355BCE">
      <w:pPr>
        <w:spacing w:line="360" w:lineRule="auto"/>
        <w:rPr>
          <w:rFonts w:cstheme="minorHAnsi"/>
          <w:bCs/>
        </w:rPr>
      </w:pPr>
      <w:r w:rsidRPr="00355BCE">
        <w:rPr>
          <w:rFonts w:cstheme="minorHAnsi"/>
          <w:bCs/>
        </w:rPr>
        <w:t xml:space="preserve">Randomised controlled trials have shown that long-term therapy (3 months to 2 years) with the macrolide antibiotic azithromycin, can reduce the frequency of pulmonary exacerbation in paediatric Primary Ciliary Dyskinesia, Cystic Fibrosis (CF), non-cystic fibrosis bronchiectasis and HIV associated </w:t>
      </w:r>
      <w:r w:rsidR="0010061F" w:rsidRPr="002B4B61">
        <w:rPr>
          <w:rFonts w:cstheme="minorHAnsi"/>
          <w:bCs/>
        </w:rPr>
        <w:t>c</w:t>
      </w:r>
      <w:r w:rsidRPr="00355BCE">
        <w:rPr>
          <w:rFonts w:cstheme="minorHAnsi"/>
          <w:bCs/>
        </w:rPr>
        <w:t xml:space="preserve">hronic </w:t>
      </w:r>
      <w:r w:rsidR="0010061F" w:rsidRPr="002B4B61">
        <w:rPr>
          <w:rFonts w:cstheme="minorHAnsi"/>
          <w:bCs/>
        </w:rPr>
        <w:t>l</w:t>
      </w:r>
      <w:r w:rsidRPr="00355BCE">
        <w:rPr>
          <w:rFonts w:cstheme="minorHAnsi"/>
          <w:bCs/>
        </w:rPr>
        <w:t xml:space="preserve">ung </w:t>
      </w:r>
      <w:r w:rsidR="0010061F" w:rsidRPr="002B4B61">
        <w:rPr>
          <w:rFonts w:cstheme="minorHAnsi"/>
          <w:bCs/>
        </w:rPr>
        <w:t>d</w:t>
      </w:r>
      <w:r w:rsidRPr="00355BCE">
        <w:rPr>
          <w:rFonts w:cstheme="minorHAnsi"/>
          <w:bCs/>
        </w:rPr>
        <w:t xml:space="preserve">isease (Ferrand et al., 2020; </w:t>
      </w:r>
      <w:proofErr w:type="spellStart"/>
      <w:r w:rsidRPr="00355BCE">
        <w:rPr>
          <w:rFonts w:cstheme="minorHAnsi"/>
          <w:bCs/>
        </w:rPr>
        <w:t>Kobbernagel</w:t>
      </w:r>
      <w:proofErr w:type="spellEnd"/>
      <w:r w:rsidRPr="00355BCE">
        <w:rPr>
          <w:rFonts w:cstheme="minorHAnsi"/>
          <w:bCs/>
        </w:rPr>
        <w:t xml:space="preserve"> et al., 2020; Southern et al., 2012; Valery et al., 2013). The effects on other outcomes such as lung function are less clear (Ferrand et al., 2020) (Wong et al., 2012). It is thought that its efficacy in these chronic inflammatory diseases is due to the immunomodulatory effects of </w:t>
      </w:r>
      <w:r w:rsidR="00B52149">
        <w:rPr>
          <w:rFonts w:cstheme="minorHAnsi"/>
          <w:bCs/>
        </w:rPr>
        <w:t>a</w:t>
      </w:r>
      <w:r w:rsidRPr="00355BCE">
        <w:rPr>
          <w:rFonts w:cstheme="minorHAnsi"/>
          <w:bCs/>
        </w:rPr>
        <w:t>zithromycin rather than a predominant antimicrobial effect. Although the exact mechanism of action of azithromycin in each condition is uncertain, substantial evidence exists to suggest that inhibition of neutrophilic inflammation and macrophage activation play a significant role (Zimmermann et al., 2018). With increasing supportive evidence for the use of azithromycin in other inflammatory lung conditions, 10mg/kg/dose thrice weekly Azithromycin over the winter months is recommended for those with PBB experiencing more than 3 pulmonary exacerbations a year (Gilchrist, 2019). There is however limited supporting evidence for long term azithromycin use in PBB.</w:t>
      </w:r>
    </w:p>
    <w:p w14:paraId="24F025EC" w14:textId="77777777" w:rsidR="00A26D50" w:rsidRPr="002B4B61" w:rsidRDefault="00A26D50" w:rsidP="00A26D50">
      <w:pPr>
        <w:spacing w:line="360" w:lineRule="auto"/>
        <w:rPr>
          <w:rFonts w:cstheme="minorHAnsi"/>
          <w:bCs/>
        </w:rPr>
      </w:pPr>
    </w:p>
    <w:p w14:paraId="0E1C8DF6" w14:textId="77777777" w:rsidR="00355BCE" w:rsidRPr="00355BCE" w:rsidRDefault="00355BCE" w:rsidP="00355BCE">
      <w:pPr>
        <w:spacing w:line="360" w:lineRule="auto"/>
        <w:rPr>
          <w:rFonts w:cstheme="minorHAnsi"/>
          <w:bCs/>
        </w:rPr>
      </w:pPr>
      <w:r w:rsidRPr="00355BCE">
        <w:rPr>
          <w:rFonts w:cstheme="minorHAnsi"/>
          <w:bCs/>
        </w:rPr>
        <w:t xml:space="preserve">The optimal paediatric dosing for long term azithromycin is unknown. Its long tissue half-life (average 48-96 hours) and larger volume of distribution, allows for extended interval dosing as opposed to daily dosing(Lode, 1991). The </w:t>
      </w:r>
      <w:proofErr w:type="spellStart"/>
      <w:r w:rsidRPr="00355BCE">
        <w:rPr>
          <w:rFonts w:cstheme="minorHAnsi"/>
          <w:bCs/>
        </w:rPr>
        <w:t>BNFc</w:t>
      </w:r>
      <w:proofErr w:type="spellEnd"/>
      <w:r w:rsidRPr="00355BCE">
        <w:rPr>
          <w:rFonts w:cstheme="minorHAnsi"/>
          <w:bCs/>
        </w:rPr>
        <w:t xml:space="preserve"> advises a weight dependant thrice weekly dosing regimen of 10mg/kg/dose in cystic fibrosis with chronic pseudomonas infection.  Guidelines for the management of primary immune deficiencies recommend 10mg/kg weekly or 5mg/kg alternate days to prevent bacterial respiratory tract infections in children (Bonilla 2015). In clinical trials, a variety of regimens have been used  including daily, thrice weekly and once weekly dosing using doses between 5-30mg/kg/dose depending on the intervals between doses. </w:t>
      </w:r>
    </w:p>
    <w:p w14:paraId="787ECEDC" w14:textId="77777777" w:rsidR="00355BCE" w:rsidRPr="00355BCE" w:rsidRDefault="00355BCE" w:rsidP="00355BCE">
      <w:pPr>
        <w:spacing w:line="360" w:lineRule="auto"/>
        <w:rPr>
          <w:rFonts w:cstheme="minorHAnsi"/>
          <w:bCs/>
        </w:rPr>
      </w:pPr>
    </w:p>
    <w:p w14:paraId="33D2CC7A" w14:textId="6AA7ACB8" w:rsidR="00355BCE" w:rsidRPr="00355BCE" w:rsidRDefault="00355BCE" w:rsidP="00355BCE">
      <w:pPr>
        <w:spacing w:line="360" w:lineRule="auto"/>
        <w:rPr>
          <w:rFonts w:cstheme="minorHAnsi"/>
          <w:bCs/>
        </w:rPr>
      </w:pPr>
      <w:r w:rsidRPr="00355BCE">
        <w:rPr>
          <w:rFonts w:cstheme="minorHAnsi"/>
          <w:bCs/>
        </w:rPr>
        <w:t>In children, there are just 2 RCTs comparing dosing regimens, neither of which reported any</w:t>
      </w:r>
      <w:r w:rsidR="002B4B61">
        <w:rPr>
          <w:rFonts w:cstheme="minorHAnsi"/>
          <w:bCs/>
        </w:rPr>
        <w:t xml:space="preserve"> </w:t>
      </w:r>
      <w:r w:rsidRPr="00355BCE">
        <w:rPr>
          <w:rFonts w:cstheme="minorHAnsi"/>
          <w:bCs/>
        </w:rPr>
        <w:t xml:space="preserve">differences in primary outcomes. The first compared 6 months of daily low dose to high dose Azithromycin (5mg/kg/dose </w:t>
      </w:r>
      <w:r w:rsidRPr="00355BCE">
        <w:rPr>
          <w:rFonts w:cstheme="minorHAnsi"/>
          <w:bCs/>
          <w:i/>
        </w:rPr>
        <w:t>vs</w:t>
      </w:r>
      <w:r w:rsidRPr="00355BCE">
        <w:rPr>
          <w:rFonts w:cstheme="minorHAnsi"/>
          <w:bCs/>
        </w:rPr>
        <w:t>. 15mg/kg/dose) in children with CF. No difference in pulmonary exacerbation frequency was seen whilst on treatment nor the distribution of organisms found on cough swabs during exacerbations (</w:t>
      </w:r>
      <w:proofErr w:type="spellStart"/>
      <w:r w:rsidRPr="00355BCE">
        <w:rPr>
          <w:rFonts w:cstheme="minorHAnsi"/>
          <w:bCs/>
        </w:rPr>
        <w:t>Kabra</w:t>
      </w:r>
      <w:proofErr w:type="spellEnd"/>
      <w:r w:rsidRPr="00355BCE">
        <w:rPr>
          <w:rFonts w:cstheme="minorHAnsi"/>
          <w:bCs/>
        </w:rPr>
        <w:t xml:space="preserve"> et al., 2010).  The second study included children and adults with CF and investigated 6 months of once daily (250mg) </w:t>
      </w:r>
      <w:r w:rsidRPr="00355BCE">
        <w:rPr>
          <w:rFonts w:cstheme="minorHAnsi"/>
          <w:bCs/>
          <w:i/>
        </w:rPr>
        <w:t>vs</w:t>
      </w:r>
      <w:r w:rsidRPr="00355BCE">
        <w:rPr>
          <w:rFonts w:cstheme="minorHAnsi"/>
          <w:bCs/>
        </w:rPr>
        <w:t xml:space="preserve">. once weekly (1200mg) Azithromycin. No differences were seen in intravenous antibiotic rates or hospitalisation for pulmonary indications (McCormack et al., 2007). Studies in adults with asthma and primary antibody deficiencies have also reported reduced pulmonary exacerbations with low dose regimens of 250mg Azithromycin thrice weekly </w:t>
      </w:r>
      <w:r w:rsidRPr="00355BCE">
        <w:rPr>
          <w:rFonts w:cstheme="minorHAnsi"/>
          <w:bCs/>
        </w:rPr>
        <w:fldChar w:fldCharType="begin">
          <w:fldData xml:space="preserve">PEVuZE5vdGU+PENpdGU+PEF1dGhvcj5CcnVzc2VsbGU8L0F1dGhvcj48WWVhcj4yMDEzPC9ZZWFy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</w:fldData>
        </w:fldChar>
      </w:r>
      <w:r w:rsidR="00EE22EB">
        <w:rPr>
          <w:rFonts w:cstheme="minorHAnsi"/>
          <w:bCs/>
        </w:rPr>
        <w:instrText xml:space="preserve"> ADDIN EN.CITE </w:instrText>
      </w:r>
      <w:r w:rsidR="00EE22EB">
        <w:rPr>
          <w:rFonts w:cstheme="minorHAnsi"/>
          <w:bCs/>
        </w:rPr>
        <w:fldChar w:fldCharType="begin">
          <w:fldData xml:space="preserve">PEVuZE5vdGU+PENpdGU+PEF1dGhvcj5CcnVzc2VsbGU8L0F1dGhvcj48WWVhcj4yMDEzPC9ZZWFy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</w:fldData>
        </w:fldChar>
      </w:r>
      <w:r w:rsidR="00EE22EB">
        <w:rPr>
          <w:rFonts w:cstheme="minorHAnsi"/>
          <w:bCs/>
        </w:rPr>
        <w:instrText xml:space="preserve"> ADDIN EN.CITE.DATA </w:instrText>
      </w:r>
      <w:r w:rsidR="00EE22EB">
        <w:rPr>
          <w:rFonts w:cstheme="minorHAnsi"/>
          <w:bCs/>
        </w:rPr>
      </w:r>
      <w:r w:rsidR="00EE22EB">
        <w:rPr>
          <w:rFonts w:cstheme="minorHAnsi"/>
          <w:bCs/>
        </w:rPr>
        <w:fldChar w:fldCharType="end"/>
      </w:r>
      <w:r w:rsidRPr="00355BCE">
        <w:rPr>
          <w:rFonts w:cstheme="minorHAnsi"/>
          <w:bCs/>
        </w:rPr>
      </w:r>
      <w:r w:rsidRPr="00355BCE">
        <w:rPr>
          <w:rFonts w:cstheme="minorHAnsi"/>
          <w:bCs/>
        </w:rPr>
        <w:fldChar w:fldCharType="separate"/>
      </w:r>
      <w:r w:rsidR="00EE22EB">
        <w:rPr>
          <w:rFonts w:cstheme="minorHAnsi"/>
          <w:bCs/>
          <w:noProof/>
        </w:rPr>
        <w:t>(Brusselle et al., 2013)</w:t>
      </w:r>
      <w:r w:rsidRPr="00355BCE">
        <w:rPr>
          <w:rFonts w:cstheme="minorHAnsi"/>
          <w:bCs/>
        </w:rPr>
        <w:fldChar w:fldCharType="end"/>
      </w:r>
      <w:r w:rsidRPr="00355BCE">
        <w:rPr>
          <w:rFonts w:cstheme="minorHAnsi"/>
          <w:bCs/>
        </w:rPr>
        <w:t>; Milito et al., 2019).</w:t>
      </w:r>
    </w:p>
    <w:p w14:paraId="052B8094" w14:textId="77777777" w:rsidR="00A26D50" w:rsidRPr="002B4B61" w:rsidRDefault="00A26D50" w:rsidP="00A26D50">
      <w:pPr>
        <w:spacing w:line="360" w:lineRule="auto"/>
        <w:rPr>
          <w:rFonts w:cstheme="minorHAnsi"/>
          <w:bCs/>
        </w:rPr>
      </w:pPr>
    </w:p>
    <w:p w14:paraId="2AED53AA" w14:textId="0B38E6C5" w:rsidR="00355BCE" w:rsidRPr="00355BCE" w:rsidRDefault="00355BCE" w:rsidP="00355BCE">
      <w:pPr>
        <w:spacing w:line="360" w:lineRule="auto"/>
        <w:rPr>
          <w:rFonts w:cstheme="minorHAnsi"/>
          <w:bCs/>
        </w:rPr>
      </w:pPr>
      <w:r w:rsidRPr="00355BCE">
        <w:rPr>
          <w:rFonts w:cstheme="minorHAnsi"/>
          <w:bCs/>
        </w:rPr>
        <w:t xml:space="preserve">Both standard 3 day courses and longer course of up to 2 years of </w:t>
      </w:r>
      <w:r w:rsidR="00491C9F">
        <w:rPr>
          <w:rFonts w:cstheme="minorHAnsi"/>
          <w:bCs/>
        </w:rPr>
        <w:t>a</w:t>
      </w:r>
      <w:r w:rsidRPr="00355BCE">
        <w:rPr>
          <w:rFonts w:cstheme="minorHAnsi"/>
          <w:bCs/>
        </w:rPr>
        <w:t>zithromycin have been associated with an increase in macrolide phenotypic resistance and resistance genes in intestinal and respiratory flora (Hare et al., 2015; Malhotra-Kumar et al., 2007; Taylor et al., 2019; Wei et al., 2018). The implications of harbouring a reservoir of resistance genes are both important for the individual who may develop future infections with resistant organisms but also to the community if such genes are transmitted between individuals.  More recently, culture-independent techniques have allowed analysis of the impact of antimicrobials on the diverse microbial communities that reside within anatomical niches such as the intestinal and respiratory tracts (microbiota) and resistance genes (</w:t>
      </w:r>
      <w:proofErr w:type="spellStart"/>
      <w:r w:rsidRPr="00355BCE">
        <w:rPr>
          <w:rFonts w:cstheme="minorHAnsi"/>
          <w:bCs/>
        </w:rPr>
        <w:t>resistome</w:t>
      </w:r>
      <w:proofErr w:type="spellEnd"/>
      <w:r w:rsidRPr="00355BCE">
        <w:rPr>
          <w:rFonts w:cstheme="minorHAnsi"/>
          <w:bCs/>
        </w:rPr>
        <w:t xml:space="preserve">). </w:t>
      </w:r>
    </w:p>
    <w:p w14:paraId="4F458AEA" w14:textId="77777777" w:rsidR="00A26D50" w:rsidRPr="002B4B61" w:rsidRDefault="00A26D50" w:rsidP="00A26D50">
      <w:pPr>
        <w:spacing w:line="360" w:lineRule="auto"/>
        <w:rPr>
          <w:rFonts w:cstheme="minorHAnsi"/>
          <w:bCs/>
        </w:rPr>
      </w:pPr>
    </w:p>
    <w:p w14:paraId="526C11F2" w14:textId="7F98319F" w:rsidR="00716346" w:rsidRDefault="00355BCE" w:rsidP="00355BCE">
      <w:pPr>
        <w:spacing w:line="360" w:lineRule="auto"/>
        <w:rPr>
          <w:rFonts w:cstheme="minorHAnsi"/>
          <w:bCs/>
        </w:rPr>
      </w:pPr>
      <w:r w:rsidRPr="00355BCE">
        <w:rPr>
          <w:rFonts w:cstheme="minorHAnsi"/>
          <w:bCs/>
        </w:rPr>
        <w:t xml:space="preserve">Standard courses of </w:t>
      </w:r>
      <w:r w:rsidR="00491C9F">
        <w:rPr>
          <w:rFonts w:cstheme="minorHAnsi"/>
          <w:bCs/>
        </w:rPr>
        <w:t>a</w:t>
      </w:r>
      <w:r w:rsidRPr="00355BCE">
        <w:rPr>
          <w:rFonts w:cstheme="minorHAnsi"/>
          <w:bCs/>
        </w:rPr>
        <w:t>zithromycin have been associated with a short-term reduction in paediatric gut microbial richness and diversity although these changes were no longer evident at 1-3 years follow up</w:t>
      </w:r>
      <w:r w:rsidR="00D217CD">
        <w:rPr>
          <w:rFonts w:cstheme="minorHAnsi"/>
          <w:bCs/>
        </w:rPr>
        <w:t xml:space="preserve"> </w:t>
      </w:r>
      <w:r w:rsidR="00D217CD">
        <w:rPr>
          <w:rFonts w:cstheme="minorHAnsi"/>
          <w:bCs/>
        </w:rPr>
        <w:fldChar w:fldCharType="begin">
          <w:fldData xml:space="preserve">PEVuZE5vdGU+PENpdGU+PEF1dGhvcj5Eb2FuPC9BdXRob3I+PFllYXI+MjAxNzwvWWVhcj48UmVj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</w:fldData>
        </w:fldChar>
      </w:r>
      <w:r w:rsidR="00CD2C33">
        <w:rPr>
          <w:rFonts w:cstheme="minorHAnsi"/>
          <w:bCs/>
        </w:rPr>
        <w:instrText xml:space="preserve"> ADDIN EN.CITE </w:instrText>
      </w:r>
      <w:r w:rsidR="00CD2C33">
        <w:rPr>
          <w:rFonts w:cstheme="minorHAnsi"/>
          <w:bCs/>
        </w:rPr>
        <w:fldChar w:fldCharType="begin">
          <w:fldData xml:space="preserve">PEVuZE5vdGU+PENpdGU+PEF1dGhvcj5Eb2FuPC9BdXRob3I+PFllYXI+MjAxNzwvWWVhcj48UmVj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</w:fldData>
        </w:fldChar>
      </w:r>
      <w:r w:rsidR="00CD2C33">
        <w:rPr>
          <w:rFonts w:cstheme="minorHAnsi"/>
          <w:bCs/>
        </w:rPr>
        <w:instrText xml:space="preserve"> ADDIN EN.CITE.DATA </w:instrText>
      </w:r>
      <w:r w:rsidR="00CD2C33">
        <w:rPr>
          <w:rFonts w:cstheme="minorHAnsi"/>
          <w:bCs/>
        </w:rPr>
      </w:r>
      <w:r w:rsidR="00CD2C33">
        <w:rPr>
          <w:rFonts w:cstheme="minorHAnsi"/>
          <w:bCs/>
        </w:rPr>
        <w:fldChar w:fldCharType="end"/>
      </w:r>
      <w:r w:rsidR="00D217CD">
        <w:rPr>
          <w:rFonts w:cstheme="minorHAnsi"/>
          <w:bCs/>
        </w:rPr>
      </w:r>
      <w:r w:rsidR="00D217CD">
        <w:rPr>
          <w:rFonts w:cstheme="minorHAnsi"/>
          <w:bCs/>
        </w:rPr>
        <w:fldChar w:fldCharType="separate"/>
      </w:r>
      <w:r w:rsidR="00CD2C33">
        <w:rPr>
          <w:rFonts w:cstheme="minorHAnsi"/>
          <w:bCs/>
          <w:noProof/>
        </w:rPr>
        <w:t>(Doan et al., 2017; Parker et al., 2017; Wei et al., 2018)</w:t>
      </w:r>
      <w:r w:rsidR="00D217CD">
        <w:rPr>
          <w:rFonts w:cstheme="minorHAnsi"/>
          <w:bCs/>
        </w:rPr>
        <w:fldChar w:fldCharType="end"/>
      </w:r>
      <w:r w:rsidR="000F577A">
        <w:rPr>
          <w:rFonts w:cstheme="minorHAnsi"/>
          <w:bCs/>
        </w:rPr>
        <w:t xml:space="preserve">. </w:t>
      </w:r>
      <w:r w:rsidRPr="00355BCE">
        <w:rPr>
          <w:rFonts w:cstheme="minorHAnsi"/>
          <w:bCs/>
        </w:rPr>
        <w:t>A distinct microbiota composition has been reported in children exposed to macrolides within the previous 6 months with reduced abundance of Actinobacteria (</w:t>
      </w:r>
      <w:r w:rsidRPr="00355BCE">
        <w:rPr>
          <w:rFonts w:cstheme="minorHAnsi"/>
          <w:bCs/>
          <w:i/>
        </w:rPr>
        <w:t>Bifidobacterium</w:t>
      </w:r>
      <w:r w:rsidRPr="00355BCE">
        <w:rPr>
          <w:rFonts w:cstheme="minorHAnsi"/>
          <w:bCs/>
        </w:rPr>
        <w:t xml:space="preserve">) and increased relative abundance of </w:t>
      </w:r>
      <w:r w:rsidR="00716346" w:rsidRPr="00355BCE">
        <w:rPr>
          <w:rFonts w:cstheme="minorHAnsi"/>
          <w:bCs/>
        </w:rPr>
        <w:t>gram-negative</w:t>
      </w:r>
      <w:r w:rsidRPr="00355BCE">
        <w:rPr>
          <w:rFonts w:cstheme="minorHAnsi"/>
          <w:bCs/>
        </w:rPr>
        <w:t xml:space="preserve"> organisms from Bacteroidetes and Proteobacteria phyla </w:t>
      </w:r>
      <w:r w:rsidR="000F577A">
        <w:rPr>
          <w:rFonts w:cstheme="minorHAnsi"/>
          <w:bCs/>
        </w:rPr>
        <w:fldChar w:fldCharType="begin"/>
      </w:r>
      <w:r w:rsidR="00EE22EB">
        <w:rPr>
          <w:rFonts w:cstheme="minorHAnsi"/>
          <w:bCs/>
        </w:rPr>
        <w:instrText xml:space="preserve"> ADDIN EN.CITE &lt;EndNote&gt;&lt;Cite&gt;&lt;Author&gt;Korpela&lt;/Author&gt;&lt;Year&gt;2016&lt;/Year&gt;&lt;RecNum&gt;27&lt;/RecNum&gt;&lt;DisplayText&gt;(Korpela et al., 2016)&lt;/DisplayText&gt;&lt;record&gt;&lt;rec-number&gt;27&lt;/rec-number&gt;&lt;foreign-keys&gt;&lt;key app="EN" db-id="pr9rwt2w8padxcerwx6prd0a9wtda2w5fw2t" timestamp="1616080518"&gt;27&lt;/key&gt;&lt;/foreign-keys&gt;&lt;ref-type name="Journal Article"&gt;17&lt;/ref-type&gt;&lt;contributors&gt;&lt;authors&gt;&lt;author&gt;Korpela, Katri&lt;/author&gt;&lt;author&gt;Salonen, Anne&lt;/author&gt;&lt;author&gt;Virta, Lauri J.&lt;/author&gt;&lt;author&gt;Kekkonen, Riina A.&lt;/author&gt;&lt;author&gt;Forslund, Kristoffer&lt;/author&gt;&lt;author&gt;Bork, Peer&lt;/author&gt;&lt;author&gt;de Vos, Willem M.&lt;/author&gt;&lt;/authors&gt;&lt;/contributors&gt;&lt;titles&gt;&lt;title&gt;Intestinal microbiome is related to lifetime antibiotic use in Finnish pre-school children&lt;/title&gt;&lt;secondary-title&gt;Nature Communications&lt;/secondary-title&gt;&lt;/titles&gt;&lt;periodical&gt;&lt;full-title&gt;Nature Communications&lt;/full-title&gt;&lt;/periodical&gt;&lt;pages&gt;10410&lt;/pages&gt;&lt;volume&gt;7&lt;/volume&gt;&lt;number&gt;1&lt;/number&gt;&lt;dates&gt;&lt;year&gt;2016&lt;/year&gt;&lt;pub-dates&gt;&lt;date&gt;2016/01/26&lt;/date&gt;&lt;/pub-dates&gt;&lt;/dates&gt;&lt;isbn&gt;2041-1723&lt;/isbn&gt;&lt;urls&gt;&lt;related-urls&gt;&lt;url&gt;https://doi.org/10.1038/ncomms10410&lt;/url&gt;&lt;/related-urls&gt;&lt;/urls&gt;&lt;electronic-resource-num&gt;10.1038/ncomms10410&lt;/electronic-resource-num&gt;&lt;/record&gt;&lt;/Cite&gt;&lt;/EndNote&gt;</w:instrText>
      </w:r>
      <w:r w:rsidR="000F577A">
        <w:rPr>
          <w:rFonts w:cstheme="minorHAnsi"/>
          <w:bCs/>
        </w:rPr>
        <w:fldChar w:fldCharType="separate"/>
      </w:r>
      <w:r w:rsidR="00EE22EB">
        <w:rPr>
          <w:rFonts w:cstheme="minorHAnsi"/>
          <w:bCs/>
          <w:noProof/>
        </w:rPr>
        <w:t>(Korpela et al., 2016)</w:t>
      </w:r>
      <w:r w:rsidR="000F577A">
        <w:rPr>
          <w:rFonts w:cstheme="minorHAnsi"/>
          <w:bCs/>
        </w:rPr>
        <w:fldChar w:fldCharType="end"/>
      </w:r>
      <w:r w:rsidRPr="00355BCE">
        <w:rPr>
          <w:rFonts w:cstheme="minorHAnsi"/>
          <w:bCs/>
        </w:rPr>
        <w:t>. By disrupting the microbial community, antibiotics also alter production of microbial metabolites, short chain fatty acids (SCFAs), which are known to have anti-inflammatory properties as well as being involved in energy balance, metabolism and modulation of adipose and liver tissue</w:t>
      </w:r>
      <w:r w:rsidR="000F577A">
        <w:rPr>
          <w:rFonts w:cstheme="minorHAnsi"/>
          <w:bCs/>
        </w:rPr>
        <w:t xml:space="preserve"> </w:t>
      </w:r>
      <w:r w:rsidR="000F577A">
        <w:rPr>
          <w:rFonts w:cstheme="minorHAnsi"/>
          <w:bCs/>
        </w:rPr>
        <w:fldChar w:fldCharType="begin"/>
      </w:r>
      <w:r w:rsidR="00EE22EB">
        <w:rPr>
          <w:rFonts w:cstheme="minorHAnsi"/>
          <w:bCs/>
        </w:rPr>
        <w:instrText xml:space="preserve"> ADDIN EN.CITE &lt;EndNote&gt;&lt;Cite&gt;&lt;Author&gt;den Besten&lt;/Author&gt;&lt;Year&gt;2013&lt;/Year&gt;&lt;RecNum&gt;491&lt;/RecNum&gt;&lt;DisplayText&gt;(den Besten et al., 2013)&lt;/DisplayText&gt;&lt;record&gt;&lt;rec-number&gt;491&lt;/rec-number&gt;&lt;foreign-keys&gt;&lt;key app="EN" db-id="pr9rwt2w8padxcerwx6prd0a9wtda2w5fw2t" timestamp="1655239990"&gt;491&lt;/key&gt;&lt;/foreign-keys&gt;&lt;ref-type name="Journal Article"&gt;17&lt;/ref-type&gt;&lt;contributors&gt;&lt;authors&gt;&lt;author&gt;den Besten, G.&lt;/author&gt;&lt;author&gt;van Eunen, K.&lt;/author&gt;&lt;author&gt;Groen, A. K.&lt;/author&gt;&lt;author&gt;Venema, K.&lt;/author&gt;&lt;author&gt;Reijngoud, D. J.&lt;/author&gt;&lt;author&gt;Bakker, B. M.&lt;/author&gt;&lt;/authors&gt;&lt;/contributors&gt;&lt;auth-address&gt;Center for Liver, Digestive, and Metabolic Diseases, Department of Pediatrics and University of Groningen, University Medical Center Groningen, Groningen, The Netherlands.&lt;/auth-address&gt;&lt;titles&gt;&lt;title&gt;The role of short-chain fatty acids in the interplay between diet, gut microbiota, and host energy metabolism&lt;/title&gt;&lt;secondary-title&gt;J Lipid Res&lt;/secondary-title&gt;&lt;/titles&gt;&lt;periodical&gt;&lt;full-title&gt;J Lipid Res&lt;/full-title&gt;&lt;/periodical&gt;&lt;pages&gt;2325-40&lt;/pages&gt;&lt;volume&gt;54&lt;/volume&gt;&lt;number&gt;9&lt;/number&gt;&lt;edition&gt;2013/07/04&lt;/edition&gt;&lt;keywords&gt;&lt;keyword&gt;Animals&lt;/keyword&gt;&lt;keyword&gt;*Diet&lt;/keyword&gt;&lt;keyword&gt;*Energy Metabolism&lt;/keyword&gt;&lt;keyword&gt;Fatty Acids/biosynthesis/*chemistry/*metabolism&lt;/keyword&gt;&lt;keyword&gt;Humans&lt;/keyword&gt;&lt;keyword&gt;Intestines/*microbiology&lt;/keyword&gt;&lt;keyword&gt;*Microbiota&lt;/keyword&gt;&lt;keyword&gt;bacterial short-chain fatty acid metabolism&lt;/keyword&gt;&lt;keyword&gt;nutritional fiber&lt;/keyword&gt;&lt;keyword&gt;short-chain fatty acid fluxes and concentrations&lt;/keyword&gt;&lt;/keywords&gt;&lt;dates&gt;&lt;year&gt;2013&lt;/year&gt;&lt;pub-dates&gt;&lt;date&gt;Sep&lt;/date&gt;&lt;/pub-dates&gt;&lt;/dates&gt;&lt;isbn&gt;0022-2275 (Print)&amp;#xD;0022-2275&lt;/isbn&gt;&lt;accession-num&gt;23821742&lt;/accession-num&gt;&lt;urls&gt;&lt;/urls&gt;&lt;custom2&gt;PMC3735932&lt;/custom2&gt;&lt;electronic-resource-num&gt;10.1194/jlr.R036012&lt;/electronic-resource-num&gt;&lt;remote-database-provider&gt;NLM&lt;/remote-database-provider&gt;&lt;language&gt;eng&lt;/language&gt;&lt;/record&gt;&lt;/Cite&gt;&lt;/EndNote&gt;</w:instrText>
      </w:r>
      <w:r w:rsidR="000F577A">
        <w:rPr>
          <w:rFonts w:cstheme="minorHAnsi"/>
          <w:bCs/>
        </w:rPr>
        <w:fldChar w:fldCharType="separate"/>
      </w:r>
      <w:r w:rsidR="00EE22EB">
        <w:rPr>
          <w:rFonts w:cstheme="minorHAnsi"/>
          <w:bCs/>
          <w:noProof/>
        </w:rPr>
        <w:t xml:space="preserve">(den </w:t>
      </w:r>
      <w:r w:rsidR="00EE22EB">
        <w:rPr>
          <w:rFonts w:cstheme="minorHAnsi"/>
          <w:bCs/>
          <w:noProof/>
        </w:rPr>
        <w:lastRenderedPageBreak/>
        <w:t>Besten et al., 2013)</w:t>
      </w:r>
      <w:r w:rsidR="000F577A">
        <w:rPr>
          <w:rFonts w:cstheme="minorHAnsi"/>
          <w:bCs/>
        </w:rPr>
        <w:fldChar w:fldCharType="end"/>
      </w:r>
      <w:r w:rsidR="000F577A">
        <w:rPr>
          <w:rFonts w:cstheme="minorHAnsi"/>
          <w:bCs/>
        </w:rPr>
        <w:t xml:space="preserve">. </w:t>
      </w:r>
      <w:r w:rsidRPr="00355BCE">
        <w:rPr>
          <w:rFonts w:cstheme="minorHAnsi"/>
          <w:bCs/>
        </w:rPr>
        <w:t xml:space="preserve">Early childhood antibiotic exposure particularly under the age of 2 years, when the adult microbiome has not been fully established, has been associated with an increased risk of obesity, asthma and allergy </w:t>
      </w:r>
      <w:r w:rsidR="000F577A">
        <w:rPr>
          <w:rFonts w:cstheme="minorHAnsi"/>
          <w:bCs/>
        </w:rPr>
        <w:fldChar w:fldCharType="begin">
          <w:fldData xml:space="preserve">PEVuZE5vdGU+PENpdGU+PEF1dGhvcj5MYW5nZG9uPC9BdXRob3I+PFllYXI+MjAxNjwvWWVhcj48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</w:fldData>
        </w:fldChar>
      </w:r>
      <w:r w:rsidR="00CD2C33">
        <w:rPr>
          <w:rFonts w:cstheme="minorHAnsi"/>
          <w:bCs/>
        </w:rPr>
        <w:instrText xml:space="preserve"> ADDIN EN.CITE </w:instrText>
      </w:r>
      <w:r w:rsidR="00CD2C33">
        <w:rPr>
          <w:rFonts w:cstheme="minorHAnsi"/>
          <w:bCs/>
        </w:rPr>
        <w:fldChar w:fldCharType="begin">
          <w:fldData xml:space="preserve">PEVuZE5vdGU+PENpdGU+PEF1dGhvcj5MYW5nZG9uPC9BdXRob3I+PFllYXI+MjAxNjwvWWVhcj48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</w:fldData>
        </w:fldChar>
      </w:r>
      <w:r w:rsidR="00CD2C33">
        <w:rPr>
          <w:rFonts w:cstheme="minorHAnsi"/>
          <w:bCs/>
        </w:rPr>
        <w:instrText xml:space="preserve"> ADDIN EN.CITE.DATA </w:instrText>
      </w:r>
      <w:r w:rsidR="00CD2C33">
        <w:rPr>
          <w:rFonts w:cstheme="minorHAnsi"/>
          <w:bCs/>
        </w:rPr>
      </w:r>
      <w:r w:rsidR="00CD2C33">
        <w:rPr>
          <w:rFonts w:cstheme="minorHAnsi"/>
          <w:bCs/>
        </w:rPr>
        <w:fldChar w:fldCharType="end"/>
      </w:r>
      <w:r w:rsidR="000F577A">
        <w:rPr>
          <w:rFonts w:cstheme="minorHAnsi"/>
          <w:bCs/>
        </w:rPr>
      </w:r>
      <w:r w:rsidR="000F577A">
        <w:rPr>
          <w:rFonts w:cstheme="minorHAnsi"/>
          <w:bCs/>
        </w:rPr>
        <w:fldChar w:fldCharType="separate"/>
      </w:r>
      <w:r w:rsidR="00CD2C33">
        <w:rPr>
          <w:rFonts w:cstheme="minorHAnsi"/>
          <w:bCs/>
          <w:noProof/>
        </w:rPr>
        <w:t>(Langdon et al., 2016; Pascal et al., 2018)</w:t>
      </w:r>
      <w:r w:rsidR="000F577A">
        <w:rPr>
          <w:rFonts w:cstheme="minorHAnsi"/>
          <w:bCs/>
        </w:rPr>
        <w:fldChar w:fldCharType="end"/>
      </w:r>
      <w:r w:rsidR="000F577A">
        <w:rPr>
          <w:rFonts w:cstheme="minorHAnsi"/>
          <w:bCs/>
        </w:rPr>
        <w:t xml:space="preserve">. </w:t>
      </w:r>
      <w:r w:rsidRPr="00355BCE">
        <w:rPr>
          <w:rFonts w:cstheme="minorHAnsi"/>
          <w:bCs/>
        </w:rPr>
        <w:t xml:space="preserve">The extent, impact and duration of changes to the microbiome and </w:t>
      </w:r>
      <w:proofErr w:type="spellStart"/>
      <w:r w:rsidRPr="00355BCE">
        <w:rPr>
          <w:rFonts w:cstheme="minorHAnsi"/>
          <w:bCs/>
        </w:rPr>
        <w:t>resistome</w:t>
      </w:r>
      <w:proofErr w:type="spellEnd"/>
      <w:r w:rsidRPr="00355BCE">
        <w:rPr>
          <w:rFonts w:cstheme="minorHAnsi"/>
          <w:bCs/>
        </w:rPr>
        <w:t xml:space="preserve"> following long-term Azithromycin exposure is not fully understood. </w:t>
      </w:r>
    </w:p>
    <w:p w14:paraId="77D79BB3" w14:textId="77777777" w:rsidR="00716346" w:rsidRDefault="00716346" w:rsidP="00355BCE">
      <w:pPr>
        <w:spacing w:line="360" w:lineRule="auto"/>
        <w:rPr>
          <w:rFonts w:cstheme="minorHAnsi"/>
          <w:bCs/>
        </w:rPr>
      </w:pPr>
    </w:p>
    <w:p w14:paraId="41FE4537" w14:textId="350762BC" w:rsidR="00355BCE" w:rsidRPr="002B4B61" w:rsidRDefault="00355BCE" w:rsidP="00355BCE">
      <w:pPr>
        <w:spacing w:line="360" w:lineRule="auto"/>
        <w:rPr>
          <w:rFonts w:cstheme="minorHAnsi"/>
          <w:bCs/>
        </w:rPr>
      </w:pPr>
      <w:r w:rsidRPr="00355BCE">
        <w:rPr>
          <w:rFonts w:cstheme="minorHAnsi"/>
          <w:bCs/>
        </w:rPr>
        <w:t xml:space="preserve">Lactulose, a synthetic disaccharide often used to treat constipation, is reported to have prebiotic properties and the ability to promote beneficial bacterial growth specifically those producing SCFAs </w:t>
      </w:r>
      <w:r w:rsidR="00D475DF">
        <w:rPr>
          <w:rFonts w:cstheme="minorHAnsi"/>
          <w:bCs/>
        </w:rPr>
        <w:fldChar w:fldCharType="begin">
          <w:fldData xml:space="preserve">PEVuZE5vdGU+PENpdGU+PEF1dGhvcj5DYXJkZWxsZS1Db2JhczwvQXV0aG9yPjxZZWFyPjIwMDk8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</w:fldData>
        </w:fldChar>
      </w:r>
      <w:r w:rsidR="00EE22EB">
        <w:rPr>
          <w:rFonts w:cstheme="minorHAnsi"/>
          <w:bCs/>
        </w:rPr>
        <w:instrText xml:space="preserve"> ADDIN EN.CITE </w:instrText>
      </w:r>
      <w:r w:rsidR="00EE22EB">
        <w:rPr>
          <w:rFonts w:cstheme="minorHAnsi"/>
          <w:bCs/>
        </w:rPr>
        <w:fldChar w:fldCharType="begin">
          <w:fldData xml:space="preserve">PEVuZE5vdGU+PENpdGU+PEF1dGhvcj5DYXJkZWxsZS1Db2JhczwvQXV0aG9yPjxZZWFyPjIwMDk8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</w:fldData>
        </w:fldChar>
      </w:r>
      <w:r w:rsidR="00EE22EB">
        <w:rPr>
          <w:rFonts w:cstheme="minorHAnsi"/>
          <w:bCs/>
        </w:rPr>
        <w:instrText xml:space="preserve"> ADDIN EN.CITE.DATA </w:instrText>
      </w:r>
      <w:r w:rsidR="00EE22EB">
        <w:rPr>
          <w:rFonts w:cstheme="minorHAnsi"/>
          <w:bCs/>
        </w:rPr>
      </w:r>
      <w:r w:rsidR="00EE22EB">
        <w:rPr>
          <w:rFonts w:cstheme="minorHAnsi"/>
          <w:bCs/>
        </w:rPr>
        <w:fldChar w:fldCharType="end"/>
      </w:r>
      <w:r w:rsidR="00D475DF">
        <w:rPr>
          <w:rFonts w:cstheme="minorHAnsi"/>
          <w:bCs/>
        </w:rPr>
      </w:r>
      <w:r w:rsidR="00D475DF">
        <w:rPr>
          <w:rFonts w:cstheme="minorHAnsi"/>
          <w:bCs/>
        </w:rPr>
        <w:fldChar w:fldCharType="separate"/>
      </w:r>
      <w:r w:rsidR="00EE22EB">
        <w:rPr>
          <w:rFonts w:cstheme="minorHAnsi"/>
          <w:bCs/>
          <w:noProof/>
        </w:rPr>
        <w:t>(Cardelle-Cobas et al., 2009)</w:t>
      </w:r>
      <w:r w:rsidR="00D475DF">
        <w:rPr>
          <w:rFonts w:cstheme="minorHAnsi"/>
          <w:bCs/>
        </w:rPr>
        <w:fldChar w:fldCharType="end"/>
      </w:r>
      <w:r w:rsidR="00D475DF">
        <w:rPr>
          <w:rFonts w:cstheme="minorHAnsi"/>
          <w:bCs/>
        </w:rPr>
        <w:t xml:space="preserve">. </w:t>
      </w:r>
      <w:r w:rsidRPr="00355BCE">
        <w:rPr>
          <w:rFonts w:cstheme="minorHAnsi"/>
          <w:bCs/>
        </w:rPr>
        <w:t>Emerging evidence suggests that concurrent lactulose</w:t>
      </w:r>
      <w:r w:rsidR="00042B05">
        <w:rPr>
          <w:rFonts w:cstheme="minorHAnsi"/>
          <w:bCs/>
        </w:rPr>
        <w:t xml:space="preserve"> (20mg/kg/dose)</w:t>
      </w:r>
      <w:r w:rsidRPr="00355BCE">
        <w:rPr>
          <w:rFonts w:cstheme="minorHAnsi"/>
          <w:bCs/>
        </w:rPr>
        <w:t xml:space="preserve"> following exposure to 3 days of azithromycin may re-establish the paediatric gut microbiome faster, compared to a control group who were not administered lactulose </w:t>
      </w:r>
      <w:r w:rsidR="00D475DF">
        <w:rPr>
          <w:rFonts w:cstheme="minorHAnsi"/>
          <w:bCs/>
        </w:rPr>
        <w:fldChar w:fldCharType="begin">
          <w:fldData xml:space="preserve">PEVuZE5vdGU+PENpdGU+PEF1dGhvcj5OaWtvbGFvdTwvQXV0aG9yPjxZZWFyPjIwMjA8L1llYXI+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</w:fldData>
        </w:fldChar>
      </w:r>
      <w:r w:rsidR="00EE22EB">
        <w:rPr>
          <w:rFonts w:cstheme="minorHAnsi"/>
          <w:bCs/>
        </w:rPr>
        <w:instrText xml:space="preserve"> ADDIN EN.CITE </w:instrText>
      </w:r>
      <w:r w:rsidR="00EE22EB">
        <w:rPr>
          <w:rFonts w:cstheme="minorHAnsi"/>
          <w:bCs/>
        </w:rPr>
        <w:fldChar w:fldCharType="begin">
          <w:fldData xml:space="preserve">PEVuZE5vdGU+PENpdGU+PEF1dGhvcj5OaWtvbGFvdTwvQXV0aG9yPjxZZWFyPjIwMjA8L1llYXI+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</w:fldData>
        </w:fldChar>
      </w:r>
      <w:r w:rsidR="00EE22EB">
        <w:rPr>
          <w:rFonts w:cstheme="minorHAnsi"/>
          <w:bCs/>
        </w:rPr>
        <w:instrText xml:space="preserve"> ADDIN EN.CITE.DATA </w:instrText>
      </w:r>
      <w:r w:rsidR="00EE22EB">
        <w:rPr>
          <w:rFonts w:cstheme="minorHAnsi"/>
          <w:bCs/>
        </w:rPr>
      </w:r>
      <w:r w:rsidR="00EE22EB">
        <w:rPr>
          <w:rFonts w:cstheme="minorHAnsi"/>
          <w:bCs/>
        </w:rPr>
        <w:fldChar w:fldCharType="end"/>
      </w:r>
      <w:r w:rsidR="00D475DF">
        <w:rPr>
          <w:rFonts w:cstheme="minorHAnsi"/>
          <w:bCs/>
        </w:rPr>
      </w:r>
      <w:r w:rsidR="00D475DF">
        <w:rPr>
          <w:rFonts w:cstheme="minorHAnsi"/>
          <w:bCs/>
        </w:rPr>
        <w:fldChar w:fldCharType="separate"/>
      </w:r>
      <w:r w:rsidR="00EE22EB">
        <w:rPr>
          <w:rFonts w:cstheme="minorHAnsi"/>
          <w:bCs/>
          <w:noProof/>
        </w:rPr>
        <w:t>(Nikolaou et al., 2020)</w:t>
      </w:r>
      <w:r w:rsidR="00D475DF">
        <w:rPr>
          <w:rFonts w:cstheme="minorHAnsi"/>
          <w:bCs/>
        </w:rPr>
        <w:fldChar w:fldCharType="end"/>
      </w:r>
      <w:r w:rsidRPr="00355BCE">
        <w:rPr>
          <w:rFonts w:cstheme="minorHAnsi"/>
          <w:bCs/>
        </w:rPr>
        <w:t xml:space="preserve">. </w:t>
      </w:r>
      <w:r w:rsidR="004D3C43" w:rsidRPr="00355BCE">
        <w:rPr>
          <w:rFonts w:cstheme="minorHAnsi"/>
          <w:bCs/>
        </w:rPr>
        <w:t>This raises the question of whether Lactulose is able to reduce the detrimental effects of longer term Azithromycin on the gut microbiome in children.</w:t>
      </w:r>
    </w:p>
    <w:p w14:paraId="67836DEC" w14:textId="77777777" w:rsidR="00355BCE" w:rsidRPr="00355BCE" w:rsidRDefault="00355BCE" w:rsidP="00355BCE">
      <w:pPr>
        <w:spacing w:line="360" w:lineRule="auto"/>
        <w:rPr>
          <w:rFonts w:cstheme="minorHAnsi"/>
          <w:bCs/>
        </w:rPr>
      </w:pPr>
    </w:p>
    <w:p w14:paraId="3CFF9C19" w14:textId="77777777" w:rsidR="00355BCE" w:rsidRPr="00355BCE" w:rsidRDefault="00355BCE" w:rsidP="00355BCE">
      <w:pPr>
        <w:spacing w:line="360" w:lineRule="auto"/>
        <w:rPr>
          <w:rFonts w:cstheme="minorHAnsi"/>
          <w:bCs/>
        </w:rPr>
      </w:pPr>
    </w:p>
    <w:p w14:paraId="35144359" w14:textId="77777777" w:rsidR="00355BCE" w:rsidRPr="00355BCE" w:rsidRDefault="00355BCE" w:rsidP="00355BCE">
      <w:pPr>
        <w:spacing w:line="360" w:lineRule="auto"/>
        <w:rPr>
          <w:rFonts w:cstheme="minorHAnsi"/>
          <w:bCs/>
        </w:rPr>
      </w:pPr>
      <w:r w:rsidRPr="00355BCE">
        <w:rPr>
          <w:rFonts w:cstheme="minorHAnsi"/>
          <w:bCs/>
        </w:rPr>
        <w:t xml:space="preserve">This randomised controlled trial in children with PBB firstly aims to compare thrice weekly low (5mg/kg/dose) and standard (10mg/kg/dose) dose long-term Azithromycin regimens. The primary outcome will be the number of pulmonary exacerbations over the study period and secondary outcomes will include gut microbiome and </w:t>
      </w:r>
      <w:proofErr w:type="spellStart"/>
      <w:r w:rsidRPr="00355BCE">
        <w:rPr>
          <w:rFonts w:cstheme="minorHAnsi"/>
          <w:bCs/>
        </w:rPr>
        <w:t>resistome</w:t>
      </w:r>
      <w:proofErr w:type="spellEnd"/>
      <w:r w:rsidRPr="00355BCE">
        <w:rPr>
          <w:rFonts w:cstheme="minorHAnsi"/>
          <w:bCs/>
        </w:rPr>
        <w:t xml:space="preserve"> analysis. Secondly, the effects of lactulose in re-establishing the gut microbiome following antibiotic exposure, will be investigated. If a low dose regimen is found to be as effective as reducing pulmonary exacerbations compared to the standard regimen, which has less impact on the microbiome and </w:t>
      </w:r>
      <w:proofErr w:type="spellStart"/>
      <w:r w:rsidRPr="00355BCE">
        <w:rPr>
          <w:rFonts w:cstheme="minorHAnsi"/>
          <w:bCs/>
        </w:rPr>
        <w:t>resistome</w:t>
      </w:r>
      <w:proofErr w:type="spellEnd"/>
      <w:r w:rsidRPr="00355BCE">
        <w:rPr>
          <w:rFonts w:cstheme="minorHAnsi"/>
          <w:bCs/>
        </w:rPr>
        <w:t xml:space="preserve">, a larger RCT will be performed to inform future guideline development as to the optimal dosing of Azithromycin in paediatric PBB. </w:t>
      </w:r>
    </w:p>
    <w:p w14:paraId="211D85E8" w14:textId="77777777" w:rsidR="00A26D50" w:rsidRPr="002B4B61" w:rsidRDefault="00A26D50" w:rsidP="00A26D50">
      <w:pPr>
        <w:spacing w:line="360" w:lineRule="auto"/>
        <w:rPr>
          <w:rFonts w:cstheme="minorHAnsi"/>
          <w:bCs/>
        </w:rPr>
      </w:pPr>
    </w:p>
    <w:p w14:paraId="0E06056D" w14:textId="77777777" w:rsidR="00A26D50" w:rsidRPr="002B4B61" w:rsidRDefault="00A26D50" w:rsidP="00A26D50">
      <w:pPr>
        <w:spacing w:line="360" w:lineRule="auto"/>
        <w:rPr>
          <w:rFonts w:cstheme="minorHAnsi"/>
        </w:rPr>
      </w:pPr>
    </w:p>
    <w:p w14:paraId="180AE983" w14:textId="77777777" w:rsidR="00A26D50" w:rsidRPr="002B4B61" w:rsidRDefault="00A26D50" w:rsidP="00A26D50">
      <w:pPr>
        <w:rPr>
          <w:rFonts w:cstheme="minorHAnsi"/>
        </w:rPr>
      </w:pPr>
    </w:p>
    <w:p w14:paraId="75AD01EE" w14:textId="77777777" w:rsidR="00A26D50" w:rsidRPr="002B4B61" w:rsidRDefault="00A26D50" w:rsidP="00A26D50">
      <w:pPr>
        <w:rPr>
          <w:rFonts w:cstheme="minorHAnsi"/>
          <w:b/>
        </w:rPr>
      </w:pPr>
      <w:r w:rsidRPr="002B4B61">
        <w:rPr>
          <w:rFonts w:cstheme="minorHAnsi"/>
          <w:b/>
        </w:rPr>
        <w:t>2.0</w:t>
      </w:r>
      <w:r w:rsidRPr="002B4B61">
        <w:rPr>
          <w:rFonts w:cstheme="minorHAnsi"/>
          <w:b/>
        </w:rPr>
        <w:tab/>
      </w:r>
      <w:r w:rsidRPr="002B4B61">
        <w:rPr>
          <w:rFonts w:cstheme="minorHAnsi"/>
          <w:b/>
          <w:u w:val="single"/>
        </w:rPr>
        <w:t>TRIAL OBJECTIVES AND PURPOSE</w:t>
      </w:r>
    </w:p>
    <w:p w14:paraId="09300246" w14:textId="77777777" w:rsidR="00A26D50" w:rsidRPr="002B4B61" w:rsidRDefault="00A26D50" w:rsidP="00A26D50">
      <w:pPr>
        <w:rPr>
          <w:rFonts w:cstheme="minorHAnsi"/>
        </w:rPr>
      </w:pPr>
    </w:p>
    <w:p w14:paraId="1F92E237" w14:textId="77777777" w:rsidR="00355BCE" w:rsidRPr="00355BCE" w:rsidRDefault="00355BCE" w:rsidP="00355BCE">
      <w:pPr>
        <w:spacing w:line="360" w:lineRule="auto"/>
        <w:rPr>
          <w:rFonts w:cstheme="minorHAnsi"/>
        </w:rPr>
      </w:pPr>
      <w:r w:rsidRPr="00355BCE">
        <w:rPr>
          <w:rFonts w:cstheme="minorHAnsi"/>
        </w:rPr>
        <w:t xml:space="preserve">This is a feasibility trial with the purpose of testing the hypothesis that low dose long-term azithromycin (5mg/kg/dose thrice weekly) is not inferior to usual dose long-term azithromycin (10mg/kg/dose thrice weekly) in reducing pulmonary exacerbations and has less impact on the </w:t>
      </w:r>
      <w:r w:rsidRPr="00355BCE">
        <w:rPr>
          <w:rFonts w:cstheme="minorHAnsi"/>
        </w:rPr>
        <w:lastRenderedPageBreak/>
        <w:t xml:space="preserve">nasopharyngeal and intestinal microbiome and </w:t>
      </w:r>
      <w:proofErr w:type="spellStart"/>
      <w:r w:rsidRPr="00355BCE">
        <w:rPr>
          <w:rFonts w:cstheme="minorHAnsi"/>
        </w:rPr>
        <w:t>resistome</w:t>
      </w:r>
      <w:proofErr w:type="spellEnd"/>
      <w:r w:rsidRPr="00355BCE">
        <w:rPr>
          <w:rFonts w:cstheme="minorHAnsi"/>
        </w:rPr>
        <w:t>. We aim to collect preliminary data on the efficacy and safety of low dose azithromycin (AZM) prophylaxis before proceeding with a larger non-inferiority randomised controlled trial. The following objectives include the core set of outcomes identified for clinical trials involving children with PBB (Gilchrist 2020).</w:t>
      </w:r>
    </w:p>
    <w:p w14:paraId="083E2B19" w14:textId="77777777" w:rsidR="00A26D50" w:rsidRPr="002B4B61" w:rsidRDefault="00A26D50" w:rsidP="00A26D50">
      <w:pPr>
        <w:spacing w:line="360" w:lineRule="auto"/>
        <w:rPr>
          <w:rFonts w:cstheme="minorHAnsi"/>
        </w:rPr>
      </w:pPr>
    </w:p>
    <w:p w14:paraId="03F146AD" w14:textId="77777777" w:rsidR="00355BCE" w:rsidRPr="002B4B61" w:rsidRDefault="00A26D50" w:rsidP="00A26D50">
      <w:pPr>
        <w:spacing w:line="360" w:lineRule="auto"/>
        <w:rPr>
          <w:rFonts w:cstheme="minorHAnsi"/>
          <w:b/>
          <w:bCs/>
        </w:rPr>
      </w:pPr>
      <w:r w:rsidRPr="002B4B61">
        <w:rPr>
          <w:rFonts w:cstheme="minorHAnsi"/>
          <w:b/>
          <w:bCs/>
        </w:rPr>
        <w:t>Primary objective</w:t>
      </w:r>
      <w:r w:rsidR="00355BCE" w:rsidRPr="002B4B61">
        <w:rPr>
          <w:rFonts w:cstheme="minorHAnsi"/>
          <w:b/>
          <w:bCs/>
        </w:rPr>
        <w:t>s</w:t>
      </w:r>
    </w:p>
    <w:p w14:paraId="54080D36" w14:textId="125C8F47" w:rsidR="00A26D50" w:rsidRPr="002B4B61" w:rsidRDefault="00A26D50" w:rsidP="00A26D50">
      <w:pPr>
        <w:spacing w:line="360" w:lineRule="auto"/>
        <w:rPr>
          <w:rFonts w:cstheme="minorHAnsi"/>
          <w:b/>
          <w:bCs/>
        </w:rPr>
      </w:pPr>
      <w:r w:rsidRPr="002B4B61">
        <w:rPr>
          <w:rFonts w:cstheme="minorHAnsi"/>
          <w:b/>
          <w:bCs/>
        </w:rPr>
        <w:t xml:space="preserve"> </w:t>
      </w:r>
    </w:p>
    <w:p w14:paraId="53EFB41F" w14:textId="4C71DD01" w:rsidR="00A26D50" w:rsidRPr="002B4B61" w:rsidRDefault="00355BCE" w:rsidP="00355BCE">
      <w:pPr>
        <w:spacing w:line="360" w:lineRule="auto"/>
        <w:rPr>
          <w:rFonts w:cstheme="minorHAnsi"/>
          <w:b/>
          <w:bCs/>
        </w:rPr>
      </w:pPr>
      <w:r w:rsidRPr="002B4B61">
        <w:rPr>
          <w:rFonts w:cstheme="minorHAnsi"/>
          <w:b/>
          <w:bCs/>
        </w:rPr>
        <w:t>First primary objective</w:t>
      </w:r>
    </w:p>
    <w:tbl>
      <w:tblPr>
        <w:tblStyle w:val="TableGrid2"/>
        <w:tblW w:w="0" w:type="auto"/>
        <w:tblLook w:val="04A0" w:firstRow="1" w:lastRow="0" w:firstColumn="1" w:lastColumn="0" w:noHBand="0" w:noVBand="1"/>
      </w:tblPr>
      <w:tblGrid>
        <w:gridCol w:w="3110"/>
        <w:gridCol w:w="3110"/>
        <w:gridCol w:w="3111"/>
      </w:tblGrid>
      <w:tr w:rsidR="00A26D50" w:rsidRPr="002B4B61" w14:paraId="6CC011D1" w14:textId="77777777" w:rsidTr="00A26D50">
        <w:tc>
          <w:tcPr>
            <w:tcW w:w="3110" w:type="dxa"/>
            <w:shd w:val="clear" w:color="auto" w:fill="8EAADB"/>
          </w:tcPr>
          <w:p w14:paraId="2DDDEB7F" w14:textId="77777777"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Primary outcome</w:t>
            </w:r>
          </w:p>
        </w:tc>
        <w:tc>
          <w:tcPr>
            <w:tcW w:w="3110" w:type="dxa"/>
            <w:shd w:val="clear" w:color="auto" w:fill="8EAADB"/>
          </w:tcPr>
          <w:p w14:paraId="35A01FA2" w14:textId="77777777"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Primary outcome measure</w:t>
            </w:r>
          </w:p>
        </w:tc>
        <w:tc>
          <w:tcPr>
            <w:tcW w:w="3111" w:type="dxa"/>
            <w:shd w:val="clear" w:color="auto" w:fill="8EAADB"/>
          </w:tcPr>
          <w:p w14:paraId="5AEA620A" w14:textId="77777777"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Time points of evaluation</w:t>
            </w:r>
          </w:p>
        </w:tc>
      </w:tr>
      <w:tr w:rsidR="00A26D50" w:rsidRPr="002B4B61" w14:paraId="125AE5D2" w14:textId="77777777" w:rsidTr="00647E5D">
        <w:tc>
          <w:tcPr>
            <w:tcW w:w="3110" w:type="dxa"/>
          </w:tcPr>
          <w:p w14:paraId="1F786641" w14:textId="77777777"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To determine whether 6 months of low dose AZM is not inferior to usual dose AZM in reducing the number of pulmonary exacerbations</w:t>
            </w:r>
          </w:p>
        </w:tc>
        <w:tc>
          <w:tcPr>
            <w:tcW w:w="3110" w:type="dxa"/>
          </w:tcPr>
          <w:p w14:paraId="68F791AB" w14:textId="77777777"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The mean difference between trial arms in the number of pulmonary exacerbations* experienced during the study intervention period</w:t>
            </w:r>
          </w:p>
        </w:tc>
        <w:tc>
          <w:tcPr>
            <w:tcW w:w="3111" w:type="dxa"/>
          </w:tcPr>
          <w:p w14:paraId="7C9C46F3" w14:textId="60FEB70B" w:rsidR="00A26D50" w:rsidRPr="002B4B61" w:rsidRDefault="00A26D50" w:rsidP="00A26D50">
            <w:pPr>
              <w:spacing w:line="360" w:lineRule="auto"/>
              <w:rPr>
                <w:rFonts w:asciiTheme="minorHAnsi" w:hAnsiTheme="minorHAnsi" w:cstheme="minorHAnsi"/>
              </w:rPr>
            </w:pPr>
            <w:r w:rsidRPr="002B4B61">
              <w:rPr>
                <w:rFonts w:asciiTheme="minorHAnsi" w:hAnsiTheme="minorHAnsi" w:cstheme="minorHAnsi"/>
              </w:rPr>
              <w:t>At 2, 4</w:t>
            </w:r>
            <w:r w:rsidR="00355BCE" w:rsidRPr="002B4B61">
              <w:rPr>
                <w:rFonts w:asciiTheme="minorHAnsi" w:hAnsiTheme="minorHAnsi" w:cstheme="minorHAnsi"/>
              </w:rPr>
              <w:t xml:space="preserve"> and</w:t>
            </w:r>
            <w:r w:rsidRPr="002B4B61">
              <w:rPr>
                <w:rFonts w:asciiTheme="minorHAnsi" w:hAnsiTheme="minorHAnsi" w:cstheme="minorHAnsi"/>
              </w:rPr>
              <w:t xml:space="preserve"> 6</w:t>
            </w:r>
            <w:r w:rsidR="00355BCE" w:rsidRPr="002B4B61">
              <w:rPr>
                <w:rFonts w:asciiTheme="minorHAnsi" w:hAnsiTheme="minorHAnsi" w:cstheme="minorHAnsi"/>
              </w:rPr>
              <w:t xml:space="preserve"> months</w:t>
            </w:r>
          </w:p>
        </w:tc>
      </w:tr>
    </w:tbl>
    <w:p w14:paraId="442F6169" w14:textId="77777777" w:rsidR="00A26D50" w:rsidRPr="002B4B61" w:rsidRDefault="00A26D50" w:rsidP="00A26D50">
      <w:pPr>
        <w:spacing w:line="360" w:lineRule="auto"/>
        <w:rPr>
          <w:rFonts w:cstheme="minorHAnsi"/>
          <w:b/>
          <w:bCs/>
          <w:u w:val="single"/>
        </w:rPr>
      </w:pPr>
    </w:p>
    <w:p w14:paraId="68B8D4DB" w14:textId="77777777" w:rsidR="00A26D50" w:rsidRPr="002B4B61" w:rsidRDefault="00A26D50" w:rsidP="00A26D50">
      <w:pPr>
        <w:spacing w:line="360" w:lineRule="auto"/>
        <w:rPr>
          <w:rFonts w:cstheme="minorHAnsi"/>
        </w:rPr>
      </w:pPr>
    </w:p>
    <w:p w14:paraId="15CABBFD" w14:textId="38774AA1" w:rsidR="00A26D50" w:rsidRPr="002B4B61" w:rsidRDefault="00A26D50" w:rsidP="00A26D50">
      <w:pPr>
        <w:rPr>
          <w:rFonts w:cstheme="minorHAnsi"/>
        </w:rPr>
      </w:pPr>
      <w:r w:rsidRPr="002B4B61">
        <w:rPr>
          <w:rFonts w:cstheme="minorHAnsi"/>
        </w:rPr>
        <w:t>*Pulmonary exacerbations will be defined in 2 ways</w:t>
      </w:r>
      <w:r w:rsidR="00355BCE" w:rsidRPr="002B4B61">
        <w:rPr>
          <w:rFonts w:cstheme="minorHAnsi"/>
        </w:rPr>
        <w:t>:</w:t>
      </w:r>
    </w:p>
    <w:p w14:paraId="5ADBAC8C" w14:textId="77777777" w:rsidR="00355BCE" w:rsidRPr="002B4B61" w:rsidRDefault="00355BCE" w:rsidP="00A26D50">
      <w:pPr>
        <w:rPr>
          <w:rFonts w:cstheme="minorHAnsi"/>
        </w:rPr>
      </w:pPr>
    </w:p>
    <w:p w14:paraId="13EB53B9" w14:textId="4B801ED9" w:rsidR="00355BCE" w:rsidRPr="00355BCE" w:rsidRDefault="00355BCE" w:rsidP="00355BCE">
      <w:pPr>
        <w:spacing w:line="360" w:lineRule="auto"/>
        <w:rPr>
          <w:rFonts w:cstheme="minorHAnsi"/>
        </w:rPr>
      </w:pPr>
      <w:r w:rsidRPr="00355BCE">
        <w:rPr>
          <w:rFonts w:cstheme="minorHAnsi"/>
        </w:rPr>
        <w:t xml:space="preserve">1)  PBB exacerbation (PPBE) as defined in the Sheffield children’s hospital guideline (appendix </w:t>
      </w:r>
      <w:r w:rsidR="00D475DF">
        <w:rPr>
          <w:rFonts w:cstheme="minorHAnsi"/>
        </w:rPr>
        <w:t>2</w:t>
      </w:r>
      <w:r w:rsidRPr="00355BCE">
        <w:rPr>
          <w:rFonts w:cstheme="minorHAnsi"/>
        </w:rPr>
        <w:t>)</w:t>
      </w:r>
    </w:p>
    <w:p w14:paraId="45F79E53" w14:textId="6BDB2C9F" w:rsidR="00355BCE" w:rsidRPr="00355BCE" w:rsidRDefault="00740DF6">
      <w:pPr>
        <w:numPr>
          <w:ilvl w:val="0"/>
          <w:numId w:val="33"/>
        </w:numPr>
        <w:spacing w:line="360" w:lineRule="auto"/>
        <w:rPr>
          <w:rFonts w:cstheme="minorHAnsi"/>
        </w:rPr>
      </w:pPr>
      <w:r>
        <w:rPr>
          <w:rFonts w:cstheme="minorHAnsi"/>
        </w:rPr>
        <w:t>4</w:t>
      </w:r>
      <w:r w:rsidR="00355BCE" w:rsidRPr="00355BCE">
        <w:rPr>
          <w:rFonts w:cstheme="minorHAnsi"/>
        </w:rPr>
        <w:t xml:space="preserve"> week history of persistent wet cough</w:t>
      </w:r>
    </w:p>
    <w:p w14:paraId="47819FE2" w14:textId="77777777" w:rsidR="00355BCE" w:rsidRPr="00355BCE" w:rsidRDefault="00355BCE">
      <w:pPr>
        <w:numPr>
          <w:ilvl w:val="0"/>
          <w:numId w:val="33"/>
        </w:numPr>
        <w:spacing w:line="360" w:lineRule="auto"/>
        <w:rPr>
          <w:rFonts w:cstheme="minorHAnsi"/>
        </w:rPr>
      </w:pPr>
      <w:r w:rsidRPr="00355BCE">
        <w:rPr>
          <w:rFonts w:cstheme="minorHAnsi"/>
        </w:rPr>
        <w:t xml:space="preserve">No new cough pointers** identified on clinical assessment to suggest another cause of chronic cough </w:t>
      </w:r>
    </w:p>
    <w:p w14:paraId="52DF70C0" w14:textId="77777777" w:rsidR="00355BCE" w:rsidRPr="00355BCE" w:rsidRDefault="00355BCE">
      <w:pPr>
        <w:numPr>
          <w:ilvl w:val="0"/>
          <w:numId w:val="33"/>
        </w:numPr>
        <w:spacing w:line="360" w:lineRule="auto"/>
        <w:rPr>
          <w:rFonts w:cstheme="minorHAnsi"/>
        </w:rPr>
      </w:pPr>
      <w:r w:rsidRPr="00355BCE">
        <w:rPr>
          <w:rFonts w:cstheme="minorHAnsi"/>
        </w:rPr>
        <w:t xml:space="preserve">Treatment with 2-4 weeks of oral antibiotics </w:t>
      </w:r>
    </w:p>
    <w:p w14:paraId="60F552CF" w14:textId="77777777" w:rsidR="00355BCE" w:rsidRPr="00355BCE" w:rsidRDefault="00355BCE" w:rsidP="00355BCE">
      <w:pPr>
        <w:spacing w:line="360" w:lineRule="auto"/>
        <w:rPr>
          <w:rFonts w:cstheme="minorHAnsi"/>
        </w:rPr>
      </w:pPr>
    </w:p>
    <w:p w14:paraId="3E76BFF7" w14:textId="77777777" w:rsidR="00355BCE" w:rsidRPr="00355BCE" w:rsidRDefault="00355BCE" w:rsidP="00355BCE">
      <w:pPr>
        <w:spacing w:line="360" w:lineRule="auto"/>
        <w:rPr>
          <w:rFonts w:cstheme="minorHAnsi"/>
        </w:rPr>
      </w:pPr>
      <w:r w:rsidRPr="00355BCE">
        <w:rPr>
          <w:rFonts w:cstheme="minorHAnsi"/>
        </w:rPr>
        <w:t xml:space="preserve">**Specific cough pointers Symptoms: chest pain, history suggestive of inhaled foreign body, dyspnoea, exertional dyspnoea, haemoptysis, failure to thrive, feeding difficulties (including vomiting or choking), cardiac or neurodevelopmental abnormalities, recurrent sinopulmonary infections, immunodeficiency or epidemiological risk factors for tuberculosis. </w:t>
      </w:r>
    </w:p>
    <w:p w14:paraId="6CAF4EBB" w14:textId="77777777" w:rsidR="00355BCE" w:rsidRPr="00355BCE" w:rsidRDefault="00355BCE" w:rsidP="00355BCE">
      <w:pPr>
        <w:spacing w:line="360" w:lineRule="auto"/>
        <w:rPr>
          <w:rFonts w:cstheme="minorHAnsi"/>
        </w:rPr>
      </w:pPr>
      <w:r w:rsidRPr="00355BCE">
        <w:rPr>
          <w:rFonts w:cstheme="minorHAnsi"/>
        </w:rPr>
        <w:t>Signs: respiratory distress, digital clubbing, chest wall deformity or auscultatory crackles. Investigations: chest radiograph changes other than peri-hilar changes or lung function abnormalities</w:t>
      </w:r>
    </w:p>
    <w:p w14:paraId="1C6C3A45" w14:textId="77777777" w:rsidR="00355BCE" w:rsidRPr="00355BCE" w:rsidRDefault="00355BCE" w:rsidP="00355BCE">
      <w:pPr>
        <w:spacing w:line="360" w:lineRule="auto"/>
        <w:ind w:left="1080"/>
        <w:rPr>
          <w:rFonts w:cstheme="minorHAnsi"/>
        </w:rPr>
      </w:pPr>
    </w:p>
    <w:p w14:paraId="7F0436EA" w14:textId="77777777" w:rsidR="00355BCE" w:rsidRPr="00355BCE" w:rsidRDefault="00355BCE">
      <w:pPr>
        <w:numPr>
          <w:ilvl w:val="0"/>
          <w:numId w:val="36"/>
        </w:numPr>
        <w:spacing w:line="360" w:lineRule="auto"/>
        <w:ind w:left="720"/>
        <w:rPr>
          <w:rFonts w:cstheme="minorHAnsi"/>
        </w:rPr>
      </w:pPr>
      <w:r w:rsidRPr="00355BCE">
        <w:rPr>
          <w:rFonts w:cstheme="minorHAnsi"/>
        </w:rPr>
        <w:t>Protocol defined lower respiratory tract infection (PDLRTI) based on definitions used for children without PBB.</w:t>
      </w:r>
    </w:p>
    <w:p w14:paraId="5FBBA4A5" w14:textId="77777777" w:rsidR="00355BCE" w:rsidRPr="00355BCE" w:rsidRDefault="00355BCE" w:rsidP="00355BCE">
      <w:pPr>
        <w:spacing w:line="360" w:lineRule="auto"/>
        <w:ind w:left="720"/>
        <w:rPr>
          <w:rFonts w:cstheme="minorHAnsi"/>
        </w:rPr>
      </w:pPr>
      <w:r w:rsidRPr="00355BCE">
        <w:rPr>
          <w:rFonts w:cstheme="minorHAnsi"/>
        </w:rPr>
        <w:t>48 hours of 2 or more of the following symptoms and signs:</w:t>
      </w:r>
    </w:p>
    <w:p w14:paraId="3CA82EAD" w14:textId="77777777" w:rsidR="00355BCE" w:rsidRPr="00355BCE" w:rsidRDefault="00355BCE">
      <w:pPr>
        <w:numPr>
          <w:ilvl w:val="0"/>
          <w:numId w:val="30"/>
        </w:numPr>
        <w:spacing w:line="360" w:lineRule="auto"/>
        <w:rPr>
          <w:rFonts w:cstheme="minorHAnsi"/>
        </w:rPr>
      </w:pPr>
      <w:r w:rsidRPr="00355BCE">
        <w:rPr>
          <w:rFonts w:cstheme="minorHAnsi"/>
        </w:rPr>
        <w:t>Temperature over 38</w:t>
      </w:r>
      <w:r w:rsidRPr="00355BCE">
        <w:rPr>
          <w:rFonts w:cstheme="minorHAnsi"/>
          <w:vertAlign w:val="superscript"/>
        </w:rPr>
        <w:t>o</w:t>
      </w:r>
      <w:r w:rsidRPr="00355BCE">
        <w:rPr>
          <w:rFonts w:cstheme="minorHAnsi"/>
        </w:rPr>
        <w:t xml:space="preserve">C </w:t>
      </w:r>
    </w:p>
    <w:p w14:paraId="1B13696F" w14:textId="77777777" w:rsidR="00355BCE" w:rsidRPr="00355BCE" w:rsidRDefault="00355BCE">
      <w:pPr>
        <w:numPr>
          <w:ilvl w:val="0"/>
          <w:numId w:val="30"/>
        </w:numPr>
        <w:spacing w:line="360" w:lineRule="auto"/>
        <w:rPr>
          <w:rFonts w:cstheme="minorHAnsi"/>
        </w:rPr>
      </w:pPr>
      <w:r w:rsidRPr="00355BCE">
        <w:rPr>
          <w:rFonts w:cstheme="minorHAnsi"/>
        </w:rPr>
        <w:t>Fast or increased work of breathing</w:t>
      </w:r>
    </w:p>
    <w:p w14:paraId="52C07ED8" w14:textId="77777777" w:rsidR="00355BCE" w:rsidRPr="00355BCE" w:rsidRDefault="00355BCE">
      <w:pPr>
        <w:numPr>
          <w:ilvl w:val="0"/>
          <w:numId w:val="30"/>
        </w:numPr>
        <w:spacing w:line="360" w:lineRule="auto"/>
        <w:rPr>
          <w:rFonts w:cstheme="minorHAnsi"/>
        </w:rPr>
      </w:pPr>
      <w:r w:rsidRPr="00355BCE">
        <w:rPr>
          <w:rFonts w:cstheme="minorHAnsi"/>
        </w:rPr>
        <w:t>Increased cough</w:t>
      </w:r>
    </w:p>
    <w:p w14:paraId="3DCF1529" w14:textId="77777777" w:rsidR="00355BCE" w:rsidRPr="00355BCE" w:rsidRDefault="00355BCE">
      <w:pPr>
        <w:numPr>
          <w:ilvl w:val="0"/>
          <w:numId w:val="30"/>
        </w:numPr>
        <w:spacing w:line="360" w:lineRule="auto"/>
        <w:rPr>
          <w:rFonts w:cstheme="minorHAnsi"/>
        </w:rPr>
      </w:pPr>
      <w:r w:rsidRPr="00355BCE">
        <w:rPr>
          <w:rFonts w:cstheme="minorHAnsi"/>
        </w:rPr>
        <w:t xml:space="preserve">Increased sputum volume or colour intensity </w:t>
      </w:r>
    </w:p>
    <w:p w14:paraId="4C6BA6ED" w14:textId="77777777" w:rsidR="00355BCE" w:rsidRPr="00355BCE" w:rsidRDefault="00355BCE">
      <w:pPr>
        <w:numPr>
          <w:ilvl w:val="0"/>
          <w:numId w:val="30"/>
        </w:numPr>
        <w:spacing w:line="360" w:lineRule="auto"/>
        <w:rPr>
          <w:rFonts w:cstheme="minorHAnsi"/>
        </w:rPr>
      </w:pPr>
      <w:r w:rsidRPr="00355BCE">
        <w:rPr>
          <w:rFonts w:cstheme="minorHAnsi"/>
        </w:rPr>
        <w:t>New changes on a chest radiograph or chest auscultation (crackles/crepitations or bronchial breath sounds)</w:t>
      </w:r>
    </w:p>
    <w:p w14:paraId="58EFB48D" w14:textId="77777777" w:rsidR="00355BCE" w:rsidRPr="00355BCE" w:rsidRDefault="00355BCE">
      <w:pPr>
        <w:numPr>
          <w:ilvl w:val="0"/>
          <w:numId w:val="30"/>
        </w:numPr>
        <w:spacing w:line="360" w:lineRule="auto"/>
        <w:rPr>
          <w:rFonts w:cstheme="minorHAnsi"/>
        </w:rPr>
      </w:pPr>
      <w:r w:rsidRPr="00355BCE">
        <w:rPr>
          <w:rFonts w:cstheme="minorHAnsi"/>
        </w:rPr>
        <w:t>The need for respiratory support or oxygen</w:t>
      </w:r>
    </w:p>
    <w:p w14:paraId="5DBA3987" w14:textId="17F97F98" w:rsidR="00A26D50" w:rsidRDefault="00A26D50" w:rsidP="00A26D50">
      <w:pPr>
        <w:spacing w:line="360" w:lineRule="auto"/>
        <w:rPr>
          <w:rFonts w:cstheme="minorHAnsi"/>
        </w:rPr>
      </w:pPr>
    </w:p>
    <w:p w14:paraId="59A09A9F" w14:textId="5C0087C3" w:rsidR="005219DA" w:rsidRDefault="005219DA" w:rsidP="00A26D50">
      <w:pPr>
        <w:spacing w:line="360" w:lineRule="auto"/>
        <w:rPr>
          <w:rFonts w:cstheme="minorHAnsi"/>
        </w:rPr>
      </w:pPr>
    </w:p>
    <w:p w14:paraId="1B65385B" w14:textId="152FBFD9" w:rsidR="005219DA" w:rsidRDefault="005219DA" w:rsidP="00A26D50">
      <w:pPr>
        <w:spacing w:line="360" w:lineRule="auto"/>
        <w:rPr>
          <w:rFonts w:cstheme="minorHAnsi"/>
        </w:rPr>
      </w:pPr>
    </w:p>
    <w:p w14:paraId="63DF9191" w14:textId="12E04830" w:rsidR="005219DA" w:rsidRDefault="005219DA" w:rsidP="00A26D50">
      <w:pPr>
        <w:spacing w:line="360" w:lineRule="auto"/>
        <w:rPr>
          <w:rFonts w:cstheme="minorHAnsi"/>
        </w:rPr>
      </w:pPr>
    </w:p>
    <w:p w14:paraId="413E0B1D" w14:textId="77777777" w:rsidR="005219DA" w:rsidRPr="002B4B61" w:rsidRDefault="005219DA" w:rsidP="00A26D50">
      <w:pPr>
        <w:spacing w:line="360" w:lineRule="auto"/>
        <w:rPr>
          <w:rFonts w:cstheme="minorHAnsi"/>
        </w:rPr>
      </w:pPr>
    </w:p>
    <w:p w14:paraId="47ECCF3F" w14:textId="77777777" w:rsidR="00355BCE" w:rsidRPr="00355BCE" w:rsidRDefault="00355BCE" w:rsidP="00984685">
      <w:r w:rsidRPr="00355BCE">
        <w:t>Second primary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0"/>
        <w:gridCol w:w="3111"/>
      </w:tblGrid>
      <w:tr w:rsidR="00355BCE" w:rsidRPr="00355BCE" w14:paraId="481D657C" w14:textId="77777777" w:rsidTr="00703D08">
        <w:tc>
          <w:tcPr>
            <w:tcW w:w="3110" w:type="dxa"/>
            <w:shd w:val="clear" w:color="auto" w:fill="8EAADB"/>
          </w:tcPr>
          <w:p w14:paraId="62D779C1" w14:textId="77777777" w:rsidR="00355BCE" w:rsidRPr="00355BCE" w:rsidRDefault="00355BCE" w:rsidP="00355BCE">
            <w:pPr>
              <w:spacing w:line="360" w:lineRule="auto"/>
              <w:rPr>
                <w:rFonts w:cstheme="minorHAnsi"/>
              </w:rPr>
            </w:pPr>
            <w:r w:rsidRPr="00355BCE">
              <w:rPr>
                <w:rFonts w:cstheme="minorHAnsi"/>
              </w:rPr>
              <w:t>Primary outcome</w:t>
            </w:r>
          </w:p>
        </w:tc>
        <w:tc>
          <w:tcPr>
            <w:tcW w:w="3110" w:type="dxa"/>
            <w:shd w:val="clear" w:color="auto" w:fill="8EAADB"/>
          </w:tcPr>
          <w:p w14:paraId="7F66C118" w14:textId="77777777" w:rsidR="00355BCE" w:rsidRPr="00355BCE" w:rsidRDefault="00355BCE" w:rsidP="00355BCE">
            <w:pPr>
              <w:spacing w:line="360" w:lineRule="auto"/>
              <w:rPr>
                <w:rFonts w:cstheme="minorHAnsi"/>
              </w:rPr>
            </w:pPr>
            <w:r w:rsidRPr="00355BCE">
              <w:rPr>
                <w:rFonts w:cstheme="minorHAnsi"/>
              </w:rPr>
              <w:t>Primary outcome measure</w:t>
            </w:r>
          </w:p>
        </w:tc>
        <w:tc>
          <w:tcPr>
            <w:tcW w:w="3111" w:type="dxa"/>
            <w:shd w:val="clear" w:color="auto" w:fill="8EAADB"/>
          </w:tcPr>
          <w:p w14:paraId="240AA9B6" w14:textId="77777777" w:rsidR="00355BCE" w:rsidRPr="00355BCE" w:rsidRDefault="00355BCE" w:rsidP="00355BCE">
            <w:pPr>
              <w:spacing w:line="360" w:lineRule="auto"/>
              <w:rPr>
                <w:rFonts w:cstheme="minorHAnsi"/>
              </w:rPr>
            </w:pPr>
            <w:r w:rsidRPr="00355BCE">
              <w:rPr>
                <w:rFonts w:cstheme="minorHAnsi"/>
              </w:rPr>
              <w:t>Time points of evaluation</w:t>
            </w:r>
          </w:p>
        </w:tc>
      </w:tr>
      <w:tr w:rsidR="00355BCE" w:rsidRPr="00355BCE" w14:paraId="122B16BE" w14:textId="77777777" w:rsidTr="00703D08">
        <w:tc>
          <w:tcPr>
            <w:tcW w:w="3110" w:type="dxa"/>
            <w:shd w:val="clear" w:color="auto" w:fill="auto"/>
          </w:tcPr>
          <w:p w14:paraId="2ACB32FF" w14:textId="78FC8D81" w:rsidR="00355BCE" w:rsidRPr="00355BCE" w:rsidRDefault="00355BCE" w:rsidP="00355BCE">
            <w:pPr>
              <w:spacing w:line="360" w:lineRule="auto"/>
              <w:rPr>
                <w:rFonts w:cstheme="minorHAnsi"/>
              </w:rPr>
            </w:pPr>
            <w:r w:rsidRPr="00355BCE">
              <w:rPr>
                <w:rFonts w:cstheme="minorHAnsi"/>
              </w:rPr>
              <w:t xml:space="preserve">To determine whether 2 weeks of lactulose, on cessation of long-term </w:t>
            </w:r>
            <w:r w:rsidR="00D475DF">
              <w:rPr>
                <w:rFonts w:cstheme="minorHAnsi"/>
              </w:rPr>
              <w:t>a</w:t>
            </w:r>
            <w:r w:rsidRPr="00355BCE">
              <w:rPr>
                <w:rFonts w:cstheme="minorHAnsi"/>
              </w:rPr>
              <w:t xml:space="preserve">zithromycin use, re-establishes the gut microbiome faster than a lactulose unexposed control group </w:t>
            </w:r>
          </w:p>
        </w:tc>
        <w:tc>
          <w:tcPr>
            <w:tcW w:w="3110" w:type="dxa"/>
            <w:shd w:val="clear" w:color="auto" w:fill="auto"/>
          </w:tcPr>
          <w:p w14:paraId="50701828" w14:textId="77777777" w:rsidR="00355BCE" w:rsidRPr="00355BCE" w:rsidRDefault="00355BCE" w:rsidP="00355BCE">
            <w:pPr>
              <w:spacing w:line="360" w:lineRule="auto"/>
              <w:rPr>
                <w:rFonts w:cstheme="minorHAnsi"/>
              </w:rPr>
            </w:pPr>
            <w:r w:rsidRPr="00355BCE">
              <w:rPr>
                <w:rFonts w:cstheme="minorHAnsi"/>
              </w:rPr>
              <w:t xml:space="preserve">The difference in stool microbiota between study arms during the lactulose intervention period. </w:t>
            </w:r>
          </w:p>
        </w:tc>
        <w:tc>
          <w:tcPr>
            <w:tcW w:w="3111" w:type="dxa"/>
            <w:shd w:val="clear" w:color="auto" w:fill="auto"/>
          </w:tcPr>
          <w:p w14:paraId="775BA738" w14:textId="77777777" w:rsidR="00355BCE" w:rsidRPr="00355BCE" w:rsidRDefault="00355BCE" w:rsidP="00355BCE">
            <w:pPr>
              <w:spacing w:line="360" w:lineRule="auto"/>
              <w:rPr>
                <w:rFonts w:cstheme="minorHAnsi"/>
              </w:rPr>
            </w:pPr>
            <w:r w:rsidRPr="00355BCE">
              <w:rPr>
                <w:rFonts w:cstheme="minorHAnsi"/>
              </w:rPr>
              <w:t xml:space="preserve">At baseline*, then 3,6, 6.5** 9, 12 and 18 months </w:t>
            </w:r>
          </w:p>
        </w:tc>
      </w:tr>
    </w:tbl>
    <w:p w14:paraId="1A143332" w14:textId="77777777" w:rsidR="00355BCE" w:rsidRPr="00355BCE" w:rsidRDefault="00355BCE" w:rsidP="00355BCE">
      <w:pPr>
        <w:spacing w:line="360" w:lineRule="auto"/>
        <w:rPr>
          <w:rFonts w:cstheme="minorHAnsi"/>
        </w:rPr>
      </w:pPr>
    </w:p>
    <w:p w14:paraId="13FCB32C" w14:textId="77777777" w:rsidR="00355BCE" w:rsidRPr="00355BCE" w:rsidRDefault="00355BCE" w:rsidP="00355BCE">
      <w:pPr>
        <w:spacing w:line="360" w:lineRule="auto"/>
        <w:rPr>
          <w:rFonts w:cstheme="minorHAnsi"/>
        </w:rPr>
      </w:pPr>
      <w:r w:rsidRPr="00355BCE">
        <w:rPr>
          <w:rFonts w:cstheme="minorHAnsi"/>
        </w:rPr>
        <w:t>*Baseline samples would be taken before the first dose of AZM was given.</w:t>
      </w:r>
    </w:p>
    <w:p w14:paraId="607266B0" w14:textId="08369C0D" w:rsidR="00355BCE" w:rsidRPr="00355BCE" w:rsidRDefault="00355BCE" w:rsidP="00355BCE">
      <w:pPr>
        <w:spacing w:line="360" w:lineRule="auto"/>
        <w:rPr>
          <w:rFonts w:cstheme="minorHAnsi"/>
        </w:rPr>
      </w:pPr>
      <w:r w:rsidRPr="00355BCE">
        <w:rPr>
          <w:rFonts w:cstheme="minorHAnsi"/>
        </w:rPr>
        <w:t>**This stool sample will be taken at the end of the 2 week period of lactulose administration.</w:t>
      </w:r>
    </w:p>
    <w:p w14:paraId="16271E7C" w14:textId="77777777" w:rsidR="00A26D50" w:rsidRPr="002B4B61" w:rsidRDefault="00A26D50" w:rsidP="00A26D50">
      <w:pPr>
        <w:spacing w:line="360" w:lineRule="auto"/>
        <w:rPr>
          <w:rFonts w:cstheme="minorHAnsi"/>
        </w:rPr>
      </w:pPr>
    </w:p>
    <w:p w14:paraId="0A297C71" w14:textId="27EABEB4" w:rsidR="00355BCE" w:rsidRPr="005219DA" w:rsidRDefault="00A26D50" w:rsidP="00355BCE">
      <w:pPr>
        <w:spacing w:line="360" w:lineRule="auto"/>
        <w:rPr>
          <w:rFonts w:cstheme="minorHAnsi"/>
          <w:b/>
          <w:bCs/>
        </w:rPr>
      </w:pPr>
      <w:r w:rsidRPr="002B4B61">
        <w:rPr>
          <w:rFonts w:cstheme="minorHAnsi"/>
          <w:b/>
          <w:bCs/>
        </w:rPr>
        <w:t>Secondary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0"/>
        <w:gridCol w:w="3111"/>
      </w:tblGrid>
      <w:tr w:rsidR="00355BCE" w:rsidRPr="00355BCE" w14:paraId="4B906CC1" w14:textId="77777777" w:rsidTr="00703D08">
        <w:tc>
          <w:tcPr>
            <w:tcW w:w="3110" w:type="dxa"/>
            <w:shd w:val="clear" w:color="auto" w:fill="8EAADB"/>
          </w:tcPr>
          <w:p w14:paraId="7497A2E9" w14:textId="77777777" w:rsidR="00355BCE" w:rsidRPr="00355BCE" w:rsidRDefault="00355BCE" w:rsidP="00355BCE">
            <w:pPr>
              <w:spacing w:line="360" w:lineRule="auto"/>
              <w:rPr>
                <w:rFonts w:cstheme="minorHAnsi"/>
              </w:rPr>
            </w:pPr>
            <w:r w:rsidRPr="00355BCE">
              <w:rPr>
                <w:rFonts w:cstheme="minorHAnsi"/>
              </w:rPr>
              <w:lastRenderedPageBreak/>
              <w:t>Secondary objectives</w:t>
            </w:r>
          </w:p>
        </w:tc>
        <w:tc>
          <w:tcPr>
            <w:tcW w:w="3110" w:type="dxa"/>
            <w:shd w:val="clear" w:color="auto" w:fill="8EAADB"/>
          </w:tcPr>
          <w:p w14:paraId="7851B6C2" w14:textId="77777777" w:rsidR="00355BCE" w:rsidRPr="00355BCE" w:rsidRDefault="00355BCE" w:rsidP="00355BCE">
            <w:pPr>
              <w:spacing w:line="360" w:lineRule="auto"/>
              <w:rPr>
                <w:rFonts w:cstheme="minorHAnsi"/>
              </w:rPr>
            </w:pPr>
            <w:r w:rsidRPr="00355BCE">
              <w:rPr>
                <w:rFonts w:cstheme="minorHAnsi"/>
              </w:rPr>
              <w:t>Secondary outcome measure</w:t>
            </w:r>
          </w:p>
        </w:tc>
        <w:tc>
          <w:tcPr>
            <w:tcW w:w="3111" w:type="dxa"/>
            <w:shd w:val="clear" w:color="auto" w:fill="8EAADB"/>
          </w:tcPr>
          <w:p w14:paraId="71DD22E4" w14:textId="77777777" w:rsidR="00355BCE" w:rsidRPr="00355BCE" w:rsidRDefault="00355BCE" w:rsidP="00355BCE">
            <w:pPr>
              <w:spacing w:line="360" w:lineRule="auto"/>
              <w:rPr>
                <w:rFonts w:cstheme="minorHAnsi"/>
              </w:rPr>
            </w:pPr>
            <w:r w:rsidRPr="00355BCE">
              <w:rPr>
                <w:rFonts w:cstheme="minorHAnsi"/>
              </w:rPr>
              <w:t>Time points of evaluation</w:t>
            </w:r>
          </w:p>
        </w:tc>
      </w:tr>
      <w:tr w:rsidR="00355BCE" w:rsidRPr="00355BCE" w14:paraId="29035F19" w14:textId="77777777" w:rsidTr="00703D08">
        <w:tc>
          <w:tcPr>
            <w:tcW w:w="3110" w:type="dxa"/>
            <w:shd w:val="clear" w:color="auto" w:fill="auto"/>
          </w:tcPr>
          <w:p w14:paraId="7EA8FF8D" w14:textId="77777777" w:rsidR="00355BCE" w:rsidRPr="00355BCE" w:rsidRDefault="00355BCE" w:rsidP="005219DA">
            <w:pPr>
              <w:rPr>
                <w:rFonts w:cstheme="minorHAnsi"/>
              </w:rPr>
            </w:pPr>
            <w:r w:rsidRPr="00355BCE">
              <w:rPr>
                <w:rFonts w:cstheme="minorHAnsi"/>
              </w:rPr>
              <w:t xml:space="preserve">To determine whether 6 months of low dose Azithromycin compared to usual dose </w:t>
            </w:r>
            <w:r w:rsidRPr="00355BCE">
              <w:rPr>
                <w:rFonts w:cstheme="minorHAnsi"/>
                <w:u w:val="single"/>
              </w:rPr>
              <w:t>AZM</w:t>
            </w:r>
            <w:r w:rsidRPr="00355BCE">
              <w:rPr>
                <w:rFonts w:cstheme="minorHAnsi"/>
              </w:rPr>
              <w:t xml:space="preserve"> is not inferior with regards to :</w:t>
            </w:r>
          </w:p>
          <w:p w14:paraId="3460C374" w14:textId="77777777" w:rsidR="00355BCE" w:rsidRPr="00355BCE" w:rsidRDefault="00355BCE">
            <w:pPr>
              <w:numPr>
                <w:ilvl w:val="0"/>
                <w:numId w:val="34"/>
              </w:numPr>
              <w:rPr>
                <w:rFonts w:cstheme="minorHAnsi"/>
              </w:rPr>
            </w:pPr>
            <w:r w:rsidRPr="00355BCE">
              <w:rPr>
                <w:rFonts w:cstheme="minorHAnsi"/>
              </w:rPr>
              <w:t>Cough resolution</w:t>
            </w:r>
          </w:p>
          <w:p w14:paraId="7F36FD19" w14:textId="77777777" w:rsidR="00355BCE" w:rsidRPr="00355BCE" w:rsidRDefault="00355BCE" w:rsidP="005219DA">
            <w:pPr>
              <w:rPr>
                <w:rFonts w:cstheme="minorHAnsi"/>
              </w:rPr>
            </w:pPr>
          </w:p>
          <w:p w14:paraId="7B989E9E" w14:textId="77777777" w:rsidR="00355BCE" w:rsidRPr="00355BCE" w:rsidRDefault="00355BCE" w:rsidP="005219DA">
            <w:pPr>
              <w:rPr>
                <w:rFonts w:cstheme="minorHAnsi"/>
              </w:rPr>
            </w:pPr>
          </w:p>
          <w:p w14:paraId="2909FB07" w14:textId="77777777" w:rsidR="00355BCE" w:rsidRPr="00355BCE" w:rsidRDefault="00355BCE">
            <w:pPr>
              <w:numPr>
                <w:ilvl w:val="0"/>
                <w:numId w:val="34"/>
              </w:numPr>
              <w:rPr>
                <w:rFonts w:cstheme="minorHAnsi"/>
              </w:rPr>
            </w:pPr>
            <w:r w:rsidRPr="00355BCE">
              <w:rPr>
                <w:rFonts w:cstheme="minorHAnsi"/>
              </w:rPr>
              <w:t>Parent-proxy reporting of the child’s quality of life</w:t>
            </w:r>
          </w:p>
          <w:p w14:paraId="7EEFF71C" w14:textId="77777777" w:rsidR="00355BCE" w:rsidRPr="00355BCE" w:rsidRDefault="00355BCE" w:rsidP="005219DA">
            <w:pPr>
              <w:ind w:left="720"/>
              <w:rPr>
                <w:rFonts w:cstheme="minorHAnsi"/>
              </w:rPr>
            </w:pPr>
          </w:p>
          <w:p w14:paraId="56E7D685" w14:textId="77777777" w:rsidR="00355BCE" w:rsidRPr="00355BCE" w:rsidRDefault="00355BCE">
            <w:pPr>
              <w:numPr>
                <w:ilvl w:val="0"/>
                <w:numId w:val="34"/>
              </w:numPr>
              <w:rPr>
                <w:rFonts w:cstheme="minorHAnsi"/>
              </w:rPr>
            </w:pPr>
            <w:r w:rsidRPr="00355BCE">
              <w:rPr>
                <w:rFonts w:cstheme="minorHAnsi"/>
              </w:rPr>
              <w:t>Cumulative antibiotic treatment whilst on the study medication</w:t>
            </w:r>
          </w:p>
          <w:p w14:paraId="171D9525" w14:textId="77777777" w:rsidR="00355BCE" w:rsidRPr="00355BCE" w:rsidRDefault="00355BCE" w:rsidP="005219DA">
            <w:pPr>
              <w:ind w:left="720"/>
              <w:rPr>
                <w:rFonts w:cstheme="minorHAnsi"/>
              </w:rPr>
            </w:pPr>
          </w:p>
          <w:p w14:paraId="64EF6456" w14:textId="77777777" w:rsidR="00355BCE" w:rsidRPr="00355BCE" w:rsidRDefault="00355BCE" w:rsidP="005219DA">
            <w:pPr>
              <w:rPr>
                <w:rFonts w:cstheme="minorHAnsi"/>
              </w:rPr>
            </w:pPr>
          </w:p>
          <w:p w14:paraId="4EE9246A" w14:textId="156BAD98" w:rsidR="00355BCE" w:rsidRDefault="00355BCE" w:rsidP="005219DA">
            <w:pPr>
              <w:ind w:left="720"/>
              <w:rPr>
                <w:rFonts w:cstheme="minorHAnsi"/>
              </w:rPr>
            </w:pPr>
          </w:p>
          <w:p w14:paraId="5EEF5AA9" w14:textId="1E17CADC" w:rsidR="00D475DF" w:rsidRDefault="00D475DF" w:rsidP="005219DA">
            <w:pPr>
              <w:ind w:left="720"/>
              <w:rPr>
                <w:rFonts w:cstheme="minorHAnsi"/>
              </w:rPr>
            </w:pPr>
          </w:p>
          <w:p w14:paraId="0BEA2578" w14:textId="77777777" w:rsidR="00D475DF" w:rsidRPr="00355BCE" w:rsidRDefault="00D475DF" w:rsidP="005219DA">
            <w:pPr>
              <w:rPr>
                <w:rFonts w:cstheme="minorHAnsi"/>
              </w:rPr>
            </w:pPr>
          </w:p>
          <w:p w14:paraId="6126C2EF" w14:textId="77777777" w:rsidR="00355BCE" w:rsidRPr="00355BCE" w:rsidRDefault="00355BCE">
            <w:pPr>
              <w:numPr>
                <w:ilvl w:val="0"/>
                <w:numId w:val="34"/>
              </w:numPr>
              <w:ind w:left="714" w:hanging="357"/>
              <w:rPr>
                <w:rFonts w:cstheme="minorHAnsi"/>
              </w:rPr>
            </w:pPr>
            <w:r w:rsidRPr="00355BCE">
              <w:rPr>
                <w:rFonts w:cstheme="minorHAnsi"/>
              </w:rPr>
              <w:t xml:space="preserve">Hospital admissions </w:t>
            </w:r>
          </w:p>
          <w:p w14:paraId="27112F28" w14:textId="77777777" w:rsidR="00355BCE" w:rsidRPr="00355BCE" w:rsidRDefault="00355BCE" w:rsidP="005219DA">
            <w:pPr>
              <w:rPr>
                <w:rFonts w:cstheme="minorHAnsi"/>
              </w:rPr>
            </w:pPr>
          </w:p>
          <w:p w14:paraId="594ACD53" w14:textId="6182916E" w:rsidR="00355BCE" w:rsidRPr="002B4B61" w:rsidRDefault="00355BCE" w:rsidP="005219DA">
            <w:pPr>
              <w:rPr>
                <w:rFonts w:cstheme="minorHAnsi"/>
              </w:rPr>
            </w:pPr>
          </w:p>
          <w:p w14:paraId="56C67C70" w14:textId="77777777" w:rsidR="00641755" w:rsidRPr="00355BCE" w:rsidRDefault="00641755" w:rsidP="005219DA">
            <w:pPr>
              <w:rPr>
                <w:rFonts w:cstheme="minorHAnsi"/>
              </w:rPr>
            </w:pPr>
          </w:p>
          <w:p w14:paraId="25B3C10C" w14:textId="730CAA6A" w:rsidR="00355BCE" w:rsidRPr="002B4B61" w:rsidRDefault="00355BCE">
            <w:pPr>
              <w:numPr>
                <w:ilvl w:val="0"/>
                <w:numId w:val="34"/>
              </w:numPr>
              <w:rPr>
                <w:rFonts w:cstheme="minorHAnsi"/>
              </w:rPr>
            </w:pPr>
            <w:r w:rsidRPr="00355BCE">
              <w:rPr>
                <w:rFonts w:cstheme="minorHAnsi"/>
              </w:rPr>
              <w:t>Development of bronchiectasis</w:t>
            </w:r>
          </w:p>
          <w:p w14:paraId="65496B25" w14:textId="77777777" w:rsidR="00355BCE" w:rsidRPr="00355BCE" w:rsidRDefault="00355BCE" w:rsidP="005219DA">
            <w:pPr>
              <w:rPr>
                <w:rFonts w:cstheme="minorHAnsi"/>
              </w:rPr>
            </w:pPr>
          </w:p>
          <w:p w14:paraId="21F63F3D" w14:textId="77777777" w:rsidR="00355BCE" w:rsidRPr="00355BCE" w:rsidRDefault="00355BCE" w:rsidP="005219DA">
            <w:pPr>
              <w:rPr>
                <w:rFonts w:cstheme="minorHAnsi"/>
              </w:rPr>
            </w:pPr>
          </w:p>
          <w:p w14:paraId="2BE3A255" w14:textId="58ECFBF9" w:rsidR="00355BCE" w:rsidRPr="002B4B61" w:rsidRDefault="00355BCE">
            <w:pPr>
              <w:numPr>
                <w:ilvl w:val="0"/>
                <w:numId w:val="34"/>
              </w:numPr>
              <w:rPr>
                <w:rFonts w:cstheme="minorHAnsi"/>
              </w:rPr>
            </w:pPr>
            <w:r w:rsidRPr="00355BCE">
              <w:rPr>
                <w:rFonts w:cstheme="minorHAnsi"/>
              </w:rPr>
              <w:t>Tolerability and adherence</w:t>
            </w:r>
          </w:p>
          <w:p w14:paraId="168B6FDA" w14:textId="7E4EC35A" w:rsidR="008527B9" w:rsidRPr="002B4B61" w:rsidRDefault="008527B9" w:rsidP="005219DA">
            <w:pPr>
              <w:ind w:left="360"/>
              <w:rPr>
                <w:rFonts w:cstheme="minorHAnsi"/>
              </w:rPr>
            </w:pPr>
          </w:p>
          <w:p w14:paraId="2EA946A3" w14:textId="17A0B5CC" w:rsidR="008527B9" w:rsidRDefault="008527B9" w:rsidP="005219DA">
            <w:pPr>
              <w:ind w:left="360"/>
              <w:rPr>
                <w:rFonts w:cstheme="minorHAnsi"/>
              </w:rPr>
            </w:pPr>
          </w:p>
          <w:p w14:paraId="0B6B162C" w14:textId="77777777" w:rsidR="00641755" w:rsidRPr="00355BCE" w:rsidRDefault="00641755" w:rsidP="005219DA">
            <w:pPr>
              <w:ind w:left="360"/>
              <w:rPr>
                <w:rFonts w:cstheme="minorHAnsi"/>
              </w:rPr>
            </w:pPr>
          </w:p>
          <w:p w14:paraId="56D756A4" w14:textId="77777777" w:rsidR="00355BCE" w:rsidRPr="00355BCE" w:rsidRDefault="00355BCE">
            <w:pPr>
              <w:numPr>
                <w:ilvl w:val="0"/>
                <w:numId w:val="34"/>
              </w:numPr>
              <w:rPr>
                <w:rFonts w:cstheme="minorHAnsi"/>
              </w:rPr>
            </w:pPr>
            <w:r w:rsidRPr="00355BCE">
              <w:rPr>
                <w:rFonts w:cstheme="minorHAnsi"/>
              </w:rPr>
              <w:t>The number of pulmonary exacerbations outside of the intervention period</w:t>
            </w:r>
          </w:p>
          <w:p w14:paraId="1E23C186" w14:textId="77777777" w:rsidR="00355BCE" w:rsidRPr="00355BCE" w:rsidRDefault="00355BCE" w:rsidP="005219DA">
            <w:pPr>
              <w:rPr>
                <w:rFonts w:cstheme="minorHAnsi"/>
              </w:rPr>
            </w:pPr>
          </w:p>
        </w:tc>
        <w:tc>
          <w:tcPr>
            <w:tcW w:w="3110" w:type="dxa"/>
            <w:shd w:val="clear" w:color="auto" w:fill="auto"/>
          </w:tcPr>
          <w:p w14:paraId="5CC3F364" w14:textId="77777777" w:rsidR="00355BCE" w:rsidRPr="00355BCE" w:rsidRDefault="00355BCE" w:rsidP="005219DA">
            <w:pPr>
              <w:rPr>
                <w:rFonts w:cstheme="minorHAnsi"/>
              </w:rPr>
            </w:pPr>
          </w:p>
          <w:p w14:paraId="645D28A1" w14:textId="77777777" w:rsidR="00355BCE" w:rsidRPr="00355BCE" w:rsidRDefault="00355BCE" w:rsidP="005219DA">
            <w:pPr>
              <w:rPr>
                <w:rFonts w:cstheme="minorHAnsi"/>
              </w:rPr>
            </w:pPr>
          </w:p>
          <w:p w14:paraId="64EC9881" w14:textId="77777777" w:rsidR="00355BCE" w:rsidRPr="00355BCE" w:rsidRDefault="00355BCE" w:rsidP="005219DA">
            <w:pPr>
              <w:rPr>
                <w:rFonts w:cstheme="minorHAnsi"/>
              </w:rPr>
            </w:pPr>
          </w:p>
          <w:p w14:paraId="63A37BE8" w14:textId="77777777" w:rsidR="00355BCE" w:rsidRPr="00355BCE" w:rsidRDefault="00355BCE" w:rsidP="005219DA">
            <w:pPr>
              <w:rPr>
                <w:rFonts w:cstheme="minorHAnsi"/>
              </w:rPr>
            </w:pPr>
          </w:p>
          <w:p w14:paraId="651B332A" w14:textId="77777777" w:rsidR="00D475DF" w:rsidRDefault="00D475DF" w:rsidP="005219DA">
            <w:pPr>
              <w:rPr>
                <w:rFonts w:cstheme="minorHAnsi"/>
              </w:rPr>
            </w:pPr>
          </w:p>
          <w:p w14:paraId="11D55477" w14:textId="0BCD7C03" w:rsidR="00355BCE" w:rsidRPr="00355BCE" w:rsidRDefault="00355BCE" w:rsidP="005219DA">
            <w:pPr>
              <w:rPr>
                <w:rFonts w:cstheme="minorHAnsi"/>
              </w:rPr>
            </w:pPr>
            <w:r w:rsidRPr="00355BCE">
              <w:rPr>
                <w:rFonts w:cstheme="minorHAnsi"/>
              </w:rPr>
              <w:t>Change in (weekly) cough scores recorded in a cough score diary</w:t>
            </w:r>
          </w:p>
          <w:p w14:paraId="40162343" w14:textId="77777777" w:rsidR="00355BCE" w:rsidRPr="00355BCE" w:rsidRDefault="00355BCE" w:rsidP="005219DA">
            <w:pPr>
              <w:rPr>
                <w:rFonts w:cstheme="minorHAnsi"/>
              </w:rPr>
            </w:pPr>
            <w:r w:rsidRPr="00355BCE">
              <w:rPr>
                <w:rFonts w:cstheme="minorHAnsi"/>
              </w:rPr>
              <w:t>Change in child and parent quality of life</w:t>
            </w:r>
          </w:p>
          <w:p w14:paraId="2C538680" w14:textId="77777777" w:rsidR="00355BCE" w:rsidRPr="00355BCE" w:rsidRDefault="00355BCE" w:rsidP="005219DA">
            <w:pPr>
              <w:rPr>
                <w:rFonts w:cstheme="minorHAnsi"/>
              </w:rPr>
            </w:pPr>
          </w:p>
          <w:p w14:paraId="1B5BA914" w14:textId="77777777" w:rsidR="00355BCE" w:rsidRPr="00355BCE" w:rsidRDefault="00355BCE" w:rsidP="005219DA">
            <w:pPr>
              <w:rPr>
                <w:rFonts w:cstheme="minorHAnsi"/>
              </w:rPr>
            </w:pPr>
          </w:p>
          <w:p w14:paraId="2672302B" w14:textId="77777777" w:rsidR="00355BCE" w:rsidRPr="00355BCE" w:rsidRDefault="00355BCE" w:rsidP="005219DA">
            <w:pPr>
              <w:rPr>
                <w:rFonts w:cstheme="minorHAnsi"/>
              </w:rPr>
            </w:pPr>
            <w:r w:rsidRPr="00355BCE">
              <w:rPr>
                <w:rFonts w:cstheme="minorHAnsi"/>
              </w:rPr>
              <w:t>Additional number of acute courses of antibiotics prescriptions (parent record)</w:t>
            </w:r>
          </w:p>
          <w:p w14:paraId="05AEBB8A" w14:textId="77777777" w:rsidR="00355BCE" w:rsidRPr="00355BCE" w:rsidRDefault="00355BCE" w:rsidP="005219DA">
            <w:pPr>
              <w:rPr>
                <w:rFonts w:cstheme="minorHAnsi"/>
              </w:rPr>
            </w:pPr>
          </w:p>
          <w:p w14:paraId="1B5D4F6A" w14:textId="77777777" w:rsidR="00355BCE" w:rsidRPr="00355BCE" w:rsidRDefault="00355BCE" w:rsidP="005219DA">
            <w:pPr>
              <w:rPr>
                <w:rFonts w:cstheme="minorHAnsi"/>
              </w:rPr>
            </w:pPr>
          </w:p>
          <w:p w14:paraId="5D2017FF" w14:textId="30AC10EF" w:rsidR="00D475DF" w:rsidRDefault="00D475DF" w:rsidP="005219DA">
            <w:pPr>
              <w:rPr>
                <w:rFonts w:cstheme="minorHAnsi"/>
              </w:rPr>
            </w:pPr>
          </w:p>
          <w:p w14:paraId="54127E55" w14:textId="64857717" w:rsidR="00D475DF" w:rsidRDefault="00D475DF" w:rsidP="005219DA">
            <w:pPr>
              <w:rPr>
                <w:rFonts w:cstheme="minorHAnsi"/>
              </w:rPr>
            </w:pPr>
          </w:p>
          <w:p w14:paraId="6F36A2FE" w14:textId="77777777" w:rsidR="00D475DF" w:rsidRDefault="00D475DF" w:rsidP="005219DA">
            <w:pPr>
              <w:rPr>
                <w:rFonts w:cstheme="minorHAnsi"/>
              </w:rPr>
            </w:pPr>
          </w:p>
          <w:p w14:paraId="65BC4469" w14:textId="63C379AF" w:rsidR="00355BCE" w:rsidRPr="002B4B61" w:rsidRDefault="00355BCE" w:rsidP="005219DA">
            <w:pPr>
              <w:rPr>
                <w:rFonts w:cstheme="minorHAnsi"/>
              </w:rPr>
            </w:pPr>
            <w:r w:rsidRPr="00355BCE">
              <w:rPr>
                <w:rFonts w:cstheme="minorHAnsi"/>
              </w:rPr>
              <w:t>Number of acute hospital admissions for respiratory deterioration</w:t>
            </w:r>
          </w:p>
          <w:p w14:paraId="768B8537" w14:textId="77777777" w:rsidR="008527B9" w:rsidRPr="00355BCE" w:rsidRDefault="008527B9" w:rsidP="005219DA">
            <w:pPr>
              <w:rPr>
                <w:rFonts w:cstheme="minorHAnsi"/>
              </w:rPr>
            </w:pPr>
          </w:p>
          <w:p w14:paraId="0299651D" w14:textId="406F656B" w:rsidR="00355BCE" w:rsidRPr="002B4B61" w:rsidRDefault="00355BCE" w:rsidP="005219DA">
            <w:pPr>
              <w:rPr>
                <w:rFonts w:cstheme="minorHAnsi"/>
              </w:rPr>
            </w:pPr>
            <w:r w:rsidRPr="00355BCE">
              <w:rPr>
                <w:rFonts w:cstheme="minorHAnsi"/>
              </w:rPr>
              <w:t>Diagnosis of bronchiectasis based on chest HRCT findings</w:t>
            </w:r>
          </w:p>
          <w:p w14:paraId="0C92810E" w14:textId="77777777" w:rsidR="008527B9" w:rsidRPr="00355BCE" w:rsidRDefault="008527B9" w:rsidP="005219DA">
            <w:pPr>
              <w:rPr>
                <w:rFonts w:cstheme="minorHAnsi"/>
              </w:rPr>
            </w:pPr>
          </w:p>
          <w:p w14:paraId="38AFE805" w14:textId="77777777" w:rsidR="00355BCE" w:rsidRPr="00355BCE" w:rsidRDefault="00355BCE" w:rsidP="005219DA">
            <w:pPr>
              <w:rPr>
                <w:rFonts w:cstheme="minorHAnsi"/>
              </w:rPr>
            </w:pPr>
          </w:p>
          <w:p w14:paraId="697A1AFF" w14:textId="4FB59149" w:rsidR="00355BCE" w:rsidRPr="002B4B61" w:rsidRDefault="00355BCE" w:rsidP="005219DA">
            <w:pPr>
              <w:rPr>
                <w:rFonts w:cstheme="minorHAnsi"/>
              </w:rPr>
            </w:pPr>
            <w:r w:rsidRPr="00355BCE">
              <w:rPr>
                <w:rFonts w:cstheme="minorHAnsi"/>
              </w:rPr>
              <w:t>Parent documented adherence diary and volumes of returned surplus study medication</w:t>
            </w:r>
            <w:r w:rsidR="00D136B9" w:rsidRPr="002B4B61">
              <w:rPr>
                <w:rFonts w:cstheme="minorHAnsi"/>
              </w:rPr>
              <w:t>s</w:t>
            </w:r>
          </w:p>
          <w:p w14:paraId="164A248C" w14:textId="77777777" w:rsidR="008527B9" w:rsidRPr="00355BCE" w:rsidRDefault="008527B9" w:rsidP="005219DA">
            <w:pPr>
              <w:rPr>
                <w:rFonts w:cstheme="minorHAnsi"/>
              </w:rPr>
            </w:pPr>
          </w:p>
          <w:p w14:paraId="0C6AA83E" w14:textId="77777777" w:rsidR="00355BCE" w:rsidRPr="00355BCE" w:rsidRDefault="00355BCE" w:rsidP="005219DA">
            <w:pPr>
              <w:rPr>
                <w:rFonts w:cstheme="minorHAnsi"/>
              </w:rPr>
            </w:pPr>
            <w:r w:rsidRPr="00355BCE">
              <w:rPr>
                <w:rFonts w:cstheme="minorHAnsi"/>
              </w:rPr>
              <w:t>Differences in the number of pulmonary exacerbations (as described in the primary outcome)</w:t>
            </w:r>
          </w:p>
        </w:tc>
        <w:tc>
          <w:tcPr>
            <w:tcW w:w="3111" w:type="dxa"/>
            <w:shd w:val="clear" w:color="auto" w:fill="auto"/>
          </w:tcPr>
          <w:p w14:paraId="72C512CF" w14:textId="77777777" w:rsidR="00355BCE" w:rsidRPr="00355BCE" w:rsidRDefault="00355BCE" w:rsidP="005219DA">
            <w:pPr>
              <w:rPr>
                <w:rFonts w:cstheme="minorHAnsi"/>
              </w:rPr>
            </w:pPr>
          </w:p>
          <w:p w14:paraId="0D6F898F" w14:textId="77777777" w:rsidR="00355BCE" w:rsidRPr="00355BCE" w:rsidRDefault="00355BCE" w:rsidP="005219DA">
            <w:pPr>
              <w:rPr>
                <w:rFonts w:cstheme="minorHAnsi"/>
              </w:rPr>
            </w:pPr>
          </w:p>
          <w:p w14:paraId="0AFCFE41" w14:textId="77777777" w:rsidR="00355BCE" w:rsidRPr="00355BCE" w:rsidRDefault="00355BCE" w:rsidP="005219DA">
            <w:pPr>
              <w:rPr>
                <w:rFonts w:cstheme="minorHAnsi"/>
              </w:rPr>
            </w:pPr>
          </w:p>
          <w:p w14:paraId="26B2CC25" w14:textId="77777777" w:rsidR="00355BCE" w:rsidRPr="00355BCE" w:rsidRDefault="00355BCE" w:rsidP="005219DA">
            <w:pPr>
              <w:rPr>
                <w:rFonts w:cstheme="minorHAnsi"/>
              </w:rPr>
            </w:pPr>
          </w:p>
          <w:p w14:paraId="4DE69CD9" w14:textId="77777777" w:rsidR="00D475DF" w:rsidRDefault="00D475DF" w:rsidP="005219DA">
            <w:pPr>
              <w:rPr>
                <w:rFonts w:cstheme="minorHAnsi"/>
              </w:rPr>
            </w:pPr>
          </w:p>
          <w:p w14:paraId="344E7AB0" w14:textId="5F86B550" w:rsidR="00355BCE" w:rsidRPr="00355BCE" w:rsidRDefault="00355BCE" w:rsidP="005219DA">
            <w:pPr>
              <w:rPr>
                <w:rFonts w:cstheme="minorHAnsi"/>
              </w:rPr>
            </w:pPr>
            <w:r w:rsidRPr="00355BCE">
              <w:rPr>
                <w:rFonts w:cstheme="minorHAnsi"/>
              </w:rPr>
              <w:t>Baseline, 3, 6, 9, 12, months</w:t>
            </w:r>
          </w:p>
          <w:p w14:paraId="41C58435" w14:textId="77777777" w:rsidR="00355BCE" w:rsidRPr="00355BCE" w:rsidRDefault="00355BCE" w:rsidP="005219DA">
            <w:pPr>
              <w:rPr>
                <w:rFonts w:cstheme="minorHAnsi"/>
              </w:rPr>
            </w:pPr>
          </w:p>
          <w:p w14:paraId="0487A908" w14:textId="77777777" w:rsidR="00D475DF" w:rsidRDefault="00D475DF" w:rsidP="005219DA">
            <w:pPr>
              <w:rPr>
                <w:rFonts w:cstheme="minorHAnsi"/>
              </w:rPr>
            </w:pPr>
          </w:p>
          <w:p w14:paraId="516DD007" w14:textId="231C020E" w:rsidR="00355BCE" w:rsidRPr="00355BCE" w:rsidRDefault="00355BCE" w:rsidP="005219DA">
            <w:pPr>
              <w:rPr>
                <w:rFonts w:cstheme="minorHAnsi"/>
              </w:rPr>
            </w:pPr>
            <w:r w:rsidRPr="00355BCE">
              <w:rPr>
                <w:rFonts w:cstheme="minorHAnsi"/>
              </w:rPr>
              <w:t>Baseline, 3, 6, 9, 12 months Health related QoL questionnaire</w:t>
            </w:r>
          </w:p>
          <w:p w14:paraId="4E8BC9A4" w14:textId="77777777" w:rsidR="00D475DF" w:rsidRDefault="00D475DF" w:rsidP="005219DA">
            <w:pPr>
              <w:rPr>
                <w:rFonts w:cstheme="minorHAnsi"/>
              </w:rPr>
            </w:pPr>
          </w:p>
          <w:p w14:paraId="644DBC09" w14:textId="33458148" w:rsidR="008527B9" w:rsidRPr="00355BCE" w:rsidRDefault="00355BCE" w:rsidP="005219DA">
            <w:pPr>
              <w:rPr>
                <w:rFonts w:cstheme="minorHAnsi"/>
              </w:rPr>
            </w:pPr>
            <w:r w:rsidRPr="00355BCE">
              <w:rPr>
                <w:rFonts w:cstheme="minorHAnsi"/>
              </w:rPr>
              <w:t>3,6,9,12, months</w:t>
            </w:r>
          </w:p>
          <w:p w14:paraId="14658352" w14:textId="77777777" w:rsidR="00D475DF" w:rsidRDefault="00355BCE">
            <w:pPr>
              <w:numPr>
                <w:ilvl w:val="0"/>
                <w:numId w:val="35"/>
              </w:numPr>
              <w:rPr>
                <w:rFonts w:cstheme="minorHAnsi"/>
              </w:rPr>
            </w:pPr>
            <w:r w:rsidRPr="00355BCE">
              <w:rPr>
                <w:rFonts w:cstheme="minorHAnsi"/>
              </w:rPr>
              <w:t>Parent records</w:t>
            </w:r>
          </w:p>
          <w:p w14:paraId="34C384F8" w14:textId="149E350A" w:rsidR="00355BCE" w:rsidRPr="00D475DF" w:rsidRDefault="00355BCE">
            <w:pPr>
              <w:numPr>
                <w:ilvl w:val="0"/>
                <w:numId w:val="35"/>
              </w:numPr>
              <w:rPr>
                <w:rFonts w:cstheme="minorHAnsi"/>
              </w:rPr>
            </w:pPr>
            <w:r w:rsidRPr="00D475DF">
              <w:rPr>
                <w:rFonts w:cstheme="minorHAnsi"/>
              </w:rPr>
              <w:t>GP/ hospital prescription record review at 6 and 12  months18 months</w:t>
            </w:r>
          </w:p>
          <w:p w14:paraId="4BD0FA8E" w14:textId="73A2CA17" w:rsidR="00355BCE" w:rsidRDefault="00355BCE" w:rsidP="005219DA">
            <w:pPr>
              <w:rPr>
                <w:rFonts w:cstheme="minorHAnsi"/>
              </w:rPr>
            </w:pPr>
          </w:p>
          <w:p w14:paraId="472FD83B" w14:textId="11871D4A" w:rsidR="005219DA" w:rsidRDefault="005219DA" w:rsidP="005219DA">
            <w:pPr>
              <w:rPr>
                <w:rFonts w:cstheme="minorHAnsi"/>
              </w:rPr>
            </w:pPr>
          </w:p>
          <w:p w14:paraId="077B48CC" w14:textId="77777777" w:rsidR="005219DA" w:rsidRPr="00355BCE" w:rsidRDefault="005219DA" w:rsidP="005219DA">
            <w:pPr>
              <w:rPr>
                <w:rFonts w:cstheme="minorHAnsi"/>
              </w:rPr>
            </w:pPr>
          </w:p>
          <w:p w14:paraId="2B28F8F9" w14:textId="77777777" w:rsidR="00355BCE" w:rsidRPr="00355BCE" w:rsidRDefault="00355BCE" w:rsidP="005219DA">
            <w:pPr>
              <w:rPr>
                <w:rFonts w:cstheme="minorHAnsi"/>
              </w:rPr>
            </w:pPr>
            <w:r w:rsidRPr="00355BCE">
              <w:rPr>
                <w:rFonts w:cstheme="minorHAnsi"/>
              </w:rPr>
              <w:t>Baseline, 6, 12, months</w:t>
            </w:r>
          </w:p>
          <w:p w14:paraId="468B8F7E" w14:textId="77777777" w:rsidR="008527B9" w:rsidRPr="002B4B61" w:rsidRDefault="008527B9" w:rsidP="005219DA">
            <w:pPr>
              <w:rPr>
                <w:rFonts w:cstheme="minorHAnsi"/>
              </w:rPr>
            </w:pPr>
          </w:p>
          <w:p w14:paraId="030F9987" w14:textId="77777777" w:rsidR="005219DA" w:rsidRDefault="005219DA" w:rsidP="005219DA">
            <w:pPr>
              <w:rPr>
                <w:rFonts w:cstheme="minorHAnsi"/>
              </w:rPr>
            </w:pPr>
          </w:p>
          <w:p w14:paraId="6D76C1C7" w14:textId="77777777" w:rsidR="005219DA" w:rsidRDefault="005219DA" w:rsidP="005219DA">
            <w:pPr>
              <w:rPr>
                <w:rFonts w:cstheme="minorHAnsi"/>
              </w:rPr>
            </w:pPr>
          </w:p>
          <w:p w14:paraId="5F0D53BB" w14:textId="08818FD0" w:rsidR="00355BCE" w:rsidRPr="00355BCE" w:rsidRDefault="00355BCE" w:rsidP="005219DA">
            <w:pPr>
              <w:rPr>
                <w:rFonts w:cstheme="minorHAnsi"/>
              </w:rPr>
            </w:pPr>
            <w:r w:rsidRPr="00355BCE">
              <w:rPr>
                <w:rFonts w:cstheme="minorHAnsi"/>
              </w:rPr>
              <w:t xml:space="preserve">Baseline, 6 , 12 months </w:t>
            </w:r>
          </w:p>
          <w:p w14:paraId="1D5226FF" w14:textId="77777777" w:rsidR="00355BCE" w:rsidRPr="00355BCE" w:rsidRDefault="00355BCE" w:rsidP="005219DA">
            <w:pPr>
              <w:rPr>
                <w:rFonts w:cstheme="minorHAnsi"/>
              </w:rPr>
            </w:pPr>
          </w:p>
          <w:p w14:paraId="6C44E5FF" w14:textId="77777777" w:rsidR="008527B9" w:rsidRPr="002B4B61" w:rsidRDefault="008527B9" w:rsidP="005219DA">
            <w:pPr>
              <w:rPr>
                <w:rFonts w:cstheme="minorHAnsi"/>
              </w:rPr>
            </w:pPr>
          </w:p>
          <w:p w14:paraId="103BE953" w14:textId="77777777" w:rsidR="00355BCE" w:rsidRPr="00355BCE" w:rsidRDefault="00355BCE" w:rsidP="005219DA">
            <w:pPr>
              <w:rPr>
                <w:rFonts w:cstheme="minorHAnsi"/>
              </w:rPr>
            </w:pPr>
          </w:p>
          <w:p w14:paraId="29E46DF9" w14:textId="6E33AE60" w:rsidR="00355BCE" w:rsidRPr="00355BCE" w:rsidRDefault="00355BCE" w:rsidP="005219DA">
            <w:pPr>
              <w:rPr>
                <w:rFonts w:cstheme="minorHAnsi"/>
              </w:rPr>
            </w:pPr>
            <w:r w:rsidRPr="00355BCE">
              <w:rPr>
                <w:rFonts w:cstheme="minorHAnsi"/>
              </w:rPr>
              <w:t>1</w:t>
            </w:r>
            <w:r w:rsidR="008527B9" w:rsidRPr="002B4B61">
              <w:rPr>
                <w:rFonts w:cstheme="minorHAnsi"/>
              </w:rPr>
              <w:t xml:space="preserve">, 3 </w:t>
            </w:r>
            <w:r w:rsidRPr="00355BCE">
              <w:rPr>
                <w:rFonts w:cstheme="minorHAnsi"/>
              </w:rPr>
              <w:t xml:space="preserve">,6, </w:t>
            </w:r>
            <w:r w:rsidR="00D136B9" w:rsidRPr="002B4B61">
              <w:rPr>
                <w:rFonts w:cstheme="minorHAnsi"/>
              </w:rPr>
              <w:t xml:space="preserve">6.5 </w:t>
            </w:r>
            <w:r w:rsidRPr="00355BCE">
              <w:rPr>
                <w:rFonts w:cstheme="minorHAnsi"/>
              </w:rPr>
              <w:t>months</w:t>
            </w:r>
          </w:p>
          <w:p w14:paraId="3B5BA447" w14:textId="77777777" w:rsidR="00355BCE" w:rsidRPr="00355BCE" w:rsidRDefault="00355BCE" w:rsidP="005219DA">
            <w:pPr>
              <w:rPr>
                <w:rFonts w:cstheme="minorHAnsi"/>
              </w:rPr>
            </w:pPr>
          </w:p>
          <w:p w14:paraId="45BA01D2" w14:textId="77777777" w:rsidR="00355BCE" w:rsidRPr="00355BCE" w:rsidRDefault="00355BCE" w:rsidP="005219DA">
            <w:pPr>
              <w:rPr>
                <w:rFonts w:cstheme="minorHAnsi"/>
              </w:rPr>
            </w:pPr>
          </w:p>
          <w:p w14:paraId="53A8C38E" w14:textId="263E5F44" w:rsidR="008527B9" w:rsidRDefault="008527B9" w:rsidP="005219DA">
            <w:pPr>
              <w:rPr>
                <w:rFonts w:cstheme="minorHAnsi"/>
              </w:rPr>
            </w:pPr>
          </w:p>
          <w:p w14:paraId="41D97FE8" w14:textId="77777777" w:rsidR="00641755" w:rsidRPr="002B4B61" w:rsidRDefault="00641755" w:rsidP="005219DA">
            <w:pPr>
              <w:rPr>
                <w:rFonts w:cstheme="minorHAnsi"/>
              </w:rPr>
            </w:pPr>
          </w:p>
          <w:p w14:paraId="0BE4C0D1" w14:textId="5FDCF404" w:rsidR="00355BCE" w:rsidRPr="00355BCE" w:rsidRDefault="00355BCE" w:rsidP="005219DA">
            <w:pPr>
              <w:rPr>
                <w:rFonts w:cstheme="minorHAnsi"/>
              </w:rPr>
            </w:pPr>
            <w:r w:rsidRPr="00355BCE">
              <w:rPr>
                <w:rFonts w:cstheme="minorHAnsi"/>
              </w:rPr>
              <w:t>3,6</w:t>
            </w:r>
            <w:r w:rsidR="008527B9" w:rsidRPr="002B4B61">
              <w:rPr>
                <w:rFonts w:cstheme="minorHAnsi"/>
              </w:rPr>
              <w:t>, 12, 18</w:t>
            </w:r>
            <w:r w:rsidRPr="00355BCE">
              <w:rPr>
                <w:rFonts w:cstheme="minorHAnsi"/>
              </w:rPr>
              <w:t xml:space="preserve"> months for Azithromycin </w:t>
            </w:r>
          </w:p>
          <w:p w14:paraId="793608FA" w14:textId="77777777" w:rsidR="00355BCE" w:rsidRPr="00355BCE" w:rsidRDefault="00355BCE" w:rsidP="005219DA">
            <w:pPr>
              <w:rPr>
                <w:rFonts w:cstheme="minorHAnsi"/>
              </w:rPr>
            </w:pPr>
          </w:p>
        </w:tc>
      </w:tr>
      <w:tr w:rsidR="00355BCE" w:rsidRPr="00355BCE" w14:paraId="655039FC" w14:textId="77777777" w:rsidTr="00703D08">
        <w:tc>
          <w:tcPr>
            <w:tcW w:w="3110" w:type="dxa"/>
            <w:shd w:val="clear" w:color="auto" w:fill="auto"/>
          </w:tcPr>
          <w:p w14:paraId="01641ABA" w14:textId="77777777" w:rsidR="00355BCE" w:rsidRPr="00355BCE" w:rsidRDefault="00355BCE" w:rsidP="00355BCE">
            <w:pPr>
              <w:spacing w:line="360" w:lineRule="auto"/>
              <w:rPr>
                <w:rFonts w:cstheme="minorHAnsi"/>
              </w:rPr>
            </w:pPr>
            <w:r w:rsidRPr="00355BCE">
              <w:rPr>
                <w:rFonts w:cstheme="minorHAnsi"/>
              </w:rPr>
              <w:t>To compare the impact of azithromycin on gut and respiratory microbiota and antimicrobial resistance</w:t>
            </w:r>
          </w:p>
        </w:tc>
        <w:tc>
          <w:tcPr>
            <w:tcW w:w="3110" w:type="dxa"/>
            <w:shd w:val="clear" w:color="auto" w:fill="auto"/>
          </w:tcPr>
          <w:p w14:paraId="78620079" w14:textId="77777777" w:rsidR="00355BCE" w:rsidRPr="00355BCE" w:rsidRDefault="00355BCE" w:rsidP="00355BCE">
            <w:pPr>
              <w:spacing w:line="360" w:lineRule="auto"/>
              <w:rPr>
                <w:rFonts w:cstheme="minorHAnsi"/>
              </w:rPr>
            </w:pPr>
            <w:r w:rsidRPr="00355BCE">
              <w:rPr>
                <w:rFonts w:cstheme="minorHAnsi"/>
              </w:rPr>
              <w:t xml:space="preserve">Nasopharyngeal swabs for culture/ standard antimicrobial susceptibility </w:t>
            </w:r>
            <w:r w:rsidRPr="00355BCE">
              <w:rPr>
                <w:rFonts w:cstheme="minorHAnsi"/>
              </w:rPr>
              <w:lastRenderedPageBreak/>
              <w:t>testing and microbiome analysis.</w:t>
            </w:r>
          </w:p>
          <w:p w14:paraId="62B916EB" w14:textId="77777777" w:rsidR="00355BCE" w:rsidRPr="00355BCE" w:rsidRDefault="00355BCE" w:rsidP="00355BCE">
            <w:pPr>
              <w:spacing w:line="360" w:lineRule="auto"/>
              <w:rPr>
                <w:rFonts w:cstheme="minorHAnsi"/>
              </w:rPr>
            </w:pPr>
            <w:r w:rsidRPr="00355BCE">
              <w:rPr>
                <w:rFonts w:cstheme="minorHAnsi"/>
              </w:rPr>
              <w:t xml:space="preserve">Stool microbiome and </w:t>
            </w:r>
            <w:proofErr w:type="spellStart"/>
            <w:r w:rsidRPr="00355BCE">
              <w:rPr>
                <w:rFonts w:cstheme="minorHAnsi"/>
              </w:rPr>
              <w:t>resistome</w:t>
            </w:r>
            <w:proofErr w:type="spellEnd"/>
            <w:r w:rsidRPr="00355BCE">
              <w:rPr>
                <w:rFonts w:cstheme="minorHAnsi"/>
              </w:rPr>
              <w:t xml:space="preserve"> analysis</w:t>
            </w:r>
          </w:p>
        </w:tc>
        <w:tc>
          <w:tcPr>
            <w:tcW w:w="3111" w:type="dxa"/>
            <w:shd w:val="clear" w:color="auto" w:fill="auto"/>
          </w:tcPr>
          <w:p w14:paraId="71B12F94" w14:textId="77777777" w:rsidR="00355BCE" w:rsidRPr="00355BCE" w:rsidRDefault="00355BCE" w:rsidP="00355BCE">
            <w:pPr>
              <w:spacing w:line="360" w:lineRule="auto"/>
              <w:rPr>
                <w:rFonts w:cstheme="minorHAnsi"/>
              </w:rPr>
            </w:pPr>
            <w:r w:rsidRPr="00355BCE">
              <w:rPr>
                <w:rFonts w:cstheme="minorHAnsi"/>
              </w:rPr>
              <w:lastRenderedPageBreak/>
              <w:t>Baseline, 3, 6, 12  months</w:t>
            </w:r>
          </w:p>
          <w:p w14:paraId="357B246C" w14:textId="77777777" w:rsidR="00355BCE" w:rsidRPr="00355BCE" w:rsidRDefault="00355BCE" w:rsidP="00355BCE">
            <w:pPr>
              <w:spacing w:line="360" w:lineRule="auto"/>
              <w:rPr>
                <w:rFonts w:cstheme="minorHAnsi"/>
              </w:rPr>
            </w:pPr>
          </w:p>
          <w:p w14:paraId="50310D30" w14:textId="77777777" w:rsidR="00355BCE" w:rsidRPr="00355BCE" w:rsidRDefault="00355BCE" w:rsidP="00355BCE">
            <w:pPr>
              <w:spacing w:line="360" w:lineRule="auto"/>
              <w:rPr>
                <w:rFonts w:cstheme="minorHAnsi"/>
              </w:rPr>
            </w:pPr>
          </w:p>
          <w:p w14:paraId="04D3CEFF" w14:textId="500CB6B4" w:rsidR="00355BCE" w:rsidRDefault="00355BCE" w:rsidP="00355BCE">
            <w:pPr>
              <w:spacing w:line="360" w:lineRule="auto"/>
              <w:rPr>
                <w:rFonts w:cstheme="minorHAnsi"/>
              </w:rPr>
            </w:pPr>
          </w:p>
          <w:p w14:paraId="12CA05EA" w14:textId="77777777" w:rsidR="00641755" w:rsidRPr="00355BCE" w:rsidRDefault="00641755" w:rsidP="00355BCE">
            <w:pPr>
              <w:spacing w:line="360" w:lineRule="auto"/>
              <w:rPr>
                <w:rFonts w:cstheme="minorHAnsi"/>
              </w:rPr>
            </w:pPr>
          </w:p>
          <w:p w14:paraId="4CB8B6F9" w14:textId="77777777" w:rsidR="00355BCE" w:rsidRPr="00355BCE" w:rsidRDefault="00355BCE" w:rsidP="00355BCE">
            <w:pPr>
              <w:spacing w:line="360" w:lineRule="auto"/>
              <w:rPr>
                <w:rFonts w:cstheme="minorHAnsi"/>
              </w:rPr>
            </w:pPr>
            <w:r w:rsidRPr="00355BCE">
              <w:rPr>
                <w:rFonts w:cstheme="minorHAnsi"/>
              </w:rPr>
              <w:t>Baseline, 3,6, 6.5,9,12 months</w:t>
            </w:r>
          </w:p>
        </w:tc>
      </w:tr>
    </w:tbl>
    <w:p w14:paraId="008F8D40" w14:textId="77777777" w:rsidR="00A26D50" w:rsidRPr="002B4B61" w:rsidRDefault="00A26D50" w:rsidP="00A26D50">
      <w:pPr>
        <w:spacing w:line="360" w:lineRule="auto"/>
        <w:rPr>
          <w:rFonts w:cstheme="minorHAnsi"/>
        </w:rPr>
      </w:pPr>
    </w:p>
    <w:p w14:paraId="1E2A903E" w14:textId="77777777" w:rsidR="00A26D50" w:rsidRPr="002B4B61" w:rsidRDefault="00A26D50" w:rsidP="00A26D50">
      <w:pPr>
        <w:spacing w:line="360" w:lineRule="auto"/>
        <w:rPr>
          <w:rFonts w:cstheme="minorHAnsi"/>
        </w:rPr>
      </w:pPr>
    </w:p>
    <w:p w14:paraId="422B6B28" w14:textId="77777777" w:rsidR="00A26D50" w:rsidRPr="002B4B61" w:rsidRDefault="00A26D50" w:rsidP="00A26D50">
      <w:pPr>
        <w:spacing w:line="360" w:lineRule="auto"/>
        <w:rPr>
          <w:rFonts w:cstheme="minorHAnsi"/>
        </w:rPr>
      </w:pPr>
    </w:p>
    <w:p w14:paraId="16BAAC35" w14:textId="5DAC9396" w:rsidR="00A26D50" w:rsidRPr="002B4B61" w:rsidRDefault="00A26D50">
      <w:pPr>
        <w:numPr>
          <w:ilvl w:val="0"/>
          <w:numId w:val="28"/>
        </w:numPr>
        <w:rPr>
          <w:rFonts w:cstheme="minorHAnsi"/>
          <w:b/>
          <w:u w:val="single"/>
        </w:rPr>
      </w:pPr>
      <w:bookmarkStart w:id="350" w:name="_Ref231895889"/>
      <w:r w:rsidRPr="002B4B61">
        <w:rPr>
          <w:rFonts w:cstheme="minorHAnsi"/>
          <w:b/>
          <w:u w:val="single"/>
        </w:rPr>
        <w:t>TRIAL DESIGN</w:t>
      </w:r>
      <w:bookmarkEnd w:id="350"/>
    </w:p>
    <w:p w14:paraId="40A6C6B8" w14:textId="592269E4" w:rsidR="00355BCE" w:rsidRPr="002B4B61" w:rsidRDefault="00355BCE" w:rsidP="00355BCE">
      <w:pPr>
        <w:rPr>
          <w:rFonts w:cstheme="minorHAnsi"/>
          <w:b/>
          <w:u w:val="single"/>
        </w:rPr>
      </w:pPr>
    </w:p>
    <w:p w14:paraId="3427EB15" w14:textId="6FA572C7" w:rsidR="00355BCE" w:rsidRDefault="00355BCE" w:rsidP="00355BCE">
      <w:pPr>
        <w:spacing w:line="360" w:lineRule="auto"/>
        <w:rPr>
          <w:rFonts w:cstheme="minorHAnsi"/>
          <w:bCs/>
        </w:rPr>
      </w:pPr>
      <w:r w:rsidRPr="00355BCE">
        <w:rPr>
          <w:rFonts w:cstheme="minorHAnsi"/>
          <w:bCs/>
        </w:rPr>
        <w:t xml:space="preserve">We will carry out a single centre prospective, double blind randomised comparison trial in children with a clinical or microbiological diagnosis of protracted bacterial bronchitis. The study will compromise of 2 key phases. The first investigating </w:t>
      </w:r>
      <w:r w:rsidR="00641755">
        <w:rPr>
          <w:rFonts w:cstheme="minorHAnsi"/>
          <w:bCs/>
        </w:rPr>
        <w:t>a</w:t>
      </w:r>
      <w:r w:rsidRPr="00355BCE">
        <w:rPr>
          <w:rFonts w:cstheme="minorHAnsi"/>
          <w:bCs/>
        </w:rPr>
        <w:t xml:space="preserve">zithromycin and the second </w:t>
      </w:r>
      <w:r w:rsidR="00641755">
        <w:rPr>
          <w:rFonts w:cstheme="minorHAnsi"/>
          <w:bCs/>
        </w:rPr>
        <w:t>l</w:t>
      </w:r>
      <w:r w:rsidRPr="00355BCE">
        <w:rPr>
          <w:rFonts w:cstheme="minorHAnsi"/>
          <w:bCs/>
        </w:rPr>
        <w:t xml:space="preserve">actulose. A total of </w:t>
      </w:r>
      <w:r w:rsidR="00535DED">
        <w:rPr>
          <w:rFonts w:cstheme="minorHAnsi"/>
          <w:bCs/>
        </w:rPr>
        <w:t>9</w:t>
      </w:r>
      <w:r w:rsidRPr="00355BCE">
        <w:rPr>
          <w:rFonts w:cstheme="minorHAnsi"/>
          <w:bCs/>
        </w:rPr>
        <w:t>0 children will be recruited.</w:t>
      </w:r>
    </w:p>
    <w:p w14:paraId="39311DC7" w14:textId="77777777" w:rsidR="00535DED" w:rsidRPr="00535DED" w:rsidRDefault="00535DED" w:rsidP="00355BCE">
      <w:pPr>
        <w:spacing w:line="360" w:lineRule="auto"/>
        <w:rPr>
          <w:rFonts w:cstheme="minorHAnsi"/>
          <w:bCs/>
        </w:rPr>
      </w:pPr>
    </w:p>
    <w:p w14:paraId="7A72522D" w14:textId="77777777" w:rsidR="00355BCE" w:rsidRPr="00535DED" w:rsidRDefault="00355BCE" w:rsidP="00984685">
      <w:pPr>
        <w:rPr>
          <w:b/>
          <w:bCs/>
          <w:u w:val="single"/>
        </w:rPr>
      </w:pPr>
      <w:r w:rsidRPr="00535DED">
        <w:rPr>
          <w:b/>
          <w:bCs/>
          <w:u w:val="single"/>
        </w:rPr>
        <w:t>Phase 1</w:t>
      </w:r>
    </w:p>
    <w:p w14:paraId="0EC7887A" w14:textId="1A078DD1" w:rsidR="00355BCE" w:rsidRPr="00535DED" w:rsidRDefault="00355BCE" w:rsidP="00355BCE">
      <w:pPr>
        <w:spacing w:line="360" w:lineRule="auto"/>
        <w:rPr>
          <w:rFonts w:cstheme="minorHAnsi"/>
        </w:rPr>
      </w:pPr>
      <w:r w:rsidRPr="00535DED">
        <w:rPr>
          <w:rFonts w:cstheme="minorHAnsi"/>
        </w:rPr>
        <w:t xml:space="preserve">We will carry out a </w:t>
      </w:r>
      <w:r w:rsidR="00F22855" w:rsidRPr="00535DED">
        <w:rPr>
          <w:rFonts w:cstheme="minorHAnsi"/>
        </w:rPr>
        <w:t>multi</w:t>
      </w:r>
      <w:r w:rsidRPr="00535DED">
        <w:rPr>
          <w:rFonts w:cstheme="minorHAnsi"/>
        </w:rPr>
        <w:t xml:space="preserve">-centre, randomised double blind comparison trial in children with a clinical or microbiological diagnosis of protracted bacterial bronchitis. There will be three study groups: Two active groups and one control group (see diagram 1).  A total of </w:t>
      </w:r>
      <w:r w:rsidR="00535DED">
        <w:rPr>
          <w:rFonts w:cstheme="minorHAnsi"/>
        </w:rPr>
        <w:t>3</w:t>
      </w:r>
      <w:r w:rsidRPr="00535DED">
        <w:rPr>
          <w:rFonts w:cstheme="minorHAnsi"/>
        </w:rPr>
        <w:t xml:space="preserve">0 children will be recruited to each of </w:t>
      </w:r>
      <w:r w:rsidR="00535DED">
        <w:rPr>
          <w:rFonts w:cstheme="minorHAnsi"/>
        </w:rPr>
        <w:t xml:space="preserve">the </w:t>
      </w:r>
      <w:r w:rsidRPr="00535DED">
        <w:rPr>
          <w:rFonts w:cstheme="minorHAnsi"/>
        </w:rPr>
        <w:t>groups.</w:t>
      </w:r>
    </w:p>
    <w:p w14:paraId="043891F0" w14:textId="200BC544" w:rsidR="00355BCE" w:rsidRPr="00535DED" w:rsidRDefault="00355BCE" w:rsidP="00355BCE">
      <w:pPr>
        <w:spacing w:line="360" w:lineRule="auto"/>
        <w:rPr>
          <w:rFonts w:cstheme="minorHAnsi"/>
        </w:rPr>
      </w:pPr>
      <w:r w:rsidRPr="00535DED">
        <w:rPr>
          <w:rFonts w:cstheme="minorHAnsi"/>
        </w:rPr>
        <w:t xml:space="preserve">Participants </w:t>
      </w:r>
      <w:r w:rsidR="00535DED">
        <w:rPr>
          <w:rFonts w:cstheme="minorHAnsi"/>
        </w:rPr>
        <w:t xml:space="preserve">with PBB will be </w:t>
      </w:r>
      <w:r w:rsidRPr="00535DED">
        <w:rPr>
          <w:rFonts w:cstheme="minorHAnsi"/>
        </w:rPr>
        <w:t xml:space="preserve">randomised to one of two </w:t>
      </w:r>
      <w:r w:rsidR="00535DED">
        <w:rPr>
          <w:rFonts w:cstheme="minorHAnsi"/>
        </w:rPr>
        <w:t>azithromycin</w:t>
      </w:r>
      <w:r w:rsidRPr="00535DED">
        <w:rPr>
          <w:rFonts w:cstheme="minorHAnsi"/>
        </w:rPr>
        <w:t xml:space="preserve"> dosing regimens in a 1:1 ratio. Group 1 will receive the standard </w:t>
      </w:r>
      <w:r w:rsidR="00535DED">
        <w:rPr>
          <w:rFonts w:cstheme="minorHAnsi"/>
        </w:rPr>
        <w:t xml:space="preserve">paediatric azithromycin </w:t>
      </w:r>
      <w:r w:rsidRPr="00535DED">
        <w:rPr>
          <w:rFonts w:cstheme="minorHAnsi"/>
        </w:rPr>
        <w:t xml:space="preserve">dose of 10mg/kg/day thrice weekly, as recommended in the British National Formulary for children with infection in cystic fibrosis. Group 2 will receive a low dose regimen of 5mg/kg/dose thrice weekly. Both groups will be prescribed the study drug for 6 months. Group 3 will consist of healthy age-matched controls who meet the inclusion and exclusion criteria. All participants will remain in the trial for 18 months. </w:t>
      </w:r>
    </w:p>
    <w:p w14:paraId="09434DED" w14:textId="77777777" w:rsidR="00355BCE" w:rsidRPr="006B03E2" w:rsidRDefault="00355BCE" w:rsidP="00984685">
      <w:pPr>
        <w:rPr>
          <w:b/>
          <w:bCs/>
          <w:u w:val="single"/>
        </w:rPr>
      </w:pPr>
      <w:r w:rsidRPr="006B03E2">
        <w:rPr>
          <w:b/>
          <w:bCs/>
          <w:u w:val="single"/>
        </w:rPr>
        <w:t>Phase 2</w:t>
      </w:r>
    </w:p>
    <w:p w14:paraId="7611373D" w14:textId="4BDFDFAF" w:rsidR="005A3F96" w:rsidRPr="00535DED" w:rsidRDefault="00355BCE" w:rsidP="00355BCE">
      <w:pPr>
        <w:spacing w:line="360" w:lineRule="auto"/>
        <w:rPr>
          <w:rFonts w:cstheme="minorHAnsi"/>
        </w:rPr>
      </w:pPr>
      <w:r w:rsidRPr="00535DED">
        <w:rPr>
          <w:rFonts w:cstheme="minorHAnsi"/>
        </w:rPr>
        <w:t xml:space="preserve">Participants in groups 1 and 2 will be randomised, on a 1:1 ratio, to receive either two weeks of daily lactulose </w:t>
      </w:r>
      <w:r w:rsidRPr="006B03E2">
        <w:rPr>
          <w:rFonts w:cstheme="minorHAnsi"/>
        </w:rPr>
        <w:t>at a dose of</w:t>
      </w:r>
      <w:r w:rsidR="002C4955" w:rsidRPr="00535DED">
        <w:rPr>
          <w:rFonts w:cstheme="minorHAnsi"/>
        </w:rPr>
        <w:t xml:space="preserve"> 1ml (&lt;15 kg) or 2ml (&gt;15kg) </w:t>
      </w:r>
      <w:r w:rsidRPr="00535DED">
        <w:rPr>
          <w:rFonts w:cstheme="minorHAnsi"/>
        </w:rPr>
        <w:t>or no lactulose.</w:t>
      </w:r>
    </w:p>
    <w:p w14:paraId="48268D35" w14:textId="1424467E" w:rsidR="005A3F96" w:rsidRPr="00D62650" w:rsidRDefault="005A3F96" w:rsidP="00847BA2">
      <w:pPr>
        <w:rPr>
          <w:rFonts w:cstheme="minorHAnsi"/>
          <w:b/>
          <w:bCs/>
        </w:rPr>
      </w:pPr>
      <w:r w:rsidRPr="00535DED">
        <w:rPr>
          <w:rFonts w:cstheme="minorHAnsi"/>
        </w:rPr>
        <w:br w:type="page"/>
      </w:r>
      <w:r w:rsidRPr="00D62650">
        <w:rPr>
          <w:rFonts w:cstheme="minorHAnsi"/>
          <w:b/>
          <w:bCs/>
        </w:rPr>
        <w:lastRenderedPageBreak/>
        <w:t>Diagram 1: Flow chart of participant recruitment and randomisation</w:t>
      </w:r>
    </w:p>
    <w:p w14:paraId="0A040CCA" w14:textId="628A378A" w:rsidR="005A3F96" w:rsidRPr="005A3F96" w:rsidRDefault="00EB0610" w:rsidP="005A3F96">
      <w:pPr>
        <w:rPr>
          <w:rFonts w:cstheme="minorHAnsi"/>
        </w:rPr>
      </w:pPr>
      <w:r>
        <w:rPr>
          <w:noProof/>
        </w:rPr>
        <mc:AlternateContent>
          <mc:Choice Requires="wps">
            <w:drawing>
              <wp:anchor distT="0" distB="0" distL="114300" distR="114300" simplePos="0" relativeHeight="251912704" behindDoc="0" locked="0" layoutInCell="1" allowOverlap="1" wp14:anchorId="5B283A19" wp14:editId="3D864177">
                <wp:simplePos x="0" y="0"/>
                <wp:positionH relativeFrom="column">
                  <wp:posOffset>1852930</wp:posOffset>
                </wp:positionH>
                <wp:positionV relativeFrom="paragraph">
                  <wp:posOffset>78740</wp:posOffset>
                </wp:positionV>
                <wp:extent cx="1828800" cy="295275"/>
                <wp:effectExtent l="0" t="0" r="0" b="9525"/>
                <wp:wrapNone/>
                <wp:docPr id="422" name="Rectangle: Rounded Corners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5275"/>
                        </a:xfrm>
                        <a:prstGeom prst="roundRect">
                          <a:avLst>
                            <a:gd name="adj" fmla="val 16667"/>
                          </a:avLst>
                        </a:prstGeom>
                        <a:solidFill>
                          <a:srgbClr val="FFFFFF"/>
                        </a:solidFill>
                        <a:ln w="9525">
                          <a:solidFill>
                            <a:srgbClr val="000000"/>
                          </a:solidFill>
                          <a:round/>
                          <a:headEnd/>
                          <a:tailEnd/>
                        </a:ln>
                      </wps:spPr>
                      <wps:txbx>
                        <w:txbxContent>
                          <w:p w14:paraId="099B363D" w14:textId="77777777" w:rsidR="005A3F96" w:rsidRDefault="005A3F96" w:rsidP="005A3F96">
                            <w:pPr>
                              <w:jc w:val="center"/>
                            </w:pPr>
                            <w:r>
                              <w:t>Potential Patients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83A19" id="Rectangle: Rounded Corners 422" o:spid="_x0000_s1084" style="position:absolute;margin-left:145.9pt;margin-top:6.2pt;width:2in;height:23.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">
                <v:textbox>
                  <w:txbxContent>
                    <w:p w14:paraId="099B363D" w14:textId="77777777" w:rsidR="005A3F96" w:rsidRDefault="005A3F96" w:rsidP="005A3F96">
                      <w:pPr>
                        <w:jc w:val="center"/>
                      </w:pPr>
                      <w:r>
                        <w:t>Potential Patients identified</w:t>
                      </w:r>
                    </w:p>
                  </w:txbxContent>
                </v:textbox>
              </v:roundrect>
            </w:pict>
          </mc:Fallback>
        </mc:AlternateContent>
      </w:r>
    </w:p>
    <w:p w14:paraId="586B4F63" w14:textId="5B7DE63E" w:rsidR="005A3F96" w:rsidRPr="005A3F96" w:rsidRDefault="00EB0610" w:rsidP="005A3F96">
      <w:pPr>
        <w:rPr>
          <w:rFonts w:cstheme="minorHAnsi"/>
        </w:rPr>
      </w:pPr>
      <w:r>
        <w:rPr>
          <w:noProof/>
        </w:rPr>
        <mc:AlternateContent>
          <mc:Choice Requires="wps">
            <w:drawing>
              <wp:anchor distT="0" distB="0" distL="114299" distR="114299" simplePos="0" relativeHeight="251962880" behindDoc="0" locked="0" layoutInCell="1" allowOverlap="1" wp14:anchorId="12AE153C" wp14:editId="41DD2269">
                <wp:simplePos x="0" y="0"/>
                <wp:positionH relativeFrom="column">
                  <wp:posOffset>2762249</wp:posOffset>
                </wp:positionH>
                <wp:positionV relativeFrom="paragraph">
                  <wp:posOffset>187960</wp:posOffset>
                </wp:positionV>
                <wp:extent cx="0" cy="266700"/>
                <wp:effectExtent l="57150" t="0" r="38100" b="1905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40CAA4" id="Straight Arrow Connector 420" o:spid="_x0000_s1026" type="#_x0000_t32" style="position:absolute;margin-left:217.5pt;margin-top:14.8pt;width:0;height:21pt;z-index:2519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" strokecolor="black [3200]" strokeweight="2.25pt">
                <v:stroke endarrow="block" joinstyle="miter"/>
                <o:lock v:ext="edit" shapetype="f"/>
              </v:shape>
            </w:pict>
          </mc:Fallback>
        </mc:AlternateContent>
      </w:r>
    </w:p>
    <w:p w14:paraId="27D17709" w14:textId="1A539EC5" w:rsidR="005A3F96" w:rsidRPr="005A3F96" w:rsidRDefault="005A3F96" w:rsidP="005A3F96">
      <w:pPr>
        <w:rPr>
          <w:rFonts w:cstheme="minorHAnsi"/>
        </w:rPr>
      </w:pPr>
    </w:p>
    <w:p w14:paraId="29D06797" w14:textId="36EAF70F" w:rsidR="005A3F96" w:rsidRPr="005A3F96" w:rsidRDefault="00EB0610" w:rsidP="005A3F96">
      <w:pPr>
        <w:rPr>
          <w:rFonts w:cstheme="minorHAnsi"/>
        </w:rPr>
      </w:pPr>
      <w:r>
        <w:rPr>
          <w:noProof/>
        </w:rPr>
        <mc:AlternateContent>
          <mc:Choice Requires="wps">
            <w:drawing>
              <wp:anchor distT="0" distB="0" distL="114300" distR="114300" simplePos="0" relativeHeight="251913728" behindDoc="0" locked="0" layoutInCell="1" allowOverlap="1" wp14:anchorId="477EF8BF" wp14:editId="7F067CB4">
                <wp:simplePos x="0" y="0"/>
                <wp:positionH relativeFrom="column">
                  <wp:posOffset>1847215</wp:posOffset>
                </wp:positionH>
                <wp:positionV relativeFrom="paragraph">
                  <wp:posOffset>80645</wp:posOffset>
                </wp:positionV>
                <wp:extent cx="1828800" cy="314325"/>
                <wp:effectExtent l="0" t="0" r="0" b="9525"/>
                <wp:wrapNone/>
                <wp:docPr id="419" name="Rectangle: Rounded Corners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14325"/>
                        </a:xfrm>
                        <a:prstGeom prst="roundRect">
                          <a:avLst>
                            <a:gd name="adj" fmla="val 16667"/>
                          </a:avLst>
                        </a:prstGeom>
                        <a:solidFill>
                          <a:srgbClr val="FFFFFF"/>
                        </a:solidFill>
                        <a:ln w="9525">
                          <a:solidFill>
                            <a:srgbClr val="000000"/>
                          </a:solidFill>
                          <a:round/>
                          <a:headEnd/>
                          <a:tailEnd/>
                        </a:ln>
                      </wps:spPr>
                      <wps:txbx>
                        <w:txbxContent>
                          <w:p w14:paraId="1BDF1E35" w14:textId="77777777" w:rsidR="005A3F96" w:rsidRDefault="005A3F96" w:rsidP="005A3F96">
                            <w:pPr>
                              <w:jc w:val="center"/>
                            </w:pPr>
                            <w:r>
                              <w:t>Informed consent obtained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EF8BF" id="Rectangle: Rounded Corners 419" o:spid="_x0000_s1085" style="position:absolute;margin-left:145.45pt;margin-top:6.35pt;width:2in;height:24.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">
                <v:textbox>
                  <w:txbxContent>
                    <w:p w14:paraId="1BDF1E35" w14:textId="77777777" w:rsidR="005A3F96" w:rsidRDefault="005A3F96" w:rsidP="005A3F96">
                      <w:pPr>
                        <w:jc w:val="center"/>
                      </w:pPr>
                      <w:r>
                        <w:t>Informed consent obtained</w:t>
                      </w:r>
                    </w:p>
                  </w:txbxContent>
                </v:textbox>
              </v:roundrect>
            </w:pict>
          </mc:Fallback>
        </mc:AlternateContent>
      </w:r>
    </w:p>
    <w:p w14:paraId="3B22E518" w14:textId="1E305A8F" w:rsidR="005A3F96" w:rsidRPr="005A3F96" w:rsidRDefault="005A3F96" w:rsidP="005A3F96">
      <w:pPr>
        <w:rPr>
          <w:rFonts w:cstheme="minorHAnsi"/>
        </w:rPr>
      </w:pPr>
    </w:p>
    <w:p w14:paraId="44BBB05F" w14:textId="4FAA5FCC" w:rsidR="005A3F96" w:rsidRPr="005A3F96" w:rsidRDefault="00EB0610" w:rsidP="005A3F96">
      <w:pPr>
        <w:rPr>
          <w:rFonts w:cstheme="minorHAnsi"/>
        </w:rPr>
      </w:pPr>
      <w:r>
        <w:rPr>
          <w:noProof/>
        </w:rPr>
        <mc:AlternateContent>
          <mc:Choice Requires="wps">
            <w:drawing>
              <wp:anchor distT="0" distB="0" distL="114299" distR="114299" simplePos="0" relativeHeight="251963904" behindDoc="0" locked="0" layoutInCell="1" allowOverlap="1" wp14:anchorId="297E1E25" wp14:editId="08556903">
                <wp:simplePos x="0" y="0"/>
                <wp:positionH relativeFrom="column">
                  <wp:posOffset>2762249</wp:posOffset>
                </wp:positionH>
                <wp:positionV relativeFrom="paragraph">
                  <wp:posOffset>24765</wp:posOffset>
                </wp:positionV>
                <wp:extent cx="0" cy="219075"/>
                <wp:effectExtent l="57150" t="0" r="38100" b="28575"/>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FA5BD2" id="Straight Arrow Connector 418" o:spid="_x0000_s1026" type="#_x0000_t32" style="position:absolute;margin-left:217.5pt;margin-top:1.95pt;width:0;height:17.25pt;z-index:25196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" strokecolor="black [3200]" strokeweight="2.25pt">
                <v:stroke endarrow="block" joinstyle="miter"/>
                <o:lock v:ext="edit" shapetype="f"/>
              </v:shape>
            </w:pict>
          </mc:Fallback>
        </mc:AlternateContent>
      </w:r>
    </w:p>
    <w:p w14:paraId="6F6A0081" w14:textId="4B5BF91D" w:rsidR="005A3F96" w:rsidRPr="005A3F96" w:rsidRDefault="00EB0610" w:rsidP="005A3F96">
      <w:pPr>
        <w:rPr>
          <w:rFonts w:cstheme="minorHAnsi"/>
        </w:rPr>
      </w:pPr>
      <w:r>
        <w:rPr>
          <w:noProof/>
        </w:rPr>
        <mc:AlternateContent>
          <mc:Choice Requires="wps">
            <w:drawing>
              <wp:anchor distT="0" distB="0" distL="114300" distR="114300" simplePos="0" relativeHeight="251904512" behindDoc="0" locked="0" layoutInCell="1" allowOverlap="1" wp14:anchorId="36306F03" wp14:editId="4FECD2B3">
                <wp:simplePos x="0" y="0"/>
                <wp:positionH relativeFrom="column">
                  <wp:posOffset>1685290</wp:posOffset>
                </wp:positionH>
                <wp:positionV relativeFrom="paragraph">
                  <wp:posOffset>57150</wp:posOffset>
                </wp:positionV>
                <wp:extent cx="2146935" cy="405765"/>
                <wp:effectExtent l="0" t="0" r="5715" b="0"/>
                <wp:wrapNone/>
                <wp:docPr id="417" name="Rectangle: Rounded Corners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405765"/>
                        </a:xfrm>
                        <a:prstGeom prst="roundRect">
                          <a:avLst>
                            <a:gd name="adj" fmla="val 16667"/>
                          </a:avLst>
                        </a:prstGeom>
                        <a:solidFill>
                          <a:srgbClr val="FFFFFF"/>
                        </a:solidFill>
                        <a:ln w="9525">
                          <a:solidFill>
                            <a:srgbClr val="000000"/>
                          </a:solidFill>
                          <a:round/>
                          <a:headEnd/>
                          <a:tailEnd/>
                        </a:ln>
                      </wps:spPr>
                      <wps:txbx>
                        <w:txbxContent>
                          <w:p w14:paraId="7F4FDD91" w14:textId="64C047DD" w:rsidR="005A3F96" w:rsidRPr="003E0357" w:rsidRDefault="005A3F96" w:rsidP="00847BA2">
                            <w:pPr>
                              <w:shd w:val="clear" w:color="auto" w:fill="E2EFD9"/>
                            </w:pPr>
                            <w:r w:rsidRPr="003E0357">
                              <w:t>Phase 1</w:t>
                            </w:r>
                            <w:r>
                              <w:t xml:space="preserve">: </w:t>
                            </w:r>
                            <w:r w:rsidR="00847BA2">
                              <w:tab/>
                            </w:r>
                            <w:r>
                              <w:t>0-6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06F03" id="Rectangle: Rounded Corners 417" o:spid="_x0000_s1086" style="position:absolute;margin-left:132.7pt;margin-top:4.5pt;width:169.05pt;height:31.9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">
                <v:textbox>
                  <w:txbxContent>
                    <w:p w14:paraId="7F4FDD91" w14:textId="64C047DD" w:rsidR="005A3F96" w:rsidRPr="003E0357" w:rsidRDefault="005A3F96" w:rsidP="00847BA2">
                      <w:pPr>
                        <w:shd w:val="clear" w:color="auto" w:fill="E2EFD9"/>
                      </w:pPr>
                      <w:r w:rsidRPr="003E0357">
                        <w:t>Phase 1</w:t>
                      </w:r>
                      <w:r>
                        <w:t xml:space="preserve">: </w:t>
                      </w:r>
                      <w:r w:rsidR="00847BA2">
                        <w:tab/>
                      </w:r>
                      <w:r>
                        <w:t>0-6 months</w:t>
                      </w:r>
                    </w:p>
                  </w:txbxContent>
                </v:textbox>
              </v:roundrect>
            </w:pict>
          </mc:Fallback>
        </mc:AlternateContent>
      </w:r>
    </w:p>
    <w:p w14:paraId="50A24674" w14:textId="591B0DAB" w:rsidR="005A3F96" w:rsidRPr="005A3F96" w:rsidRDefault="00EB0610" w:rsidP="005A3F96">
      <w:pPr>
        <w:rPr>
          <w:rFonts w:cstheme="minorHAnsi"/>
        </w:rPr>
      </w:pPr>
      <w:r>
        <w:rPr>
          <w:noProof/>
        </w:rPr>
        <mc:AlternateContent>
          <mc:Choice Requires="wps">
            <w:drawing>
              <wp:anchor distT="0" distB="0" distL="114299" distR="114299" simplePos="0" relativeHeight="251966976" behindDoc="0" locked="0" layoutInCell="1" allowOverlap="1" wp14:anchorId="675D743F" wp14:editId="61496E58">
                <wp:simplePos x="0" y="0"/>
                <wp:positionH relativeFrom="column">
                  <wp:posOffset>5407024</wp:posOffset>
                </wp:positionH>
                <wp:positionV relativeFrom="paragraph">
                  <wp:posOffset>71755</wp:posOffset>
                </wp:positionV>
                <wp:extent cx="0" cy="533400"/>
                <wp:effectExtent l="57150" t="0" r="38100" b="19050"/>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240D97" id="Straight Arrow Connector 416" o:spid="_x0000_s1026" type="#_x0000_t32" style="position:absolute;margin-left:425.75pt;margin-top:5.65pt;width:0;height:42pt;z-index:25196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" strokecolor="black [3200]" strokeweight="2.25pt">
                <v:stroke endarrow="block" joinstyle="miter"/>
                <o:lock v:ext="edit" shapetype="f"/>
              </v:shape>
            </w:pict>
          </mc:Fallback>
        </mc:AlternateContent>
      </w:r>
      <w:r>
        <w:rPr>
          <w:noProof/>
        </w:rPr>
        <mc:AlternateContent>
          <mc:Choice Requires="wps">
            <w:drawing>
              <wp:anchor distT="4294967295" distB="4294967295" distL="114300" distR="114300" simplePos="0" relativeHeight="251965952" behindDoc="0" locked="0" layoutInCell="1" allowOverlap="1" wp14:anchorId="7DF3CFBE" wp14:editId="526DA67B">
                <wp:simplePos x="0" y="0"/>
                <wp:positionH relativeFrom="column">
                  <wp:posOffset>3832225</wp:posOffset>
                </wp:positionH>
                <wp:positionV relativeFrom="paragraph">
                  <wp:posOffset>71754</wp:posOffset>
                </wp:positionV>
                <wp:extent cx="1577975" cy="0"/>
                <wp:effectExtent l="0" t="19050" r="3175" b="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79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C99996" id="Straight Connector 223" o:spid="_x0000_s1026" style="position:absolute;z-index:25196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75pt,5.65pt" to="4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" strokecolor="black [3200]" strokeweight="2.25pt">
                <v:stroke joinstyle="miter"/>
                <o:lock v:ext="edit" shapetype="f"/>
              </v:line>
            </w:pict>
          </mc:Fallback>
        </mc:AlternateContent>
      </w:r>
    </w:p>
    <w:p w14:paraId="7C75B810" w14:textId="495466C3" w:rsidR="005A3F96" w:rsidRPr="005A3F96" w:rsidRDefault="00EB0610" w:rsidP="005A3F96">
      <w:pPr>
        <w:rPr>
          <w:rFonts w:cstheme="minorHAnsi"/>
        </w:rPr>
      </w:pPr>
      <w:r>
        <w:rPr>
          <w:noProof/>
        </w:rPr>
        <mc:AlternateContent>
          <mc:Choice Requires="wps">
            <w:drawing>
              <wp:anchor distT="0" distB="0" distL="114299" distR="114299" simplePos="0" relativeHeight="251964928" behindDoc="0" locked="0" layoutInCell="1" allowOverlap="1" wp14:anchorId="11BED01B" wp14:editId="7F5DB778">
                <wp:simplePos x="0" y="0"/>
                <wp:positionH relativeFrom="column">
                  <wp:posOffset>2200274</wp:posOffset>
                </wp:positionH>
                <wp:positionV relativeFrom="paragraph">
                  <wp:posOffset>90805</wp:posOffset>
                </wp:positionV>
                <wp:extent cx="0" cy="328295"/>
                <wp:effectExtent l="57150" t="0" r="38100" b="33655"/>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29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4D31D2" id="Straight Arrow Connector 222" o:spid="_x0000_s1026" type="#_x0000_t32" style="position:absolute;margin-left:173.25pt;margin-top:7.15pt;width:0;height:25.85pt;z-index:25196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" strokecolor="black [3200]" strokeweight="2.25pt">
                <v:stroke endarrow="block" joinstyle="miter"/>
                <o:lock v:ext="edit" shapetype="f"/>
              </v:shape>
            </w:pict>
          </mc:Fallback>
        </mc:AlternateContent>
      </w:r>
    </w:p>
    <w:p w14:paraId="4B233B8B" w14:textId="0D839647" w:rsidR="005A3F96" w:rsidRPr="005A3F96" w:rsidRDefault="005A3F96" w:rsidP="005A3F96">
      <w:pPr>
        <w:rPr>
          <w:rFonts w:cstheme="minorHAnsi"/>
        </w:rPr>
      </w:pPr>
    </w:p>
    <w:p w14:paraId="21B0158B" w14:textId="60B703CC" w:rsidR="005A3F96" w:rsidRPr="005A3F96" w:rsidRDefault="00EB0610" w:rsidP="005A3F96">
      <w:pPr>
        <w:rPr>
          <w:rFonts w:cstheme="minorHAnsi"/>
        </w:rPr>
      </w:pPr>
      <w:r>
        <w:rPr>
          <w:noProof/>
        </w:rPr>
        <mc:AlternateContent>
          <mc:Choice Requires="wps">
            <w:drawing>
              <wp:anchor distT="0" distB="0" distL="114300" distR="114300" simplePos="0" relativeHeight="251903488" behindDoc="0" locked="0" layoutInCell="1" allowOverlap="1" wp14:anchorId="52C8E240" wp14:editId="572FD2CE">
                <wp:simplePos x="0" y="0"/>
                <wp:positionH relativeFrom="column">
                  <wp:posOffset>4102735</wp:posOffset>
                </wp:positionH>
                <wp:positionV relativeFrom="paragraph">
                  <wp:posOffset>45085</wp:posOffset>
                </wp:positionV>
                <wp:extent cx="2380615" cy="793750"/>
                <wp:effectExtent l="0" t="0" r="635" b="6350"/>
                <wp:wrapNone/>
                <wp:docPr id="221" name="Rectangle: Rounded Corner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793750"/>
                        </a:xfrm>
                        <a:prstGeom prst="roundRect">
                          <a:avLst>
                            <a:gd name="adj" fmla="val 16667"/>
                          </a:avLst>
                        </a:prstGeom>
                        <a:solidFill>
                          <a:srgbClr val="FFFFFF"/>
                        </a:solidFill>
                        <a:ln w="9525">
                          <a:solidFill>
                            <a:srgbClr val="000000"/>
                          </a:solidFill>
                          <a:round/>
                          <a:headEnd/>
                          <a:tailEnd/>
                        </a:ln>
                      </wps:spPr>
                      <wps:txbx>
                        <w:txbxContent>
                          <w:p w14:paraId="44AB1DB2" w14:textId="77777777" w:rsidR="005A3F96" w:rsidRPr="003E0357" w:rsidRDefault="005A3F96" w:rsidP="005A3F96">
                            <w:pPr>
                              <w:jc w:val="center"/>
                              <w:rPr>
                                <w:b/>
                                <w:bCs/>
                              </w:rPr>
                            </w:pPr>
                            <w:r w:rsidRPr="003E0357">
                              <w:rPr>
                                <w:b/>
                                <w:bCs/>
                              </w:rPr>
                              <w:t xml:space="preserve">Group </w:t>
                            </w:r>
                            <w:r>
                              <w:rPr>
                                <w:b/>
                                <w:bCs/>
                              </w:rPr>
                              <w:t>3</w:t>
                            </w:r>
                          </w:p>
                          <w:p w14:paraId="38115A50" w14:textId="4F3DB3B9" w:rsidR="005A3F96" w:rsidRPr="001A5A1C" w:rsidRDefault="005A3F96" w:rsidP="00847BA2">
                            <w:pPr>
                              <w:jc w:val="center"/>
                            </w:pPr>
                            <w:r>
                              <w:t>Healthy Controls</w:t>
                            </w:r>
                            <w:r w:rsidR="00847BA2">
                              <w:t xml:space="preserve">: </w:t>
                            </w:r>
                            <w:r>
                              <w:t>(n=</w:t>
                            </w:r>
                            <w:r w:rsidR="00F22855">
                              <w:t>30</w:t>
                            </w:r>
                            <w:r>
                              <w:t>)</w:t>
                            </w:r>
                          </w:p>
                          <w:p w14:paraId="0CC27AD2" w14:textId="77777777" w:rsidR="005A3F96" w:rsidRPr="003E0357" w:rsidRDefault="005A3F96" w:rsidP="005A3F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8E240" id="Rectangle: Rounded Corners 221" o:spid="_x0000_s1087" style="position:absolute;margin-left:323.05pt;margin-top:3.55pt;width:187.45pt;height:6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">
                <v:textbox>
                  <w:txbxContent>
                    <w:p w14:paraId="44AB1DB2" w14:textId="77777777" w:rsidR="005A3F96" w:rsidRPr="003E0357" w:rsidRDefault="005A3F96" w:rsidP="005A3F96">
                      <w:pPr>
                        <w:jc w:val="center"/>
                        <w:rPr>
                          <w:b/>
                          <w:bCs/>
                        </w:rPr>
                      </w:pPr>
                      <w:r w:rsidRPr="003E0357">
                        <w:rPr>
                          <w:b/>
                          <w:bCs/>
                        </w:rPr>
                        <w:t xml:space="preserve">Group </w:t>
                      </w:r>
                      <w:r>
                        <w:rPr>
                          <w:b/>
                          <w:bCs/>
                        </w:rPr>
                        <w:t>3</w:t>
                      </w:r>
                    </w:p>
                    <w:p w14:paraId="38115A50" w14:textId="4F3DB3B9" w:rsidR="005A3F96" w:rsidRPr="001A5A1C" w:rsidRDefault="005A3F96" w:rsidP="00847BA2">
                      <w:pPr>
                        <w:jc w:val="center"/>
                      </w:pPr>
                      <w:r>
                        <w:t>Healthy Controls</w:t>
                      </w:r>
                      <w:r w:rsidR="00847BA2">
                        <w:t xml:space="preserve">: </w:t>
                      </w:r>
                      <w:r>
                        <w:t>(n=</w:t>
                      </w:r>
                      <w:r w:rsidR="00F22855">
                        <w:t>30</w:t>
                      </w:r>
                      <w:r>
                        <w:t>)</w:t>
                      </w:r>
                    </w:p>
                    <w:p w14:paraId="0CC27AD2" w14:textId="77777777" w:rsidR="005A3F96" w:rsidRPr="003E0357" w:rsidRDefault="005A3F96" w:rsidP="005A3F96">
                      <w:pPr>
                        <w:jc w:val="center"/>
                      </w:pPr>
                    </w:p>
                  </w:txbxContent>
                </v:textbox>
              </v:roundrect>
            </w:pict>
          </mc:Fallback>
        </mc:AlternateContent>
      </w:r>
      <w:r>
        <w:rPr>
          <w:noProof/>
        </w:rPr>
        <mc:AlternateContent>
          <mc:Choice Requires="wps">
            <w:drawing>
              <wp:anchor distT="0" distB="0" distL="114300" distR="114300" simplePos="0" relativeHeight="251902464" behindDoc="0" locked="0" layoutInCell="1" allowOverlap="1" wp14:anchorId="118943CD" wp14:editId="2684A833">
                <wp:simplePos x="0" y="0"/>
                <wp:positionH relativeFrom="column">
                  <wp:posOffset>110490</wp:posOffset>
                </wp:positionH>
                <wp:positionV relativeFrom="paragraph">
                  <wp:posOffset>44450</wp:posOffset>
                </wp:positionV>
                <wp:extent cx="2695575" cy="714375"/>
                <wp:effectExtent l="0" t="0" r="9525" b="9525"/>
                <wp:wrapNone/>
                <wp:docPr id="220" name="Rectangle: Rounded Corner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714375"/>
                        </a:xfrm>
                        <a:prstGeom prst="roundRect">
                          <a:avLst>
                            <a:gd name="adj" fmla="val 16667"/>
                          </a:avLst>
                        </a:prstGeom>
                        <a:solidFill>
                          <a:srgbClr val="FFFFFF"/>
                        </a:solidFill>
                        <a:ln w="9525">
                          <a:solidFill>
                            <a:srgbClr val="000000"/>
                          </a:solidFill>
                          <a:round/>
                          <a:headEnd/>
                          <a:tailEnd/>
                        </a:ln>
                      </wps:spPr>
                      <wps:txbx>
                        <w:txbxContent>
                          <w:p w14:paraId="6B4BCE2C" w14:textId="77777777" w:rsidR="005A3F96" w:rsidRDefault="005A3F96" w:rsidP="005A3F96">
                            <w:pPr>
                              <w:jc w:val="center"/>
                              <w:rPr>
                                <w:b/>
                                <w:bCs/>
                              </w:rPr>
                            </w:pPr>
                            <w:r>
                              <w:rPr>
                                <w:b/>
                                <w:bCs/>
                              </w:rPr>
                              <w:t>Children with PBB</w:t>
                            </w:r>
                          </w:p>
                          <w:p w14:paraId="56316113" w14:textId="4E4858A0" w:rsidR="005A3F96" w:rsidRPr="003E0357" w:rsidRDefault="00F22855" w:rsidP="005A3F96">
                            <w:pPr>
                              <w:jc w:val="center"/>
                            </w:pPr>
                            <w:r>
                              <w:t>Requiring long term</w:t>
                            </w:r>
                            <w:r w:rsidR="005A3F96">
                              <w:t xml:space="preserve"> </w:t>
                            </w:r>
                            <w:r>
                              <w:t>a</w:t>
                            </w:r>
                            <w:r w:rsidR="005A3F96">
                              <w:t>zithromycin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8943CD" id="Rectangle: Rounded Corners 220" o:spid="_x0000_s1088" style="position:absolute;margin-left:8.7pt;margin-top:3.5pt;width:212.25pt;height:56.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">
                <v:textbox>
                  <w:txbxContent>
                    <w:p w14:paraId="6B4BCE2C" w14:textId="77777777" w:rsidR="005A3F96" w:rsidRDefault="005A3F96" w:rsidP="005A3F96">
                      <w:pPr>
                        <w:jc w:val="center"/>
                        <w:rPr>
                          <w:b/>
                          <w:bCs/>
                        </w:rPr>
                      </w:pPr>
                      <w:r>
                        <w:rPr>
                          <w:b/>
                          <w:bCs/>
                        </w:rPr>
                        <w:t>Children with PBB</w:t>
                      </w:r>
                    </w:p>
                    <w:p w14:paraId="56316113" w14:textId="4E4858A0" w:rsidR="005A3F96" w:rsidRPr="003E0357" w:rsidRDefault="00F22855" w:rsidP="005A3F96">
                      <w:pPr>
                        <w:jc w:val="center"/>
                      </w:pPr>
                      <w:r>
                        <w:t>Requiring long term</w:t>
                      </w:r>
                      <w:r w:rsidR="005A3F96">
                        <w:t xml:space="preserve"> </w:t>
                      </w:r>
                      <w:r>
                        <w:t>a</w:t>
                      </w:r>
                      <w:r w:rsidR="005A3F96">
                        <w:t>zithromycin</w:t>
                      </w:r>
                    </w:p>
                  </w:txbxContent>
                </v:textbox>
              </v:roundrect>
            </w:pict>
          </mc:Fallback>
        </mc:AlternateContent>
      </w:r>
    </w:p>
    <w:p w14:paraId="7B374B5C" w14:textId="6B7D0195" w:rsidR="005A3F96" w:rsidRPr="005A3F96" w:rsidRDefault="005A3F96" w:rsidP="005A3F96">
      <w:pPr>
        <w:rPr>
          <w:rFonts w:cstheme="minorHAnsi"/>
        </w:rPr>
      </w:pPr>
    </w:p>
    <w:p w14:paraId="13530EC5" w14:textId="7961BDF6" w:rsidR="005A3F96" w:rsidRPr="005A3F96" w:rsidRDefault="005A3F96" w:rsidP="005A3F96">
      <w:pPr>
        <w:rPr>
          <w:rFonts w:cstheme="minorHAnsi"/>
        </w:rPr>
      </w:pPr>
    </w:p>
    <w:p w14:paraId="746A6944" w14:textId="6F8A9133" w:rsidR="005A3F96" w:rsidRPr="005A3F96" w:rsidRDefault="005A3F96" w:rsidP="005A3F96">
      <w:pPr>
        <w:rPr>
          <w:rFonts w:cstheme="minorHAnsi"/>
        </w:rPr>
      </w:pPr>
    </w:p>
    <w:p w14:paraId="31553D68" w14:textId="04FFF9CB" w:rsidR="005A3F96" w:rsidRPr="005A3F96" w:rsidRDefault="00EB0610" w:rsidP="005A3F96">
      <w:pPr>
        <w:rPr>
          <w:rFonts w:cstheme="minorHAnsi"/>
        </w:rPr>
      </w:pPr>
      <w:r>
        <w:rPr>
          <w:noProof/>
        </w:rPr>
        <mc:AlternateContent>
          <mc:Choice Requires="wps">
            <w:drawing>
              <wp:anchor distT="0" distB="0" distL="114299" distR="114299" simplePos="0" relativeHeight="251968000" behindDoc="0" locked="0" layoutInCell="1" allowOverlap="1" wp14:anchorId="16B0E1F7" wp14:editId="324E6831">
                <wp:simplePos x="0" y="0"/>
                <wp:positionH relativeFrom="column">
                  <wp:posOffset>1590674</wp:posOffset>
                </wp:positionH>
                <wp:positionV relativeFrom="paragraph">
                  <wp:posOffset>13970</wp:posOffset>
                </wp:positionV>
                <wp:extent cx="0" cy="381000"/>
                <wp:effectExtent l="57150" t="0" r="38100" b="1905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83C2A5" id="Straight Arrow Connector 219" o:spid="_x0000_s1026" type="#_x0000_t32" style="position:absolute;margin-left:125.25pt;margin-top:1.1pt;width:0;height:30pt;z-index:25196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" strokecolor="black [3200]" strokeweight="2.25pt">
                <v:stroke endarrow="block" joinstyle="miter"/>
                <o:lock v:ext="edit" shapetype="f"/>
              </v:shape>
            </w:pict>
          </mc:Fallback>
        </mc:AlternateContent>
      </w:r>
      <w:r>
        <w:rPr>
          <w:noProof/>
        </w:rPr>
        <mc:AlternateContent>
          <mc:Choice Requires="wps">
            <w:drawing>
              <wp:anchor distT="0" distB="0" distL="114300" distR="114300" simplePos="0" relativeHeight="251969024" behindDoc="0" locked="0" layoutInCell="1" allowOverlap="1" wp14:anchorId="5FD7C4EA" wp14:editId="2A29C3C7">
                <wp:simplePos x="0" y="0"/>
                <wp:positionH relativeFrom="column">
                  <wp:posOffset>5407025</wp:posOffset>
                </wp:positionH>
                <wp:positionV relativeFrom="paragraph">
                  <wp:posOffset>96520</wp:posOffset>
                </wp:positionV>
                <wp:extent cx="3175" cy="301625"/>
                <wp:effectExtent l="57150" t="19050" r="34925" b="2222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3016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3D1598" id="Straight Arrow Connector 218" o:spid="_x0000_s1026" type="#_x0000_t32" style="position:absolute;margin-left:425.75pt;margin-top:7.6pt;width:.25pt;height:23.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" strokecolor="black [3200]" strokeweight="2.25pt">
                <v:stroke endarrow="block" joinstyle="miter"/>
                <o:lock v:ext="edit" shapetype="f"/>
              </v:shape>
            </w:pict>
          </mc:Fallback>
        </mc:AlternateContent>
      </w:r>
    </w:p>
    <w:p w14:paraId="2E21813E" w14:textId="202991EC" w:rsidR="005A3F96" w:rsidRPr="005A3F96" w:rsidRDefault="005A3F96" w:rsidP="005A3F96">
      <w:pPr>
        <w:rPr>
          <w:rFonts w:cstheme="minorHAnsi"/>
        </w:rPr>
      </w:pPr>
    </w:p>
    <w:p w14:paraId="566805C8" w14:textId="63467B0F" w:rsidR="005A3F96" w:rsidRPr="005A3F96" w:rsidRDefault="00EB0610" w:rsidP="005A3F96">
      <w:pPr>
        <w:rPr>
          <w:rFonts w:cstheme="minorHAnsi"/>
        </w:rPr>
      </w:pPr>
      <w:r>
        <w:rPr>
          <w:noProof/>
        </w:rPr>
        <mc:AlternateContent>
          <mc:Choice Requires="wps">
            <w:drawing>
              <wp:anchor distT="45720" distB="45720" distL="114300" distR="114300" simplePos="0" relativeHeight="251914752" behindDoc="0" locked="0" layoutInCell="1" allowOverlap="1" wp14:anchorId="6DBAFE1C" wp14:editId="3C42A1D0">
                <wp:simplePos x="0" y="0"/>
                <wp:positionH relativeFrom="column">
                  <wp:posOffset>4290695</wp:posOffset>
                </wp:positionH>
                <wp:positionV relativeFrom="paragraph">
                  <wp:posOffset>27305</wp:posOffset>
                </wp:positionV>
                <wp:extent cx="2038350" cy="38671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86715"/>
                        </a:xfrm>
                        <a:prstGeom prst="rect">
                          <a:avLst/>
                        </a:prstGeom>
                        <a:solidFill>
                          <a:srgbClr val="FFFFFF"/>
                        </a:solidFill>
                        <a:ln w="9525">
                          <a:solidFill>
                            <a:srgbClr val="000000"/>
                          </a:solidFill>
                          <a:miter lim="800000"/>
                          <a:headEnd/>
                          <a:tailEnd/>
                        </a:ln>
                      </wps:spPr>
                      <wps:txbx>
                        <w:txbxContent>
                          <w:p w14:paraId="729FDC62" w14:textId="77777777" w:rsidR="005A3F96" w:rsidRDefault="005A3F96" w:rsidP="005A3F96">
                            <w:pPr>
                              <w:jc w:val="center"/>
                            </w:pPr>
                            <w:r>
                              <w:t>Remain in study for 18 months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AFE1C" id="Text Box 216" o:spid="_x0000_s1089" type="#_x0000_t202" style="position:absolute;margin-left:337.85pt;margin-top:2.15pt;width:160.5pt;height:30.45pt;z-index:25191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">
                <v:textbox style="mso-fit-shape-to-text:t">
                  <w:txbxContent>
                    <w:p w14:paraId="729FDC62" w14:textId="77777777" w:rsidR="005A3F96" w:rsidRDefault="005A3F96" w:rsidP="005A3F96">
                      <w:pPr>
                        <w:jc w:val="center"/>
                      </w:pPr>
                      <w:r>
                        <w:t>Remain in study for 18 months</w:t>
                      </w:r>
                    </w:p>
                  </w:txbxContent>
                </v:textbox>
                <w10:wrap type="square"/>
              </v:shape>
            </w:pict>
          </mc:Fallback>
        </mc:AlternateContent>
      </w:r>
      <w:r>
        <w:rPr>
          <w:noProof/>
        </w:rPr>
        <mc:AlternateContent>
          <mc:Choice Requires="wps">
            <w:drawing>
              <wp:anchor distT="0" distB="0" distL="114300" distR="114300" simplePos="0" relativeHeight="251905536" behindDoc="0" locked="0" layoutInCell="1" allowOverlap="1" wp14:anchorId="7CA2F036" wp14:editId="0973B4D6">
                <wp:simplePos x="0" y="0"/>
                <wp:positionH relativeFrom="column">
                  <wp:posOffset>793115</wp:posOffset>
                </wp:positionH>
                <wp:positionV relativeFrom="paragraph">
                  <wp:posOffset>31115</wp:posOffset>
                </wp:positionV>
                <wp:extent cx="1571625" cy="323850"/>
                <wp:effectExtent l="0" t="0" r="9525" b="0"/>
                <wp:wrapNone/>
                <wp:docPr id="213" name="Rectangle: Rounded Corners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23850"/>
                        </a:xfrm>
                        <a:prstGeom prst="roundRect">
                          <a:avLst>
                            <a:gd name="adj" fmla="val 16667"/>
                          </a:avLst>
                        </a:prstGeom>
                        <a:solidFill>
                          <a:srgbClr val="FFFFFF"/>
                        </a:solidFill>
                        <a:ln w="9525">
                          <a:solidFill>
                            <a:srgbClr val="000000"/>
                          </a:solidFill>
                          <a:round/>
                          <a:headEnd/>
                          <a:tailEnd/>
                        </a:ln>
                      </wps:spPr>
                      <wps:txbx>
                        <w:txbxContent>
                          <w:p w14:paraId="2547D1CD" w14:textId="77777777" w:rsidR="005A3F96" w:rsidRPr="001A5A1C" w:rsidRDefault="005A3F96" w:rsidP="005A3F96">
                            <w:pPr>
                              <w:shd w:val="clear" w:color="auto" w:fill="E2EFD9"/>
                            </w:pPr>
                            <w:r w:rsidRPr="001A5A1C">
                              <w:t xml:space="preserve">First Randomisation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2F036" id="Rectangle: Rounded Corners 213" o:spid="_x0000_s1090" style="position:absolute;margin-left:62.45pt;margin-top:2.45pt;width:123.75pt;height:2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">
                <v:textbox>
                  <w:txbxContent>
                    <w:p w14:paraId="2547D1CD" w14:textId="77777777" w:rsidR="005A3F96" w:rsidRPr="001A5A1C" w:rsidRDefault="005A3F96" w:rsidP="005A3F96">
                      <w:pPr>
                        <w:shd w:val="clear" w:color="auto" w:fill="E2EFD9"/>
                      </w:pPr>
                      <w:r w:rsidRPr="001A5A1C">
                        <w:t xml:space="preserve">First Randomisation </w:t>
                      </w:r>
                    </w:p>
                  </w:txbxContent>
                </v:textbox>
              </v:roundrect>
            </w:pict>
          </mc:Fallback>
        </mc:AlternateContent>
      </w:r>
    </w:p>
    <w:p w14:paraId="6FB2B6D3" w14:textId="0A4AFAE7" w:rsidR="005A3F96" w:rsidRPr="005A3F96" w:rsidRDefault="00EB0610" w:rsidP="005A3F96">
      <w:pPr>
        <w:rPr>
          <w:rFonts w:cstheme="minorHAnsi"/>
        </w:rPr>
      </w:pPr>
      <w:r>
        <w:rPr>
          <w:noProof/>
        </w:rPr>
        <mc:AlternateContent>
          <mc:Choice Requires="wps">
            <w:drawing>
              <wp:anchor distT="0" distB="0" distL="114299" distR="114299" simplePos="0" relativeHeight="251971072" behindDoc="0" locked="0" layoutInCell="1" allowOverlap="1" wp14:anchorId="46782C4F" wp14:editId="7740C177">
                <wp:simplePos x="0" y="0"/>
                <wp:positionH relativeFrom="column">
                  <wp:posOffset>2133599</wp:posOffset>
                </wp:positionH>
                <wp:positionV relativeFrom="paragraph">
                  <wp:posOffset>173355</wp:posOffset>
                </wp:positionV>
                <wp:extent cx="0" cy="304800"/>
                <wp:effectExtent l="57150" t="0" r="38100" b="1905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34F961" id="Straight Arrow Connector 204" o:spid="_x0000_s1026" type="#_x0000_t32" style="position:absolute;margin-left:168pt;margin-top:13.65pt;width:0;height:24pt;z-index:25197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" strokecolor="black [3200]" strokeweight="2.25pt">
                <v:stroke endarrow="block" joinstyle="miter"/>
                <o:lock v:ext="edit" shapetype="f"/>
              </v:shape>
            </w:pict>
          </mc:Fallback>
        </mc:AlternateContent>
      </w:r>
      <w:r>
        <w:rPr>
          <w:noProof/>
        </w:rPr>
        <mc:AlternateContent>
          <mc:Choice Requires="wps">
            <w:drawing>
              <wp:anchor distT="0" distB="0" distL="114299" distR="114299" simplePos="0" relativeHeight="251970048" behindDoc="0" locked="0" layoutInCell="1" allowOverlap="1" wp14:anchorId="02585F8D" wp14:editId="789AAA74">
                <wp:simplePos x="0" y="0"/>
                <wp:positionH relativeFrom="column">
                  <wp:posOffset>1028699</wp:posOffset>
                </wp:positionH>
                <wp:positionV relativeFrom="paragraph">
                  <wp:posOffset>173355</wp:posOffset>
                </wp:positionV>
                <wp:extent cx="0" cy="304800"/>
                <wp:effectExtent l="57150" t="0" r="38100" b="1905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94FD9E" id="Straight Arrow Connector 200" o:spid="_x0000_s1026" type="#_x0000_t32" style="position:absolute;margin-left:81pt;margin-top:13.65pt;width:0;height:24pt;z-index:25197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" strokecolor="black [3200]" strokeweight="2.25pt">
                <v:stroke endarrow="block" joinstyle="miter"/>
                <o:lock v:ext="edit" shapetype="f"/>
              </v:shape>
            </w:pict>
          </mc:Fallback>
        </mc:AlternateContent>
      </w:r>
    </w:p>
    <w:p w14:paraId="361CAF72" w14:textId="2D44E877" w:rsidR="005A3F96" w:rsidRPr="005A3F96" w:rsidRDefault="005A3F96" w:rsidP="005A3F96">
      <w:pPr>
        <w:rPr>
          <w:rFonts w:cstheme="minorHAnsi"/>
        </w:rPr>
      </w:pPr>
    </w:p>
    <w:p w14:paraId="05836662" w14:textId="57F020DC" w:rsidR="005A3F96" w:rsidRPr="005A3F96" w:rsidRDefault="00EB0610" w:rsidP="005A3F96">
      <w:pPr>
        <w:rPr>
          <w:rFonts w:cstheme="minorHAnsi"/>
        </w:rPr>
      </w:pPr>
      <w:r>
        <w:rPr>
          <w:noProof/>
        </w:rPr>
        <mc:AlternateContent>
          <mc:Choice Requires="wps">
            <w:drawing>
              <wp:anchor distT="0" distB="0" distL="114300" distR="114300" simplePos="0" relativeHeight="251907584" behindDoc="0" locked="0" layoutInCell="1" allowOverlap="1" wp14:anchorId="576DA1E6" wp14:editId="7A458444">
                <wp:simplePos x="0" y="0"/>
                <wp:positionH relativeFrom="column">
                  <wp:posOffset>1804670</wp:posOffset>
                </wp:positionH>
                <wp:positionV relativeFrom="paragraph">
                  <wp:posOffset>106680</wp:posOffset>
                </wp:positionV>
                <wp:extent cx="2083435" cy="1066800"/>
                <wp:effectExtent l="0" t="0" r="0" b="0"/>
                <wp:wrapNone/>
                <wp:docPr id="199" name="Rectangle: Rounded Corners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1066800"/>
                        </a:xfrm>
                        <a:prstGeom prst="roundRect">
                          <a:avLst>
                            <a:gd name="adj" fmla="val 16667"/>
                          </a:avLst>
                        </a:prstGeom>
                        <a:solidFill>
                          <a:srgbClr val="FFFFFF"/>
                        </a:solidFill>
                        <a:ln w="9525">
                          <a:solidFill>
                            <a:srgbClr val="000000"/>
                          </a:solidFill>
                          <a:round/>
                          <a:headEnd/>
                          <a:tailEnd/>
                        </a:ln>
                      </wps:spPr>
                      <wps:txbx>
                        <w:txbxContent>
                          <w:p w14:paraId="2A7CDAEB" w14:textId="77777777" w:rsidR="005A3F96" w:rsidRPr="001A5A1C" w:rsidRDefault="005A3F96" w:rsidP="00847BA2">
                            <w:pPr>
                              <w:jc w:val="center"/>
                              <w:rPr>
                                <w:b/>
                                <w:bCs/>
                              </w:rPr>
                            </w:pPr>
                            <w:r w:rsidRPr="001A5A1C">
                              <w:rPr>
                                <w:b/>
                                <w:bCs/>
                              </w:rPr>
                              <w:t>Group 2</w:t>
                            </w:r>
                          </w:p>
                          <w:p w14:paraId="6E4EC8D7" w14:textId="77777777" w:rsidR="00847BA2" w:rsidRDefault="005A3F96" w:rsidP="00847BA2">
                            <w:pPr>
                              <w:jc w:val="center"/>
                            </w:pPr>
                            <w:r w:rsidRPr="001A5A1C">
                              <w:t>Azithromycin</w:t>
                            </w:r>
                          </w:p>
                          <w:p w14:paraId="4AD3F9C4" w14:textId="6A0C20AF" w:rsidR="005A3F96" w:rsidRDefault="005A3F96" w:rsidP="00847BA2">
                            <w:pPr>
                              <w:jc w:val="center"/>
                            </w:pPr>
                            <w:r w:rsidRPr="001A5A1C">
                              <w:t>5mg/kg/dose thrice weekly</w:t>
                            </w:r>
                          </w:p>
                          <w:p w14:paraId="4121B3D0" w14:textId="160B561C" w:rsidR="005A3F96" w:rsidRPr="001A5A1C" w:rsidRDefault="005A3F96" w:rsidP="00847BA2">
                            <w:pPr>
                              <w:jc w:val="center"/>
                            </w:pPr>
                            <w:r>
                              <w:t>(n=</w:t>
                            </w:r>
                            <w:r w:rsidR="00F22855">
                              <w:t>30</w:t>
                            </w:r>
                            <w:r>
                              <w:t>)</w:t>
                            </w:r>
                          </w:p>
                          <w:p w14:paraId="44FC03B6" w14:textId="77777777" w:rsidR="005A3F96" w:rsidRPr="001A5A1C" w:rsidRDefault="005A3F96" w:rsidP="005A3F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DA1E6" id="Rectangle: Rounded Corners 199" o:spid="_x0000_s1091" style="position:absolute;margin-left:142.1pt;margin-top:8.4pt;width:164.05pt;height:8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">
                <v:textbox>
                  <w:txbxContent>
                    <w:p w14:paraId="2A7CDAEB" w14:textId="77777777" w:rsidR="005A3F96" w:rsidRPr="001A5A1C" w:rsidRDefault="005A3F96" w:rsidP="00847BA2">
                      <w:pPr>
                        <w:jc w:val="center"/>
                        <w:rPr>
                          <w:b/>
                          <w:bCs/>
                        </w:rPr>
                      </w:pPr>
                      <w:r w:rsidRPr="001A5A1C">
                        <w:rPr>
                          <w:b/>
                          <w:bCs/>
                        </w:rPr>
                        <w:t>Group 2</w:t>
                      </w:r>
                    </w:p>
                    <w:p w14:paraId="6E4EC8D7" w14:textId="77777777" w:rsidR="00847BA2" w:rsidRDefault="005A3F96" w:rsidP="00847BA2">
                      <w:pPr>
                        <w:jc w:val="center"/>
                      </w:pPr>
                      <w:r w:rsidRPr="001A5A1C">
                        <w:t>Azithromycin</w:t>
                      </w:r>
                    </w:p>
                    <w:p w14:paraId="4AD3F9C4" w14:textId="6A0C20AF" w:rsidR="005A3F96" w:rsidRDefault="005A3F96" w:rsidP="00847BA2">
                      <w:pPr>
                        <w:jc w:val="center"/>
                      </w:pPr>
                      <w:r w:rsidRPr="001A5A1C">
                        <w:t>5mg/kg/dose thrice weekly</w:t>
                      </w:r>
                    </w:p>
                    <w:p w14:paraId="4121B3D0" w14:textId="160B561C" w:rsidR="005A3F96" w:rsidRPr="001A5A1C" w:rsidRDefault="005A3F96" w:rsidP="00847BA2">
                      <w:pPr>
                        <w:jc w:val="center"/>
                      </w:pPr>
                      <w:r>
                        <w:t>(n=</w:t>
                      </w:r>
                      <w:r w:rsidR="00F22855">
                        <w:t>30</w:t>
                      </w:r>
                      <w:r>
                        <w:t>)</w:t>
                      </w:r>
                    </w:p>
                    <w:p w14:paraId="44FC03B6" w14:textId="77777777" w:rsidR="005A3F96" w:rsidRPr="001A5A1C" w:rsidRDefault="005A3F96" w:rsidP="005A3F96"/>
                  </w:txbxContent>
                </v:textbox>
              </v:roundrect>
            </w:pict>
          </mc:Fallback>
        </mc:AlternateContent>
      </w:r>
      <w:r>
        <w:rPr>
          <w:noProof/>
        </w:rPr>
        <mc:AlternateContent>
          <mc:Choice Requires="wps">
            <w:drawing>
              <wp:anchor distT="0" distB="0" distL="114300" distR="114300" simplePos="0" relativeHeight="251906560" behindDoc="0" locked="0" layoutInCell="1" allowOverlap="1" wp14:anchorId="407A5778" wp14:editId="0EA09592">
                <wp:simplePos x="0" y="0"/>
                <wp:positionH relativeFrom="column">
                  <wp:posOffset>-476885</wp:posOffset>
                </wp:positionH>
                <wp:positionV relativeFrom="paragraph">
                  <wp:posOffset>106680</wp:posOffset>
                </wp:positionV>
                <wp:extent cx="2067560" cy="1066165"/>
                <wp:effectExtent l="0" t="0" r="8890" b="635"/>
                <wp:wrapNone/>
                <wp:docPr id="198" name="Rectangle: Rounded Corners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1066165"/>
                        </a:xfrm>
                        <a:prstGeom prst="roundRect">
                          <a:avLst>
                            <a:gd name="adj" fmla="val 16667"/>
                          </a:avLst>
                        </a:prstGeom>
                        <a:solidFill>
                          <a:srgbClr val="FFFFFF"/>
                        </a:solidFill>
                        <a:ln w="9525">
                          <a:solidFill>
                            <a:srgbClr val="000000"/>
                          </a:solidFill>
                          <a:round/>
                          <a:headEnd/>
                          <a:tailEnd/>
                        </a:ln>
                      </wps:spPr>
                      <wps:txbx>
                        <w:txbxContent>
                          <w:p w14:paraId="60D3596D" w14:textId="77777777" w:rsidR="005A3F96" w:rsidRPr="001A5A1C" w:rsidRDefault="005A3F96" w:rsidP="005A3F96">
                            <w:pPr>
                              <w:jc w:val="center"/>
                              <w:rPr>
                                <w:b/>
                                <w:bCs/>
                              </w:rPr>
                            </w:pPr>
                            <w:r w:rsidRPr="001A5A1C">
                              <w:rPr>
                                <w:b/>
                                <w:bCs/>
                              </w:rPr>
                              <w:t>Group 1</w:t>
                            </w:r>
                          </w:p>
                          <w:p w14:paraId="271A9A18" w14:textId="77777777" w:rsidR="005A3F96" w:rsidRDefault="005A3F96" w:rsidP="00847BA2">
                            <w:pPr>
                              <w:jc w:val="center"/>
                            </w:pPr>
                            <w:r>
                              <w:t xml:space="preserve">Azithromycin </w:t>
                            </w:r>
                            <w:r w:rsidRPr="001A5A1C">
                              <w:t>10mg/kg/dose thrice weekly</w:t>
                            </w:r>
                          </w:p>
                          <w:p w14:paraId="429648FC" w14:textId="2304B5D8" w:rsidR="005A3F96" w:rsidRPr="001A5A1C" w:rsidRDefault="005A3F96" w:rsidP="00847BA2">
                            <w:pPr>
                              <w:jc w:val="center"/>
                            </w:pPr>
                            <w:r>
                              <w:t>(n=</w:t>
                            </w:r>
                            <w:r w:rsidR="00F22855">
                              <w:t>30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A5778" id="Rectangle: Rounded Corners 198" o:spid="_x0000_s1092" style="position:absolute;margin-left:-37.55pt;margin-top:8.4pt;width:162.8pt;height:83.9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">
                <v:textbox>
                  <w:txbxContent>
                    <w:p w14:paraId="60D3596D" w14:textId="77777777" w:rsidR="005A3F96" w:rsidRPr="001A5A1C" w:rsidRDefault="005A3F96" w:rsidP="005A3F96">
                      <w:pPr>
                        <w:jc w:val="center"/>
                        <w:rPr>
                          <w:b/>
                          <w:bCs/>
                        </w:rPr>
                      </w:pPr>
                      <w:r w:rsidRPr="001A5A1C">
                        <w:rPr>
                          <w:b/>
                          <w:bCs/>
                        </w:rPr>
                        <w:t>Group 1</w:t>
                      </w:r>
                    </w:p>
                    <w:p w14:paraId="271A9A18" w14:textId="77777777" w:rsidR="005A3F96" w:rsidRDefault="005A3F96" w:rsidP="00847BA2">
                      <w:pPr>
                        <w:jc w:val="center"/>
                      </w:pPr>
                      <w:r>
                        <w:t xml:space="preserve">Azithromycin </w:t>
                      </w:r>
                      <w:r w:rsidRPr="001A5A1C">
                        <w:t>10mg/kg/dose thrice weekly</w:t>
                      </w:r>
                    </w:p>
                    <w:p w14:paraId="429648FC" w14:textId="2304B5D8" w:rsidR="005A3F96" w:rsidRPr="001A5A1C" w:rsidRDefault="005A3F96" w:rsidP="00847BA2">
                      <w:pPr>
                        <w:jc w:val="center"/>
                      </w:pPr>
                      <w:r>
                        <w:t>(n=</w:t>
                      </w:r>
                      <w:r w:rsidR="00F22855">
                        <w:t>30</w:t>
                      </w:r>
                      <w:r>
                        <w:t>)</w:t>
                      </w:r>
                    </w:p>
                  </w:txbxContent>
                </v:textbox>
              </v:roundrect>
            </w:pict>
          </mc:Fallback>
        </mc:AlternateContent>
      </w:r>
    </w:p>
    <w:p w14:paraId="1CFB7966" w14:textId="1A05664D" w:rsidR="005A3F96" w:rsidRPr="005A3F96" w:rsidRDefault="005A3F96" w:rsidP="005A3F96">
      <w:pPr>
        <w:rPr>
          <w:rFonts w:cstheme="minorHAnsi"/>
        </w:rPr>
      </w:pPr>
    </w:p>
    <w:p w14:paraId="766CEF94" w14:textId="7864DE75" w:rsidR="005A3F96" w:rsidRPr="005A3F96" w:rsidRDefault="005A3F96" w:rsidP="005A3F96">
      <w:pPr>
        <w:rPr>
          <w:rFonts w:cstheme="minorHAnsi"/>
        </w:rPr>
      </w:pPr>
    </w:p>
    <w:p w14:paraId="4C300371" w14:textId="78BFA1A2" w:rsidR="005A3F96" w:rsidRPr="005A3F96" w:rsidRDefault="005A3F96" w:rsidP="005A3F96">
      <w:pPr>
        <w:rPr>
          <w:rFonts w:cstheme="minorHAnsi"/>
        </w:rPr>
      </w:pPr>
    </w:p>
    <w:p w14:paraId="6900D77F" w14:textId="643CB156" w:rsidR="005A3F96" w:rsidRPr="005A3F96" w:rsidRDefault="005A3F96" w:rsidP="005A3F96">
      <w:pPr>
        <w:rPr>
          <w:rFonts w:cstheme="minorHAnsi"/>
        </w:rPr>
      </w:pPr>
    </w:p>
    <w:p w14:paraId="60580DFC" w14:textId="53561BDD" w:rsidR="005A3F96" w:rsidRPr="005A3F96" w:rsidRDefault="005A3F96" w:rsidP="005A3F96">
      <w:pPr>
        <w:rPr>
          <w:rFonts w:cstheme="minorHAnsi"/>
        </w:rPr>
      </w:pPr>
    </w:p>
    <w:p w14:paraId="2D1D5723" w14:textId="4696F7E0" w:rsidR="005A3F96" w:rsidRPr="005A3F96" w:rsidRDefault="00EB0610" w:rsidP="005A3F96">
      <w:pPr>
        <w:rPr>
          <w:rFonts w:cstheme="minorHAnsi"/>
        </w:rPr>
      </w:pPr>
      <w:r>
        <w:rPr>
          <w:noProof/>
        </w:rPr>
        <mc:AlternateContent>
          <mc:Choice Requires="wps">
            <w:drawing>
              <wp:anchor distT="0" distB="0" distL="114300" distR="114300" simplePos="0" relativeHeight="251908608" behindDoc="0" locked="0" layoutInCell="1" allowOverlap="1" wp14:anchorId="75094EB5" wp14:editId="2B0053AE">
                <wp:simplePos x="0" y="0"/>
                <wp:positionH relativeFrom="column">
                  <wp:posOffset>-150495</wp:posOffset>
                </wp:positionH>
                <wp:positionV relativeFrom="paragraph">
                  <wp:posOffset>232410</wp:posOffset>
                </wp:positionV>
                <wp:extent cx="3800475" cy="723265"/>
                <wp:effectExtent l="0" t="0" r="9525" b="635"/>
                <wp:wrapNone/>
                <wp:docPr id="197" name="Rectangle: Rounded Corner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723265"/>
                        </a:xfrm>
                        <a:prstGeom prst="roundRect">
                          <a:avLst>
                            <a:gd name="adj" fmla="val 16667"/>
                          </a:avLst>
                        </a:prstGeom>
                        <a:solidFill>
                          <a:srgbClr val="FFFFFF"/>
                        </a:solidFill>
                        <a:ln w="9525">
                          <a:solidFill>
                            <a:srgbClr val="000000"/>
                          </a:solidFill>
                          <a:round/>
                          <a:headEnd/>
                          <a:tailEnd/>
                        </a:ln>
                      </wps:spPr>
                      <wps:txbx>
                        <w:txbxContent>
                          <w:p w14:paraId="39BC58A7" w14:textId="77777777" w:rsidR="005A3F96" w:rsidRDefault="005A3F96" w:rsidP="00847BA2">
                            <w:pPr>
                              <w:shd w:val="clear" w:color="auto" w:fill="B4C6E7"/>
                            </w:pPr>
                            <w:r w:rsidRPr="001A5A1C">
                              <w:t xml:space="preserve">Phase 2: </w:t>
                            </w:r>
                          </w:p>
                          <w:p w14:paraId="09A1E3E6" w14:textId="77777777" w:rsidR="005A3F96" w:rsidRPr="001A5A1C" w:rsidRDefault="005A3F96" w:rsidP="00847BA2">
                            <w:pPr>
                              <w:shd w:val="clear" w:color="auto" w:fill="B4C6E7"/>
                            </w:pPr>
                            <w:r>
                              <w:t>6-6.5 months, or on cessation of azithromycin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94EB5" id="Rectangle: Rounded Corners 197" o:spid="_x0000_s1093" style="position:absolute;margin-left:-11.85pt;margin-top:18.3pt;width:299.25pt;height:56.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">
                <v:textbox>
                  <w:txbxContent>
                    <w:p w14:paraId="39BC58A7" w14:textId="77777777" w:rsidR="005A3F96" w:rsidRDefault="005A3F96" w:rsidP="00847BA2">
                      <w:pPr>
                        <w:shd w:val="clear" w:color="auto" w:fill="B4C6E7"/>
                      </w:pPr>
                      <w:r w:rsidRPr="001A5A1C">
                        <w:t xml:space="preserve">Phase 2: </w:t>
                      </w:r>
                    </w:p>
                    <w:p w14:paraId="09A1E3E6" w14:textId="77777777" w:rsidR="005A3F96" w:rsidRPr="001A5A1C" w:rsidRDefault="005A3F96" w:rsidP="00847BA2">
                      <w:pPr>
                        <w:shd w:val="clear" w:color="auto" w:fill="B4C6E7"/>
                      </w:pPr>
                      <w:r>
                        <w:t>6-6.5 months, or on cessation of azithromycin</w:t>
                      </w:r>
                    </w:p>
                  </w:txbxContent>
                </v:textbox>
              </v:roundrect>
            </w:pict>
          </mc:Fallback>
        </mc:AlternateContent>
      </w:r>
    </w:p>
    <w:p w14:paraId="59A4A458" w14:textId="258CE6C8" w:rsidR="005A3F96" w:rsidRPr="005A3F96" w:rsidRDefault="005A3F96" w:rsidP="005A3F96">
      <w:pPr>
        <w:rPr>
          <w:rFonts w:cstheme="minorHAnsi"/>
        </w:rPr>
      </w:pPr>
    </w:p>
    <w:p w14:paraId="1C419A83" w14:textId="601B64DE" w:rsidR="005A3F96" w:rsidRPr="005A3F96" w:rsidRDefault="005A3F96" w:rsidP="005A3F96">
      <w:pPr>
        <w:rPr>
          <w:rFonts w:cstheme="minorHAnsi"/>
        </w:rPr>
      </w:pPr>
    </w:p>
    <w:p w14:paraId="1BD16590" w14:textId="1017008D" w:rsidR="005A3F96" w:rsidRPr="005A3F96" w:rsidRDefault="005A3F96" w:rsidP="005A3F96">
      <w:pPr>
        <w:rPr>
          <w:rFonts w:cstheme="minorHAnsi"/>
        </w:rPr>
      </w:pPr>
    </w:p>
    <w:p w14:paraId="4B321436" w14:textId="12174D2A" w:rsidR="005A3F96" w:rsidRPr="005A3F96" w:rsidRDefault="005A3F96" w:rsidP="005A3F96">
      <w:pPr>
        <w:rPr>
          <w:rFonts w:cstheme="minorHAnsi"/>
        </w:rPr>
      </w:pPr>
    </w:p>
    <w:p w14:paraId="5B3E3FB8" w14:textId="7EE62FA9" w:rsidR="005A3F96" w:rsidRPr="005A3F96" w:rsidRDefault="00EB0610" w:rsidP="005A3F96">
      <w:pPr>
        <w:rPr>
          <w:rFonts w:cstheme="minorHAnsi"/>
        </w:rPr>
      </w:pPr>
      <w:r>
        <w:rPr>
          <w:noProof/>
        </w:rPr>
        <mc:AlternateContent>
          <mc:Choice Requires="wps">
            <w:drawing>
              <wp:anchor distT="0" distB="0" distL="114299" distR="114299" simplePos="0" relativeHeight="251972096" behindDoc="0" locked="0" layoutInCell="1" allowOverlap="1" wp14:anchorId="25BA7F34" wp14:editId="28E1F0F8">
                <wp:simplePos x="0" y="0"/>
                <wp:positionH relativeFrom="column">
                  <wp:posOffset>1857374</wp:posOffset>
                </wp:positionH>
                <wp:positionV relativeFrom="paragraph">
                  <wp:posOffset>21590</wp:posOffset>
                </wp:positionV>
                <wp:extent cx="0" cy="267335"/>
                <wp:effectExtent l="57150" t="0" r="38100" b="37465"/>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D87938" id="Straight Arrow Connector 415" o:spid="_x0000_s1026" type="#_x0000_t32" style="position:absolute;margin-left:146.25pt;margin-top:1.7pt;width:0;height:21.05pt;z-index:25197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" strokecolor="black [3200]" strokeweight="2.25pt">
                <v:stroke endarrow="block" joinstyle="miter"/>
                <o:lock v:ext="edit" shapetype="f"/>
              </v:shape>
            </w:pict>
          </mc:Fallback>
        </mc:AlternateContent>
      </w:r>
    </w:p>
    <w:p w14:paraId="7E1F6974" w14:textId="63A776BC" w:rsidR="005A3F96" w:rsidRPr="005A3F96" w:rsidRDefault="00EB0610" w:rsidP="005A3F96">
      <w:pPr>
        <w:rPr>
          <w:rFonts w:cstheme="minorHAnsi"/>
        </w:rPr>
      </w:pPr>
      <w:r>
        <w:rPr>
          <w:noProof/>
        </w:rPr>
        <mc:AlternateContent>
          <mc:Choice Requires="wps">
            <w:drawing>
              <wp:anchor distT="0" distB="0" distL="114300" distR="114300" simplePos="0" relativeHeight="251909632" behindDoc="0" locked="0" layoutInCell="1" allowOverlap="1" wp14:anchorId="0EEE4C81" wp14:editId="315D4EDE">
                <wp:simplePos x="0" y="0"/>
                <wp:positionH relativeFrom="column">
                  <wp:posOffset>1026160</wp:posOffset>
                </wp:positionH>
                <wp:positionV relativeFrom="paragraph">
                  <wp:posOffset>100330</wp:posOffset>
                </wp:positionV>
                <wp:extent cx="1733550" cy="352425"/>
                <wp:effectExtent l="0" t="0" r="0" b="9525"/>
                <wp:wrapNone/>
                <wp:docPr id="413" name="Rectangle: Rounded Corners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52425"/>
                        </a:xfrm>
                        <a:prstGeom prst="roundRect">
                          <a:avLst>
                            <a:gd name="adj" fmla="val 16667"/>
                          </a:avLst>
                        </a:prstGeom>
                        <a:solidFill>
                          <a:srgbClr val="FFFFFF"/>
                        </a:solidFill>
                        <a:ln w="9525">
                          <a:solidFill>
                            <a:srgbClr val="000000"/>
                          </a:solidFill>
                          <a:round/>
                          <a:headEnd/>
                          <a:tailEnd/>
                        </a:ln>
                      </wps:spPr>
                      <wps:txbx>
                        <w:txbxContent>
                          <w:p w14:paraId="6F8C6453" w14:textId="77777777" w:rsidR="005A3F96" w:rsidRPr="001A5A1C" w:rsidRDefault="005A3F96" w:rsidP="005A3F96">
                            <w:pPr>
                              <w:shd w:val="clear" w:color="auto" w:fill="B4C6E7"/>
                            </w:pPr>
                            <w:r w:rsidRPr="001A5A1C">
                              <w:t>Second randomisation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E4C81" id="Rectangle: Rounded Corners 413" o:spid="_x0000_s1094" style="position:absolute;margin-left:80.8pt;margin-top:7.9pt;width:136.5pt;height:27.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">
                <v:textbox>
                  <w:txbxContent>
                    <w:p w14:paraId="6F8C6453" w14:textId="77777777" w:rsidR="005A3F96" w:rsidRPr="001A5A1C" w:rsidRDefault="005A3F96" w:rsidP="005A3F96">
                      <w:pPr>
                        <w:shd w:val="clear" w:color="auto" w:fill="B4C6E7"/>
                      </w:pPr>
                      <w:r w:rsidRPr="001A5A1C">
                        <w:t>Second randomisation</w:t>
                      </w:r>
                    </w:p>
                  </w:txbxContent>
                </v:textbox>
              </v:roundrect>
            </w:pict>
          </mc:Fallback>
        </mc:AlternateContent>
      </w:r>
    </w:p>
    <w:p w14:paraId="161D91C3" w14:textId="2D2312E0" w:rsidR="005A3F96" w:rsidRPr="005A3F96" w:rsidRDefault="005A3F96" w:rsidP="005A3F96">
      <w:pPr>
        <w:rPr>
          <w:rFonts w:cstheme="minorHAnsi"/>
        </w:rPr>
      </w:pPr>
    </w:p>
    <w:p w14:paraId="076D9AD1" w14:textId="673487D2" w:rsidR="005A3F96" w:rsidRPr="005A3F96" w:rsidRDefault="00EB0610" w:rsidP="005A3F96">
      <w:pPr>
        <w:rPr>
          <w:rFonts w:cstheme="minorHAnsi"/>
        </w:rPr>
      </w:pPr>
      <w:r>
        <w:rPr>
          <w:noProof/>
        </w:rPr>
        <mc:AlternateContent>
          <mc:Choice Requires="wps">
            <w:drawing>
              <wp:anchor distT="0" distB="0" distL="114299" distR="114299" simplePos="0" relativeHeight="251974144" behindDoc="0" locked="0" layoutInCell="1" allowOverlap="1" wp14:anchorId="42609095" wp14:editId="1D0BC295">
                <wp:simplePos x="0" y="0"/>
                <wp:positionH relativeFrom="column">
                  <wp:posOffset>2457449</wp:posOffset>
                </wp:positionH>
                <wp:positionV relativeFrom="paragraph">
                  <wp:posOffset>83185</wp:posOffset>
                </wp:positionV>
                <wp:extent cx="0" cy="142875"/>
                <wp:effectExtent l="57150" t="0" r="38100" b="28575"/>
                <wp:wrapNone/>
                <wp:docPr id="412" name="Straight Arrow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56A225" id="Straight Arrow Connector 412" o:spid="_x0000_s1026" type="#_x0000_t32" style="position:absolute;margin-left:193.5pt;margin-top:6.55pt;width:0;height:11.25pt;z-index:2519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" strokecolor="black [3200]" strokeweight="2.25pt">
                <v:stroke endarrow="block" joinstyle="miter"/>
                <o:lock v:ext="edit" shapetype="f"/>
              </v:shape>
            </w:pict>
          </mc:Fallback>
        </mc:AlternateContent>
      </w:r>
      <w:r>
        <w:rPr>
          <w:noProof/>
        </w:rPr>
        <mc:AlternateContent>
          <mc:Choice Requires="wps">
            <w:drawing>
              <wp:anchor distT="0" distB="0" distL="114299" distR="114299" simplePos="0" relativeHeight="251973120" behindDoc="0" locked="0" layoutInCell="1" allowOverlap="1" wp14:anchorId="31EC2287" wp14:editId="3BA18F51">
                <wp:simplePos x="0" y="0"/>
                <wp:positionH relativeFrom="column">
                  <wp:posOffset>1209674</wp:posOffset>
                </wp:positionH>
                <wp:positionV relativeFrom="paragraph">
                  <wp:posOffset>83185</wp:posOffset>
                </wp:positionV>
                <wp:extent cx="0" cy="142875"/>
                <wp:effectExtent l="57150" t="0" r="38100" b="28575"/>
                <wp:wrapNone/>
                <wp:docPr id="403" name="Straight Arrow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B211E2" id="Straight Arrow Connector 403" o:spid="_x0000_s1026" type="#_x0000_t32" style="position:absolute;margin-left:95.25pt;margin-top:6.55pt;width:0;height:11.25pt;z-index:2519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" strokecolor="black [3200]" strokeweight="2.25pt">
                <v:stroke endarrow="block" joinstyle="miter"/>
                <o:lock v:ext="edit" shapetype="f"/>
              </v:shape>
            </w:pict>
          </mc:Fallback>
        </mc:AlternateContent>
      </w:r>
      <w:r>
        <w:rPr>
          <w:noProof/>
        </w:rPr>
        <mc:AlternateContent>
          <mc:Choice Requires="wps">
            <w:drawing>
              <wp:anchor distT="0" distB="0" distL="114300" distR="114300" simplePos="0" relativeHeight="251910656" behindDoc="0" locked="0" layoutInCell="1" allowOverlap="1" wp14:anchorId="63605E18" wp14:editId="39C4E51A">
                <wp:simplePos x="0" y="0"/>
                <wp:positionH relativeFrom="column">
                  <wp:posOffset>-476885</wp:posOffset>
                </wp:positionH>
                <wp:positionV relativeFrom="paragraph">
                  <wp:posOffset>245745</wp:posOffset>
                </wp:positionV>
                <wp:extent cx="1979930" cy="699770"/>
                <wp:effectExtent l="0" t="0" r="1270" b="5080"/>
                <wp:wrapNone/>
                <wp:docPr id="573" name="Rectangle: Rounded Corners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699770"/>
                        </a:xfrm>
                        <a:prstGeom prst="roundRect">
                          <a:avLst>
                            <a:gd name="adj" fmla="val 16667"/>
                          </a:avLst>
                        </a:prstGeom>
                        <a:solidFill>
                          <a:srgbClr val="FFFFFF"/>
                        </a:solidFill>
                        <a:ln w="9525">
                          <a:solidFill>
                            <a:srgbClr val="000000"/>
                          </a:solidFill>
                          <a:round/>
                          <a:headEnd/>
                          <a:tailEnd/>
                        </a:ln>
                      </wps:spPr>
                      <wps:txbx>
                        <w:txbxContent>
                          <w:p w14:paraId="6CEA7BC8" w14:textId="77777777" w:rsidR="005A3F96" w:rsidRDefault="005A3F96" w:rsidP="00431E24">
                            <w:pPr>
                              <w:jc w:val="center"/>
                              <w:rPr>
                                <w:b/>
                                <w:bCs/>
                              </w:rPr>
                            </w:pPr>
                            <w:r w:rsidRPr="001A5A1C">
                              <w:rPr>
                                <w:b/>
                                <w:bCs/>
                              </w:rPr>
                              <w:t xml:space="preserve">Group </w:t>
                            </w:r>
                            <w:r>
                              <w:rPr>
                                <w:b/>
                                <w:bCs/>
                              </w:rPr>
                              <w:t>4</w:t>
                            </w:r>
                          </w:p>
                          <w:p w14:paraId="7A9B99FE" w14:textId="77777777" w:rsidR="005A3F96" w:rsidRDefault="005A3F96" w:rsidP="00431E24">
                            <w:pPr>
                              <w:jc w:val="center"/>
                            </w:pPr>
                            <w:r>
                              <w:t>Lactulose daily for 2 weeks</w:t>
                            </w:r>
                          </w:p>
                          <w:p w14:paraId="3E6FACAB" w14:textId="006A257D" w:rsidR="005A3F96" w:rsidRPr="001A5A1C" w:rsidRDefault="005A3F96" w:rsidP="00431E24">
                            <w:pPr>
                              <w:jc w:val="center"/>
                            </w:pPr>
                            <w:r>
                              <w:t>(n=</w:t>
                            </w:r>
                            <w:r w:rsidR="00F22855">
                              <w:t>30</w:t>
                            </w:r>
                            <w:r>
                              <w:t>)</w:t>
                            </w:r>
                          </w:p>
                          <w:p w14:paraId="5D3FFEA6" w14:textId="77777777" w:rsidR="005A3F96" w:rsidRPr="001A5A1C" w:rsidRDefault="005A3F96" w:rsidP="005A3F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05E18" id="Rectangle: Rounded Corners 573" o:spid="_x0000_s1095" style="position:absolute;margin-left:-37.55pt;margin-top:19.35pt;width:155.9pt;height:55.1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">
                <v:textbox>
                  <w:txbxContent>
                    <w:p w14:paraId="6CEA7BC8" w14:textId="77777777" w:rsidR="005A3F96" w:rsidRDefault="005A3F96" w:rsidP="00431E24">
                      <w:pPr>
                        <w:jc w:val="center"/>
                        <w:rPr>
                          <w:b/>
                          <w:bCs/>
                        </w:rPr>
                      </w:pPr>
                      <w:r w:rsidRPr="001A5A1C">
                        <w:rPr>
                          <w:b/>
                          <w:bCs/>
                        </w:rPr>
                        <w:t xml:space="preserve">Group </w:t>
                      </w:r>
                      <w:r>
                        <w:rPr>
                          <w:b/>
                          <w:bCs/>
                        </w:rPr>
                        <w:t>4</w:t>
                      </w:r>
                    </w:p>
                    <w:p w14:paraId="7A9B99FE" w14:textId="77777777" w:rsidR="005A3F96" w:rsidRDefault="005A3F96" w:rsidP="00431E24">
                      <w:pPr>
                        <w:jc w:val="center"/>
                      </w:pPr>
                      <w:r>
                        <w:t>Lactulose daily for 2 weeks</w:t>
                      </w:r>
                    </w:p>
                    <w:p w14:paraId="3E6FACAB" w14:textId="006A257D" w:rsidR="005A3F96" w:rsidRPr="001A5A1C" w:rsidRDefault="005A3F96" w:rsidP="00431E24">
                      <w:pPr>
                        <w:jc w:val="center"/>
                      </w:pPr>
                      <w:r>
                        <w:t>(n=</w:t>
                      </w:r>
                      <w:r w:rsidR="00F22855">
                        <w:t>30</w:t>
                      </w:r>
                      <w:r>
                        <w:t>)</w:t>
                      </w:r>
                    </w:p>
                    <w:p w14:paraId="5D3FFEA6" w14:textId="77777777" w:rsidR="005A3F96" w:rsidRPr="001A5A1C" w:rsidRDefault="005A3F96" w:rsidP="005A3F96">
                      <w:pPr>
                        <w:jc w:val="center"/>
                      </w:pPr>
                    </w:p>
                  </w:txbxContent>
                </v:textbox>
              </v:roundrect>
            </w:pict>
          </mc:Fallback>
        </mc:AlternateContent>
      </w:r>
    </w:p>
    <w:p w14:paraId="12D90784" w14:textId="53FD7D69" w:rsidR="005A3F96" w:rsidRPr="005A3F96" w:rsidRDefault="00EB0610" w:rsidP="005A3F96">
      <w:pPr>
        <w:rPr>
          <w:rFonts w:cstheme="minorHAnsi"/>
        </w:rPr>
      </w:pPr>
      <w:r>
        <w:rPr>
          <w:noProof/>
        </w:rPr>
        <mc:AlternateContent>
          <mc:Choice Requires="wps">
            <w:drawing>
              <wp:anchor distT="0" distB="0" distL="114300" distR="114300" simplePos="0" relativeHeight="251911680" behindDoc="0" locked="0" layoutInCell="1" allowOverlap="1" wp14:anchorId="23FB0F94" wp14:editId="578993F2">
                <wp:simplePos x="0" y="0"/>
                <wp:positionH relativeFrom="column">
                  <wp:posOffset>1939925</wp:posOffset>
                </wp:positionH>
                <wp:positionV relativeFrom="paragraph">
                  <wp:posOffset>43815</wp:posOffset>
                </wp:positionV>
                <wp:extent cx="2162810" cy="715010"/>
                <wp:effectExtent l="0" t="0" r="8890" b="8890"/>
                <wp:wrapNone/>
                <wp:docPr id="562" name="Rectangle: Rounded Corners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715010"/>
                        </a:xfrm>
                        <a:prstGeom prst="roundRect">
                          <a:avLst>
                            <a:gd name="adj" fmla="val 16667"/>
                          </a:avLst>
                        </a:prstGeom>
                        <a:solidFill>
                          <a:srgbClr val="FFFFFF"/>
                        </a:solidFill>
                        <a:ln w="9525">
                          <a:solidFill>
                            <a:srgbClr val="000000"/>
                          </a:solidFill>
                          <a:round/>
                          <a:headEnd/>
                          <a:tailEnd/>
                        </a:ln>
                      </wps:spPr>
                      <wps:txbx>
                        <w:txbxContent>
                          <w:p w14:paraId="0C523EEC" w14:textId="77777777" w:rsidR="005A3F96" w:rsidRPr="001A5A1C" w:rsidRDefault="005A3F96" w:rsidP="00431E24">
                            <w:pPr>
                              <w:jc w:val="center"/>
                              <w:rPr>
                                <w:b/>
                                <w:bCs/>
                              </w:rPr>
                            </w:pPr>
                            <w:r w:rsidRPr="001A5A1C">
                              <w:rPr>
                                <w:b/>
                                <w:bCs/>
                              </w:rPr>
                              <w:t xml:space="preserve">Group </w:t>
                            </w:r>
                            <w:r>
                              <w:rPr>
                                <w:b/>
                                <w:bCs/>
                              </w:rPr>
                              <w:t>5</w:t>
                            </w:r>
                          </w:p>
                          <w:p w14:paraId="4A449736" w14:textId="77777777" w:rsidR="005A3F96" w:rsidRDefault="005A3F96" w:rsidP="00431E24">
                            <w:pPr>
                              <w:jc w:val="center"/>
                            </w:pPr>
                            <w:r w:rsidRPr="001A5A1C">
                              <w:t xml:space="preserve">No </w:t>
                            </w:r>
                            <w:r>
                              <w:t xml:space="preserve"> L</w:t>
                            </w:r>
                            <w:r w:rsidRPr="001A5A1C">
                              <w:t>actulose</w:t>
                            </w:r>
                          </w:p>
                          <w:p w14:paraId="4469C44A" w14:textId="448FAAD1" w:rsidR="005A3F96" w:rsidRPr="001A5A1C" w:rsidRDefault="005A3F96" w:rsidP="00431E24">
                            <w:pPr>
                              <w:jc w:val="center"/>
                            </w:pPr>
                            <w:r>
                              <w:t>(n=</w:t>
                            </w:r>
                            <w:r w:rsidR="00F22855">
                              <w:t>30</w:t>
                            </w:r>
                            <w:r>
                              <w:t>)</w:t>
                            </w:r>
                          </w:p>
                          <w:p w14:paraId="289C2446" w14:textId="77777777" w:rsidR="005A3F96" w:rsidRPr="001A5A1C" w:rsidRDefault="005A3F96" w:rsidP="00431E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B0F94" id="Rectangle: Rounded Corners 562" o:spid="_x0000_s1096" style="position:absolute;margin-left:152.75pt;margin-top:3.45pt;width:170.3pt;height:56.3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">
                <v:textbox>
                  <w:txbxContent>
                    <w:p w14:paraId="0C523EEC" w14:textId="77777777" w:rsidR="005A3F96" w:rsidRPr="001A5A1C" w:rsidRDefault="005A3F96" w:rsidP="00431E24">
                      <w:pPr>
                        <w:jc w:val="center"/>
                        <w:rPr>
                          <w:b/>
                          <w:bCs/>
                        </w:rPr>
                      </w:pPr>
                      <w:r w:rsidRPr="001A5A1C">
                        <w:rPr>
                          <w:b/>
                          <w:bCs/>
                        </w:rPr>
                        <w:t xml:space="preserve">Group </w:t>
                      </w:r>
                      <w:r>
                        <w:rPr>
                          <w:b/>
                          <w:bCs/>
                        </w:rPr>
                        <w:t>5</w:t>
                      </w:r>
                    </w:p>
                    <w:p w14:paraId="4A449736" w14:textId="77777777" w:rsidR="005A3F96" w:rsidRDefault="005A3F96" w:rsidP="00431E24">
                      <w:pPr>
                        <w:jc w:val="center"/>
                      </w:pPr>
                      <w:r w:rsidRPr="001A5A1C">
                        <w:t xml:space="preserve">No </w:t>
                      </w:r>
                      <w:r>
                        <w:t xml:space="preserve"> L</w:t>
                      </w:r>
                      <w:r w:rsidRPr="001A5A1C">
                        <w:t>actulose</w:t>
                      </w:r>
                    </w:p>
                    <w:p w14:paraId="4469C44A" w14:textId="448FAAD1" w:rsidR="005A3F96" w:rsidRPr="001A5A1C" w:rsidRDefault="005A3F96" w:rsidP="00431E24">
                      <w:pPr>
                        <w:jc w:val="center"/>
                      </w:pPr>
                      <w:r>
                        <w:t>(n=</w:t>
                      </w:r>
                      <w:r w:rsidR="00F22855">
                        <w:t>30</w:t>
                      </w:r>
                      <w:r>
                        <w:t>)</w:t>
                      </w:r>
                    </w:p>
                    <w:p w14:paraId="289C2446" w14:textId="77777777" w:rsidR="005A3F96" w:rsidRPr="001A5A1C" w:rsidRDefault="005A3F96" w:rsidP="00431E24">
                      <w:pPr>
                        <w:jc w:val="center"/>
                      </w:pPr>
                    </w:p>
                  </w:txbxContent>
                </v:textbox>
              </v:roundrect>
            </w:pict>
          </mc:Fallback>
        </mc:AlternateContent>
      </w:r>
    </w:p>
    <w:p w14:paraId="2B020049" w14:textId="654B6DEF" w:rsidR="005A3F96" w:rsidRPr="005A3F96" w:rsidRDefault="005A3F96" w:rsidP="005A3F96">
      <w:pPr>
        <w:rPr>
          <w:rFonts w:cstheme="minorHAnsi"/>
        </w:rPr>
      </w:pPr>
    </w:p>
    <w:p w14:paraId="06D1C63E" w14:textId="5677EC73" w:rsidR="005A3F96" w:rsidRPr="005A3F96" w:rsidRDefault="005A3F96" w:rsidP="005A3F96">
      <w:pPr>
        <w:rPr>
          <w:rFonts w:cstheme="minorHAnsi"/>
        </w:rPr>
      </w:pPr>
    </w:p>
    <w:p w14:paraId="38AEE435" w14:textId="24112161" w:rsidR="005A3F96" w:rsidRPr="005A3F96" w:rsidRDefault="005A3F96" w:rsidP="005A3F96">
      <w:pPr>
        <w:rPr>
          <w:rFonts w:cstheme="minorHAnsi"/>
        </w:rPr>
      </w:pPr>
    </w:p>
    <w:p w14:paraId="28759B20" w14:textId="65B6D8E9" w:rsidR="005A3F96" w:rsidRPr="005A3F96" w:rsidRDefault="005A3F96" w:rsidP="005A3F96">
      <w:pPr>
        <w:rPr>
          <w:rFonts w:cstheme="minorHAnsi"/>
        </w:rPr>
      </w:pPr>
    </w:p>
    <w:p w14:paraId="42CCD43F" w14:textId="48EA85CB" w:rsidR="005A3F96" w:rsidRPr="005A3F96" w:rsidRDefault="005A3F96" w:rsidP="005A3F96">
      <w:pPr>
        <w:rPr>
          <w:rFonts w:cstheme="minorHAnsi"/>
        </w:rPr>
      </w:pPr>
    </w:p>
    <w:p w14:paraId="16BF7C53" w14:textId="5EAF7494" w:rsidR="005A3F96" w:rsidRPr="005A3F96" w:rsidRDefault="00EB0610" w:rsidP="005A3F96">
      <w:pPr>
        <w:rPr>
          <w:rFonts w:cstheme="minorHAnsi"/>
        </w:rPr>
      </w:pPr>
      <w:r>
        <w:rPr>
          <w:noProof/>
        </w:rPr>
        <mc:AlternateContent>
          <mc:Choice Requires="wps">
            <w:drawing>
              <wp:anchor distT="45720" distB="45720" distL="114300" distR="114300" simplePos="0" relativeHeight="251915776" behindDoc="0" locked="0" layoutInCell="1" allowOverlap="1" wp14:anchorId="5BC4C53F" wp14:editId="4E7F1170">
                <wp:simplePos x="0" y="0"/>
                <wp:positionH relativeFrom="column">
                  <wp:posOffset>-10160</wp:posOffset>
                </wp:positionH>
                <wp:positionV relativeFrom="paragraph">
                  <wp:posOffset>97155</wp:posOffset>
                </wp:positionV>
                <wp:extent cx="3705860" cy="386715"/>
                <wp:effectExtent l="0" t="0" r="8890" b="0"/>
                <wp:wrapSquare wrapText="bothSides"/>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860" cy="386715"/>
                        </a:xfrm>
                        <a:prstGeom prst="rect">
                          <a:avLst/>
                        </a:prstGeom>
                        <a:solidFill>
                          <a:srgbClr val="FFFFFF"/>
                        </a:solidFill>
                        <a:ln w="9525">
                          <a:solidFill>
                            <a:srgbClr val="000000"/>
                          </a:solidFill>
                          <a:miter lim="800000"/>
                          <a:headEnd/>
                          <a:tailEnd/>
                        </a:ln>
                      </wps:spPr>
                      <wps:txbx>
                        <w:txbxContent>
                          <w:p w14:paraId="0E154458" w14:textId="77777777" w:rsidR="005A3F96" w:rsidRDefault="005A3F96" w:rsidP="005A3F96">
                            <w:pPr>
                              <w:jc w:val="center"/>
                            </w:pPr>
                            <w:r>
                              <w:t>Remain in study for 18 months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C4C53F" id="Text Box 551" o:spid="_x0000_s1097" type="#_x0000_t202" style="position:absolute;margin-left:-.8pt;margin-top:7.65pt;width:291.8pt;height:30.45pt;z-index:25191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">
                <v:textbox style="mso-fit-shape-to-text:t">
                  <w:txbxContent>
                    <w:p w14:paraId="0E154458" w14:textId="77777777" w:rsidR="005A3F96" w:rsidRDefault="005A3F96" w:rsidP="005A3F96">
                      <w:pPr>
                        <w:jc w:val="center"/>
                      </w:pPr>
                      <w:r>
                        <w:t>Remain in study for 18 months</w:t>
                      </w:r>
                    </w:p>
                  </w:txbxContent>
                </v:textbox>
                <w10:wrap type="square"/>
              </v:shape>
            </w:pict>
          </mc:Fallback>
        </mc:AlternateContent>
      </w:r>
      <w:r w:rsidR="005A3F96" w:rsidRPr="005A3F96">
        <w:rPr>
          <w:rFonts w:cstheme="minorHAnsi"/>
        </w:rPr>
        <w:br w:type="page"/>
      </w:r>
    </w:p>
    <w:p w14:paraId="4B1142BC" w14:textId="77777777" w:rsidR="005A3F96" w:rsidRPr="00F22855" w:rsidRDefault="005A3F96" w:rsidP="005A3F96">
      <w:pPr>
        <w:rPr>
          <w:rFonts w:cstheme="minorHAnsi"/>
        </w:rPr>
      </w:pPr>
    </w:p>
    <w:p w14:paraId="23280B48" w14:textId="41BAD58B" w:rsidR="005A3F96" w:rsidRPr="001E0293" w:rsidRDefault="00F22855" w:rsidP="001E0293">
      <w:pPr>
        <w:rPr>
          <w:b/>
          <w:bCs/>
        </w:rPr>
      </w:pPr>
      <w:r w:rsidRPr="001E0293">
        <w:rPr>
          <w:b/>
          <w:bCs/>
        </w:rPr>
        <w:t xml:space="preserve">Selection and withdrawal of participants </w:t>
      </w:r>
    </w:p>
    <w:p w14:paraId="6649F0F5" w14:textId="0F35CF65" w:rsidR="00F22855" w:rsidRDefault="0010061F" w:rsidP="0010061F">
      <w:pPr>
        <w:spacing w:line="360" w:lineRule="auto"/>
        <w:rPr>
          <w:rFonts w:cstheme="minorHAnsi"/>
        </w:rPr>
      </w:pPr>
      <w:r w:rsidRPr="00F22855">
        <w:rPr>
          <w:rFonts w:cstheme="minorHAnsi"/>
        </w:rPr>
        <w:t>We will recruit children, and their guardians</w:t>
      </w:r>
      <w:r w:rsidR="00F22855">
        <w:rPr>
          <w:rFonts w:cstheme="minorHAnsi"/>
        </w:rPr>
        <w:t xml:space="preserve"> under the care of the following hospital trusts:</w:t>
      </w:r>
    </w:p>
    <w:p w14:paraId="1E6204D3" w14:textId="795992E7" w:rsidR="00F22855" w:rsidRDefault="00F22855">
      <w:pPr>
        <w:pStyle w:val="ListParagraph"/>
        <w:numPr>
          <w:ilvl w:val="0"/>
          <w:numId w:val="55"/>
        </w:numPr>
        <w:spacing w:after="0" w:line="360" w:lineRule="auto"/>
        <w:rPr>
          <w:rFonts w:eastAsia="Times New Roman" w:cstheme="minorHAnsi"/>
          <w:sz w:val="24"/>
          <w:szCs w:val="24"/>
          <w:lang w:eastAsia="en-GB"/>
        </w:rPr>
      </w:pPr>
      <w:r>
        <w:rPr>
          <w:rFonts w:eastAsia="Times New Roman" w:cstheme="minorHAnsi"/>
          <w:sz w:val="24"/>
          <w:szCs w:val="24"/>
          <w:lang w:eastAsia="en-GB"/>
        </w:rPr>
        <w:t>Sheffield</w:t>
      </w:r>
      <w:r w:rsidR="00535DED">
        <w:rPr>
          <w:rFonts w:eastAsia="Times New Roman" w:cstheme="minorHAnsi"/>
          <w:sz w:val="24"/>
          <w:szCs w:val="24"/>
          <w:lang w:eastAsia="en-GB"/>
        </w:rPr>
        <w:t>’s</w:t>
      </w:r>
      <w:r>
        <w:rPr>
          <w:rFonts w:eastAsia="Times New Roman" w:cstheme="minorHAnsi"/>
          <w:sz w:val="24"/>
          <w:szCs w:val="24"/>
          <w:lang w:eastAsia="en-GB"/>
        </w:rPr>
        <w:t xml:space="preserve"> Children’s </w:t>
      </w:r>
      <w:r w:rsidR="00535DED">
        <w:rPr>
          <w:rFonts w:eastAsia="Times New Roman" w:cstheme="minorHAnsi"/>
          <w:sz w:val="24"/>
          <w:szCs w:val="24"/>
          <w:lang w:eastAsia="en-GB"/>
        </w:rPr>
        <w:t xml:space="preserve">Hospital </w:t>
      </w:r>
      <w:r>
        <w:rPr>
          <w:rFonts w:eastAsia="Times New Roman" w:cstheme="minorHAnsi"/>
          <w:sz w:val="24"/>
          <w:szCs w:val="24"/>
          <w:lang w:eastAsia="en-GB"/>
        </w:rPr>
        <w:t>Foundation Trust</w:t>
      </w:r>
    </w:p>
    <w:p w14:paraId="7C6591DD" w14:textId="1FE76418" w:rsidR="00535DED" w:rsidRPr="00F22855" w:rsidRDefault="00535DED">
      <w:pPr>
        <w:pStyle w:val="ListParagraph"/>
        <w:numPr>
          <w:ilvl w:val="0"/>
          <w:numId w:val="55"/>
        </w:numPr>
        <w:spacing w:after="0" w:line="360" w:lineRule="auto"/>
        <w:rPr>
          <w:rFonts w:eastAsia="Times New Roman" w:cstheme="minorHAnsi"/>
          <w:sz w:val="24"/>
          <w:szCs w:val="24"/>
          <w:lang w:eastAsia="en-GB"/>
        </w:rPr>
      </w:pPr>
      <w:r>
        <w:rPr>
          <w:rFonts w:eastAsia="Times New Roman" w:cstheme="minorHAnsi"/>
          <w:sz w:val="24"/>
          <w:szCs w:val="24"/>
          <w:lang w:eastAsia="en-GB"/>
        </w:rPr>
        <w:t>Centres 2-4</w:t>
      </w:r>
    </w:p>
    <w:p w14:paraId="4FC8B940" w14:textId="77777777" w:rsidR="00F22855" w:rsidRDefault="00F22855" w:rsidP="0010061F">
      <w:pPr>
        <w:spacing w:line="360" w:lineRule="auto"/>
        <w:rPr>
          <w:rFonts w:cstheme="minorHAnsi"/>
        </w:rPr>
      </w:pPr>
    </w:p>
    <w:p w14:paraId="5DF0718B" w14:textId="3169E9BD" w:rsidR="0010061F" w:rsidRPr="00F22855" w:rsidRDefault="0010061F" w:rsidP="0010061F">
      <w:pPr>
        <w:spacing w:line="360" w:lineRule="auto"/>
        <w:rPr>
          <w:rFonts w:cstheme="minorHAnsi"/>
        </w:rPr>
      </w:pPr>
      <w:r w:rsidRPr="00F22855">
        <w:rPr>
          <w:rFonts w:cstheme="minorHAnsi"/>
        </w:rPr>
        <w:t>Children with PBB (Groups 1-</w:t>
      </w:r>
      <w:r w:rsidR="00535DED">
        <w:rPr>
          <w:rFonts w:cstheme="minorHAnsi"/>
        </w:rPr>
        <w:t>2</w:t>
      </w:r>
      <w:r w:rsidRPr="00F22855">
        <w:rPr>
          <w:rFonts w:cstheme="minorHAnsi"/>
        </w:rPr>
        <w:t xml:space="preserve">) will be recruited who are under the care of the Paediatric Respiratory team. Healthy controls (Group </w:t>
      </w:r>
      <w:r w:rsidR="00535DED">
        <w:rPr>
          <w:rFonts w:cstheme="minorHAnsi"/>
        </w:rPr>
        <w:t>3</w:t>
      </w:r>
      <w:r w:rsidRPr="00F22855">
        <w:rPr>
          <w:rFonts w:cstheme="minorHAnsi"/>
        </w:rPr>
        <w:t>) will be recruited from fracture clinic</w:t>
      </w:r>
      <w:r w:rsidR="003921E2" w:rsidRPr="00F22855">
        <w:rPr>
          <w:rFonts w:cstheme="minorHAnsi"/>
        </w:rPr>
        <w:t>s, audiology or ophthalmology clinics</w:t>
      </w:r>
      <w:r w:rsidRPr="00F22855">
        <w:rPr>
          <w:rFonts w:cstheme="minorHAnsi"/>
        </w:rPr>
        <w:t>.</w:t>
      </w:r>
    </w:p>
    <w:p w14:paraId="6C40D465" w14:textId="77777777" w:rsidR="0010061F" w:rsidRPr="00F22855" w:rsidRDefault="0010061F" w:rsidP="0010061F">
      <w:pPr>
        <w:spacing w:line="360" w:lineRule="auto"/>
        <w:rPr>
          <w:rFonts w:cstheme="minorHAnsi"/>
        </w:rPr>
      </w:pPr>
    </w:p>
    <w:p w14:paraId="0E21289F" w14:textId="77777777" w:rsidR="0010061F" w:rsidRPr="00535DED" w:rsidRDefault="0010061F" w:rsidP="00984685">
      <w:pPr>
        <w:rPr>
          <w:b/>
          <w:bCs/>
        </w:rPr>
      </w:pPr>
      <w:r w:rsidRPr="00535DED">
        <w:rPr>
          <w:b/>
          <w:bCs/>
        </w:rPr>
        <w:t>Inclusion criteria groups 1 and 2</w:t>
      </w:r>
    </w:p>
    <w:p w14:paraId="29200E0A" w14:textId="77777777" w:rsidR="0010061F" w:rsidRPr="00F22855" w:rsidRDefault="0010061F">
      <w:pPr>
        <w:numPr>
          <w:ilvl w:val="0"/>
          <w:numId w:val="29"/>
        </w:numPr>
        <w:spacing w:line="360" w:lineRule="auto"/>
        <w:rPr>
          <w:rFonts w:cstheme="minorHAnsi"/>
        </w:rPr>
      </w:pPr>
      <w:r w:rsidRPr="00F22855">
        <w:rPr>
          <w:rFonts w:cstheme="minorHAnsi"/>
        </w:rPr>
        <w:t>Children aged between 6 months and 5 years (inclusive) at randomisation</w:t>
      </w:r>
    </w:p>
    <w:p w14:paraId="4DC76AE7" w14:textId="77777777" w:rsidR="0010061F" w:rsidRPr="00F22855" w:rsidRDefault="0010061F">
      <w:pPr>
        <w:numPr>
          <w:ilvl w:val="0"/>
          <w:numId w:val="29"/>
        </w:numPr>
        <w:spacing w:line="360" w:lineRule="auto"/>
        <w:rPr>
          <w:rFonts w:cstheme="minorHAnsi"/>
        </w:rPr>
      </w:pPr>
      <w:r w:rsidRPr="00F22855">
        <w:rPr>
          <w:rFonts w:cstheme="minorHAnsi"/>
        </w:rPr>
        <w:t>Written informed consent from the guardian</w:t>
      </w:r>
    </w:p>
    <w:p w14:paraId="765CEE84" w14:textId="77777777" w:rsidR="0010061F" w:rsidRPr="00F22855" w:rsidRDefault="0010061F">
      <w:pPr>
        <w:numPr>
          <w:ilvl w:val="0"/>
          <w:numId w:val="29"/>
        </w:numPr>
        <w:spacing w:line="360" w:lineRule="auto"/>
        <w:rPr>
          <w:rFonts w:cstheme="minorHAnsi"/>
        </w:rPr>
      </w:pPr>
      <w:r w:rsidRPr="00F22855">
        <w:rPr>
          <w:rFonts w:cstheme="minorHAnsi"/>
        </w:rPr>
        <w:t>Guardian has a good understanding of the English language and able to communicate in English</w:t>
      </w:r>
    </w:p>
    <w:p w14:paraId="66372C8C" w14:textId="77777777" w:rsidR="0010061F" w:rsidRPr="00F22855" w:rsidRDefault="0010061F">
      <w:pPr>
        <w:numPr>
          <w:ilvl w:val="0"/>
          <w:numId w:val="29"/>
        </w:numPr>
        <w:spacing w:line="360" w:lineRule="auto"/>
        <w:rPr>
          <w:rFonts w:cstheme="minorHAnsi"/>
        </w:rPr>
      </w:pPr>
      <w:r w:rsidRPr="00F22855">
        <w:rPr>
          <w:rFonts w:cstheme="minorHAnsi"/>
        </w:rPr>
        <w:t>Clinical or microbiological diagnosis of protracted bacterial bronchitis*</w:t>
      </w:r>
    </w:p>
    <w:p w14:paraId="6DB4D498" w14:textId="77777777" w:rsidR="0010061F" w:rsidRPr="00F22855" w:rsidRDefault="0010061F">
      <w:pPr>
        <w:numPr>
          <w:ilvl w:val="0"/>
          <w:numId w:val="29"/>
        </w:numPr>
        <w:spacing w:line="360" w:lineRule="auto"/>
        <w:rPr>
          <w:rFonts w:cstheme="minorHAnsi"/>
        </w:rPr>
      </w:pPr>
      <w:r w:rsidRPr="00F22855">
        <w:rPr>
          <w:rFonts w:cstheme="minorHAnsi"/>
        </w:rPr>
        <w:t>Previously prescribed long-term antibiotics and undergone at least a 13 week “washout” period”</w:t>
      </w:r>
    </w:p>
    <w:p w14:paraId="4D4CADF9" w14:textId="77777777" w:rsidR="0010061F" w:rsidRPr="00F22855" w:rsidRDefault="0010061F">
      <w:pPr>
        <w:numPr>
          <w:ilvl w:val="0"/>
          <w:numId w:val="29"/>
        </w:numPr>
        <w:spacing w:line="360" w:lineRule="auto"/>
        <w:rPr>
          <w:rFonts w:cstheme="minorHAnsi"/>
        </w:rPr>
      </w:pPr>
      <w:r w:rsidRPr="00F22855">
        <w:rPr>
          <w:rFonts w:cstheme="minorHAnsi"/>
        </w:rPr>
        <w:t>Have received at least 2 courses of oral antibiotics to treat LRTIs over the preceding 52 weeks</w:t>
      </w:r>
    </w:p>
    <w:p w14:paraId="11BB12E2" w14:textId="77777777" w:rsidR="0010061F" w:rsidRPr="00F22855" w:rsidRDefault="0010061F" w:rsidP="0010061F">
      <w:pPr>
        <w:spacing w:line="360" w:lineRule="auto"/>
        <w:rPr>
          <w:rFonts w:cstheme="minorHAnsi"/>
        </w:rPr>
      </w:pPr>
    </w:p>
    <w:p w14:paraId="50D03161" w14:textId="77777777" w:rsidR="0010061F" w:rsidRPr="00535DED" w:rsidRDefault="0010061F" w:rsidP="00984685">
      <w:pPr>
        <w:rPr>
          <w:b/>
          <w:bCs/>
        </w:rPr>
      </w:pPr>
      <w:r w:rsidRPr="00535DED">
        <w:rPr>
          <w:b/>
          <w:bCs/>
        </w:rPr>
        <w:t>Inclusion criteria Group 3 – healthy controls</w:t>
      </w:r>
    </w:p>
    <w:p w14:paraId="5E0348CD" w14:textId="77777777" w:rsidR="0010061F" w:rsidRPr="00F22855" w:rsidRDefault="0010061F">
      <w:pPr>
        <w:numPr>
          <w:ilvl w:val="0"/>
          <w:numId w:val="52"/>
        </w:numPr>
        <w:spacing w:line="360" w:lineRule="auto"/>
        <w:rPr>
          <w:rFonts w:cstheme="minorHAnsi"/>
        </w:rPr>
      </w:pPr>
      <w:r w:rsidRPr="00F22855">
        <w:rPr>
          <w:rFonts w:cstheme="minorHAnsi"/>
        </w:rPr>
        <w:t>Age matched to within 12 months of groups 1 and 2</w:t>
      </w:r>
    </w:p>
    <w:p w14:paraId="3F0CD643" w14:textId="77777777" w:rsidR="0010061F" w:rsidRPr="00F22855" w:rsidRDefault="0010061F">
      <w:pPr>
        <w:numPr>
          <w:ilvl w:val="0"/>
          <w:numId w:val="52"/>
        </w:numPr>
        <w:spacing w:line="360" w:lineRule="auto"/>
        <w:rPr>
          <w:rFonts w:cstheme="minorHAnsi"/>
        </w:rPr>
      </w:pPr>
      <w:r w:rsidRPr="00F22855">
        <w:rPr>
          <w:rFonts w:cstheme="minorHAnsi"/>
        </w:rPr>
        <w:t>Sex matched 1:1 (male: female) to participants in group 1 and 2</w:t>
      </w:r>
    </w:p>
    <w:p w14:paraId="6A84907E" w14:textId="77777777" w:rsidR="0010061F" w:rsidRPr="00F22855" w:rsidRDefault="0010061F">
      <w:pPr>
        <w:numPr>
          <w:ilvl w:val="0"/>
          <w:numId w:val="52"/>
        </w:numPr>
        <w:spacing w:line="360" w:lineRule="auto"/>
        <w:rPr>
          <w:rFonts w:cstheme="minorHAnsi"/>
        </w:rPr>
      </w:pPr>
      <w:r w:rsidRPr="00F22855">
        <w:rPr>
          <w:rFonts w:cstheme="minorHAnsi"/>
        </w:rPr>
        <w:t>Written informed consent from the guardian</w:t>
      </w:r>
    </w:p>
    <w:p w14:paraId="7AA82EE7" w14:textId="77777777" w:rsidR="0010061F" w:rsidRPr="00F22855" w:rsidRDefault="0010061F">
      <w:pPr>
        <w:numPr>
          <w:ilvl w:val="0"/>
          <w:numId w:val="52"/>
        </w:numPr>
        <w:spacing w:line="360" w:lineRule="auto"/>
        <w:rPr>
          <w:rFonts w:cstheme="minorHAnsi"/>
        </w:rPr>
      </w:pPr>
      <w:r w:rsidRPr="00F22855">
        <w:rPr>
          <w:rFonts w:cstheme="minorHAnsi"/>
        </w:rPr>
        <w:t>Guardian has a good understanding of the English language and able to communicate in English</w:t>
      </w:r>
    </w:p>
    <w:p w14:paraId="211C3ACC" w14:textId="29ED62ED" w:rsidR="0010061F" w:rsidRPr="00F22855" w:rsidRDefault="0010061F">
      <w:pPr>
        <w:numPr>
          <w:ilvl w:val="0"/>
          <w:numId w:val="52"/>
        </w:numPr>
        <w:spacing w:line="360" w:lineRule="auto"/>
        <w:rPr>
          <w:rFonts w:cstheme="minorHAnsi"/>
        </w:rPr>
      </w:pPr>
      <w:r w:rsidRPr="00F22855">
        <w:rPr>
          <w:rFonts w:cstheme="minorHAnsi"/>
        </w:rPr>
        <w:t>Not on medication that could impact the respiratory or gastrointestinal systems (including for example anti-reflux medication,</w:t>
      </w:r>
      <w:r w:rsidR="00535DED">
        <w:rPr>
          <w:rFonts w:cstheme="minorHAnsi"/>
        </w:rPr>
        <w:t xml:space="preserve"> laxatives,</w:t>
      </w:r>
      <w:r w:rsidRPr="00F22855">
        <w:rPr>
          <w:rFonts w:cstheme="minorHAnsi"/>
        </w:rPr>
        <w:t xml:space="preserve"> probiotics, antibiotics for last 1 year)</w:t>
      </w:r>
      <w:r w:rsidR="003921E2" w:rsidRPr="00F22855">
        <w:rPr>
          <w:rFonts w:cstheme="minorHAnsi"/>
        </w:rPr>
        <w:t>.</w:t>
      </w:r>
      <w:r w:rsidRPr="00F22855">
        <w:rPr>
          <w:rFonts w:cstheme="minorHAnsi"/>
        </w:rPr>
        <w:t xml:space="preserve"> No known GI disease/condition</w:t>
      </w:r>
    </w:p>
    <w:p w14:paraId="530866B8" w14:textId="77777777" w:rsidR="0010061F" w:rsidRPr="00F22855" w:rsidRDefault="0010061F" w:rsidP="0010061F">
      <w:pPr>
        <w:spacing w:line="360" w:lineRule="auto"/>
        <w:rPr>
          <w:rFonts w:cstheme="minorHAnsi"/>
        </w:rPr>
      </w:pPr>
    </w:p>
    <w:p w14:paraId="04598D0B" w14:textId="77777777" w:rsidR="0010061F" w:rsidRPr="00535DED" w:rsidRDefault="0010061F" w:rsidP="00984685">
      <w:pPr>
        <w:rPr>
          <w:b/>
          <w:bCs/>
        </w:rPr>
      </w:pPr>
      <w:r w:rsidRPr="00535DED">
        <w:rPr>
          <w:b/>
          <w:bCs/>
        </w:rPr>
        <w:t>Exclusion criteria group 1-3</w:t>
      </w:r>
    </w:p>
    <w:p w14:paraId="7A849D8F" w14:textId="77777777" w:rsidR="0010061F" w:rsidRPr="00F22855" w:rsidRDefault="0010061F">
      <w:pPr>
        <w:numPr>
          <w:ilvl w:val="0"/>
          <w:numId w:val="29"/>
        </w:numPr>
        <w:spacing w:line="360" w:lineRule="auto"/>
        <w:rPr>
          <w:rFonts w:cstheme="minorHAnsi"/>
        </w:rPr>
      </w:pPr>
      <w:r w:rsidRPr="00F22855">
        <w:rPr>
          <w:rFonts w:cstheme="minorHAnsi"/>
        </w:rPr>
        <w:lastRenderedPageBreak/>
        <w:t xml:space="preserve">Diagnosis of cystic fibrosis or ongoing investigations </w:t>
      </w:r>
    </w:p>
    <w:p w14:paraId="4C9D6A7D" w14:textId="45205321" w:rsidR="0010061F" w:rsidRPr="00F22855" w:rsidRDefault="0010061F">
      <w:pPr>
        <w:numPr>
          <w:ilvl w:val="0"/>
          <w:numId w:val="29"/>
        </w:numPr>
        <w:spacing w:line="360" w:lineRule="auto"/>
        <w:rPr>
          <w:rFonts w:cstheme="minorHAnsi"/>
        </w:rPr>
      </w:pPr>
      <w:r w:rsidRPr="00F22855">
        <w:rPr>
          <w:rFonts w:cstheme="minorHAnsi"/>
        </w:rPr>
        <w:t xml:space="preserve">Children prescribed long-term antibiotics for other reasons </w:t>
      </w:r>
      <w:r w:rsidR="00C47244" w:rsidRPr="00F22855">
        <w:rPr>
          <w:rFonts w:cstheme="minorHAnsi"/>
        </w:rPr>
        <w:t>i.e.</w:t>
      </w:r>
      <w:r w:rsidRPr="00F22855">
        <w:rPr>
          <w:rFonts w:cstheme="minorHAnsi"/>
        </w:rPr>
        <w:t xml:space="preserve"> UTI</w:t>
      </w:r>
    </w:p>
    <w:p w14:paraId="4E0B1AD8" w14:textId="77777777" w:rsidR="0010061F" w:rsidRPr="00F22855" w:rsidRDefault="0010061F">
      <w:pPr>
        <w:numPr>
          <w:ilvl w:val="0"/>
          <w:numId w:val="29"/>
        </w:numPr>
        <w:spacing w:line="360" w:lineRule="auto"/>
        <w:rPr>
          <w:rFonts w:cstheme="minorHAnsi"/>
        </w:rPr>
      </w:pPr>
      <w:r w:rsidRPr="00F22855">
        <w:rPr>
          <w:rFonts w:cstheme="minorHAnsi"/>
        </w:rPr>
        <w:t>Not registered with a GP</w:t>
      </w:r>
    </w:p>
    <w:p w14:paraId="1B11BDB7" w14:textId="77777777" w:rsidR="0010061F" w:rsidRPr="00F22855" w:rsidRDefault="0010061F">
      <w:pPr>
        <w:numPr>
          <w:ilvl w:val="0"/>
          <w:numId w:val="29"/>
        </w:numPr>
        <w:spacing w:line="360" w:lineRule="auto"/>
        <w:rPr>
          <w:rFonts w:cstheme="minorHAnsi"/>
        </w:rPr>
      </w:pPr>
      <w:r w:rsidRPr="00F22855">
        <w:rPr>
          <w:rFonts w:cstheme="minorHAnsi"/>
        </w:rPr>
        <w:t xml:space="preserve">3 monthly Intravenous antibiotics </w:t>
      </w:r>
    </w:p>
    <w:p w14:paraId="12A7E8E1" w14:textId="532436F5" w:rsidR="0010061F" w:rsidRPr="00F22855" w:rsidRDefault="0010061F">
      <w:pPr>
        <w:numPr>
          <w:ilvl w:val="0"/>
          <w:numId w:val="29"/>
        </w:numPr>
        <w:spacing w:line="360" w:lineRule="auto"/>
        <w:rPr>
          <w:rFonts w:cstheme="minorHAnsi"/>
        </w:rPr>
      </w:pPr>
      <w:r w:rsidRPr="00F22855">
        <w:rPr>
          <w:rFonts w:cstheme="minorHAnsi"/>
        </w:rPr>
        <w:t>Known contra-indication to using or hypersensitivity to macrolide antibiotics (</w:t>
      </w:r>
      <w:r w:rsidR="00C47244" w:rsidRPr="00F22855">
        <w:rPr>
          <w:rFonts w:cstheme="minorHAnsi"/>
        </w:rPr>
        <w:t>e.g.</w:t>
      </w:r>
      <w:r w:rsidRPr="00F22855">
        <w:rPr>
          <w:rFonts w:cstheme="minorHAnsi"/>
        </w:rPr>
        <w:t xml:space="preserve"> Prolonged QTc or concurrent prescribing of QTc prolonging medication</w:t>
      </w:r>
    </w:p>
    <w:p w14:paraId="4E9DB995" w14:textId="77777777" w:rsidR="0010061F" w:rsidRPr="00F22855" w:rsidRDefault="0010061F">
      <w:pPr>
        <w:numPr>
          <w:ilvl w:val="0"/>
          <w:numId w:val="29"/>
        </w:numPr>
        <w:spacing w:line="360" w:lineRule="auto"/>
        <w:rPr>
          <w:rFonts w:cstheme="minorHAnsi"/>
        </w:rPr>
      </w:pPr>
      <w:r w:rsidRPr="00F22855">
        <w:rPr>
          <w:rFonts w:cstheme="minorHAnsi"/>
        </w:rPr>
        <w:t>Known severe hepatic disease</w:t>
      </w:r>
    </w:p>
    <w:p w14:paraId="13E56BAA" w14:textId="77777777" w:rsidR="0010061F" w:rsidRPr="00F22855" w:rsidRDefault="0010061F">
      <w:pPr>
        <w:numPr>
          <w:ilvl w:val="0"/>
          <w:numId w:val="29"/>
        </w:numPr>
        <w:spacing w:line="360" w:lineRule="auto"/>
        <w:rPr>
          <w:rFonts w:cstheme="minorHAnsi"/>
        </w:rPr>
      </w:pPr>
      <w:r w:rsidRPr="00F22855">
        <w:rPr>
          <w:rFonts w:cstheme="minorHAnsi"/>
        </w:rPr>
        <w:t>Recruitment to another investigational medicinal product (IMP) trial and continuing to use the IMP</w:t>
      </w:r>
    </w:p>
    <w:p w14:paraId="38773DC6" w14:textId="53C2EBE5" w:rsidR="002B0564" w:rsidRPr="00F22855" w:rsidRDefault="002B0564">
      <w:pPr>
        <w:numPr>
          <w:ilvl w:val="0"/>
          <w:numId w:val="29"/>
        </w:numPr>
        <w:spacing w:line="360" w:lineRule="auto"/>
        <w:rPr>
          <w:rFonts w:cstheme="minorHAnsi"/>
        </w:rPr>
      </w:pPr>
      <w:r w:rsidRPr="00F22855">
        <w:rPr>
          <w:rFonts w:cstheme="minorHAnsi"/>
        </w:rPr>
        <w:t>Penicillin allergy</w:t>
      </w:r>
    </w:p>
    <w:p w14:paraId="75F054E8" w14:textId="4DC9D6CF" w:rsidR="0010061F" w:rsidRPr="00F22855" w:rsidRDefault="0010061F">
      <w:pPr>
        <w:numPr>
          <w:ilvl w:val="0"/>
          <w:numId w:val="29"/>
        </w:numPr>
        <w:spacing w:line="360" w:lineRule="auto"/>
        <w:rPr>
          <w:rFonts w:cstheme="minorHAnsi"/>
        </w:rPr>
      </w:pPr>
      <w:r w:rsidRPr="00F22855">
        <w:rPr>
          <w:rFonts w:cstheme="minorHAnsi"/>
        </w:rPr>
        <w:t>Excluded from randomisation into phase 2 if already prescribed laxatives</w:t>
      </w:r>
      <w:r w:rsidR="002C4955" w:rsidRPr="00F22855">
        <w:rPr>
          <w:rFonts w:cstheme="minorHAnsi"/>
        </w:rPr>
        <w:t>, on a food exclusion diet</w:t>
      </w:r>
      <w:r w:rsidR="003921E2" w:rsidRPr="00F22855">
        <w:rPr>
          <w:rFonts w:cstheme="minorHAnsi"/>
        </w:rPr>
        <w:t xml:space="preserve"> or taking probiotics</w:t>
      </w:r>
      <w:r w:rsidR="002C4955" w:rsidRPr="00F22855">
        <w:rPr>
          <w:rFonts w:cstheme="minorHAnsi"/>
        </w:rPr>
        <w:t>.</w:t>
      </w:r>
    </w:p>
    <w:p w14:paraId="454D79F8" w14:textId="77777777" w:rsidR="0010061F" w:rsidRPr="00F22855" w:rsidRDefault="0010061F" w:rsidP="0010061F">
      <w:pPr>
        <w:spacing w:line="360" w:lineRule="auto"/>
        <w:ind w:left="720"/>
        <w:rPr>
          <w:rFonts w:ascii="Arial" w:hAnsi="Arial" w:cs="Arial"/>
        </w:rPr>
      </w:pPr>
    </w:p>
    <w:p w14:paraId="484D05BF" w14:textId="65CF1981" w:rsidR="0010061F" w:rsidRPr="0010061F" w:rsidRDefault="0010061F" w:rsidP="0010061F">
      <w:pPr>
        <w:spacing w:line="360" w:lineRule="auto"/>
        <w:rPr>
          <w:rFonts w:eastAsia="Calibri" w:cstheme="minorHAnsi"/>
        </w:rPr>
      </w:pPr>
      <w:r w:rsidRPr="0010061F">
        <w:rPr>
          <w:rFonts w:cstheme="minorHAnsi"/>
        </w:rPr>
        <w:t xml:space="preserve">Children recruited to Groups 1 and 2 will receive 6 months of </w:t>
      </w:r>
      <w:r w:rsidR="006B03E2">
        <w:rPr>
          <w:rFonts w:cstheme="minorHAnsi"/>
        </w:rPr>
        <w:t>azithromycin</w:t>
      </w:r>
      <w:r w:rsidRPr="0010061F">
        <w:rPr>
          <w:rFonts w:cstheme="minorHAnsi"/>
        </w:rPr>
        <w:t xml:space="preserve">. The decision to start long-term azithromycin will be made by the treating </w:t>
      </w:r>
      <w:r w:rsidR="00535DED">
        <w:rPr>
          <w:rFonts w:cstheme="minorHAnsi"/>
        </w:rPr>
        <w:t>r</w:t>
      </w:r>
      <w:r w:rsidRPr="0010061F">
        <w:rPr>
          <w:rFonts w:cstheme="minorHAnsi"/>
        </w:rPr>
        <w:t xml:space="preserve">espiratory doctor who is managing the child. </w:t>
      </w:r>
      <w:r w:rsidR="006B03E2">
        <w:rPr>
          <w:rFonts w:cstheme="minorHAnsi"/>
        </w:rPr>
        <w:t xml:space="preserve">Children must have had a least 2 exacerbations of PBB over the preceding year to be considered for long term azithromycin. </w:t>
      </w:r>
      <w:r w:rsidRPr="0010061F">
        <w:rPr>
          <w:rFonts w:eastAsia="Calibri" w:cstheme="minorHAnsi"/>
        </w:rPr>
        <w:t xml:space="preserve">Due to the fact that children will be treated as per the standard best practice by the </w:t>
      </w:r>
      <w:r w:rsidR="006B03E2">
        <w:rPr>
          <w:rFonts w:eastAsia="Calibri" w:cstheme="minorHAnsi"/>
        </w:rPr>
        <w:t>r</w:t>
      </w:r>
      <w:r w:rsidRPr="0010061F">
        <w:rPr>
          <w:rFonts w:eastAsia="Calibri" w:cstheme="minorHAnsi"/>
        </w:rPr>
        <w:t xml:space="preserve">espiratory team, we acknowledge that possible changes to their </w:t>
      </w:r>
      <w:r w:rsidR="003921E2" w:rsidRPr="0010061F">
        <w:rPr>
          <w:rFonts w:eastAsia="Calibri" w:cstheme="minorHAnsi"/>
        </w:rPr>
        <w:t>long-term</w:t>
      </w:r>
      <w:r w:rsidRPr="0010061F">
        <w:rPr>
          <w:rFonts w:eastAsia="Calibri" w:cstheme="minorHAnsi"/>
        </w:rPr>
        <w:t xml:space="preserve"> antibiotic prophylaxis may be made if second line prophylaxis is deemed </w:t>
      </w:r>
      <w:r w:rsidR="002B0564" w:rsidRPr="002B0564">
        <w:rPr>
          <w:rFonts w:eastAsia="Calibri" w:cstheme="minorHAnsi"/>
        </w:rPr>
        <w:t>necessary.</w:t>
      </w:r>
    </w:p>
    <w:p w14:paraId="4DE24461" w14:textId="77777777" w:rsidR="0010061F" w:rsidRPr="0010061F" w:rsidRDefault="0010061F" w:rsidP="0010061F">
      <w:pPr>
        <w:spacing w:line="360" w:lineRule="auto"/>
        <w:rPr>
          <w:rFonts w:ascii="Calibri" w:eastAsia="Calibri" w:hAnsi="Calibri" w:cs="Calibri"/>
        </w:rPr>
      </w:pPr>
    </w:p>
    <w:p w14:paraId="7C662ED4" w14:textId="2DE9B092" w:rsidR="0010061F" w:rsidRPr="0010061F" w:rsidRDefault="0010061F" w:rsidP="0010061F">
      <w:pPr>
        <w:spacing w:line="360" w:lineRule="auto"/>
        <w:rPr>
          <w:rFonts w:cstheme="minorHAnsi"/>
        </w:rPr>
      </w:pPr>
      <w:r w:rsidRPr="0010061F">
        <w:rPr>
          <w:rFonts w:eastAsia="Calibri" w:cstheme="minorHAnsi"/>
        </w:rPr>
        <w:t>To avoid confounding issues,</w:t>
      </w:r>
      <w:r w:rsidR="006B03E2">
        <w:rPr>
          <w:rFonts w:eastAsia="Calibri" w:cstheme="minorHAnsi"/>
        </w:rPr>
        <w:t xml:space="preserve"> p</w:t>
      </w:r>
      <w:r w:rsidRPr="0010061F">
        <w:rPr>
          <w:rFonts w:eastAsia="Calibri" w:cstheme="minorHAnsi"/>
        </w:rPr>
        <w:t>articipants will not be recruited if they are already participating in another IMP trial. Where participants involved in this study wish to consider recruitment to another trial, and it is not thought that this would have a detrimental effect on this trial, the chief investigator will be consulted to assess whether this is possible.</w:t>
      </w:r>
    </w:p>
    <w:p w14:paraId="11317F37" w14:textId="3F2A20D8" w:rsidR="0010061F" w:rsidRPr="006B03E2" w:rsidRDefault="006B03E2" w:rsidP="006B03E2">
      <w:pPr>
        <w:rPr>
          <w:b/>
          <w:bCs/>
        </w:rPr>
      </w:pPr>
      <w:r w:rsidRPr="006B03E2">
        <w:rPr>
          <w:b/>
          <w:bCs/>
        </w:rPr>
        <w:t>Subject recruitment</w:t>
      </w:r>
    </w:p>
    <w:p w14:paraId="32EA2BC3" w14:textId="77777777" w:rsidR="0010061F" w:rsidRPr="0010061F" w:rsidRDefault="0010061F" w:rsidP="0010061F">
      <w:pPr>
        <w:spacing w:line="360" w:lineRule="auto"/>
        <w:rPr>
          <w:rFonts w:cstheme="minorHAnsi"/>
        </w:rPr>
      </w:pPr>
      <w:r w:rsidRPr="0010061F">
        <w:rPr>
          <w:rFonts w:cstheme="minorHAnsi"/>
        </w:rPr>
        <w:t>Identification of potential participants may vary and could include the following methods:</w:t>
      </w:r>
    </w:p>
    <w:p w14:paraId="5C9D95F4" w14:textId="77777777" w:rsidR="0010061F" w:rsidRPr="0010061F" w:rsidRDefault="0010061F">
      <w:pPr>
        <w:numPr>
          <w:ilvl w:val="0"/>
          <w:numId w:val="32"/>
        </w:numPr>
        <w:spacing w:line="360" w:lineRule="auto"/>
        <w:rPr>
          <w:rFonts w:cstheme="minorHAnsi"/>
        </w:rPr>
      </w:pPr>
      <w:r w:rsidRPr="0010061F">
        <w:rPr>
          <w:rFonts w:cstheme="minorHAnsi"/>
        </w:rPr>
        <w:t>Respiratory outpatient clinics</w:t>
      </w:r>
    </w:p>
    <w:p w14:paraId="248EA1BC" w14:textId="2F9A0E40" w:rsidR="0010061F" w:rsidRDefault="0010061F">
      <w:pPr>
        <w:numPr>
          <w:ilvl w:val="0"/>
          <w:numId w:val="32"/>
        </w:numPr>
        <w:spacing w:line="360" w:lineRule="auto"/>
        <w:rPr>
          <w:rFonts w:cstheme="minorHAnsi"/>
        </w:rPr>
      </w:pPr>
      <w:r w:rsidRPr="0010061F">
        <w:rPr>
          <w:rFonts w:cstheme="minorHAnsi"/>
        </w:rPr>
        <w:t>Bronchoscopy day case lists</w:t>
      </w:r>
    </w:p>
    <w:p w14:paraId="44218704" w14:textId="154148A4" w:rsidR="006B03E2" w:rsidRPr="0010061F" w:rsidRDefault="006B03E2">
      <w:pPr>
        <w:numPr>
          <w:ilvl w:val="0"/>
          <w:numId w:val="32"/>
        </w:numPr>
        <w:spacing w:line="360" w:lineRule="auto"/>
        <w:rPr>
          <w:rFonts w:cstheme="minorHAnsi"/>
        </w:rPr>
      </w:pPr>
      <w:r>
        <w:rPr>
          <w:rFonts w:cstheme="minorHAnsi"/>
        </w:rPr>
        <w:t>Audiology, ophthalmology and fracture clinics</w:t>
      </w:r>
    </w:p>
    <w:p w14:paraId="2E2FB8FA" w14:textId="77777777" w:rsidR="0010061F" w:rsidRPr="0010061F" w:rsidRDefault="0010061F" w:rsidP="0010061F">
      <w:pPr>
        <w:spacing w:line="360" w:lineRule="auto"/>
        <w:rPr>
          <w:rFonts w:cstheme="minorHAnsi"/>
        </w:rPr>
      </w:pPr>
    </w:p>
    <w:p w14:paraId="77D81939" w14:textId="77777777" w:rsidR="0010061F" w:rsidRPr="0010061F" w:rsidRDefault="0010061F" w:rsidP="0010061F">
      <w:pPr>
        <w:spacing w:line="360" w:lineRule="auto"/>
        <w:rPr>
          <w:rFonts w:cstheme="minorHAnsi"/>
        </w:rPr>
      </w:pPr>
      <w:r w:rsidRPr="0010061F">
        <w:rPr>
          <w:rFonts w:cstheme="minorHAnsi"/>
        </w:rPr>
        <w:t>Participants will take part on a voluntary basis and no financial incentive will be given</w:t>
      </w:r>
    </w:p>
    <w:p w14:paraId="384C87B5" w14:textId="77777777" w:rsidR="0010061F" w:rsidRPr="0010061F" w:rsidRDefault="0010061F" w:rsidP="0010061F">
      <w:pPr>
        <w:spacing w:line="360" w:lineRule="auto"/>
        <w:rPr>
          <w:rFonts w:cstheme="minorHAnsi"/>
        </w:rPr>
      </w:pPr>
    </w:p>
    <w:p w14:paraId="6AFF0916" w14:textId="77777777" w:rsidR="0010061F" w:rsidRPr="006B03E2" w:rsidRDefault="0010061F" w:rsidP="00984685">
      <w:pPr>
        <w:rPr>
          <w:b/>
          <w:bCs/>
        </w:rPr>
      </w:pPr>
      <w:r w:rsidRPr="006B03E2">
        <w:rPr>
          <w:b/>
          <w:bCs/>
        </w:rPr>
        <w:t>Initial screening</w:t>
      </w:r>
    </w:p>
    <w:p w14:paraId="550C8521" w14:textId="26CC2FC5" w:rsidR="0010061F" w:rsidRPr="0010061F" w:rsidRDefault="0010061F" w:rsidP="0010061F">
      <w:pPr>
        <w:spacing w:line="360" w:lineRule="auto"/>
        <w:rPr>
          <w:rFonts w:cstheme="minorHAnsi"/>
        </w:rPr>
      </w:pPr>
      <w:r w:rsidRPr="0010061F">
        <w:rPr>
          <w:rFonts w:cstheme="minorHAnsi"/>
        </w:rPr>
        <w:t xml:space="preserve">A member of the research team will pre-screen respiratory clinic outpatient lists </w:t>
      </w:r>
      <w:r w:rsidR="006B03E2">
        <w:rPr>
          <w:rFonts w:cstheme="minorHAnsi"/>
        </w:rPr>
        <w:t xml:space="preserve">and bronchoscopy lists </w:t>
      </w:r>
      <w:r w:rsidRPr="0010061F">
        <w:rPr>
          <w:rFonts w:cstheme="minorHAnsi"/>
        </w:rPr>
        <w:t xml:space="preserve">to identify those with a diagnosis of PBB or </w:t>
      </w:r>
      <w:r w:rsidR="006B03E2">
        <w:rPr>
          <w:rFonts w:cstheme="minorHAnsi"/>
        </w:rPr>
        <w:t xml:space="preserve">who have </w:t>
      </w:r>
      <w:r w:rsidRPr="0010061F">
        <w:rPr>
          <w:rFonts w:cstheme="minorHAnsi"/>
        </w:rPr>
        <w:t xml:space="preserve">previously been prescribed long-term </w:t>
      </w:r>
      <w:r w:rsidR="006B03E2">
        <w:rPr>
          <w:rFonts w:cstheme="minorHAnsi"/>
        </w:rPr>
        <w:t>a</w:t>
      </w:r>
      <w:r w:rsidRPr="0010061F">
        <w:rPr>
          <w:rFonts w:cstheme="minorHAnsi"/>
        </w:rPr>
        <w:t xml:space="preserve">zithromycin for PBB. These patients will be highlighted to the clinical outpatient teams. The clinical team will approach families and inform them of the study. If they are interested in hearing more about the study they will be directed to a neighbouring room where they will be introduced to a research team member. Here they will have the opportunity to discuss the trial in more detail. At this point confirmation of a potentially eligible participant will take place by the research team member and the screening log completed. The appropriate Participant Information and Consent form(s) (PISCs) will be provided for parents or guardians with parental responsibility (from here on referred to as parents) as well as information booklets appropriate for the child’s age. The voluntary nature of the study as well as the risks and benefits will be emphasised. Families will be informed that it would be necessary to collect the first study samples before starting azithromycin if they intend to take part. </w:t>
      </w:r>
      <w:r w:rsidR="00F71021">
        <w:rPr>
          <w:rFonts w:cstheme="minorHAnsi"/>
        </w:rPr>
        <w:t xml:space="preserve">All participants will be given a prescription for long term azithromycin at their clinic appointment. They will be instructed not to collect the prescription if they wish to </w:t>
      </w:r>
      <w:r w:rsidR="00C47244">
        <w:rPr>
          <w:rFonts w:cstheme="minorHAnsi"/>
        </w:rPr>
        <w:t>enrol</w:t>
      </w:r>
      <w:r w:rsidR="00F71021">
        <w:rPr>
          <w:rFonts w:cstheme="minorHAnsi"/>
        </w:rPr>
        <w:t xml:space="preserve"> in the study. </w:t>
      </w:r>
    </w:p>
    <w:p w14:paraId="5C5C31CE" w14:textId="77777777" w:rsidR="0010061F" w:rsidRPr="0010061F" w:rsidRDefault="0010061F" w:rsidP="0010061F">
      <w:pPr>
        <w:spacing w:line="360" w:lineRule="auto"/>
        <w:rPr>
          <w:rFonts w:cstheme="minorHAnsi"/>
        </w:rPr>
      </w:pPr>
    </w:p>
    <w:p w14:paraId="57EF9E7A" w14:textId="207C5494" w:rsidR="0010061F" w:rsidRPr="0010061F" w:rsidRDefault="0010061F" w:rsidP="0010061F">
      <w:pPr>
        <w:spacing w:line="360" w:lineRule="auto"/>
        <w:rPr>
          <w:rFonts w:cstheme="minorHAnsi"/>
        </w:rPr>
      </w:pPr>
      <w:r w:rsidRPr="0010061F">
        <w:rPr>
          <w:rFonts w:cstheme="minorHAnsi"/>
        </w:rPr>
        <w:t xml:space="preserve">Families will be contacted by text message after 24 hours of receiving the study information to see if they would like to participate. If they respond and would like to take part, a suitable date and place will be made to meet the family again. At this point, </w:t>
      </w:r>
      <w:r w:rsidR="00F71021">
        <w:rPr>
          <w:rFonts w:cstheme="minorHAnsi"/>
        </w:rPr>
        <w:t>v</w:t>
      </w:r>
      <w:r w:rsidRPr="0010061F">
        <w:rPr>
          <w:rFonts w:cstheme="minorHAnsi"/>
        </w:rPr>
        <w:t xml:space="preserve">erbal consent will be obtained for randomisation to take place. This is so that the trial medication can be taken to the family when the researcher travels to meet the family again. During this meeting, written consent will be obtained, confirmation of randomisation and baseline, pre-treatment study samples collected. No samples or baseline assessments will be taken nor medication administered until written consent has been obtained. </w:t>
      </w:r>
    </w:p>
    <w:p w14:paraId="1E9F84B7" w14:textId="77777777" w:rsidR="0010061F" w:rsidRPr="0010061F" w:rsidRDefault="0010061F" w:rsidP="0010061F">
      <w:pPr>
        <w:spacing w:line="360" w:lineRule="auto"/>
        <w:rPr>
          <w:rFonts w:cstheme="minorHAnsi"/>
        </w:rPr>
      </w:pPr>
    </w:p>
    <w:p w14:paraId="68B32483" w14:textId="78A55E33" w:rsidR="0010061F" w:rsidRPr="0010061F" w:rsidRDefault="0010061F" w:rsidP="0010061F">
      <w:pPr>
        <w:spacing w:line="360" w:lineRule="auto"/>
        <w:rPr>
          <w:rFonts w:cstheme="minorHAnsi"/>
        </w:rPr>
      </w:pPr>
      <w:r w:rsidRPr="0010061F">
        <w:rPr>
          <w:rFonts w:cstheme="minorHAnsi"/>
        </w:rPr>
        <w:t xml:space="preserve">If </w:t>
      </w:r>
      <w:r w:rsidR="00F71021">
        <w:rPr>
          <w:rFonts w:cstheme="minorHAnsi"/>
        </w:rPr>
        <w:t>potential participants</w:t>
      </w:r>
      <w:r w:rsidRPr="0010061F">
        <w:rPr>
          <w:rFonts w:cstheme="minorHAnsi"/>
        </w:rPr>
        <w:t xml:space="preserve"> do not want to take part</w:t>
      </w:r>
      <w:r w:rsidR="00F71021">
        <w:rPr>
          <w:rFonts w:cstheme="minorHAnsi"/>
        </w:rPr>
        <w:t xml:space="preserve"> and do not respond</w:t>
      </w:r>
      <w:r w:rsidRPr="0010061F">
        <w:rPr>
          <w:rFonts w:cstheme="minorHAnsi"/>
        </w:rPr>
        <w:t xml:space="preserve">, </w:t>
      </w:r>
      <w:r w:rsidR="00F71021">
        <w:rPr>
          <w:rFonts w:cstheme="minorHAnsi"/>
        </w:rPr>
        <w:t xml:space="preserve">they will already have a prescription for long term azithromycin at the standard dose </w:t>
      </w:r>
      <w:r w:rsidRPr="0010061F">
        <w:rPr>
          <w:rFonts w:cstheme="minorHAnsi"/>
        </w:rPr>
        <w:t xml:space="preserve">10mg/kg/dose thrice weekly. </w:t>
      </w:r>
    </w:p>
    <w:p w14:paraId="3B8CB318" w14:textId="77777777" w:rsidR="0010061F" w:rsidRPr="0010061F" w:rsidRDefault="0010061F" w:rsidP="0010061F">
      <w:pPr>
        <w:spacing w:line="360" w:lineRule="auto"/>
        <w:rPr>
          <w:rFonts w:cstheme="minorHAnsi"/>
        </w:rPr>
      </w:pPr>
    </w:p>
    <w:p w14:paraId="1FBF8313" w14:textId="77777777" w:rsidR="0010061F" w:rsidRPr="00F71021" w:rsidRDefault="0010061F" w:rsidP="00984685">
      <w:pPr>
        <w:rPr>
          <w:b/>
          <w:bCs/>
          <w:u w:val="single"/>
        </w:rPr>
      </w:pPr>
      <w:r w:rsidRPr="00F71021">
        <w:rPr>
          <w:b/>
          <w:bCs/>
          <w:u w:val="single"/>
        </w:rPr>
        <w:t>Consent</w:t>
      </w:r>
    </w:p>
    <w:p w14:paraId="11144433" w14:textId="77777777" w:rsidR="0010061F" w:rsidRPr="0010061F" w:rsidRDefault="0010061F" w:rsidP="0010061F">
      <w:pPr>
        <w:spacing w:line="360" w:lineRule="auto"/>
        <w:rPr>
          <w:rFonts w:cstheme="minorHAnsi"/>
        </w:rPr>
      </w:pPr>
      <w:r w:rsidRPr="0010061F">
        <w:rPr>
          <w:rFonts w:cstheme="minorHAnsi"/>
        </w:rPr>
        <w:lastRenderedPageBreak/>
        <w:t>Due to the age criteria of eligible participants, all participants will require written consent by a guardian with parental responsibility. The guardian will ideally help introduce the study to the child in the presence of a research team member. Children may give assent and sign an assent form if developmentally able to do so. Parents/guardians can withdraw their consent at any time during the study.</w:t>
      </w:r>
    </w:p>
    <w:p w14:paraId="51891944" w14:textId="77777777" w:rsidR="0010061F" w:rsidRPr="0010061F" w:rsidRDefault="0010061F" w:rsidP="0010061F">
      <w:pPr>
        <w:spacing w:line="360" w:lineRule="auto"/>
        <w:rPr>
          <w:rFonts w:cstheme="minorHAnsi"/>
        </w:rPr>
      </w:pPr>
    </w:p>
    <w:p w14:paraId="139B1D26" w14:textId="77777777" w:rsidR="0010061F" w:rsidRPr="00F71021" w:rsidRDefault="0010061F" w:rsidP="00984685">
      <w:pPr>
        <w:rPr>
          <w:b/>
          <w:bCs/>
          <w:u w:val="single"/>
        </w:rPr>
      </w:pPr>
      <w:r w:rsidRPr="00F71021">
        <w:rPr>
          <w:b/>
          <w:bCs/>
          <w:u w:val="single"/>
        </w:rPr>
        <w:t>Eligibility</w:t>
      </w:r>
    </w:p>
    <w:p w14:paraId="40B9ED4F" w14:textId="77777777" w:rsidR="0010061F" w:rsidRPr="00F71021" w:rsidRDefault="0010061F" w:rsidP="0010061F">
      <w:pPr>
        <w:spacing w:line="360" w:lineRule="auto"/>
        <w:rPr>
          <w:rFonts w:cstheme="minorHAnsi"/>
        </w:rPr>
      </w:pPr>
      <w:r w:rsidRPr="00F71021">
        <w:rPr>
          <w:rFonts w:cstheme="minorHAnsi"/>
        </w:rPr>
        <w:t xml:space="preserve">Once written consent has been obtained, the eligibility criteria will be confirmed and baseline assessments can then be undertaken. </w:t>
      </w:r>
    </w:p>
    <w:p w14:paraId="37D1B383" w14:textId="77777777" w:rsidR="0010061F" w:rsidRPr="00F71021" w:rsidRDefault="0010061F" w:rsidP="0010061F">
      <w:pPr>
        <w:spacing w:line="360" w:lineRule="auto"/>
        <w:rPr>
          <w:rFonts w:cstheme="minorHAnsi"/>
        </w:rPr>
      </w:pPr>
    </w:p>
    <w:p w14:paraId="02E06AD5" w14:textId="77777777" w:rsidR="0010061F" w:rsidRPr="00F71021" w:rsidRDefault="0010061F" w:rsidP="00984685">
      <w:pPr>
        <w:rPr>
          <w:u w:val="single"/>
        </w:rPr>
      </w:pPr>
      <w:r w:rsidRPr="00F71021">
        <w:rPr>
          <w:u w:val="single"/>
        </w:rPr>
        <w:t>Baseline Assessments to be completed by the Research team</w:t>
      </w:r>
    </w:p>
    <w:p w14:paraId="766F105E" w14:textId="77777777" w:rsidR="0010061F" w:rsidRPr="00F71021" w:rsidRDefault="0010061F">
      <w:pPr>
        <w:numPr>
          <w:ilvl w:val="0"/>
          <w:numId w:val="50"/>
        </w:numPr>
        <w:spacing w:line="360" w:lineRule="auto"/>
        <w:rPr>
          <w:rFonts w:cstheme="minorHAnsi"/>
        </w:rPr>
      </w:pPr>
      <w:r w:rsidRPr="00F71021">
        <w:rPr>
          <w:rFonts w:cstheme="minorHAnsi"/>
        </w:rPr>
        <w:t>Weight, height, BMI</w:t>
      </w:r>
    </w:p>
    <w:p w14:paraId="1DD3DFB0" w14:textId="77777777" w:rsidR="0010061F" w:rsidRPr="00F71021" w:rsidRDefault="0010061F">
      <w:pPr>
        <w:numPr>
          <w:ilvl w:val="0"/>
          <w:numId w:val="50"/>
        </w:numPr>
        <w:spacing w:line="360" w:lineRule="auto"/>
        <w:rPr>
          <w:rFonts w:cstheme="minorHAnsi"/>
        </w:rPr>
      </w:pPr>
      <w:r w:rsidRPr="00F71021">
        <w:rPr>
          <w:rFonts w:cstheme="minorHAnsi"/>
        </w:rPr>
        <w:t xml:space="preserve">Demographics: Family smoking history, number of siblings living at home, day care/ school attendance. </w:t>
      </w:r>
    </w:p>
    <w:p w14:paraId="64391EF4" w14:textId="521EFC20" w:rsidR="0010061F" w:rsidRPr="00F71021" w:rsidRDefault="0010061F">
      <w:pPr>
        <w:numPr>
          <w:ilvl w:val="0"/>
          <w:numId w:val="50"/>
        </w:numPr>
        <w:spacing w:line="360" w:lineRule="auto"/>
        <w:rPr>
          <w:rFonts w:cstheme="minorHAnsi"/>
        </w:rPr>
      </w:pPr>
      <w:r w:rsidRPr="00F71021">
        <w:rPr>
          <w:rFonts w:cstheme="minorHAnsi"/>
        </w:rPr>
        <w:t>Medical history: Gestation at birth, mode of delivery, infant feeding/ breast feeding history, vaccination history, previous ventilation</w:t>
      </w:r>
      <w:r w:rsidR="00F71021">
        <w:rPr>
          <w:rFonts w:cstheme="minorHAnsi"/>
        </w:rPr>
        <w:t>, allergy status</w:t>
      </w:r>
      <w:r w:rsidRPr="00F71021">
        <w:rPr>
          <w:rFonts w:cstheme="minorHAnsi"/>
        </w:rPr>
        <w:t>.</w:t>
      </w:r>
    </w:p>
    <w:p w14:paraId="7E65636F" w14:textId="77777777" w:rsidR="0010061F" w:rsidRPr="00F71021" w:rsidRDefault="0010061F">
      <w:pPr>
        <w:numPr>
          <w:ilvl w:val="0"/>
          <w:numId w:val="50"/>
        </w:numPr>
        <w:spacing w:line="360" w:lineRule="auto"/>
        <w:rPr>
          <w:rFonts w:cstheme="minorHAnsi"/>
        </w:rPr>
      </w:pPr>
      <w:r w:rsidRPr="00F71021">
        <w:rPr>
          <w:rFonts w:cstheme="minorHAnsi"/>
        </w:rPr>
        <w:t xml:space="preserve">Previous antibiotic exposure: Emergency and GP attendances for antibiotics. </w:t>
      </w:r>
    </w:p>
    <w:p w14:paraId="12A48FA4" w14:textId="77777777" w:rsidR="0010061F" w:rsidRPr="00F71021" w:rsidRDefault="0010061F">
      <w:pPr>
        <w:numPr>
          <w:ilvl w:val="0"/>
          <w:numId w:val="50"/>
        </w:numPr>
        <w:spacing w:line="360" w:lineRule="auto"/>
        <w:rPr>
          <w:rFonts w:cstheme="minorHAnsi"/>
        </w:rPr>
      </w:pPr>
      <w:r w:rsidRPr="00F71021">
        <w:rPr>
          <w:rFonts w:cstheme="minorHAnsi"/>
        </w:rPr>
        <w:t>Concomitant medication list</w:t>
      </w:r>
    </w:p>
    <w:p w14:paraId="4E2732DC" w14:textId="77777777" w:rsidR="0010061F" w:rsidRPr="00F71021" w:rsidRDefault="0010061F">
      <w:pPr>
        <w:numPr>
          <w:ilvl w:val="0"/>
          <w:numId w:val="50"/>
        </w:numPr>
        <w:spacing w:line="360" w:lineRule="auto"/>
        <w:rPr>
          <w:rFonts w:cstheme="minorHAnsi"/>
        </w:rPr>
      </w:pPr>
      <w:r w:rsidRPr="00F71021">
        <w:rPr>
          <w:rFonts w:cstheme="minorHAnsi"/>
        </w:rPr>
        <w:t>Nasopharyngeal swab</w:t>
      </w:r>
    </w:p>
    <w:p w14:paraId="50D7092C" w14:textId="77777777" w:rsidR="0010061F" w:rsidRPr="00F71021" w:rsidRDefault="0010061F">
      <w:pPr>
        <w:numPr>
          <w:ilvl w:val="0"/>
          <w:numId w:val="50"/>
        </w:numPr>
        <w:spacing w:line="360" w:lineRule="auto"/>
        <w:rPr>
          <w:rFonts w:cstheme="minorHAnsi"/>
        </w:rPr>
      </w:pPr>
      <w:r w:rsidRPr="00F71021">
        <w:rPr>
          <w:rFonts w:cstheme="minorHAnsi"/>
        </w:rPr>
        <w:t>Stool sample</w:t>
      </w:r>
    </w:p>
    <w:p w14:paraId="6487C25C" w14:textId="77777777" w:rsidR="0010061F" w:rsidRPr="00F71021" w:rsidRDefault="0010061F" w:rsidP="0010061F">
      <w:pPr>
        <w:spacing w:line="360" w:lineRule="auto"/>
        <w:ind w:left="720"/>
        <w:rPr>
          <w:rFonts w:cstheme="minorHAnsi"/>
        </w:rPr>
      </w:pPr>
    </w:p>
    <w:p w14:paraId="47383A68" w14:textId="77777777" w:rsidR="0010061F" w:rsidRPr="00F71021" w:rsidRDefault="0010061F" w:rsidP="00984685">
      <w:pPr>
        <w:rPr>
          <w:u w:val="single"/>
        </w:rPr>
      </w:pPr>
      <w:r w:rsidRPr="00F71021">
        <w:rPr>
          <w:u w:val="single"/>
        </w:rPr>
        <w:t>Baseline Assessments to be completed by the caregiver</w:t>
      </w:r>
    </w:p>
    <w:p w14:paraId="532592B4" w14:textId="77777777" w:rsidR="0010061F" w:rsidRPr="00F71021" w:rsidRDefault="0010061F" w:rsidP="0010061F">
      <w:pPr>
        <w:spacing w:line="360" w:lineRule="auto"/>
        <w:rPr>
          <w:rFonts w:cstheme="minorHAnsi"/>
        </w:rPr>
      </w:pPr>
      <w:r w:rsidRPr="00F71021">
        <w:rPr>
          <w:rFonts w:cstheme="minorHAnsi"/>
        </w:rPr>
        <w:t>The caregiver must complete the following baseline assessments</w:t>
      </w:r>
    </w:p>
    <w:p w14:paraId="6379E4F2" w14:textId="7BCD4210" w:rsidR="0010061F" w:rsidRPr="00F71021" w:rsidRDefault="0010061F">
      <w:pPr>
        <w:numPr>
          <w:ilvl w:val="0"/>
          <w:numId w:val="51"/>
        </w:numPr>
        <w:spacing w:line="360" w:lineRule="auto"/>
        <w:rPr>
          <w:rFonts w:cstheme="minorHAnsi"/>
          <w:lang w:val="fr-FR"/>
        </w:rPr>
      </w:pPr>
      <w:proofErr w:type="spellStart"/>
      <w:r w:rsidRPr="00F71021">
        <w:rPr>
          <w:rFonts w:cstheme="minorHAnsi"/>
          <w:lang w:val="fr-FR"/>
        </w:rPr>
        <w:t>Respiratory</w:t>
      </w:r>
      <w:proofErr w:type="spellEnd"/>
      <w:r w:rsidRPr="00F71021">
        <w:rPr>
          <w:rFonts w:cstheme="minorHAnsi"/>
          <w:lang w:val="fr-FR"/>
        </w:rPr>
        <w:t xml:space="preserve"> </w:t>
      </w:r>
      <w:proofErr w:type="spellStart"/>
      <w:r w:rsidRPr="00F71021">
        <w:rPr>
          <w:rFonts w:cstheme="minorHAnsi"/>
          <w:lang w:val="fr-FR"/>
        </w:rPr>
        <w:t>symptoms</w:t>
      </w:r>
      <w:proofErr w:type="spellEnd"/>
      <w:r w:rsidRPr="00F71021">
        <w:rPr>
          <w:rFonts w:cstheme="minorHAnsi"/>
          <w:lang w:val="fr-FR"/>
        </w:rPr>
        <w:t xml:space="preserve"> questionnaire.</w:t>
      </w:r>
      <w:r w:rsidR="00B90969">
        <w:rPr>
          <w:rFonts w:cstheme="minorHAnsi"/>
          <w:lang w:val="fr-FR"/>
        </w:rPr>
        <w:t xml:space="preserve"> </w:t>
      </w:r>
      <w:r w:rsidR="009D048A">
        <w:rPr>
          <w:rFonts w:cstheme="minorHAnsi"/>
          <w:lang w:val="fr-FR"/>
        </w:rPr>
        <w:fldChar w:fldCharType="begin"/>
      </w:r>
      <w:r w:rsidR="00EE22EB">
        <w:rPr>
          <w:rFonts w:cstheme="minorHAnsi"/>
          <w:lang w:val="fr-FR"/>
        </w:rPr>
        <w:instrText xml:space="preserve"> ADDIN EN.CITE &lt;EndNote&gt;&lt;Cite&gt;&lt;Author&gt;Trinick&lt;/Author&gt;&lt;Year&gt;2012&lt;/Year&gt;&lt;RecNum&gt;497&lt;/RecNum&gt;&lt;DisplayText&gt;(Trinick et al., 2012)&lt;/DisplayText&gt;&lt;record&gt;&lt;rec-number&gt;497&lt;/rec-number&gt;&lt;foreign-keys&gt;&lt;key app="EN" db-id="pr9rwt2w8padxcerwx6prd0a9wtda2w5fw2t" timestamp="1655672275"&gt;497&lt;/key&gt;&lt;/foreign-keys&gt;&lt;ref-type name="Journal Article"&gt;17&lt;/ref-type&gt;&lt;contributors&gt;&lt;authors&gt;&lt;author&gt;Trinick, R.&lt;/author&gt;&lt;author&gt;Southern, K. W.&lt;/author&gt;&lt;author&gt;McNamara, P. S.&lt;/author&gt;&lt;/authors&gt;&lt;/contributors&gt;&lt;titles&gt;&lt;title&gt;Assessing the Liverpool Respiratory Symptom Questionnaire in children with cystic fibrosis&lt;/title&gt;&lt;secondary-title&gt;European Respiratory Journal&lt;/secondary-title&gt;&lt;/titles&gt;&lt;periodical&gt;&lt;full-title&gt;European Respiratory Journal&lt;/full-title&gt;&lt;/periodical&gt;&lt;pages&gt;899&lt;/pages&gt;&lt;volume&gt;39&lt;/volume&gt;&lt;number&gt;4&lt;/number&gt;&lt;dates&gt;&lt;year&gt;2012&lt;/year&gt;&lt;/dates&gt;&lt;urls&gt;&lt;related-urls&gt;&lt;url&gt;http://erj.ersjournals.com/content/39/4/899.abstract&lt;/url&gt;&lt;/related-urls&gt;&lt;/urls&gt;&lt;electronic-resource-num&gt;10.1183/09031936.00070311&lt;/electronic-resource-num&gt;&lt;/record&gt;&lt;/Cite&gt;&lt;/EndNote&gt;</w:instrText>
      </w:r>
      <w:r w:rsidR="009D048A">
        <w:rPr>
          <w:rFonts w:cstheme="minorHAnsi"/>
          <w:lang w:val="fr-FR"/>
        </w:rPr>
        <w:fldChar w:fldCharType="separate"/>
      </w:r>
      <w:r w:rsidR="00EE22EB">
        <w:rPr>
          <w:rFonts w:cstheme="minorHAnsi"/>
          <w:noProof/>
          <w:lang w:val="fr-FR"/>
        </w:rPr>
        <w:t>(Trinick et al., 2012)</w:t>
      </w:r>
      <w:r w:rsidR="009D048A">
        <w:rPr>
          <w:rFonts w:cstheme="minorHAnsi"/>
          <w:lang w:val="fr-FR"/>
        </w:rPr>
        <w:fldChar w:fldCharType="end"/>
      </w:r>
    </w:p>
    <w:p w14:paraId="565104C9" w14:textId="28208BF3" w:rsidR="0010061F" w:rsidRPr="00F71021" w:rsidRDefault="0010061F">
      <w:pPr>
        <w:numPr>
          <w:ilvl w:val="0"/>
          <w:numId w:val="51"/>
        </w:numPr>
        <w:spacing w:line="360" w:lineRule="auto"/>
        <w:rPr>
          <w:rFonts w:cstheme="minorHAnsi"/>
        </w:rPr>
      </w:pPr>
      <w:r w:rsidRPr="00F71021">
        <w:rPr>
          <w:rFonts w:cstheme="minorHAnsi"/>
        </w:rPr>
        <w:t xml:space="preserve">Quality of life questionnaire. EQ 5D Y, a child specific and age appropriate measure of health related quality of life </w:t>
      </w:r>
      <w:r w:rsidR="009D048A">
        <w:rPr>
          <w:rFonts w:cstheme="minorHAnsi"/>
        </w:rPr>
        <w:fldChar w:fldCharType="begin">
          <w:fldData xml:space="preserve">PEVuZE5vdGU+PENpdGU+PEF1dGhvcj5GaXRyaWFuYTwvQXV0aG9yPjxZZWFyPjIwMjE8L1llYXI+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</w:fldData>
        </w:fldChar>
      </w:r>
      <w:r w:rsidR="00EE22EB">
        <w:rPr>
          <w:rFonts w:cstheme="minorHAnsi"/>
        </w:rPr>
        <w:instrText xml:space="preserve"> ADDIN EN.CITE </w:instrText>
      </w:r>
      <w:r w:rsidR="00EE22EB">
        <w:rPr>
          <w:rFonts w:cstheme="minorHAnsi"/>
        </w:rPr>
        <w:fldChar w:fldCharType="begin">
          <w:fldData xml:space="preserve">PEVuZE5vdGU+PENpdGU+PEF1dGhvcj5GaXRyaWFuYTwvQXV0aG9yPjxZZWFyPjIwMjE8L1llYXI+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</w:fldData>
        </w:fldChar>
      </w:r>
      <w:r w:rsidR="00EE22EB">
        <w:rPr>
          <w:rFonts w:cstheme="minorHAnsi"/>
        </w:rPr>
        <w:instrText xml:space="preserve"> ADDIN EN.CITE.DATA </w:instrText>
      </w:r>
      <w:r w:rsidR="00EE22EB">
        <w:rPr>
          <w:rFonts w:cstheme="minorHAnsi"/>
        </w:rPr>
      </w:r>
      <w:r w:rsidR="00EE22EB">
        <w:rPr>
          <w:rFonts w:cstheme="minorHAnsi"/>
        </w:rPr>
        <w:fldChar w:fldCharType="end"/>
      </w:r>
      <w:r w:rsidR="009D048A">
        <w:rPr>
          <w:rFonts w:cstheme="minorHAnsi"/>
        </w:rPr>
      </w:r>
      <w:r w:rsidR="009D048A">
        <w:rPr>
          <w:rFonts w:cstheme="minorHAnsi"/>
        </w:rPr>
        <w:fldChar w:fldCharType="separate"/>
      </w:r>
      <w:r w:rsidR="00EE22EB">
        <w:rPr>
          <w:rFonts w:cstheme="minorHAnsi"/>
          <w:noProof/>
        </w:rPr>
        <w:t>(Fitriana et al., 2021)</w:t>
      </w:r>
      <w:r w:rsidR="009D048A">
        <w:rPr>
          <w:rFonts w:cstheme="minorHAnsi"/>
        </w:rPr>
        <w:fldChar w:fldCharType="end"/>
      </w:r>
    </w:p>
    <w:p w14:paraId="7D3169EF" w14:textId="77777777" w:rsidR="0010061F" w:rsidRPr="00F71021" w:rsidRDefault="0010061F" w:rsidP="0010061F">
      <w:pPr>
        <w:spacing w:line="360" w:lineRule="auto"/>
        <w:rPr>
          <w:rFonts w:cstheme="minorHAnsi"/>
        </w:rPr>
      </w:pPr>
    </w:p>
    <w:p w14:paraId="6BB9EAA3" w14:textId="77777777" w:rsidR="0010061F" w:rsidRPr="006755E9" w:rsidRDefault="0010061F" w:rsidP="00984685">
      <w:pPr>
        <w:rPr>
          <w:rFonts w:cstheme="minorHAnsi"/>
          <w:b/>
          <w:bCs/>
          <w:kern w:val="32"/>
        </w:rPr>
      </w:pPr>
      <w:r w:rsidRPr="006755E9">
        <w:rPr>
          <w:rFonts w:cstheme="minorHAnsi"/>
          <w:b/>
          <w:bCs/>
          <w:kern w:val="32"/>
        </w:rPr>
        <w:t>R</w:t>
      </w:r>
      <w:r w:rsidRPr="006755E9">
        <w:rPr>
          <w:b/>
          <w:bCs/>
        </w:rPr>
        <w:t>andomisation</w:t>
      </w:r>
    </w:p>
    <w:p w14:paraId="566B4FF2" w14:textId="3F91CD5B" w:rsidR="0010061F" w:rsidRPr="00F71021" w:rsidRDefault="0010061F" w:rsidP="0010061F">
      <w:pPr>
        <w:spacing w:line="360" w:lineRule="auto"/>
        <w:rPr>
          <w:rFonts w:cstheme="minorHAnsi"/>
        </w:rPr>
      </w:pPr>
      <w:r w:rsidRPr="00F71021">
        <w:rPr>
          <w:rFonts w:cstheme="minorHAnsi"/>
          <w:iCs/>
        </w:rPr>
        <w:t xml:space="preserve">A delegated medical practitioner will confirm eligibility prior to commencement of Phase 1. </w:t>
      </w:r>
      <w:r w:rsidRPr="00F71021">
        <w:rPr>
          <w:rFonts w:cstheme="minorHAnsi"/>
        </w:rPr>
        <w:t xml:space="preserve">Randomisation to Groups 1 or 2 will take place when participants and the researcher are organising a time to physically meet. This will be based on verbal consent in order for the trial medication to be taken to the family. Participants will be randomised to receive either </w:t>
      </w:r>
      <w:r w:rsidRPr="00F71021">
        <w:rPr>
          <w:rFonts w:cstheme="minorHAnsi"/>
        </w:rPr>
        <w:lastRenderedPageBreak/>
        <w:t>10mg/kg/dose thrice weekly Azithromycin or 5mg/kg/dose of thrice weekly azithromycin on a 1:1 ratio. Treatment will commence on the following Monday, Wednesday or Friday dependant on the day of randomisation. The total duration of azithromycin will be 6 months</w:t>
      </w:r>
      <w:r w:rsidR="006755E9">
        <w:rPr>
          <w:rFonts w:cstheme="minorHAnsi"/>
        </w:rPr>
        <w:t>. If further long term antibiotics are required, standard dosing azithromycin will be prescribed.</w:t>
      </w:r>
      <w:r w:rsidRPr="00F71021">
        <w:rPr>
          <w:rFonts w:cstheme="minorHAnsi"/>
        </w:rPr>
        <w:t xml:space="preserve"> Participants and researchers will</w:t>
      </w:r>
      <w:r w:rsidR="006755E9">
        <w:rPr>
          <w:rFonts w:cstheme="minorHAnsi"/>
        </w:rPr>
        <w:t xml:space="preserve"> otherwise</w:t>
      </w:r>
      <w:r w:rsidRPr="00F71021">
        <w:rPr>
          <w:rFonts w:cstheme="minorHAnsi"/>
        </w:rPr>
        <w:t xml:space="preserve"> remain blinded until the study end at 18 months</w:t>
      </w:r>
    </w:p>
    <w:p w14:paraId="6DE6E3EF" w14:textId="326A2F27" w:rsidR="0010061F" w:rsidRPr="00F71021" w:rsidRDefault="0010061F" w:rsidP="0010061F">
      <w:pPr>
        <w:spacing w:line="360" w:lineRule="auto"/>
        <w:rPr>
          <w:rFonts w:cstheme="minorHAnsi"/>
        </w:rPr>
      </w:pPr>
      <w:r w:rsidRPr="00F71021">
        <w:rPr>
          <w:rFonts w:cstheme="minorHAnsi"/>
        </w:rPr>
        <w:t>During the second randomisation in Phase 2, participants from groups 1 and 2</w:t>
      </w:r>
      <w:r w:rsidR="006755E9">
        <w:rPr>
          <w:rFonts w:cstheme="minorHAnsi"/>
        </w:rPr>
        <w:t xml:space="preserve">, who have stopped long term antibiotics, </w:t>
      </w:r>
      <w:r w:rsidRPr="00F71021">
        <w:rPr>
          <w:rFonts w:cstheme="minorHAnsi"/>
        </w:rPr>
        <w:t xml:space="preserve">will be randomised to receive a standard dose of daily lactulose for 2 weeks or no lactulose. </w:t>
      </w:r>
    </w:p>
    <w:p w14:paraId="177D2D0E" w14:textId="3CD28F1C" w:rsidR="0010061F" w:rsidRDefault="0010061F" w:rsidP="0010061F">
      <w:pPr>
        <w:spacing w:line="360" w:lineRule="auto"/>
        <w:rPr>
          <w:rFonts w:cstheme="minorHAnsi"/>
        </w:rPr>
      </w:pPr>
    </w:p>
    <w:p w14:paraId="74C901DB" w14:textId="3911621C" w:rsidR="001611A7" w:rsidRPr="00F71021" w:rsidRDefault="00B44F9F" w:rsidP="0010061F">
      <w:pPr>
        <w:spacing w:line="360" w:lineRule="auto"/>
        <w:rPr>
          <w:rFonts w:cstheme="minorHAnsi"/>
        </w:rPr>
      </w:pPr>
      <w:r>
        <w:rPr>
          <w:rFonts w:cstheme="minorHAnsi"/>
        </w:rPr>
        <w:t>(</w:t>
      </w:r>
      <w:r w:rsidR="001611A7">
        <w:rPr>
          <w:rFonts w:cstheme="minorHAnsi"/>
        </w:rPr>
        <w:t>Details of randomisation process to be confirmed</w:t>
      </w:r>
      <w:r>
        <w:rPr>
          <w:rFonts w:cstheme="minorHAnsi"/>
        </w:rPr>
        <w:t>)</w:t>
      </w:r>
    </w:p>
    <w:p w14:paraId="127F3DA4" w14:textId="77777777" w:rsidR="0010061F" w:rsidRPr="00F71021" w:rsidRDefault="0010061F" w:rsidP="0010061F">
      <w:pPr>
        <w:spacing w:line="360" w:lineRule="auto"/>
        <w:rPr>
          <w:rFonts w:cstheme="minorHAnsi"/>
        </w:rPr>
      </w:pPr>
    </w:p>
    <w:p w14:paraId="366C6D82" w14:textId="77777777" w:rsidR="0010061F" w:rsidRPr="006755E9" w:rsidRDefault="0010061F" w:rsidP="00984685">
      <w:pPr>
        <w:rPr>
          <w:b/>
          <w:bCs/>
        </w:rPr>
      </w:pPr>
      <w:r w:rsidRPr="006755E9">
        <w:rPr>
          <w:b/>
          <w:bCs/>
        </w:rPr>
        <w:t>Blinding</w:t>
      </w:r>
    </w:p>
    <w:p w14:paraId="78B1DF27" w14:textId="56B0BFF3" w:rsidR="0010061F" w:rsidRDefault="0010061F" w:rsidP="0010061F">
      <w:pPr>
        <w:spacing w:line="360" w:lineRule="auto"/>
        <w:rPr>
          <w:rFonts w:cstheme="minorHAnsi"/>
        </w:rPr>
      </w:pPr>
      <w:r w:rsidRPr="00F71021">
        <w:rPr>
          <w:rFonts w:cstheme="minorHAnsi"/>
          <w:u w:val="single"/>
        </w:rPr>
        <w:t>Phase 1</w:t>
      </w:r>
      <w:r w:rsidRPr="00F71021">
        <w:rPr>
          <w:rFonts w:cstheme="minorHAnsi"/>
        </w:rPr>
        <w:t xml:space="preserve"> is a double blind trial so participants, clinicians and the research team will be blinded to treatment allocation. The study pharmacist</w:t>
      </w:r>
      <w:r w:rsidRPr="0010061F">
        <w:rPr>
          <w:rFonts w:cstheme="minorHAnsi"/>
        </w:rPr>
        <w:t xml:space="preserve"> will be the designated unblinding team member and be unblinded to treatment allocation. The pharmacist will not be involved in patient care apart from dispensing the treatment. </w:t>
      </w:r>
    </w:p>
    <w:p w14:paraId="55C0A757" w14:textId="223FDB5C" w:rsidR="001611A7" w:rsidRDefault="00B44F9F" w:rsidP="0010061F">
      <w:pPr>
        <w:spacing w:line="360" w:lineRule="auto"/>
        <w:rPr>
          <w:rFonts w:cstheme="minorHAnsi"/>
        </w:rPr>
      </w:pPr>
      <w:r>
        <w:rPr>
          <w:rFonts w:cstheme="minorHAnsi"/>
        </w:rPr>
        <w:t>(</w:t>
      </w:r>
      <w:r w:rsidR="001611A7">
        <w:rPr>
          <w:rFonts w:cstheme="minorHAnsi"/>
        </w:rPr>
        <w:t>Unblinding procedures yet to be written</w:t>
      </w:r>
      <w:r>
        <w:rPr>
          <w:rFonts w:cstheme="minorHAnsi"/>
        </w:rPr>
        <w:t>)</w:t>
      </w:r>
    </w:p>
    <w:p w14:paraId="0A32FE14" w14:textId="77777777" w:rsidR="001611A7" w:rsidRPr="0010061F" w:rsidRDefault="001611A7" w:rsidP="0010061F">
      <w:pPr>
        <w:spacing w:line="360" w:lineRule="auto"/>
        <w:rPr>
          <w:rFonts w:cstheme="minorHAnsi"/>
        </w:rPr>
      </w:pPr>
    </w:p>
    <w:p w14:paraId="5ACACD95" w14:textId="77777777" w:rsidR="0010061F" w:rsidRPr="0010061F" w:rsidRDefault="0010061F" w:rsidP="0010061F">
      <w:pPr>
        <w:spacing w:line="360" w:lineRule="auto"/>
        <w:rPr>
          <w:rFonts w:cstheme="minorHAnsi"/>
        </w:rPr>
      </w:pPr>
      <w:r w:rsidRPr="0010061F">
        <w:rPr>
          <w:rFonts w:cstheme="minorHAnsi"/>
        </w:rPr>
        <w:t xml:space="preserve">The decision to start long-term azithromycin will be made by the treating respiratory clinician. If participants are willing to consider the study, no prescription for azithromycin will be given during the clinic visit. </w:t>
      </w:r>
    </w:p>
    <w:p w14:paraId="313DB50E" w14:textId="77777777" w:rsidR="0010061F" w:rsidRPr="0010061F" w:rsidRDefault="0010061F" w:rsidP="0010061F">
      <w:pPr>
        <w:spacing w:line="360" w:lineRule="auto"/>
        <w:rPr>
          <w:rFonts w:cstheme="minorHAnsi"/>
        </w:rPr>
      </w:pPr>
    </w:p>
    <w:p w14:paraId="2757B174" w14:textId="343A9913" w:rsidR="0010061F" w:rsidRPr="0010061F" w:rsidRDefault="0010061F" w:rsidP="0010061F">
      <w:pPr>
        <w:spacing w:line="360" w:lineRule="auto"/>
        <w:rPr>
          <w:rFonts w:cstheme="minorHAnsi"/>
        </w:rPr>
      </w:pPr>
      <w:r w:rsidRPr="0010061F">
        <w:rPr>
          <w:rFonts w:cstheme="minorHAnsi"/>
          <w:u w:val="single"/>
        </w:rPr>
        <w:t>Phase 2</w:t>
      </w:r>
      <w:r w:rsidRPr="0010061F">
        <w:rPr>
          <w:rFonts w:cstheme="minorHAnsi"/>
        </w:rPr>
        <w:t xml:space="preserve"> is</w:t>
      </w:r>
      <w:r w:rsidR="003921E2">
        <w:rPr>
          <w:rFonts w:cstheme="minorHAnsi"/>
        </w:rPr>
        <w:t xml:space="preserve"> randomised controlled trial</w:t>
      </w:r>
      <w:r w:rsidRPr="0010061F">
        <w:rPr>
          <w:rFonts w:cstheme="minorHAnsi"/>
        </w:rPr>
        <w:t xml:space="preserve">. Participants will be randomised to either receive lactulose of not. No placebo will be administered to those not allocated to lactulose. Hence participants and the research team will not be blinded to the treatment allocation. </w:t>
      </w:r>
    </w:p>
    <w:p w14:paraId="6A3F8109" w14:textId="77777777" w:rsidR="0010061F" w:rsidRPr="0010061F" w:rsidRDefault="0010061F" w:rsidP="0010061F">
      <w:pPr>
        <w:spacing w:line="360" w:lineRule="auto"/>
        <w:rPr>
          <w:rFonts w:cstheme="minorHAnsi"/>
        </w:rPr>
      </w:pPr>
    </w:p>
    <w:p w14:paraId="1AF5908A" w14:textId="0D35BD5A" w:rsidR="0010061F" w:rsidRPr="0010061F" w:rsidRDefault="00B44F9F" w:rsidP="00B44F9F">
      <w:pPr>
        <w:spacing w:line="360" w:lineRule="auto"/>
        <w:rPr>
          <w:rFonts w:cstheme="minorHAnsi"/>
        </w:rPr>
      </w:pPr>
      <w:r w:rsidRPr="00B44F9F">
        <w:rPr>
          <w:rFonts w:cstheme="minorHAnsi"/>
          <w:b/>
          <w:bCs/>
        </w:rPr>
        <w:t>Participant timeline, assessments and procedures</w:t>
      </w:r>
      <w:r>
        <w:rPr>
          <w:rFonts w:cstheme="minorHAnsi"/>
        </w:rPr>
        <w:t xml:space="preserve"> – yet to be completed</w:t>
      </w:r>
    </w:p>
    <w:p w14:paraId="671D8B62" w14:textId="77777777" w:rsidR="00B44F9F" w:rsidRDefault="00B44F9F" w:rsidP="00984685"/>
    <w:p w14:paraId="3E08654B" w14:textId="61ADE455" w:rsidR="0010061F" w:rsidRPr="00B44F9F" w:rsidRDefault="0010061F" w:rsidP="00984685">
      <w:pPr>
        <w:rPr>
          <w:b/>
          <w:bCs/>
        </w:rPr>
      </w:pPr>
      <w:r w:rsidRPr="00B44F9F">
        <w:rPr>
          <w:b/>
          <w:bCs/>
        </w:rPr>
        <w:t>Administration of intervention</w:t>
      </w:r>
    </w:p>
    <w:p w14:paraId="6322C862" w14:textId="77777777" w:rsidR="0010061F" w:rsidRPr="0010061F" w:rsidRDefault="0010061F" w:rsidP="0010061F">
      <w:pPr>
        <w:rPr>
          <w:rFonts w:cstheme="minorHAnsi"/>
        </w:rPr>
      </w:pPr>
    </w:p>
    <w:p w14:paraId="486E4526" w14:textId="77777777" w:rsidR="0010061F" w:rsidRPr="0010061F" w:rsidRDefault="0010061F" w:rsidP="0010061F">
      <w:pPr>
        <w:spacing w:line="360" w:lineRule="auto"/>
        <w:rPr>
          <w:rFonts w:cstheme="minorHAnsi"/>
        </w:rPr>
      </w:pPr>
      <w:r w:rsidRPr="0010061F">
        <w:rPr>
          <w:rFonts w:cstheme="minorHAnsi"/>
        </w:rPr>
        <w:lastRenderedPageBreak/>
        <w:t xml:space="preserve">Following randomisation into phase 1, the trial medication will be dispensed. A member of the research team will take bottes of the trial medication to the family during the visit where written consent will be taken and baseline investigations/ samples collected. </w:t>
      </w:r>
    </w:p>
    <w:p w14:paraId="495F8BB6" w14:textId="77777777" w:rsidR="0010061F" w:rsidRPr="0010061F" w:rsidRDefault="0010061F" w:rsidP="0010061F">
      <w:pPr>
        <w:rPr>
          <w:rFonts w:cstheme="minorHAnsi"/>
        </w:rPr>
      </w:pPr>
    </w:p>
    <w:p w14:paraId="717F94D7" w14:textId="77777777" w:rsidR="0010061F" w:rsidRPr="0010061F" w:rsidRDefault="0010061F" w:rsidP="0010061F">
      <w:pPr>
        <w:spacing w:line="360" w:lineRule="auto"/>
        <w:rPr>
          <w:rFonts w:cstheme="minorHAnsi"/>
          <w:u w:val="single"/>
        </w:rPr>
      </w:pPr>
      <w:r w:rsidRPr="0010061F">
        <w:rPr>
          <w:rFonts w:cstheme="minorHAnsi"/>
          <w:u w:val="single"/>
        </w:rPr>
        <w:t xml:space="preserve">Trial medication – Azithromycin </w:t>
      </w:r>
    </w:p>
    <w:p w14:paraId="467DE022" w14:textId="29EC689B" w:rsidR="0010061F" w:rsidRDefault="0010061F" w:rsidP="0010061F">
      <w:pPr>
        <w:spacing w:line="360" w:lineRule="auto"/>
        <w:rPr>
          <w:rFonts w:cstheme="minorHAnsi"/>
        </w:rPr>
      </w:pPr>
      <w:r w:rsidRPr="0010061F">
        <w:rPr>
          <w:rFonts w:cstheme="minorHAnsi"/>
        </w:rPr>
        <w:t xml:space="preserve">The Sheffield Children’s hospital pharmacy will provide bottles of azithromycin powder to be reconstituted on a weekly basis as is standard practice. Following randomisation, the trial medication will be dispensed to the research team member allocated to meet the family and obtain written consent. The researcher will take the medication to the family. Bottles of powdered antibiotic will be reconstituted by the family on a weekly basis as is the standard procedure. Information on how to reconstitute the antibiotics will be provided as is routine. Administration will be at home by the parent or carer for at least 6 months. </w:t>
      </w:r>
      <w:r w:rsidR="00E07A1B">
        <w:rPr>
          <w:rFonts w:cstheme="minorHAnsi"/>
        </w:rPr>
        <w:t>All used bottles will be returned to the research centre at the 6 month visit.</w:t>
      </w:r>
    </w:p>
    <w:p w14:paraId="6D75CC56" w14:textId="5B2CEAC3" w:rsidR="00E07A1B" w:rsidRDefault="00E07A1B" w:rsidP="0010061F">
      <w:pPr>
        <w:spacing w:line="360" w:lineRule="auto"/>
        <w:rPr>
          <w:rFonts w:cstheme="minorHAnsi"/>
        </w:rPr>
      </w:pPr>
    </w:p>
    <w:p w14:paraId="65372DDA" w14:textId="4EE42B23" w:rsidR="00E07A1B" w:rsidRPr="0010061F" w:rsidRDefault="00E07A1B" w:rsidP="0010061F">
      <w:pPr>
        <w:spacing w:line="360" w:lineRule="auto"/>
        <w:rPr>
          <w:rFonts w:cstheme="minorHAnsi"/>
        </w:rPr>
      </w:pPr>
      <w:r>
        <w:rPr>
          <w:rFonts w:cstheme="minorHAnsi"/>
        </w:rPr>
        <w:t>(Details on how the different strengths of azithromycin will be made up are yet to be decided)</w:t>
      </w:r>
    </w:p>
    <w:p w14:paraId="660C6512" w14:textId="339B5251" w:rsidR="0010061F" w:rsidRDefault="0010061F" w:rsidP="0010061F">
      <w:pPr>
        <w:spacing w:line="360" w:lineRule="auto"/>
        <w:rPr>
          <w:rFonts w:cstheme="minorHAnsi"/>
        </w:rPr>
      </w:pPr>
    </w:p>
    <w:p w14:paraId="68B1C65D" w14:textId="77777777" w:rsidR="001E0293" w:rsidRPr="0010061F" w:rsidRDefault="001E0293" w:rsidP="0010061F">
      <w:pPr>
        <w:spacing w:line="360" w:lineRule="auto"/>
        <w:rPr>
          <w:rFonts w:cstheme="minorHAnsi"/>
        </w:rPr>
      </w:pPr>
    </w:p>
    <w:p w14:paraId="048E52E3" w14:textId="77777777" w:rsidR="0010061F" w:rsidRPr="0010061F" w:rsidRDefault="0010061F" w:rsidP="0010061F">
      <w:pPr>
        <w:spacing w:line="360" w:lineRule="auto"/>
        <w:rPr>
          <w:rFonts w:cstheme="minorHAnsi"/>
          <w:u w:val="single"/>
        </w:rPr>
      </w:pPr>
      <w:r w:rsidRPr="0010061F">
        <w:rPr>
          <w:rFonts w:cstheme="minorHAnsi"/>
          <w:u w:val="single"/>
        </w:rPr>
        <w:t>Trial medication – lactulose</w:t>
      </w:r>
    </w:p>
    <w:p w14:paraId="630E7ECB" w14:textId="77777777" w:rsidR="0010061F" w:rsidRPr="0010061F" w:rsidRDefault="0010061F" w:rsidP="0010061F">
      <w:pPr>
        <w:spacing w:line="360" w:lineRule="auto"/>
        <w:rPr>
          <w:rFonts w:cstheme="minorHAnsi"/>
        </w:rPr>
      </w:pPr>
      <w:r w:rsidRPr="0010061F">
        <w:rPr>
          <w:rFonts w:cstheme="minorHAnsi"/>
        </w:rPr>
        <w:t xml:space="preserve">Standard lactulose liquid will be used that can be dispensed by any pharmacy. Administration will be at home by the parent for 2 weeks. A prescription will be given to families so that they can obtain lactulose from their local pharmacy. </w:t>
      </w:r>
    </w:p>
    <w:p w14:paraId="3E2311A8" w14:textId="77777777" w:rsidR="0010061F" w:rsidRPr="0010061F" w:rsidRDefault="0010061F" w:rsidP="0010061F">
      <w:pPr>
        <w:rPr>
          <w:rFonts w:cstheme="minorHAnsi"/>
        </w:rPr>
      </w:pPr>
    </w:p>
    <w:p w14:paraId="626920B0" w14:textId="1AA759D8" w:rsidR="0010061F" w:rsidRPr="00E07A1B" w:rsidRDefault="0010061F" w:rsidP="00984685">
      <w:r w:rsidRPr="00E07A1B">
        <w:rPr>
          <w:u w:val="single"/>
        </w:rPr>
        <w:t>Timings for sample collection</w:t>
      </w:r>
      <w:r w:rsidR="00E07A1B" w:rsidRPr="00E07A1B">
        <w:t xml:space="preserve"> – As detailed in the secondary objectives table</w:t>
      </w:r>
    </w:p>
    <w:p w14:paraId="7EA1E229" w14:textId="77777777" w:rsidR="0010061F" w:rsidRPr="00177FBF" w:rsidRDefault="0010061F" w:rsidP="0010061F">
      <w:pPr>
        <w:spacing w:line="360" w:lineRule="auto"/>
        <w:rPr>
          <w:rFonts w:cstheme="minorHAnsi"/>
          <w:b/>
          <w:bCs/>
          <w:u w:val="single"/>
        </w:rPr>
      </w:pPr>
    </w:p>
    <w:p w14:paraId="236E404C" w14:textId="19C7EE9C" w:rsidR="0010061F" w:rsidRPr="00177FBF" w:rsidRDefault="00177FBF" w:rsidP="0010061F">
      <w:pPr>
        <w:spacing w:line="360" w:lineRule="auto"/>
        <w:rPr>
          <w:rFonts w:cstheme="minorHAnsi"/>
          <w:b/>
          <w:bCs/>
          <w:u w:val="single"/>
        </w:rPr>
      </w:pPr>
      <w:r w:rsidRPr="00177FBF">
        <w:rPr>
          <w:rFonts w:cstheme="minorHAnsi"/>
          <w:b/>
          <w:bCs/>
          <w:u w:val="single"/>
        </w:rPr>
        <w:t>Sample analysis</w:t>
      </w:r>
    </w:p>
    <w:p w14:paraId="5D962196" w14:textId="77777777" w:rsidR="0010061F" w:rsidRPr="0010061F" w:rsidRDefault="0010061F" w:rsidP="0010061F">
      <w:pPr>
        <w:spacing w:line="360" w:lineRule="auto"/>
        <w:rPr>
          <w:rFonts w:cstheme="minorHAnsi"/>
          <w:iCs/>
          <w:u w:val="single"/>
        </w:rPr>
      </w:pPr>
    </w:p>
    <w:p w14:paraId="639371EC" w14:textId="77777777" w:rsidR="0010061F" w:rsidRPr="006755E9" w:rsidRDefault="0010061F" w:rsidP="00984685">
      <w:pPr>
        <w:rPr>
          <w:b/>
          <w:bCs/>
        </w:rPr>
      </w:pPr>
      <w:r w:rsidRPr="006755E9">
        <w:rPr>
          <w:b/>
          <w:bCs/>
        </w:rPr>
        <w:t>Nasopharyngeal swab analysis</w:t>
      </w:r>
    </w:p>
    <w:p w14:paraId="2A86634C" w14:textId="0C1BBBD4" w:rsidR="0010061F" w:rsidRPr="0010061F" w:rsidRDefault="0010061F" w:rsidP="0010061F">
      <w:pPr>
        <w:spacing w:line="360" w:lineRule="auto"/>
        <w:rPr>
          <w:rFonts w:cstheme="minorHAnsi"/>
          <w:iCs/>
        </w:rPr>
      </w:pPr>
      <w:r w:rsidRPr="0010061F">
        <w:rPr>
          <w:rFonts w:cstheme="minorHAnsi"/>
          <w:iCs/>
        </w:rPr>
        <w:t>Deep nasopharyngeal swabs will be sampled by using cotton swabs (</w:t>
      </w:r>
      <w:proofErr w:type="spellStart"/>
      <w:r w:rsidRPr="0010061F">
        <w:rPr>
          <w:rFonts w:cstheme="minorHAnsi"/>
          <w:iCs/>
        </w:rPr>
        <w:t>Transwab</w:t>
      </w:r>
      <w:proofErr w:type="spellEnd"/>
      <w:r w:rsidRPr="0010061F">
        <w:rPr>
          <w:rFonts w:cstheme="minorHAnsi"/>
          <w:iCs/>
        </w:rPr>
        <w:t xml:space="preserve">, Liquid Amies medium) and transported to </w:t>
      </w:r>
      <w:r w:rsidR="001611A7">
        <w:rPr>
          <w:rFonts w:cstheme="minorHAnsi"/>
          <w:iCs/>
        </w:rPr>
        <w:t xml:space="preserve">research centre and frozen at -80 ⁰C within 6 hours. Samples will then be sent to the UCL microbiology lab </w:t>
      </w:r>
      <w:r w:rsidR="006B541B">
        <w:rPr>
          <w:rFonts w:cstheme="minorHAnsi"/>
          <w:iCs/>
        </w:rPr>
        <w:t xml:space="preserve">on dry ice </w:t>
      </w:r>
      <w:r w:rsidR="001611A7">
        <w:rPr>
          <w:rFonts w:cstheme="minorHAnsi"/>
          <w:iCs/>
        </w:rPr>
        <w:t>where they will be stored at -80⁰C until batch processed. Firstly the swab medium will be culture for an</w:t>
      </w:r>
      <w:r w:rsidRPr="0010061F">
        <w:rPr>
          <w:rFonts w:cstheme="minorHAnsi"/>
          <w:iCs/>
        </w:rPr>
        <w:t xml:space="preserve">y growth of </w:t>
      </w:r>
      <w:r w:rsidRPr="0010061F">
        <w:rPr>
          <w:rFonts w:cstheme="minorHAnsi"/>
          <w:i/>
          <w:iCs/>
        </w:rPr>
        <w:t xml:space="preserve">S. pneumoniae, H. influenzae, S aureus  </w:t>
      </w:r>
      <w:r w:rsidRPr="0010061F">
        <w:rPr>
          <w:rFonts w:cstheme="minorHAnsi"/>
          <w:iCs/>
        </w:rPr>
        <w:t xml:space="preserve">and </w:t>
      </w:r>
      <w:r w:rsidRPr="0010061F">
        <w:rPr>
          <w:rFonts w:cstheme="minorHAnsi"/>
          <w:i/>
          <w:iCs/>
        </w:rPr>
        <w:t>M. catarrhalis</w:t>
      </w:r>
      <w:r w:rsidR="001611A7">
        <w:rPr>
          <w:rFonts w:cstheme="minorHAnsi"/>
          <w:iCs/>
        </w:rPr>
        <w:t xml:space="preserve">. This </w:t>
      </w:r>
      <w:r w:rsidRPr="0010061F">
        <w:rPr>
          <w:rFonts w:cstheme="minorHAnsi"/>
          <w:iCs/>
        </w:rPr>
        <w:t xml:space="preserve">will be recorded and confirmed by standard </w:t>
      </w:r>
      <w:r w:rsidRPr="0010061F">
        <w:rPr>
          <w:rFonts w:cstheme="minorHAnsi"/>
          <w:iCs/>
        </w:rPr>
        <w:lastRenderedPageBreak/>
        <w:t xml:space="preserve">techniques. Minimum inhibitory concentrations (MICs will be determined for Azithromycin susceptibility in identified isolates using </w:t>
      </w:r>
      <w:proofErr w:type="spellStart"/>
      <w:r w:rsidRPr="0010061F">
        <w:rPr>
          <w:rFonts w:cstheme="minorHAnsi"/>
          <w:iCs/>
        </w:rPr>
        <w:t>Etest</w:t>
      </w:r>
      <w:proofErr w:type="spellEnd"/>
      <w:r w:rsidRPr="0010061F">
        <w:rPr>
          <w:rFonts w:cstheme="minorHAnsi"/>
          <w:iCs/>
        </w:rPr>
        <w:t xml:space="preserve"> strips and resistance determined according to the European Committee on Antimicrobial Susceptibility Testing (EUCAST). Susceptibility to other antibiotics will be confirmed using disk diffusion methods as is the standard practice at </w:t>
      </w:r>
      <w:r w:rsidR="001611A7">
        <w:rPr>
          <w:rFonts w:cstheme="minorHAnsi"/>
          <w:iCs/>
        </w:rPr>
        <w:t>NHS</w:t>
      </w:r>
      <w:r w:rsidRPr="0010061F">
        <w:rPr>
          <w:rFonts w:cstheme="minorHAnsi"/>
          <w:iCs/>
        </w:rPr>
        <w:t xml:space="preserve"> hospital laboratories. See table </w:t>
      </w:r>
      <w:r w:rsidR="00177FBF">
        <w:rPr>
          <w:rFonts w:cstheme="minorHAnsi"/>
          <w:iCs/>
        </w:rPr>
        <w:t xml:space="preserve">7 and 8 </w:t>
      </w:r>
      <w:r w:rsidRPr="0010061F">
        <w:rPr>
          <w:rFonts w:cstheme="minorHAnsi"/>
          <w:iCs/>
        </w:rPr>
        <w:t xml:space="preserve">for details of antibiotic susceptibilities to be tested for. </w:t>
      </w:r>
    </w:p>
    <w:p w14:paraId="009C180E" w14:textId="77777777" w:rsidR="0010061F" w:rsidRPr="0010061F" w:rsidRDefault="0010061F" w:rsidP="0010061F">
      <w:pPr>
        <w:spacing w:line="360" w:lineRule="auto"/>
        <w:rPr>
          <w:rFonts w:cstheme="minorHAnsi"/>
          <w:iCs/>
        </w:rPr>
      </w:pPr>
    </w:p>
    <w:p w14:paraId="7F538276" w14:textId="4AF1FFE1" w:rsidR="0010061F" w:rsidRPr="0010061F" w:rsidRDefault="0010061F" w:rsidP="0010061F">
      <w:pPr>
        <w:spacing w:line="360" w:lineRule="auto"/>
        <w:rPr>
          <w:rFonts w:cstheme="minorHAnsi"/>
          <w:iCs/>
        </w:rPr>
      </w:pPr>
      <w:r w:rsidRPr="0010061F">
        <w:rPr>
          <w:rFonts w:cstheme="minorHAnsi"/>
          <w:iCs/>
        </w:rPr>
        <w:t xml:space="preserve">For each nasal swab sample, we will perform 16s V4 sequencing to characterise the bacterial community composition. DNA will be extracted using a </w:t>
      </w:r>
      <w:r w:rsidR="00177FBF">
        <w:rPr>
          <w:rFonts w:cstheme="minorHAnsi"/>
          <w:iCs/>
        </w:rPr>
        <w:t xml:space="preserve">chemical/ </w:t>
      </w:r>
      <w:r w:rsidRPr="0010061F">
        <w:rPr>
          <w:rFonts w:cstheme="minorHAnsi"/>
          <w:iCs/>
        </w:rPr>
        <w:t xml:space="preserve">bead beater protocol </w:t>
      </w:r>
      <w:r w:rsidR="00177FBF">
        <w:rPr>
          <w:rFonts w:cstheme="minorHAnsi"/>
          <w:iCs/>
        </w:rPr>
        <w:t>within the microbiology laborat</w:t>
      </w:r>
      <w:r w:rsidR="00C47244">
        <w:rPr>
          <w:rFonts w:cstheme="minorHAnsi"/>
          <w:iCs/>
        </w:rPr>
        <w:t>or</w:t>
      </w:r>
      <w:r w:rsidR="00177FBF">
        <w:rPr>
          <w:rFonts w:cstheme="minorHAnsi"/>
          <w:iCs/>
        </w:rPr>
        <w:t xml:space="preserve">ies at UCL under the supervision of Dr </w:t>
      </w:r>
      <w:proofErr w:type="spellStart"/>
      <w:r w:rsidR="00177FBF">
        <w:rPr>
          <w:rFonts w:cstheme="minorHAnsi"/>
          <w:iCs/>
        </w:rPr>
        <w:t>Albar</w:t>
      </w:r>
      <w:proofErr w:type="spellEnd"/>
      <w:r w:rsidRPr="0010061F">
        <w:rPr>
          <w:rFonts w:cstheme="minorHAnsi"/>
          <w:iCs/>
        </w:rPr>
        <w:t xml:space="preserve">. </w:t>
      </w:r>
      <w:r w:rsidR="00177FBF">
        <w:rPr>
          <w:rFonts w:cstheme="minorHAnsi"/>
          <w:iCs/>
        </w:rPr>
        <w:t xml:space="preserve">Long-read nanopore sequencing will be undertaken. </w:t>
      </w:r>
      <w:r w:rsidRPr="0010061F">
        <w:rPr>
          <w:rFonts w:cstheme="minorHAnsi"/>
          <w:iCs/>
        </w:rPr>
        <w:t xml:space="preserve">Data will be analysed and visualised in </w:t>
      </w:r>
      <w:r w:rsidR="00177FBF">
        <w:rPr>
          <w:rFonts w:cstheme="minorHAnsi"/>
          <w:iCs/>
        </w:rPr>
        <w:t>“</w:t>
      </w:r>
      <w:proofErr w:type="spellStart"/>
      <w:r w:rsidR="00177FBF">
        <w:rPr>
          <w:rFonts w:cstheme="minorHAnsi"/>
          <w:iCs/>
        </w:rPr>
        <w:t>p</w:t>
      </w:r>
      <w:r w:rsidRPr="0010061F">
        <w:rPr>
          <w:rFonts w:cstheme="minorHAnsi"/>
          <w:iCs/>
        </w:rPr>
        <w:t>hy</w:t>
      </w:r>
      <w:r w:rsidR="00177FBF">
        <w:rPr>
          <w:rFonts w:cstheme="minorHAnsi"/>
          <w:iCs/>
        </w:rPr>
        <w:t>lo</w:t>
      </w:r>
      <w:r w:rsidRPr="0010061F">
        <w:rPr>
          <w:rFonts w:cstheme="minorHAnsi"/>
          <w:iCs/>
        </w:rPr>
        <w:t>seq</w:t>
      </w:r>
      <w:proofErr w:type="spellEnd"/>
      <w:r w:rsidR="00177FBF">
        <w:rPr>
          <w:rFonts w:cstheme="minorHAnsi"/>
          <w:iCs/>
        </w:rPr>
        <w:t>”</w:t>
      </w:r>
      <w:r w:rsidRPr="0010061F">
        <w:rPr>
          <w:rFonts w:cstheme="minorHAnsi"/>
          <w:iCs/>
        </w:rPr>
        <w:t xml:space="preserve"> and </w:t>
      </w:r>
      <w:r w:rsidR="00177FBF">
        <w:rPr>
          <w:rFonts w:cstheme="minorHAnsi"/>
          <w:iCs/>
        </w:rPr>
        <w:t>“v</w:t>
      </w:r>
      <w:r w:rsidRPr="0010061F">
        <w:rPr>
          <w:rFonts w:cstheme="minorHAnsi"/>
          <w:iCs/>
        </w:rPr>
        <w:t>egan</w:t>
      </w:r>
      <w:r w:rsidR="00177FBF">
        <w:rPr>
          <w:rFonts w:cstheme="minorHAnsi"/>
          <w:iCs/>
        </w:rPr>
        <w:t>”</w:t>
      </w:r>
      <w:r w:rsidRPr="0010061F">
        <w:rPr>
          <w:rFonts w:cstheme="minorHAnsi"/>
          <w:iCs/>
        </w:rPr>
        <w:t xml:space="preserve"> packages within R.</w:t>
      </w:r>
    </w:p>
    <w:p w14:paraId="41C0DD9B" w14:textId="0713CEEE" w:rsidR="0010061F" w:rsidRDefault="0010061F" w:rsidP="0010061F">
      <w:pPr>
        <w:spacing w:line="360" w:lineRule="auto"/>
        <w:rPr>
          <w:rFonts w:cstheme="minorHAnsi"/>
          <w:b/>
          <w:bCs/>
          <w:iCs/>
        </w:rPr>
      </w:pPr>
    </w:p>
    <w:p w14:paraId="1DF63E94" w14:textId="0ACB7D80" w:rsidR="001E0293" w:rsidRDefault="001E0293" w:rsidP="0010061F">
      <w:pPr>
        <w:spacing w:line="360" w:lineRule="auto"/>
        <w:rPr>
          <w:rFonts w:cstheme="minorHAnsi"/>
          <w:b/>
          <w:bCs/>
          <w:iCs/>
        </w:rPr>
      </w:pPr>
    </w:p>
    <w:p w14:paraId="3B9A40C9" w14:textId="77777777" w:rsidR="001E0293" w:rsidRPr="006755E9" w:rsidRDefault="001E0293" w:rsidP="0010061F">
      <w:pPr>
        <w:spacing w:line="360" w:lineRule="auto"/>
        <w:rPr>
          <w:rFonts w:cstheme="minorHAnsi"/>
          <w:b/>
          <w:bCs/>
          <w:iCs/>
        </w:rPr>
      </w:pPr>
    </w:p>
    <w:p w14:paraId="1F02688A" w14:textId="77777777" w:rsidR="0010061F" w:rsidRPr="006755E9" w:rsidRDefault="0010061F" w:rsidP="00984685">
      <w:pPr>
        <w:rPr>
          <w:b/>
          <w:bCs/>
          <w:i/>
        </w:rPr>
      </w:pPr>
      <w:r w:rsidRPr="006755E9">
        <w:rPr>
          <w:b/>
          <w:bCs/>
        </w:rPr>
        <w:t>Stool sample analysis and processing</w:t>
      </w:r>
    </w:p>
    <w:p w14:paraId="3A7138D2" w14:textId="1434ADCC" w:rsidR="0010061F" w:rsidRPr="0010061F" w:rsidRDefault="00177FBF" w:rsidP="0010061F">
      <w:pPr>
        <w:spacing w:line="360" w:lineRule="auto"/>
        <w:rPr>
          <w:rFonts w:cstheme="minorHAnsi"/>
          <w:i/>
        </w:rPr>
      </w:pPr>
      <w:r>
        <w:rPr>
          <w:rFonts w:cstheme="minorHAnsi"/>
        </w:rPr>
        <w:t xml:space="preserve">Sterile stool collection kits will be issued to families with instructions on how to collect </w:t>
      </w:r>
      <w:r w:rsidR="006B541B">
        <w:rPr>
          <w:rFonts w:cstheme="minorHAnsi"/>
        </w:rPr>
        <w:t xml:space="preserve">and store </w:t>
      </w:r>
      <w:r>
        <w:rPr>
          <w:rFonts w:cstheme="minorHAnsi"/>
        </w:rPr>
        <w:t xml:space="preserve">the sample. </w:t>
      </w:r>
      <w:r w:rsidR="006B541B">
        <w:rPr>
          <w:rFonts w:cstheme="minorHAnsi"/>
        </w:rPr>
        <w:t xml:space="preserve">Families will be asked to place the sample in a freezer until the research assistant is able to collect it within 24 hours. The samples will then be stored at -80⁰, sent to the UCL microbiology lab on dry ice and again stored at -80⁰C until batch processed. </w:t>
      </w:r>
      <w:r w:rsidR="0010061F" w:rsidRPr="0010061F">
        <w:rPr>
          <w:rFonts w:cstheme="minorHAnsi"/>
        </w:rPr>
        <w:t xml:space="preserve">To characterise intestinal microbiota, DNA will be extracted from stool using Qiagen </w:t>
      </w:r>
      <w:proofErr w:type="spellStart"/>
      <w:r w:rsidR="0010061F" w:rsidRPr="0010061F">
        <w:rPr>
          <w:rFonts w:cstheme="minorHAnsi"/>
        </w:rPr>
        <w:t>QIAamp</w:t>
      </w:r>
      <w:proofErr w:type="spellEnd"/>
      <w:r w:rsidR="0010061F" w:rsidRPr="0010061F">
        <w:rPr>
          <w:rFonts w:cstheme="minorHAnsi"/>
        </w:rPr>
        <w:t xml:space="preserve"> Mini Kit, and from each extract the V4 16s rRNA gene region would be amplified. The DNA would then be purified and pooled before </w:t>
      </w:r>
      <w:r>
        <w:rPr>
          <w:rFonts w:cstheme="minorHAnsi"/>
        </w:rPr>
        <w:t xml:space="preserve">undertaking long read nanopore sequencing. </w:t>
      </w:r>
    </w:p>
    <w:p w14:paraId="249D9D18" w14:textId="77777777" w:rsidR="0010061F" w:rsidRPr="00B44F9F" w:rsidRDefault="0010061F" w:rsidP="0010061F">
      <w:pPr>
        <w:spacing w:line="360" w:lineRule="auto"/>
        <w:rPr>
          <w:rFonts w:cstheme="minorHAnsi"/>
        </w:rPr>
      </w:pPr>
    </w:p>
    <w:p w14:paraId="4DA05C2A" w14:textId="77777777" w:rsidR="0010061F" w:rsidRPr="00B44F9F" w:rsidRDefault="0010061F" w:rsidP="0010061F">
      <w:pPr>
        <w:spacing w:line="360" w:lineRule="auto"/>
        <w:rPr>
          <w:rFonts w:cstheme="minorHAnsi"/>
        </w:rPr>
      </w:pPr>
      <w:r w:rsidRPr="00B44F9F">
        <w:rPr>
          <w:rFonts w:cstheme="minorHAnsi"/>
          <w:b/>
          <w:bCs/>
        </w:rPr>
        <w:t xml:space="preserve">Subject compliance </w:t>
      </w:r>
    </w:p>
    <w:p w14:paraId="54431EC5" w14:textId="4811C566" w:rsidR="00865F1E" w:rsidRPr="00865F1E" w:rsidRDefault="00865F1E" w:rsidP="0010061F">
      <w:pPr>
        <w:spacing w:line="360" w:lineRule="auto"/>
        <w:rPr>
          <w:rFonts w:cstheme="minorHAnsi"/>
          <w:iCs/>
          <w:u w:val="single"/>
        </w:rPr>
      </w:pPr>
      <w:r w:rsidRPr="00865F1E">
        <w:rPr>
          <w:rFonts w:cstheme="minorHAnsi"/>
          <w:iCs/>
          <w:u w:val="single"/>
        </w:rPr>
        <w:t>Phase</w:t>
      </w:r>
      <w:r w:rsidR="00B44F9F">
        <w:rPr>
          <w:rFonts w:cstheme="minorHAnsi"/>
          <w:iCs/>
          <w:u w:val="single"/>
        </w:rPr>
        <w:t xml:space="preserve"> </w:t>
      </w:r>
      <w:r w:rsidRPr="00865F1E">
        <w:rPr>
          <w:rFonts w:cstheme="minorHAnsi"/>
          <w:iCs/>
          <w:u w:val="single"/>
        </w:rPr>
        <w:t>1</w:t>
      </w:r>
    </w:p>
    <w:p w14:paraId="31E76743" w14:textId="67A2311D" w:rsidR="006B541B" w:rsidRDefault="0010061F" w:rsidP="0010061F">
      <w:pPr>
        <w:spacing w:line="360" w:lineRule="auto"/>
        <w:rPr>
          <w:rFonts w:cstheme="minorHAnsi"/>
          <w:iCs/>
        </w:rPr>
      </w:pPr>
      <w:r w:rsidRPr="0010061F">
        <w:rPr>
          <w:rFonts w:cstheme="minorHAnsi"/>
          <w:iCs/>
        </w:rPr>
        <w:t xml:space="preserve">Parents will be </w:t>
      </w:r>
      <w:r w:rsidR="006B541B">
        <w:rPr>
          <w:rFonts w:cstheme="minorHAnsi"/>
          <w:iCs/>
        </w:rPr>
        <w:t>given a study booklet with diary to complete. This will involve ticking a box to say the study medication was given.</w:t>
      </w:r>
    </w:p>
    <w:p w14:paraId="417FD2F7" w14:textId="4B535E92" w:rsidR="0010061F" w:rsidRPr="0010061F" w:rsidRDefault="00B44F9F" w:rsidP="0010061F">
      <w:pPr>
        <w:spacing w:line="360" w:lineRule="auto"/>
        <w:rPr>
          <w:rFonts w:cstheme="minorHAnsi"/>
          <w:iCs/>
        </w:rPr>
      </w:pPr>
      <w:r>
        <w:rPr>
          <w:rFonts w:cstheme="minorHAnsi"/>
          <w:iCs/>
        </w:rPr>
        <w:t>(</w:t>
      </w:r>
      <w:r w:rsidR="006B541B">
        <w:rPr>
          <w:rFonts w:cstheme="minorHAnsi"/>
          <w:iCs/>
        </w:rPr>
        <w:t>We will explore the use of a study app that may make it easier for parents to use and remember</w:t>
      </w:r>
      <w:r w:rsidR="00865F1E">
        <w:rPr>
          <w:rFonts w:cstheme="minorHAnsi"/>
          <w:iCs/>
        </w:rPr>
        <w:t>.</w:t>
      </w:r>
      <w:r>
        <w:rPr>
          <w:rFonts w:cstheme="minorHAnsi"/>
          <w:iCs/>
        </w:rPr>
        <w:t>)</w:t>
      </w:r>
    </w:p>
    <w:p w14:paraId="5FCD186F" w14:textId="61FD39A1" w:rsidR="0010061F" w:rsidRDefault="0010061F" w:rsidP="0010061F">
      <w:pPr>
        <w:spacing w:line="360" w:lineRule="auto"/>
        <w:rPr>
          <w:rFonts w:cstheme="minorHAnsi"/>
          <w:iCs/>
        </w:rPr>
      </w:pPr>
    </w:p>
    <w:p w14:paraId="4A98B4F2" w14:textId="5F62917D" w:rsidR="00865B6B" w:rsidRDefault="00865B6B" w:rsidP="0010061F">
      <w:pPr>
        <w:spacing w:line="360" w:lineRule="auto"/>
        <w:rPr>
          <w:rFonts w:cstheme="minorHAnsi"/>
          <w:iCs/>
        </w:rPr>
      </w:pPr>
    </w:p>
    <w:p w14:paraId="63743FA0" w14:textId="77777777" w:rsidR="00865B6B" w:rsidRPr="0010061F" w:rsidRDefault="00865B6B" w:rsidP="0010061F">
      <w:pPr>
        <w:spacing w:line="360" w:lineRule="auto"/>
        <w:rPr>
          <w:rFonts w:cstheme="minorHAnsi"/>
          <w:iCs/>
        </w:rPr>
      </w:pPr>
    </w:p>
    <w:p w14:paraId="5A2F37D5" w14:textId="0A06E578" w:rsidR="0010061F" w:rsidRDefault="00B44F9F" w:rsidP="0010061F">
      <w:pPr>
        <w:spacing w:line="360" w:lineRule="auto"/>
        <w:rPr>
          <w:rFonts w:cstheme="minorHAnsi"/>
          <w:iCs/>
          <w:u w:val="single"/>
        </w:rPr>
      </w:pPr>
      <w:r w:rsidRPr="00B44F9F">
        <w:rPr>
          <w:rFonts w:cstheme="minorHAnsi"/>
          <w:iCs/>
          <w:u w:val="single"/>
        </w:rPr>
        <w:lastRenderedPageBreak/>
        <w:t>Phase 2</w:t>
      </w:r>
    </w:p>
    <w:p w14:paraId="196440FD" w14:textId="77777777" w:rsidR="00B44F9F" w:rsidRDefault="00B44F9F" w:rsidP="00B44F9F">
      <w:pPr>
        <w:spacing w:line="360" w:lineRule="auto"/>
        <w:rPr>
          <w:rFonts w:cstheme="minorHAnsi"/>
          <w:iCs/>
        </w:rPr>
      </w:pPr>
      <w:r w:rsidRPr="0010061F">
        <w:rPr>
          <w:rFonts w:cstheme="minorHAnsi"/>
          <w:iCs/>
        </w:rPr>
        <w:t xml:space="preserve">Parents will be </w:t>
      </w:r>
      <w:r>
        <w:rPr>
          <w:rFonts w:cstheme="minorHAnsi"/>
          <w:iCs/>
        </w:rPr>
        <w:t>given a study booklet with diary to complete. This will involve ticking a box to say the study medication was given.</w:t>
      </w:r>
    </w:p>
    <w:p w14:paraId="361DF43D" w14:textId="77777777" w:rsidR="00B44F9F" w:rsidRPr="0010061F" w:rsidRDefault="00B44F9F" w:rsidP="00B44F9F">
      <w:pPr>
        <w:spacing w:line="360" w:lineRule="auto"/>
        <w:rPr>
          <w:rFonts w:cstheme="minorHAnsi"/>
          <w:iCs/>
        </w:rPr>
      </w:pPr>
      <w:r>
        <w:rPr>
          <w:rFonts w:cstheme="minorHAnsi"/>
          <w:iCs/>
        </w:rPr>
        <w:t>(We will explore the use of a study app that may make it easier for parents to use and remember.)</w:t>
      </w:r>
    </w:p>
    <w:p w14:paraId="607DDA97" w14:textId="362FA931" w:rsidR="0010061F" w:rsidRPr="0010061F" w:rsidRDefault="0010061F" w:rsidP="0010061F">
      <w:pPr>
        <w:spacing w:line="360" w:lineRule="auto"/>
        <w:rPr>
          <w:rFonts w:cstheme="minorHAnsi"/>
          <w:iCs/>
        </w:rPr>
      </w:pPr>
      <w:r w:rsidRPr="0010061F">
        <w:rPr>
          <w:rFonts w:cstheme="minorHAnsi"/>
          <w:iCs/>
        </w:rPr>
        <w:t xml:space="preserve">Participants will be asked to send a photo of the completed chart to the research team with their phone. </w:t>
      </w:r>
    </w:p>
    <w:p w14:paraId="5737C87E" w14:textId="77777777" w:rsidR="0010061F" w:rsidRPr="0010061F" w:rsidRDefault="0010061F" w:rsidP="0010061F">
      <w:pPr>
        <w:spacing w:line="360" w:lineRule="auto"/>
        <w:rPr>
          <w:rFonts w:cstheme="minorHAnsi"/>
        </w:rPr>
      </w:pPr>
    </w:p>
    <w:p w14:paraId="443C7461" w14:textId="77777777" w:rsidR="00B44F9F" w:rsidRDefault="00B44F9F" w:rsidP="0010061F">
      <w:pPr>
        <w:spacing w:line="360" w:lineRule="auto"/>
        <w:rPr>
          <w:rFonts w:cstheme="minorHAnsi"/>
        </w:rPr>
      </w:pPr>
    </w:p>
    <w:p w14:paraId="12136A5C" w14:textId="5D7A9F41" w:rsidR="0010061F" w:rsidRPr="00F9315E" w:rsidRDefault="0010061F" w:rsidP="0010061F">
      <w:pPr>
        <w:spacing w:line="360" w:lineRule="auto"/>
        <w:rPr>
          <w:rFonts w:cstheme="minorHAnsi"/>
          <w:b/>
          <w:bCs/>
        </w:rPr>
      </w:pPr>
      <w:r w:rsidRPr="00F9315E">
        <w:rPr>
          <w:rFonts w:cstheme="minorHAnsi"/>
          <w:b/>
          <w:bCs/>
        </w:rPr>
        <w:t>Other follow up assessments</w:t>
      </w:r>
    </w:p>
    <w:p w14:paraId="0DE40412" w14:textId="3161A9E4" w:rsidR="0010061F" w:rsidRPr="0010061F" w:rsidRDefault="00B44F9F" w:rsidP="0010061F">
      <w:pPr>
        <w:spacing w:line="360" w:lineRule="auto"/>
        <w:rPr>
          <w:rFonts w:cstheme="minorHAnsi"/>
        </w:rPr>
      </w:pPr>
      <w:r w:rsidRPr="00F9315E">
        <w:rPr>
          <w:rFonts w:cstheme="minorHAnsi"/>
        </w:rPr>
        <w:t>P</w:t>
      </w:r>
      <w:r w:rsidR="0010061F" w:rsidRPr="00F9315E">
        <w:rPr>
          <w:rFonts w:cstheme="minorHAnsi"/>
        </w:rPr>
        <w:t>arents will be asked to complete a proxy quality of life questionnaire (EQ-5D-Y) and respiratory symptom questionnaire.</w:t>
      </w:r>
    </w:p>
    <w:p w14:paraId="7F7CE64D" w14:textId="77777777" w:rsidR="0010061F" w:rsidRPr="0010061F" w:rsidRDefault="0010061F" w:rsidP="0010061F">
      <w:pPr>
        <w:spacing w:line="360" w:lineRule="auto"/>
        <w:rPr>
          <w:rFonts w:cstheme="minorHAnsi"/>
        </w:rPr>
      </w:pPr>
    </w:p>
    <w:p w14:paraId="759C07EA" w14:textId="06805840" w:rsidR="0010061F" w:rsidRPr="0010061F" w:rsidRDefault="0010061F" w:rsidP="0010061F">
      <w:pPr>
        <w:spacing w:line="360" w:lineRule="auto"/>
        <w:rPr>
          <w:rFonts w:cstheme="minorHAnsi"/>
          <w:color w:val="333333"/>
          <w:shd w:val="clear" w:color="auto" w:fill="FFFFFF"/>
        </w:rPr>
      </w:pPr>
      <w:r w:rsidRPr="0010061F">
        <w:rPr>
          <w:rFonts w:cstheme="minorHAnsi"/>
        </w:rPr>
        <w:t>The parent cough-specific quality of life questionnaire (PC-QOL) is validated 27 item questionnaire that can be used for evaluation and monitoring of treatment for cough dominant conditions</w:t>
      </w:r>
      <w:r w:rsidR="00784107">
        <w:rPr>
          <w:rFonts w:cstheme="minorHAnsi"/>
        </w:rPr>
        <w:t xml:space="preserve"> </w:t>
      </w:r>
      <w:r w:rsidR="00784107">
        <w:rPr>
          <w:rFonts w:cstheme="minorHAnsi"/>
        </w:rPr>
        <w:fldChar w:fldCharType="begin"/>
      </w:r>
      <w:r w:rsidR="00EE22EB">
        <w:rPr>
          <w:rFonts w:cstheme="minorHAnsi"/>
        </w:rPr>
        <w:instrText xml:space="preserve"> ADDIN EN.CITE &lt;EndNote&gt;&lt;Cite&gt;&lt;Author&gt;Newcombe&lt;/Author&gt;&lt;Year&gt;2010&lt;/Year&gt;&lt;RecNum&gt;499&lt;/RecNum&gt;&lt;DisplayText&gt;(Newcombe et al., 2010)&lt;/DisplayText&gt;&lt;record&gt;&lt;rec-number&gt;499&lt;/rec-number&gt;&lt;foreign-keys&gt;&lt;key app="EN" db-id="pr9rwt2w8padxcerwx6prd0a9wtda2w5fw2t" timestamp="1655971798"&gt;499&lt;/key&gt;&lt;/foreign-keys&gt;&lt;ref-type name="Journal Article"&gt;17&lt;/ref-type&gt;&lt;contributors&gt;&lt;authors&gt;&lt;author&gt;Newcombe, Peter A.&lt;/author&gt;&lt;author&gt;Sheffield, Jeanie K.&lt;/author&gt;&lt;author&gt;Juniper, Elizabeth F.&lt;/author&gt;&lt;author&gt;Petsky, Helen L.&lt;/author&gt;&lt;author&gt;Willis, Carol&lt;/author&gt;&lt;author&gt;Chang, Anne B.&lt;/author&gt;&lt;/authors&gt;&lt;/contributors&gt;&lt;titles&gt;&lt;title&gt;Validation of a parent-proxy quality of life questionnaire for paediatric chronic cough (PC-QOL)&lt;/title&gt;&lt;secondary-title&gt;Thorax&lt;/secondary-title&gt;&lt;/titles&gt;&lt;periodical&gt;&lt;full-title&gt;Thorax&lt;/full-title&gt;&lt;/periodical&gt;&lt;pages&gt;819&lt;/pages&gt;&lt;volume&gt;65&lt;/volume&gt;&lt;number&gt;9&lt;/number&gt;&lt;dates&gt;&lt;year&gt;2010&lt;/year&gt;&lt;/dates&gt;&lt;urls&gt;&lt;related-urls&gt;&lt;url&gt;http://thorax.bmj.com/content/65/9/819.abstract&lt;/url&gt;&lt;/related-urls&gt;&lt;/urls&gt;&lt;electronic-resource-num&gt;10.1136/thx.2009.133868&lt;/electronic-resource-num&gt;&lt;/record&gt;&lt;/Cite&gt;&lt;/EndNote&gt;</w:instrText>
      </w:r>
      <w:r w:rsidR="00784107">
        <w:rPr>
          <w:rFonts w:cstheme="minorHAnsi"/>
        </w:rPr>
        <w:fldChar w:fldCharType="separate"/>
      </w:r>
      <w:r w:rsidR="00EE22EB">
        <w:rPr>
          <w:rFonts w:cstheme="minorHAnsi"/>
          <w:noProof/>
        </w:rPr>
        <w:t>(Newcombe et al., 2010)</w:t>
      </w:r>
      <w:r w:rsidR="00784107">
        <w:rPr>
          <w:rFonts w:cstheme="minorHAnsi"/>
        </w:rPr>
        <w:fldChar w:fldCharType="end"/>
      </w:r>
      <w:r w:rsidRPr="0010061F">
        <w:rPr>
          <w:rFonts w:cstheme="minorHAnsi"/>
        </w:rPr>
        <w:t xml:space="preserve">. It uses a 7-point Likert-type scale to assess the level of parents’ feelings (15 items) and worry (12 items) related to their Child’s cough. </w:t>
      </w:r>
    </w:p>
    <w:p w14:paraId="7DE8843B" w14:textId="77777777" w:rsidR="0010061F" w:rsidRPr="0010061F" w:rsidRDefault="0010061F" w:rsidP="0010061F">
      <w:pPr>
        <w:spacing w:line="360" w:lineRule="auto"/>
        <w:rPr>
          <w:rFonts w:cstheme="minorHAnsi"/>
        </w:rPr>
      </w:pPr>
    </w:p>
    <w:p w14:paraId="5C25BEBF" w14:textId="49F13F97" w:rsidR="0010061F" w:rsidRPr="0010061F" w:rsidRDefault="0010061F" w:rsidP="0010061F">
      <w:pPr>
        <w:spacing w:line="360" w:lineRule="auto"/>
        <w:rPr>
          <w:rFonts w:cstheme="minorHAnsi"/>
        </w:rPr>
      </w:pPr>
      <w:r w:rsidRPr="0010061F">
        <w:rPr>
          <w:rFonts w:cstheme="minorHAnsi"/>
        </w:rPr>
        <w:t>The Liverpool Respiratory Symptom Questionnaire (LRSQ) was developed for pre-school children with respiratory symptoms and CF</w:t>
      </w:r>
      <w:r w:rsidR="00273435">
        <w:rPr>
          <w:rFonts w:cstheme="minorHAnsi"/>
        </w:rPr>
        <w:t xml:space="preserve"> </w:t>
      </w:r>
      <w:r w:rsidR="00273435">
        <w:rPr>
          <w:rFonts w:cstheme="minorHAnsi"/>
        </w:rPr>
        <w:fldChar w:fldCharType="begin">
          <w:fldData xml:space="preserve">PEVuZE5vdGU+PENpdGU+PEF1dGhvcj5Qb3dlbGw8L0F1dGhvcj48WWVhcj4yMDAyPC9ZZWFyPjxS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</w:fldData>
        </w:fldChar>
      </w:r>
      <w:r w:rsidR="00CD2C33">
        <w:rPr>
          <w:rFonts w:cstheme="minorHAnsi"/>
        </w:rPr>
        <w:instrText xml:space="preserve"> ADDIN EN.CITE </w:instrText>
      </w:r>
      <w:r w:rsidR="00CD2C33">
        <w:rPr>
          <w:rFonts w:cstheme="minorHAnsi"/>
        </w:rPr>
        <w:fldChar w:fldCharType="begin">
          <w:fldData xml:space="preserve">PEVuZE5vdGU+PENpdGU+PEF1dGhvcj5Qb3dlbGw8L0F1dGhvcj48WWVhcj4yMDAyPC9ZZWFyPjxS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</w:fldData>
        </w:fldChar>
      </w:r>
      <w:r w:rsidR="00CD2C33">
        <w:rPr>
          <w:rFonts w:cstheme="minorHAnsi"/>
        </w:rPr>
        <w:instrText xml:space="preserve"> ADDIN EN.CITE.DATA </w:instrText>
      </w:r>
      <w:r w:rsidR="00CD2C33">
        <w:rPr>
          <w:rFonts w:cstheme="minorHAnsi"/>
        </w:rPr>
      </w:r>
      <w:r w:rsidR="00CD2C33">
        <w:rPr>
          <w:rFonts w:cstheme="minorHAnsi"/>
        </w:rPr>
        <w:fldChar w:fldCharType="end"/>
      </w:r>
      <w:r w:rsidR="00273435">
        <w:rPr>
          <w:rFonts w:cstheme="minorHAnsi"/>
        </w:rPr>
      </w:r>
      <w:r w:rsidR="00273435">
        <w:rPr>
          <w:rFonts w:cstheme="minorHAnsi"/>
        </w:rPr>
        <w:fldChar w:fldCharType="separate"/>
      </w:r>
      <w:r w:rsidR="00CD2C33">
        <w:rPr>
          <w:rFonts w:cstheme="minorHAnsi"/>
          <w:noProof/>
        </w:rPr>
        <w:t>(Powell et al., 2002; Trinick et al., 2012)</w:t>
      </w:r>
      <w:r w:rsidR="00273435">
        <w:rPr>
          <w:rFonts w:cstheme="minorHAnsi"/>
        </w:rPr>
        <w:fldChar w:fldCharType="end"/>
      </w:r>
      <w:r w:rsidRPr="0010061F">
        <w:rPr>
          <w:rFonts w:cstheme="minorHAnsi"/>
        </w:rPr>
        <w:t>. It uses Likert scales, comprises 8 domains, takes &lt;10 minutes to complete and elicits symptoms over a three-month period</w:t>
      </w:r>
      <w:r w:rsidR="00784107">
        <w:rPr>
          <w:rFonts w:cstheme="minorHAnsi"/>
        </w:rPr>
        <w:t>.</w:t>
      </w:r>
    </w:p>
    <w:p w14:paraId="6BF7B77B" w14:textId="77777777" w:rsidR="00B44F9F" w:rsidRDefault="00B44F9F" w:rsidP="0010061F"/>
    <w:p w14:paraId="06A5C1DC" w14:textId="157F6498" w:rsidR="00E63BCB" w:rsidRDefault="00E63BCB" w:rsidP="00A26D50"/>
    <w:p w14:paraId="5342D9DC" w14:textId="46ACA111" w:rsidR="00E07A1B" w:rsidRDefault="00E07A1B" w:rsidP="00A26D50"/>
    <w:p w14:paraId="67ABE257" w14:textId="5480F8DA" w:rsidR="00E07A1B" w:rsidRDefault="00E07A1B" w:rsidP="00A26D50"/>
    <w:p w14:paraId="72D7AEA4" w14:textId="688DD44B" w:rsidR="00E07A1B" w:rsidRDefault="00E07A1B" w:rsidP="00A26D50"/>
    <w:p w14:paraId="24163FA7" w14:textId="745FD5FA" w:rsidR="00E07A1B" w:rsidRDefault="00E07A1B" w:rsidP="00A26D50"/>
    <w:p w14:paraId="1BA0D1BB" w14:textId="37443C94" w:rsidR="00E07A1B" w:rsidRDefault="00E07A1B" w:rsidP="00A26D50"/>
    <w:p w14:paraId="4FD4BACE" w14:textId="13BBC284" w:rsidR="00E07A1B" w:rsidRDefault="00E07A1B" w:rsidP="00A26D50"/>
    <w:p w14:paraId="2521F62E" w14:textId="2A3A18C7" w:rsidR="00E07A1B" w:rsidRDefault="00E07A1B" w:rsidP="00A26D50"/>
    <w:p w14:paraId="11D55932" w14:textId="241302AA" w:rsidR="00E07A1B" w:rsidRDefault="00E07A1B" w:rsidP="00A26D50"/>
    <w:p w14:paraId="0859E896" w14:textId="5E67437F" w:rsidR="00E07A1B" w:rsidRDefault="00E07A1B" w:rsidP="00A26D50"/>
    <w:p w14:paraId="3A953F32" w14:textId="4F66A950" w:rsidR="00E07A1B" w:rsidRDefault="00E07A1B" w:rsidP="00A26D50"/>
    <w:p w14:paraId="307A3C6D" w14:textId="11D81089" w:rsidR="00E07A1B" w:rsidRDefault="00E07A1B" w:rsidP="00A26D50"/>
    <w:p w14:paraId="28FF0ADF" w14:textId="0C611AD2" w:rsidR="00E07A1B" w:rsidRDefault="00E07A1B" w:rsidP="00A26D50"/>
    <w:p w14:paraId="27270640" w14:textId="0B3C0144" w:rsidR="00E07A1B" w:rsidRDefault="00E07A1B" w:rsidP="00A26D50"/>
    <w:sectPr w:rsidR="00E07A1B" w:rsidSect="008E4E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2E4F" w14:textId="77777777" w:rsidR="00045205" w:rsidRDefault="00045205" w:rsidP="00A14CB0">
      <w:r>
        <w:separator/>
      </w:r>
    </w:p>
  </w:endnote>
  <w:endnote w:type="continuationSeparator" w:id="0">
    <w:p w14:paraId="4A951FE9" w14:textId="77777777" w:rsidR="00045205" w:rsidRDefault="00045205" w:rsidP="00A14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508923"/>
      <w:docPartObj>
        <w:docPartGallery w:val="Page Numbers (Bottom of Page)"/>
        <w:docPartUnique/>
      </w:docPartObj>
    </w:sdtPr>
    <w:sdtEndPr>
      <w:rPr>
        <w:noProof/>
      </w:rPr>
    </w:sdtEndPr>
    <w:sdtContent>
      <w:p w14:paraId="7C7B667E" w14:textId="6951C589" w:rsidR="00600985" w:rsidRDefault="00600985">
        <w:pPr>
          <w:pStyle w:val="Footer"/>
          <w:jc w:val="right"/>
        </w:pPr>
        <w:r>
          <w:fldChar w:fldCharType="begin"/>
        </w:r>
        <w:r>
          <w:instrText xml:space="preserve"> PAGE   \* MERGEFORMAT </w:instrText>
        </w:r>
        <w:r>
          <w:fldChar w:fldCharType="separate"/>
        </w:r>
        <w:r>
          <w:rPr>
            <w:noProof/>
          </w:rPr>
          <w:t>129</w:t>
        </w:r>
        <w:r>
          <w:rPr>
            <w:noProof/>
          </w:rPr>
          <w:fldChar w:fldCharType="end"/>
        </w:r>
      </w:p>
    </w:sdtContent>
  </w:sdt>
  <w:p w14:paraId="2517F72C" w14:textId="77777777" w:rsidR="00600985" w:rsidRDefault="00600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018643"/>
      <w:docPartObj>
        <w:docPartGallery w:val="Page Numbers (Bottom of Page)"/>
        <w:docPartUnique/>
      </w:docPartObj>
    </w:sdtPr>
    <w:sdtEndPr>
      <w:rPr>
        <w:noProof/>
      </w:rPr>
    </w:sdtEndPr>
    <w:sdtContent>
      <w:p w14:paraId="03BE60EF" w14:textId="77777777" w:rsidR="00866437" w:rsidRDefault="0086643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99975D5" w14:textId="77777777" w:rsidR="00866437" w:rsidRDefault="00866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85100"/>
      <w:docPartObj>
        <w:docPartGallery w:val="Page Numbers (Bottom of Page)"/>
        <w:docPartUnique/>
      </w:docPartObj>
    </w:sdtPr>
    <w:sdtEndPr>
      <w:rPr>
        <w:noProof/>
      </w:rPr>
    </w:sdtEndPr>
    <w:sdtContent>
      <w:p w14:paraId="550F090E" w14:textId="77777777" w:rsidR="00866437" w:rsidRDefault="0086643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CDB4424" w14:textId="77777777" w:rsidR="00866437" w:rsidRDefault="00866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4F37E" w14:textId="77777777" w:rsidR="00045205" w:rsidRDefault="00045205" w:rsidP="00A14CB0">
      <w:r>
        <w:separator/>
      </w:r>
    </w:p>
  </w:footnote>
  <w:footnote w:type="continuationSeparator" w:id="0">
    <w:p w14:paraId="1A20EB65" w14:textId="77777777" w:rsidR="00045205" w:rsidRDefault="00045205" w:rsidP="00A14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F0BE" w14:textId="77777777" w:rsidR="00866437" w:rsidRPr="00D23A3E" w:rsidRDefault="00866437" w:rsidP="002210D4">
    <w:pPr>
      <w:pStyle w:val="Header"/>
      <w:ind w:left="1440" w:firstLine="2160"/>
      <w:rPr>
        <w:rFonts w:asciiTheme="majorHAnsi" w:hAnsiTheme="majorHAnsi"/>
        <w:sz w:val="28"/>
        <w:szCs w:val="28"/>
      </w:rPr>
    </w:pPr>
    <w:r w:rsidRPr="002210D4">
      <w:rPr>
        <w:rFonts w:asciiTheme="majorHAnsi" w:hAnsiTheme="majorHAnsi"/>
        <w:noProof/>
        <w:sz w:val="28"/>
        <w:szCs w:val="28"/>
        <w:lang w:val="en-US"/>
      </w:rPr>
      <mc:AlternateContent>
        <mc:Choice Requires="wps">
          <w:drawing>
            <wp:anchor distT="45720" distB="45720" distL="114300" distR="114300" simplePos="0" relativeHeight="251659264" behindDoc="0" locked="0" layoutInCell="1" allowOverlap="1" wp14:anchorId="07E5DB23" wp14:editId="18148C48">
              <wp:simplePos x="0" y="0"/>
              <wp:positionH relativeFrom="column">
                <wp:posOffset>-508959</wp:posOffset>
              </wp:positionH>
              <wp:positionV relativeFrom="paragraph">
                <wp:posOffset>309892</wp:posOffset>
              </wp:positionV>
              <wp:extent cx="2751455" cy="1404620"/>
              <wp:effectExtent l="0" t="0" r="0" b="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404620"/>
                      </a:xfrm>
                      <a:prstGeom prst="rect">
                        <a:avLst/>
                      </a:prstGeom>
                      <a:solidFill>
                        <a:srgbClr val="FFFFFF"/>
                      </a:solidFill>
                      <a:ln w="9525">
                        <a:noFill/>
                        <a:miter lim="800000"/>
                        <a:headEnd/>
                        <a:tailEnd/>
                      </a:ln>
                    </wps:spPr>
                    <wps:txbx>
                      <w:txbxContent>
                        <w:p w14:paraId="40EDF435" w14:textId="77777777" w:rsidR="00866437" w:rsidRPr="002210D4" w:rsidRDefault="00866437">
                          <w:pPr>
                            <w:rPr>
                              <w:b/>
                              <w:sz w:val="28"/>
                              <w:szCs w:val="28"/>
                              <w:lang w:val="en-US"/>
                            </w:rPr>
                          </w:pPr>
                          <w:r w:rsidRPr="002210D4">
                            <w:rPr>
                              <w:b/>
                              <w:sz w:val="28"/>
                              <w:szCs w:val="28"/>
                              <w:lang w:val="en-US"/>
                            </w:rPr>
                            <w:t>Participant Information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5DB23" id="_x0000_t202" coordsize="21600,21600" o:spt="202" path="m,l,21600r21600,l21600,xe">
              <v:stroke joinstyle="miter"/>
              <v:path gradientshapeok="t" o:connecttype="rect"/>
            </v:shapetype>
            <v:shape id="_x0000_s1098" type="#_x0000_t202" style="position:absolute;left:0;text-align:left;margin-left:-40.1pt;margin-top:24.4pt;width:216.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" stroked="f">
              <v:textbox style="mso-fit-shape-to-text:t">
                <w:txbxContent>
                  <w:p w14:paraId="40EDF435" w14:textId="77777777" w:rsidR="00866437" w:rsidRPr="002210D4" w:rsidRDefault="00866437">
                    <w:pPr>
                      <w:rPr>
                        <w:b/>
                        <w:sz w:val="28"/>
                        <w:szCs w:val="28"/>
                        <w:lang w:val="en-US"/>
                      </w:rPr>
                    </w:pPr>
                    <w:r w:rsidRPr="002210D4">
                      <w:rPr>
                        <w:b/>
                        <w:sz w:val="28"/>
                        <w:szCs w:val="28"/>
                        <w:lang w:val="en-US"/>
                      </w:rPr>
                      <w:t>Participant Information Sheet</w:t>
                    </w:r>
                  </w:p>
                </w:txbxContent>
              </v:textbox>
              <w10:wrap type="square"/>
            </v:shape>
          </w:pict>
        </mc:Fallback>
      </mc:AlternateContent>
    </w:r>
    <w:r w:rsidRPr="002210D4">
      <w:rPr>
        <w:rFonts w:asciiTheme="majorHAnsi" w:hAnsiTheme="majorHAnsi"/>
        <w:sz w:val="28"/>
        <w:szCs w:val="28"/>
        <w:lang w:val="en-US"/>
      </w:rPr>
      <w:t xml:space="preserve"> </w:t>
    </w:r>
    <w:r w:rsidRPr="002210D4">
      <w:rPr>
        <w:rFonts w:asciiTheme="majorHAnsi" w:hAnsiTheme="majorHAnsi"/>
        <w:noProof/>
        <w:sz w:val="28"/>
        <w:szCs w:val="28"/>
        <w:lang w:val="en-US"/>
      </w:rPr>
      <w:drawing>
        <wp:inline distT="0" distB="0" distL="0" distR="0" wp14:anchorId="67567355" wp14:editId="7A936129">
          <wp:extent cx="2018581" cy="965200"/>
          <wp:effectExtent l="0" t="0" r="1270" b="6350"/>
          <wp:docPr id="414" name="Picture 414" descr="Image result for Sheffield CHildren's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effield CHildren's NHS FOundatio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581" cy="96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AF0"/>
    <w:multiLevelType w:val="hybridMultilevel"/>
    <w:tmpl w:val="692E6EF0"/>
    <w:lvl w:ilvl="0" w:tplc="2778844A">
      <w:start w:val="1"/>
      <w:numFmt w:val="upperLetter"/>
      <w:lvlText w:val="%1)"/>
      <w:lvlJc w:val="left"/>
      <w:pPr>
        <w:ind w:left="720" w:hanging="360"/>
      </w:pPr>
      <w:rPr>
        <w:rFonts w:asciiTheme="minorHAnsi" w:eastAsiaTheme="minorHAnsi" w:hAnsiTheme="minorHAnsi"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906A1A"/>
    <w:multiLevelType w:val="hybridMultilevel"/>
    <w:tmpl w:val="F306C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39B9"/>
    <w:multiLevelType w:val="hybridMultilevel"/>
    <w:tmpl w:val="821A9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8F0440"/>
    <w:multiLevelType w:val="hybridMultilevel"/>
    <w:tmpl w:val="D9308568"/>
    <w:lvl w:ilvl="0" w:tplc="FF38C21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975FC2"/>
    <w:multiLevelType w:val="hybridMultilevel"/>
    <w:tmpl w:val="89E8F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577D7"/>
    <w:multiLevelType w:val="hybridMultilevel"/>
    <w:tmpl w:val="81C26F7C"/>
    <w:lvl w:ilvl="0" w:tplc="781C63E0">
      <w:start w:val="1"/>
      <w:numFmt w:val="decimal"/>
      <w:lvlText w:val="%1."/>
      <w:lvlJc w:val="left"/>
      <w:pPr>
        <w:tabs>
          <w:tab w:val="num" w:pos="720"/>
        </w:tabs>
        <w:ind w:left="720" w:hanging="360"/>
      </w:pPr>
      <w:rPr>
        <w:b/>
        <w:bC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8B838DC"/>
    <w:multiLevelType w:val="hybridMultilevel"/>
    <w:tmpl w:val="967C9F7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6720F9"/>
    <w:multiLevelType w:val="multilevel"/>
    <w:tmpl w:val="BC3CF0E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0BB7B88"/>
    <w:multiLevelType w:val="hybridMultilevel"/>
    <w:tmpl w:val="B4D4C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202B69"/>
    <w:multiLevelType w:val="hybridMultilevel"/>
    <w:tmpl w:val="3B36D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75469E"/>
    <w:multiLevelType w:val="hybridMultilevel"/>
    <w:tmpl w:val="50925B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E17AD"/>
    <w:multiLevelType w:val="hybridMultilevel"/>
    <w:tmpl w:val="84F8991C"/>
    <w:lvl w:ilvl="0" w:tplc="6EBEF4E4">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8A4D65"/>
    <w:multiLevelType w:val="hybridMultilevel"/>
    <w:tmpl w:val="22F0A6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8456B"/>
    <w:multiLevelType w:val="hybridMultilevel"/>
    <w:tmpl w:val="CBA4D1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160F2F"/>
    <w:multiLevelType w:val="hybridMultilevel"/>
    <w:tmpl w:val="708A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877A5F"/>
    <w:multiLevelType w:val="multilevel"/>
    <w:tmpl w:val="2B26D12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6BA2599"/>
    <w:multiLevelType w:val="hybridMultilevel"/>
    <w:tmpl w:val="3918B1D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1126D1"/>
    <w:multiLevelType w:val="hybridMultilevel"/>
    <w:tmpl w:val="0F52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E61646"/>
    <w:multiLevelType w:val="hybridMultilevel"/>
    <w:tmpl w:val="5D504DB4"/>
    <w:lvl w:ilvl="0" w:tplc="5606A706">
      <w:start w:val="1"/>
      <w:numFmt w:val="bullet"/>
      <w:lvlText w:val=""/>
      <w:lvlJc w:val="left"/>
      <w:pPr>
        <w:tabs>
          <w:tab w:val="num" w:pos="360"/>
        </w:tabs>
        <w:ind w:left="360" w:hanging="360"/>
      </w:pPr>
      <w:rPr>
        <w:rFonts w:ascii="Symbol" w:hAnsi="Symbol" w:hint="default"/>
      </w:rPr>
    </w:lvl>
    <w:lvl w:ilvl="1" w:tplc="3D183BC2" w:tentative="1">
      <w:start w:val="1"/>
      <w:numFmt w:val="bullet"/>
      <w:lvlText w:val=""/>
      <w:lvlJc w:val="left"/>
      <w:pPr>
        <w:tabs>
          <w:tab w:val="num" w:pos="1080"/>
        </w:tabs>
        <w:ind w:left="1080" w:hanging="360"/>
      </w:pPr>
      <w:rPr>
        <w:rFonts w:ascii="Symbol" w:hAnsi="Symbol" w:hint="default"/>
      </w:rPr>
    </w:lvl>
    <w:lvl w:ilvl="2" w:tplc="E3B2CC12" w:tentative="1">
      <w:start w:val="1"/>
      <w:numFmt w:val="bullet"/>
      <w:lvlText w:val=""/>
      <w:lvlJc w:val="left"/>
      <w:pPr>
        <w:tabs>
          <w:tab w:val="num" w:pos="1800"/>
        </w:tabs>
        <w:ind w:left="1800" w:hanging="360"/>
      </w:pPr>
      <w:rPr>
        <w:rFonts w:ascii="Symbol" w:hAnsi="Symbol" w:hint="default"/>
      </w:rPr>
    </w:lvl>
    <w:lvl w:ilvl="3" w:tplc="7F12410E" w:tentative="1">
      <w:start w:val="1"/>
      <w:numFmt w:val="bullet"/>
      <w:lvlText w:val=""/>
      <w:lvlJc w:val="left"/>
      <w:pPr>
        <w:tabs>
          <w:tab w:val="num" w:pos="2520"/>
        </w:tabs>
        <w:ind w:left="2520" w:hanging="360"/>
      </w:pPr>
      <w:rPr>
        <w:rFonts w:ascii="Symbol" w:hAnsi="Symbol" w:hint="default"/>
      </w:rPr>
    </w:lvl>
    <w:lvl w:ilvl="4" w:tplc="062AFDDE" w:tentative="1">
      <w:start w:val="1"/>
      <w:numFmt w:val="bullet"/>
      <w:lvlText w:val=""/>
      <w:lvlJc w:val="left"/>
      <w:pPr>
        <w:tabs>
          <w:tab w:val="num" w:pos="3240"/>
        </w:tabs>
        <w:ind w:left="3240" w:hanging="360"/>
      </w:pPr>
      <w:rPr>
        <w:rFonts w:ascii="Symbol" w:hAnsi="Symbol" w:hint="default"/>
      </w:rPr>
    </w:lvl>
    <w:lvl w:ilvl="5" w:tplc="E34457F6" w:tentative="1">
      <w:start w:val="1"/>
      <w:numFmt w:val="bullet"/>
      <w:lvlText w:val=""/>
      <w:lvlJc w:val="left"/>
      <w:pPr>
        <w:tabs>
          <w:tab w:val="num" w:pos="3960"/>
        </w:tabs>
        <w:ind w:left="3960" w:hanging="360"/>
      </w:pPr>
      <w:rPr>
        <w:rFonts w:ascii="Symbol" w:hAnsi="Symbol" w:hint="default"/>
      </w:rPr>
    </w:lvl>
    <w:lvl w:ilvl="6" w:tplc="E8B4E226" w:tentative="1">
      <w:start w:val="1"/>
      <w:numFmt w:val="bullet"/>
      <w:lvlText w:val=""/>
      <w:lvlJc w:val="left"/>
      <w:pPr>
        <w:tabs>
          <w:tab w:val="num" w:pos="4680"/>
        </w:tabs>
        <w:ind w:left="4680" w:hanging="360"/>
      </w:pPr>
      <w:rPr>
        <w:rFonts w:ascii="Symbol" w:hAnsi="Symbol" w:hint="default"/>
      </w:rPr>
    </w:lvl>
    <w:lvl w:ilvl="7" w:tplc="4686EB1E" w:tentative="1">
      <w:start w:val="1"/>
      <w:numFmt w:val="bullet"/>
      <w:lvlText w:val=""/>
      <w:lvlJc w:val="left"/>
      <w:pPr>
        <w:tabs>
          <w:tab w:val="num" w:pos="5400"/>
        </w:tabs>
        <w:ind w:left="5400" w:hanging="360"/>
      </w:pPr>
      <w:rPr>
        <w:rFonts w:ascii="Symbol" w:hAnsi="Symbol" w:hint="default"/>
      </w:rPr>
    </w:lvl>
    <w:lvl w:ilvl="8" w:tplc="659EC95A"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1856538C"/>
    <w:multiLevelType w:val="hybridMultilevel"/>
    <w:tmpl w:val="F06CE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A376D83"/>
    <w:multiLevelType w:val="hybridMultilevel"/>
    <w:tmpl w:val="1D3A9EF2"/>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B665B20"/>
    <w:multiLevelType w:val="multilevel"/>
    <w:tmpl w:val="3E7C8498"/>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20E47AC3"/>
    <w:multiLevelType w:val="hybridMultilevel"/>
    <w:tmpl w:val="C7A6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2119AC"/>
    <w:multiLevelType w:val="multilevel"/>
    <w:tmpl w:val="2A7C53F4"/>
    <w:lvl w:ilvl="0">
      <w:start w:val="39"/>
      <w:numFmt w:val="decimal"/>
      <w:lvlText w:val="%1"/>
      <w:lvlJc w:val="left"/>
      <w:pPr>
        <w:ind w:left="360" w:hanging="360"/>
      </w:pPr>
      <w:rPr>
        <w:rFonts w:ascii="Times New Roman" w:eastAsiaTheme="minorHAnsi" w:hAnsi="Times New Roman" w:cs="Times New Roman" w:hint="default"/>
        <w:color w:val="auto"/>
      </w:rPr>
    </w:lvl>
    <w:lvl w:ilvl="1">
      <w:start w:val="57"/>
      <w:numFmt w:val="decimal"/>
      <w:lvlText w:val="%1.%2"/>
      <w:lvlJc w:val="left"/>
      <w:pPr>
        <w:ind w:left="360" w:hanging="360"/>
      </w:pPr>
      <w:rPr>
        <w:rFonts w:ascii="Times New Roman" w:eastAsiaTheme="minorHAnsi" w:hAnsi="Times New Roman" w:cs="Times New Roman" w:hint="default"/>
        <w:color w:val="auto"/>
      </w:rPr>
    </w:lvl>
    <w:lvl w:ilvl="2">
      <w:start w:val="2"/>
      <w:numFmt w:val="decimal"/>
      <w:lvlText w:val="%1.%2.%3"/>
      <w:lvlJc w:val="left"/>
      <w:pPr>
        <w:ind w:left="720"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24" w15:restartNumberingAfterBreak="0">
    <w:nsid w:val="23484A5D"/>
    <w:multiLevelType w:val="hybridMultilevel"/>
    <w:tmpl w:val="6412747E"/>
    <w:lvl w:ilvl="0" w:tplc="717E58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7336CF"/>
    <w:multiLevelType w:val="hybridMultilevel"/>
    <w:tmpl w:val="8988BAF0"/>
    <w:lvl w:ilvl="0" w:tplc="192C16D0">
      <w:start w:val="1"/>
      <w:numFmt w:val="decimal"/>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6" w15:restartNumberingAfterBreak="0">
    <w:nsid w:val="25963479"/>
    <w:multiLevelType w:val="hybridMultilevel"/>
    <w:tmpl w:val="8806D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9031F8D"/>
    <w:multiLevelType w:val="multilevel"/>
    <w:tmpl w:val="3BEC4738"/>
    <w:lvl w:ilvl="0">
      <w:start w:val="39"/>
      <w:numFmt w:val="decimal"/>
      <w:lvlText w:val="%1"/>
      <w:lvlJc w:val="left"/>
      <w:pPr>
        <w:ind w:left="360" w:hanging="360"/>
      </w:pPr>
      <w:rPr>
        <w:rFonts w:ascii="Times New Roman" w:eastAsiaTheme="minorHAnsi" w:hAnsi="Times New Roman" w:cs="Times New Roman" w:hint="default"/>
        <w:color w:val="auto"/>
      </w:rPr>
    </w:lvl>
    <w:lvl w:ilvl="1">
      <w:start w:val="57"/>
      <w:numFmt w:val="decimal"/>
      <w:lvlText w:val="%1.%2"/>
      <w:lvlJc w:val="left"/>
      <w:pPr>
        <w:ind w:left="360" w:hanging="360"/>
      </w:pPr>
      <w:rPr>
        <w:rFonts w:ascii="Times New Roman" w:eastAsiaTheme="minorHAnsi" w:hAnsi="Times New Roman" w:cs="Times New Roman" w:hint="default"/>
        <w:color w:val="auto"/>
      </w:rPr>
    </w:lvl>
    <w:lvl w:ilvl="2">
      <w:start w:val="2"/>
      <w:numFmt w:val="decimal"/>
      <w:lvlText w:val="%1.%2.%3"/>
      <w:lvlJc w:val="left"/>
      <w:pPr>
        <w:ind w:left="720"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28" w15:restartNumberingAfterBreak="0">
    <w:nsid w:val="29CB0804"/>
    <w:multiLevelType w:val="hybridMultilevel"/>
    <w:tmpl w:val="429CB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A2226D4"/>
    <w:multiLevelType w:val="hybridMultilevel"/>
    <w:tmpl w:val="F2F8A882"/>
    <w:lvl w:ilvl="0" w:tplc="3634C2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A5131BD"/>
    <w:multiLevelType w:val="hybridMultilevel"/>
    <w:tmpl w:val="A6F490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81570B"/>
    <w:multiLevelType w:val="multilevel"/>
    <w:tmpl w:val="16BA2BC6"/>
    <w:lvl w:ilvl="0">
      <w:start w:val="39"/>
      <w:numFmt w:val="decimal"/>
      <w:lvlText w:val="%1"/>
      <w:lvlJc w:val="left"/>
      <w:pPr>
        <w:ind w:left="360" w:hanging="360"/>
      </w:pPr>
      <w:rPr>
        <w:rFonts w:ascii="Times New Roman" w:hAnsi="Times New Roman" w:cs="Times New Roman" w:hint="default"/>
        <w:color w:val="auto"/>
      </w:rPr>
    </w:lvl>
    <w:lvl w:ilvl="1">
      <w:start w:val="57"/>
      <w:numFmt w:val="decimal"/>
      <w:lvlText w:val="%1.%2"/>
      <w:lvlJc w:val="left"/>
      <w:pPr>
        <w:ind w:left="360" w:hanging="360"/>
      </w:pPr>
      <w:rPr>
        <w:rFonts w:ascii="Times New Roman" w:hAnsi="Times New Roman" w:cs="Times New Roman" w:hint="default"/>
        <w:color w:val="auto"/>
        <w:sz w:val="24"/>
        <w:szCs w:val="24"/>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080" w:hanging="108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440" w:hanging="144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32" w15:restartNumberingAfterBreak="0">
    <w:nsid w:val="2BEA708E"/>
    <w:multiLevelType w:val="multilevel"/>
    <w:tmpl w:val="ACA257FC"/>
    <w:lvl w:ilvl="0">
      <w:start w:val="39"/>
      <w:numFmt w:val="decimal"/>
      <w:lvlText w:val="%1"/>
      <w:lvlJc w:val="left"/>
      <w:pPr>
        <w:ind w:left="360" w:hanging="360"/>
      </w:pPr>
      <w:rPr>
        <w:rFonts w:ascii="Times New Roman" w:eastAsiaTheme="minorHAnsi" w:hAnsi="Times New Roman" w:cs="Times New Roman" w:hint="default"/>
        <w:color w:val="auto"/>
      </w:rPr>
    </w:lvl>
    <w:lvl w:ilvl="1">
      <w:start w:val="57"/>
      <w:numFmt w:val="decimal"/>
      <w:lvlText w:val="%1.%2"/>
      <w:lvlJc w:val="left"/>
      <w:pPr>
        <w:ind w:left="360" w:hanging="360"/>
      </w:pPr>
      <w:rPr>
        <w:rFonts w:ascii="Times New Roman" w:eastAsiaTheme="minorHAnsi" w:hAnsi="Times New Roman" w:cs="Times New Roman" w:hint="default"/>
        <w:color w:val="auto"/>
      </w:rPr>
    </w:lvl>
    <w:lvl w:ilvl="2">
      <w:start w:val="2"/>
      <w:numFmt w:val="decimal"/>
      <w:lvlText w:val="%1.%2.%3"/>
      <w:lvlJc w:val="left"/>
      <w:pPr>
        <w:ind w:left="720"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33" w15:restartNumberingAfterBreak="0">
    <w:nsid w:val="2C2E0FB8"/>
    <w:multiLevelType w:val="hybridMultilevel"/>
    <w:tmpl w:val="96B4EE16"/>
    <w:lvl w:ilvl="0" w:tplc="30884FD8">
      <w:start w:val="39"/>
      <w:numFmt w:val="decimal"/>
      <w:lvlText w:val="%1"/>
      <w:lvlJc w:val="left"/>
      <w:pPr>
        <w:ind w:left="720" w:hanging="360"/>
      </w:pPr>
      <w:rPr>
        <w:rFonts w:ascii="Times New Roman" w:eastAsiaTheme="minorHAnsi"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F230964"/>
    <w:multiLevelType w:val="multilevel"/>
    <w:tmpl w:val="B960121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04E4FF0"/>
    <w:multiLevelType w:val="hybridMultilevel"/>
    <w:tmpl w:val="48184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1C62894"/>
    <w:multiLevelType w:val="hybridMultilevel"/>
    <w:tmpl w:val="CA76B3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5EE28AB"/>
    <w:multiLevelType w:val="hybridMultilevel"/>
    <w:tmpl w:val="9F1C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516F6C"/>
    <w:multiLevelType w:val="hybridMultilevel"/>
    <w:tmpl w:val="C8723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5C7AFD"/>
    <w:multiLevelType w:val="multilevel"/>
    <w:tmpl w:val="C0340B44"/>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380975C0"/>
    <w:multiLevelType w:val="hybridMultilevel"/>
    <w:tmpl w:val="D38AEB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502277"/>
    <w:multiLevelType w:val="hybridMultilevel"/>
    <w:tmpl w:val="647691DA"/>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3BFF5D6A"/>
    <w:multiLevelType w:val="hybridMultilevel"/>
    <w:tmpl w:val="D89C9A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C7D3A7D"/>
    <w:multiLevelType w:val="hybridMultilevel"/>
    <w:tmpl w:val="2160E8E2"/>
    <w:lvl w:ilvl="0" w:tplc="FFFFFFFF">
      <w:start w:val="1"/>
      <w:numFmt w:val="decimal"/>
      <w:lvlText w:val="%1."/>
      <w:lvlJc w:val="left"/>
      <w:pPr>
        <w:ind w:left="216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CCF1E9D"/>
    <w:multiLevelType w:val="hybridMultilevel"/>
    <w:tmpl w:val="B8201B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E30000"/>
    <w:multiLevelType w:val="hybridMultilevel"/>
    <w:tmpl w:val="0C2E9A7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F1C5C66"/>
    <w:multiLevelType w:val="hybridMultilevel"/>
    <w:tmpl w:val="6512B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2172A69"/>
    <w:multiLevelType w:val="hybridMultilevel"/>
    <w:tmpl w:val="669A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6D11A4"/>
    <w:multiLevelType w:val="hybridMultilevel"/>
    <w:tmpl w:val="948A0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3497720"/>
    <w:multiLevelType w:val="hybridMultilevel"/>
    <w:tmpl w:val="4A728D3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4A47ED9"/>
    <w:multiLevelType w:val="hybridMultilevel"/>
    <w:tmpl w:val="CF7A23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5953664"/>
    <w:multiLevelType w:val="hybridMultilevel"/>
    <w:tmpl w:val="8B5A6C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6B41EFC"/>
    <w:multiLevelType w:val="hybridMultilevel"/>
    <w:tmpl w:val="AF840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456DCA"/>
    <w:multiLevelType w:val="hybridMultilevel"/>
    <w:tmpl w:val="58620094"/>
    <w:lvl w:ilvl="0" w:tplc="6EC26CE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8047B32"/>
    <w:multiLevelType w:val="hybridMultilevel"/>
    <w:tmpl w:val="0896C9A8"/>
    <w:lvl w:ilvl="0" w:tplc="EAA8AC2C">
      <w:start w:val="1"/>
      <w:numFmt w:val="bullet"/>
      <w:lvlText w:val=""/>
      <w:lvlJc w:val="left"/>
      <w:pPr>
        <w:tabs>
          <w:tab w:val="num" w:pos="360"/>
        </w:tabs>
        <w:ind w:left="360" w:hanging="360"/>
      </w:pPr>
      <w:rPr>
        <w:rFonts w:ascii="Symbol" w:hAnsi="Symbol" w:hint="default"/>
      </w:rPr>
    </w:lvl>
    <w:lvl w:ilvl="1" w:tplc="91E44930" w:tentative="1">
      <w:start w:val="1"/>
      <w:numFmt w:val="bullet"/>
      <w:lvlText w:val=""/>
      <w:lvlJc w:val="left"/>
      <w:pPr>
        <w:tabs>
          <w:tab w:val="num" w:pos="1080"/>
        </w:tabs>
        <w:ind w:left="1080" w:hanging="360"/>
      </w:pPr>
      <w:rPr>
        <w:rFonts w:ascii="Symbol" w:hAnsi="Symbol" w:hint="default"/>
      </w:rPr>
    </w:lvl>
    <w:lvl w:ilvl="2" w:tplc="0BC029BE" w:tentative="1">
      <w:start w:val="1"/>
      <w:numFmt w:val="bullet"/>
      <w:lvlText w:val=""/>
      <w:lvlJc w:val="left"/>
      <w:pPr>
        <w:tabs>
          <w:tab w:val="num" w:pos="1800"/>
        </w:tabs>
        <w:ind w:left="1800" w:hanging="360"/>
      </w:pPr>
      <w:rPr>
        <w:rFonts w:ascii="Symbol" w:hAnsi="Symbol" w:hint="default"/>
      </w:rPr>
    </w:lvl>
    <w:lvl w:ilvl="3" w:tplc="CA56CF4C" w:tentative="1">
      <w:start w:val="1"/>
      <w:numFmt w:val="bullet"/>
      <w:lvlText w:val=""/>
      <w:lvlJc w:val="left"/>
      <w:pPr>
        <w:tabs>
          <w:tab w:val="num" w:pos="2520"/>
        </w:tabs>
        <w:ind w:left="2520" w:hanging="360"/>
      </w:pPr>
      <w:rPr>
        <w:rFonts w:ascii="Symbol" w:hAnsi="Symbol" w:hint="default"/>
      </w:rPr>
    </w:lvl>
    <w:lvl w:ilvl="4" w:tplc="2FE25DC4" w:tentative="1">
      <w:start w:val="1"/>
      <w:numFmt w:val="bullet"/>
      <w:lvlText w:val=""/>
      <w:lvlJc w:val="left"/>
      <w:pPr>
        <w:tabs>
          <w:tab w:val="num" w:pos="3240"/>
        </w:tabs>
        <w:ind w:left="3240" w:hanging="360"/>
      </w:pPr>
      <w:rPr>
        <w:rFonts w:ascii="Symbol" w:hAnsi="Symbol" w:hint="default"/>
      </w:rPr>
    </w:lvl>
    <w:lvl w:ilvl="5" w:tplc="8C669C54" w:tentative="1">
      <w:start w:val="1"/>
      <w:numFmt w:val="bullet"/>
      <w:lvlText w:val=""/>
      <w:lvlJc w:val="left"/>
      <w:pPr>
        <w:tabs>
          <w:tab w:val="num" w:pos="3960"/>
        </w:tabs>
        <w:ind w:left="3960" w:hanging="360"/>
      </w:pPr>
      <w:rPr>
        <w:rFonts w:ascii="Symbol" w:hAnsi="Symbol" w:hint="default"/>
      </w:rPr>
    </w:lvl>
    <w:lvl w:ilvl="6" w:tplc="ED8EEB66" w:tentative="1">
      <w:start w:val="1"/>
      <w:numFmt w:val="bullet"/>
      <w:lvlText w:val=""/>
      <w:lvlJc w:val="left"/>
      <w:pPr>
        <w:tabs>
          <w:tab w:val="num" w:pos="4680"/>
        </w:tabs>
        <w:ind w:left="4680" w:hanging="360"/>
      </w:pPr>
      <w:rPr>
        <w:rFonts w:ascii="Symbol" w:hAnsi="Symbol" w:hint="default"/>
      </w:rPr>
    </w:lvl>
    <w:lvl w:ilvl="7" w:tplc="51F0F3C8" w:tentative="1">
      <w:start w:val="1"/>
      <w:numFmt w:val="bullet"/>
      <w:lvlText w:val=""/>
      <w:lvlJc w:val="left"/>
      <w:pPr>
        <w:tabs>
          <w:tab w:val="num" w:pos="5400"/>
        </w:tabs>
        <w:ind w:left="5400" w:hanging="360"/>
      </w:pPr>
      <w:rPr>
        <w:rFonts w:ascii="Symbol" w:hAnsi="Symbol" w:hint="default"/>
      </w:rPr>
    </w:lvl>
    <w:lvl w:ilvl="8" w:tplc="DD44237E" w:tentative="1">
      <w:start w:val="1"/>
      <w:numFmt w:val="bullet"/>
      <w:lvlText w:val=""/>
      <w:lvlJc w:val="left"/>
      <w:pPr>
        <w:tabs>
          <w:tab w:val="num" w:pos="6120"/>
        </w:tabs>
        <w:ind w:left="6120" w:hanging="360"/>
      </w:pPr>
      <w:rPr>
        <w:rFonts w:ascii="Symbol" w:hAnsi="Symbol" w:hint="default"/>
      </w:rPr>
    </w:lvl>
  </w:abstractNum>
  <w:abstractNum w:abstractNumId="55" w15:restartNumberingAfterBreak="0">
    <w:nsid w:val="49186BEA"/>
    <w:multiLevelType w:val="hybridMultilevel"/>
    <w:tmpl w:val="801047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49AF7C23"/>
    <w:multiLevelType w:val="hybridMultilevel"/>
    <w:tmpl w:val="F872CB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5E0592"/>
    <w:multiLevelType w:val="hybridMultilevel"/>
    <w:tmpl w:val="DF4CE4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CF87D92"/>
    <w:multiLevelType w:val="hybridMultilevel"/>
    <w:tmpl w:val="21669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D173383"/>
    <w:multiLevelType w:val="hybridMultilevel"/>
    <w:tmpl w:val="788ABC74"/>
    <w:lvl w:ilvl="0" w:tplc="0AB4D7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D5C01B7"/>
    <w:multiLevelType w:val="hybridMultilevel"/>
    <w:tmpl w:val="167CD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FCB6609"/>
    <w:multiLevelType w:val="hybridMultilevel"/>
    <w:tmpl w:val="14988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18938CD"/>
    <w:multiLevelType w:val="hybridMultilevel"/>
    <w:tmpl w:val="C3C29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1D21B6E"/>
    <w:multiLevelType w:val="hybridMultilevel"/>
    <w:tmpl w:val="168AF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E3043B"/>
    <w:multiLevelType w:val="hybridMultilevel"/>
    <w:tmpl w:val="6C42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2F41C8F"/>
    <w:multiLevelType w:val="hybridMultilevel"/>
    <w:tmpl w:val="5DE8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E720F"/>
    <w:multiLevelType w:val="hybridMultilevel"/>
    <w:tmpl w:val="BCC686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54366462"/>
    <w:multiLevelType w:val="hybridMultilevel"/>
    <w:tmpl w:val="11962D58"/>
    <w:lvl w:ilvl="0" w:tplc="8F66AF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5D64702"/>
    <w:multiLevelType w:val="multilevel"/>
    <w:tmpl w:val="F1C6F97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66B1B30"/>
    <w:multiLevelType w:val="hybridMultilevel"/>
    <w:tmpl w:val="4A728D3C"/>
    <w:lvl w:ilvl="0" w:tplc="D7DC9E8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92C3990"/>
    <w:multiLevelType w:val="hybridMultilevel"/>
    <w:tmpl w:val="5C70968A"/>
    <w:lvl w:ilvl="0" w:tplc="08090011">
      <w:start w:val="1"/>
      <w:numFmt w:val="decimal"/>
      <w:lvlText w:val="%1)"/>
      <w:lvlJc w:val="left"/>
      <w:pPr>
        <w:ind w:left="2160" w:hanging="36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71" w15:restartNumberingAfterBreak="0">
    <w:nsid w:val="5C492449"/>
    <w:multiLevelType w:val="hybridMultilevel"/>
    <w:tmpl w:val="3198FC06"/>
    <w:lvl w:ilvl="0" w:tplc="2C04F14E">
      <w:start w:val="2"/>
      <w:numFmt w:val="decimal"/>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E4303BE"/>
    <w:multiLevelType w:val="hybridMultilevel"/>
    <w:tmpl w:val="83B89A24"/>
    <w:lvl w:ilvl="0" w:tplc="781C63E0">
      <w:start w:val="1"/>
      <w:numFmt w:val="decimal"/>
      <w:lvlText w:val="%1."/>
      <w:lvlJc w:val="left"/>
      <w:pPr>
        <w:tabs>
          <w:tab w:val="num" w:pos="360"/>
        </w:tabs>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FBF6D92"/>
    <w:multiLevelType w:val="hybridMultilevel"/>
    <w:tmpl w:val="A68AA376"/>
    <w:lvl w:ilvl="0" w:tplc="75EC4D8A">
      <w:start w:val="1"/>
      <w:numFmt w:val="bullet"/>
      <w:lvlText w:val=""/>
      <w:lvlJc w:val="left"/>
      <w:pPr>
        <w:tabs>
          <w:tab w:val="num" w:pos="360"/>
        </w:tabs>
        <w:ind w:left="360" w:hanging="360"/>
      </w:pPr>
      <w:rPr>
        <w:rFonts w:ascii="Symbol" w:hAnsi="Symbol" w:hint="default"/>
      </w:rPr>
    </w:lvl>
    <w:lvl w:ilvl="1" w:tplc="1E9CAC32" w:tentative="1">
      <w:start w:val="1"/>
      <w:numFmt w:val="bullet"/>
      <w:lvlText w:val=""/>
      <w:lvlJc w:val="left"/>
      <w:pPr>
        <w:tabs>
          <w:tab w:val="num" w:pos="1080"/>
        </w:tabs>
        <w:ind w:left="1080" w:hanging="360"/>
      </w:pPr>
      <w:rPr>
        <w:rFonts w:ascii="Symbol" w:hAnsi="Symbol" w:hint="default"/>
      </w:rPr>
    </w:lvl>
    <w:lvl w:ilvl="2" w:tplc="6D0A97EC" w:tentative="1">
      <w:start w:val="1"/>
      <w:numFmt w:val="bullet"/>
      <w:lvlText w:val=""/>
      <w:lvlJc w:val="left"/>
      <w:pPr>
        <w:tabs>
          <w:tab w:val="num" w:pos="1800"/>
        </w:tabs>
        <w:ind w:left="1800" w:hanging="360"/>
      </w:pPr>
      <w:rPr>
        <w:rFonts w:ascii="Symbol" w:hAnsi="Symbol" w:hint="default"/>
      </w:rPr>
    </w:lvl>
    <w:lvl w:ilvl="3" w:tplc="E7925098" w:tentative="1">
      <w:start w:val="1"/>
      <w:numFmt w:val="bullet"/>
      <w:lvlText w:val=""/>
      <w:lvlJc w:val="left"/>
      <w:pPr>
        <w:tabs>
          <w:tab w:val="num" w:pos="2520"/>
        </w:tabs>
        <w:ind w:left="2520" w:hanging="360"/>
      </w:pPr>
      <w:rPr>
        <w:rFonts w:ascii="Symbol" w:hAnsi="Symbol" w:hint="default"/>
      </w:rPr>
    </w:lvl>
    <w:lvl w:ilvl="4" w:tplc="68B6998A" w:tentative="1">
      <w:start w:val="1"/>
      <w:numFmt w:val="bullet"/>
      <w:lvlText w:val=""/>
      <w:lvlJc w:val="left"/>
      <w:pPr>
        <w:tabs>
          <w:tab w:val="num" w:pos="3240"/>
        </w:tabs>
        <w:ind w:left="3240" w:hanging="360"/>
      </w:pPr>
      <w:rPr>
        <w:rFonts w:ascii="Symbol" w:hAnsi="Symbol" w:hint="default"/>
      </w:rPr>
    </w:lvl>
    <w:lvl w:ilvl="5" w:tplc="EC52B31A" w:tentative="1">
      <w:start w:val="1"/>
      <w:numFmt w:val="bullet"/>
      <w:lvlText w:val=""/>
      <w:lvlJc w:val="left"/>
      <w:pPr>
        <w:tabs>
          <w:tab w:val="num" w:pos="3960"/>
        </w:tabs>
        <w:ind w:left="3960" w:hanging="360"/>
      </w:pPr>
      <w:rPr>
        <w:rFonts w:ascii="Symbol" w:hAnsi="Symbol" w:hint="default"/>
      </w:rPr>
    </w:lvl>
    <w:lvl w:ilvl="6" w:tplc="99000D20" w:tentative="1">
      <w:start w:val="1"/>
      <w:numFmt w:val="bullet"/>
      <w:lvlText w:val=""/>
      <w:lvlJc w:val="left"/>
      <w:pPr>
        <w:tabs>
          <w:tab w:val="num" w:pos="4680"/>
        </w:tabs>
        <w:ind w:left="4680" w:hanging="360"/>
      </w:pPr>
      <w:rPr>
        <w:rFonts w:ascii="Symbol" w:hAnsi="Symbol" w:hint="default"/>
      </w:rPr>
    </w:lvl>
    <w:lvl w:ilvl="7" w:tplc="E7B8410A" w:tentative="1">
      <w:start w:val="1"/>
      <w:numFmt w:val="bullet"/>
      <w:lvlText w:val=""/>
      <w:lvlJc w:val="left"/>
      <w:pPr>
        <w:tabs>
          <w:tab w:val="num" w:pos="5400"/>
        </w:tabs>
        <w:ind w:left="5400" w:hanging="360"/>
      </w:pPr>
      <w:rPr>
        <w:rFonts w:ascii="Symbol" w:hAnsi="Symbol" w:hint="default"/>
      </w:rPr>
    </w:lvl>
    <w:lvl w:ilvl="8" w:tplc="AD647C6E" w:tentative="1">
      <w:start w:val="1"/>
      <w:numFmt w:val="bullet"/>
      <w:lvlText w:val=""/>
      <w:lvlJc w:val="left"/>
      <w:pPr>
        <w:tabs>
          <w:tab w:val="num" w:pos="6120"/>
        </w:tabs>
        <w:ind w:left="6120" w:hanging="360"/>
      </w:pPr>
      <w:rPr>
        <w:rFonts w:ascii="Symbol" w:hAnsi="Symbol" w:hint="default"/>
      </w:rPr>
    </w:lvl>
  </w:abstractNum>
  <w:abstractNum w:abstractNumId="74" w15:restartNumberingAfterBreak="0">
    <w:nsid w:val="656E0730"/>
    <w:multiLevelType w:val="multilevel"/>
    <w:tmpl w:val="D5B2951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59D7442"/>
    <w:multiLevelType w:val="hybridMultilevel"/>
    <w:tmpl w:val="7A8EFDCA"/>
    <w:lvl w:ilvl="0" w:tplc="49FEE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70B56A4"/>
    <w:multiLevelType w:val="hybridMultilevel"/>
    <w:tmpl w:val="4A728D3C"/>
    <w:lvl w:ilvl="0" w:tplc="FFFFFFFF">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6B4B7D39"/>
    <w:multiLevelType w:val="hybridMultilevel"/>
    <w:tmpl w:val="795A0814"/>
    <w:lvl w:ilvl="0" w:tplc="4D1A6AAC">
      <w:start w:val="1"/>
      <w:numFmt w:val="bullet"/>
      <w:lvlText w:val=""/>
      <w:lvlJc w:val="left"/>
      <w:pPr>
        <w:tabs>
          <w:tab w:val="num" w:pos="360"/>
        </w:tabs>
        <w:ind w:left="360" w:hanging="360"/>
      </w:pPr>
      <w:rPr>
        <w:rFonts w:ascii="Symbol" w:hAnsi="Symbol" w:hint="default"/>
      </w:rPr>
    </w:lvl>
    <w:lvl w:ilvl="1" w:tplc="DC183866" w:tentative="1">
      <w:start w:val="1"/>
      <w:numFmt w:val="bullet"/>
      <w:lvlText w:val=""/>
      <w:lvlJc w:val="left"/>
      <w:pPr>
        <w:tabs>
          <w:tab w:val="num" w:pos="1080"/>
        </w:tabs>
        <w:ind w:left="1080" w:hanging="360"/>
      </w:pPr>
      <w:rPr>
        <w:rFonts w:ascii="Symbol" w:hAnsi="Symbol" w:hint="default"/>
      </w:rPr>
    </w:lvl>
    <w:lvl w:ilvl="2" w:tplc="FB964A9A" w:tentative="1">
      <w:start w:val="1"/>
      <w:numFmt w:val="bullet"/>
      <w:lvlText w:val=""/>
      <w:lvlJc w:val="left"/>
      <w:pPr>
        <w:tabs>
          <w:tab w:val="num" w:pos="1800"/>
        </w:tabs>
        <w:ind w:left="1800" w:hanging="360"/>
      </w:pPr>
      <w:rPr>
        <w:rFonts w:ascii="Symbol" w:hAnsi="Symbol" w:hint="default"/>
      </w:rPr>
    </w:lvl>
    <w:lvl w:ilvl="3" w:tplc="5D1A2B9E" w:tentative="1">
      <w:start w:val="1"/>
      <w:numFmt w:val="bullet"/>
      <w:lvlText w:val=""/>
      <w:lvlJc w:val="left"/>
      <w:pPr>
        <w:tabs>
          <w:tab w:val="num" w:pos="2520"/>
        </w:tabs>
        <w:ind w:left="2520" w:hanging="360"/>
      </w:pPr>
      <w:rPr>
        <w:rFonts w:ascii="Symbol" w:hAnsi="Symbol" w:hint="default"/>
      </w:rPr>
    </w:lvl>
    <w:lvl w:ilvl="4" w:tplc="CE66D3D0" w:tentative="1">
      <w:start w:val="1"/>
      <w:numFmt w:val="bullet"/>
      <w:lvlText w:val=""/>
      <w:lvlJc w:val="left"/>
      <w:pPr>
        <w:tabs>
          <w:tab w:val="num" w:pos="3240"/>
        </w:tabs>
        <w:ind w:left="3240" w:hanging="360"/>
      </w:pPr>
      <w:rPr>
        <w:rFonts w:ascii="Symbol" w:hAnsi="Symbol" w:hint="default"/>
      </w:rPr>
    </w:lvl>
    <w:lvl w:ilvl="5" w:tplc="5302F4F4" w:tentative="1">
      <w:start w:val="1"/>
      <w:numFmt w:val="bullet"/>
      <w:lvlText w:val=""/>
      <w:lvlJc w:val="left"/>
      <w:pPr>
        <w:tabs>
          <w:tab w:val="num" w:pos="3960"/>
        </w:tabs>
        <w:ind w:left="3960" w:hanging="360"/>
      </w:pPr>
      <w:rPr>
        <w:rFonts w:ascii="Symbol" w:hAnsi="Symbol" w:hint="default"/>
      </w:rPr>
    </w:lvl>
    <w:lvl w:ilvl="6" w:tplc="D2689AF8" w:tentative="1">
      <w:start w:val="1"/>
      <w:numFmt w:val="bullet"/>
      <w:lvlText w:val=""/>
      <w:lvlJc w:val="left"/>
      <w:pPr>
        <w:tabs>
          <w:tab w:val="num" w:pos="4680"/>
        </w:tabs>
        <w:ind w:left="4680" w:hanging="360"/>
      </w:pPr>
      <w:rPr>
        <w:rFonts w:ascii="Symbol" w:hAnsi="Symbol" w:hint="default"/>
      </w:rPr>
    </w:lvl>
    <w:lvl w:ilvl="7" w:tplc="A97228F2" w:tentative="1">
      <w:start w:val="1"/>
      <w:numFmt w:val="bullet"/>
      <w:lvlText w:val=""/>
      <w:lvlJc w:val="left"/>
      <w:pPr>
        <w:tabs>
          <w:tab w:val="num" w:pos="5400"/>
        </w:tabs>
        <w:ind w:left="5400" w:hanging="360"/>
      </w:pPr>
      <w:rPr>
        <w:rFonts w:ascii="Symbol" w:hAnsi="Symbol" w:hint="default"/>
      </w:rPr>
    </w:lvl>
    <w:lvl w:ilvl="8" w:tplc="443893EE" w:tentative="1">
      <w:start w:val="1"/>
      <w:numFmt w:val="bullet"/>
      <w:lvlText w:val=""/>
      <w:lvlJc w:val="left"/>
      <w:pPr>
        <w:tabs>
          <w:tab w:val="num" w:pos="6120"/>
        </w:tabs>
        <w:ind w:left="6120" w:hanging="360"/>
      </w:pPr>
      <w:rPr>
        <w:rFonts w:ascii="Symbol" w:hAnsi="Symbol" w:hint="default"/>
      </w:rPr>
    </w:lvl>
  </w:abstractNum>
  <w:abstractNum w:abstractNumId="78" w15:restartNumberingAfterBreak="0">
    <w:nsid w:val="6DBE6B62"/>
    <w:multiLevelType w:val="hybridMultilevel"/>
    <w:tmpl w:val="A2B0C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C86F79"/>
    <w:multiLevelType w:val="hybridMultilevel"/>
    <w:tmpl w:val="2B2465E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E626EDA"/>
    <w:multiLevelType w:val="hybridMultilevel"/>
    <w:tmpl w:val="CC2A0C4A"/>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6F6A1019"/>
    <w:multiLevelType w:val="hybridMultilevel"/>
    <w:tmpl w:val="95CE86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FCD66CD"/>
    <w:multiLevelType w:val="hybridMultilevel"/>
    <w:tmpl w:val="565A4418"/>
    <w:lvl w:ilvl="0" w:tplc="9716AB5C">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 w15:restartNumberingAfterBreak="0">
    <w:nsid w:val="709A0A4C"/>
    <w:multiLevelType w:val="hybridMultilevel"/>
    <w:tmpl w:val="7C5A2BE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71FB76CF"/>
    <w:multiLevelType w:val="hybridMultilevel"/>
    <w:tmpl w:val="360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495F49"/>
    <w:multiLevelType w:val="hybridMultilevel"/>
    <w:tmpl w:val="5E7E8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689449F"/>
    <w:multiLevelType w:val="hybridMultilevel"/>
    <w:tmpl w:val="151290C6"/>
    <w:lvl w:ilvl="0" w:tplc="FF38C212">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77071BD6"/>
    <w:multiLevelType w:val="hybridMultilevel"/>
    <w:tmpl w:val="3F3C5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84834A4"/>
    <w:multiLevelType w:val="hybridMultilevel"/>
    <w:tmpl w:val="750CC01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86B052B"/>
    <w:multiLevelType w:val="hybridMultilevel"/>
    <w:tmpl w:val="DD2A44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8A40C44"/>
    <w:multiLevelType w:val="hybridMultilevel"/>
    <w:tmpl w:val="BBF093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96F6D32"/>
    <w:multiLevelType w:val="multilevel"/>
    <w:tmpl w:val="AD262F5C"/>
    <w:lvl w:ilvl="0">
      <w:start w:val="39"/>
      <w:numFmt w:val="decimal"/>
      <w:lvlText w:val="%1"/>
      <w:lvlJc w:val="left"/>
      <w:pPr>
        <w:ind w:left="360" w:hanging="360"/>
      </w:pPr>
      <w:rPr>
        <w:rFonts w:ascii="Times New Roman" w:eastAsiaTheme="minorHAnsi" w:hAnsi="Times New Roman" w:cs="Times New Roman" w:hint="default"/>
        <w:color w:val="auto"/>
      </w:rPr>
    </w:lvl>
    <w:lvl w:ilvl="1">
      <w:start w:val="57"/>
      <w:numFmt w:val="decimal"/>
      <w:lvlText w:val="%1.%2"/>
      <w:lvlJc w:val="left"/>
      <w:pPr>
        <w:ind w:left="360" w:hanging="360"/>
      </w:pPr>
      <w:rPr>
        <w:rFonts w:ascii="Times New Roman" w:eastAsiaTheme="minorHAnsi" w:hAnsi="Times New Roman" w:cs="Times New Roman" w:hint="default"/>
        <w:color w:val="auto"/>
      </w:rPr>
    </w:lvl>
    <w:lvl w:ilvl="2">
      <w:start w:val="2"/>
      <w:numFmt w:val="decimal"/>
      <w:lvlText w:val="%1.%2.%3"/>
      <w:lvlJc w:val="left"/>
      <w:pPr>
        <w:ind w:left="1145"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92" w15:restartNumberingAfterBreak="0">
    <w:nsid w:val="79841352"/>
    <w:multiLevelType w:val="hybridMultilevel"/>
    <w:tmpl w:val="1302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B65138F"/>
    <w:multiLevelType w:val="hybridMultilevel"/>
    <w:tmpl w:val="F44C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9D5A91"/>
    <w:multiLevelType w:val="hybridMultilevel"/>
    <w:tmpl w:val="8AF4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3F2418"/>
    <w:multiLevelType w:val="hybridMultilevel"/>
    <w:tmpl w:val="294EFA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E96144D"/>
    <w:multiLevelType w:val="hybridMultilevel"/>
    <w:tmpl w:val="7D56CAC8"/>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60780483">
    <w:abstractNumId w:val="35"/>
  </w:num>
  <w:num w:numId="2" w16cid:durableId="842209094">
    <w:abstractNumId w:val="3"/>
  </w:num>
  <w:num w:numId="3" w16cid:durableId="1534003411">
    <w:abstractNumId w:val="7"/>
  </w:num>
  <w:num w:numId="4" w16cid:durableId="1531798017">
    <w:abstractNumId w:val="20"/>
  </w:num>
  <w:num w:numId="5" w16cid:durableId="1358193154">
    <w:abstractNumId w:val="95"/>
  </w:num>
  <w:num w:numId="6" w16cid:durableId="1174610890">
    <w:abstractNumId w:val="44"/>
  </w:num>
  <w:num w:numId="7" w16cid:durableId="1739353852">
    <w:abstractNumId w:val="1"/>
  </w:num>
  <w:num w:numId="8" w16cid:durableId="979119172">
    <w:abstractNumId w:val="25"/>
  </w:num>
  <w:num w:numId="9" w16cid:durableId="1163817120">
    <w:abstractNumId w:val="52"/>
  </w:num>
  <w:num w:numId="10" w16cid:durableId="1617591426">
    <w:abstractNumId w:val="65"/>
  </w:num>
  <w:num w:numId="11" w16cid:durableId="1255238377">
    <w:abstractNumId w:val="30"/>
  </w:num>
  <w:num w:numId="12" w16cid:durableId="367991899">
    <w:abstractNumId w:val="79"/>
  </w:num>
  <w:num w:numId="13" w16cid:durableId="2006395731">
    <w:abstractNumId w:val="56"/>
  </w:num>
  <w:num w:numId="14" w16cid:durableId="1875001144">
    <w:abstractNumId w:val="15"/>
  </w:num>
  <w:num w:numId="15" w16cid:durableId="224609450">
    <w:abstractNumId w:val="45"/>
  </w:num>
  <w:num w:numId="16" w16cid:durableId="844056043">
    <w:abstractNumId w:val="48"/>
  </w:num>
  <w:num w:numId="17" w16cid:durableId="1245839931">
    <w:abstractNumId w:val="36"/>
  </w:num>
  <w:num w:numId="18" w16cid:durableId="1503931880">
    <w:abstractNumId w:val="51"/>
  </w:num>
  <w:num w:numId="19" w16cid:durableId="1828471002">
    <w:abstractNumId w:val="54"/>
  </w:num>
  <w:num w:numId="20" w16cid:durableId="1442644950">
    <w:abstractNumId w:val="77"/>
  </w:num>
  <w:num w:numId="21" w16cid:durableId="1404448827">
    <w:abstractNumId w:val="18"/>
  </w:num>
  <w:num w:numId="22" w16cid:durableId="541795486">
    <w:abstractNumId w:val="73"/>
  </w:num>
  <w:num w:numId="23" w16cid:durableId="2111926955">
    <w:abstractNumId w:val="40"/>
  </w:num>
  <w:num w:numId="24" w16cid:durableId="1201430356">
    <w:abstractNumId w:val="26"/>
  </w:num>
  <w:num w:numId="25" w16cid:durableId="919874995">
    <w:abstractNumId w:val="58"/>
  </w:num>
  <w:num w:numId="26" w16cid:durableId="904602643">
    <w:abstractNumId w:val="60"/>
  </w:num>
  <w:num w:numId="27" w16cid:durableId="1198660763">
    <w:abstractNumId w:val="61"/>
  </w:num>
  <w:num w:numId="28" w16cid:durableId="1286499867">
    <w:abstractNumId w:val="21"/>
  </w:num>
  <w:num w:numId="29" w16cid:durableId="284774973">
    <w:abstractNumId w:val="42"/>
  </w:num>
  <w:num w:numId="30" w16cid:durableId="143470970">
    <w:abstractNumId w:val="17"/>
  </w:num>
  <w:num w:numId="31" w16cid:durableId="336419209">
    <w:abstractNumId w:val="13"/>
  </w:num>
  <w:num w:numId="32" w16cid:durableId="687104742">
    <w:abstractNumId w:val="88"/>
  </w:num>
  <w:num w:numId="33" w16cid:durableId="1362052986">
    <w:abstractNumId w:val="92"/>
  </w:num>
  <w:num w:numId="34" w16cid:durableId="388965616">
    <w:abstractNumId w:val="87"/>
  </w:num>
  <w:num w:numId="35" w16cid:durableId="1771588610">
    <w:abstractNumId w:val="2"/>
  </w:num>
  <w:num w:numId="36" w16cid:durableId="1277101485">
    <w:abstractNumId w:val="96"/>
  </w:num>
  <w:num w:numId="37" w16cid:durableId="536042951">
    <w:abstractNumId w:val="4"/>
  </w:num>
  <w:num w:numId="38" w16cid:durableId="1782916545">
    <w:abstractNumId w:val="50"/>
  </w:num>
  <w:num w:numId="39" w16cid:durableId="193616981">
    <w:abstractNumId w:val="81"/>
  </w:num>
  <w:num w:numId="40" w16cid:durableId="59450068">
    <w:abstractNumId w:val="47"/>
  </w:num>
  <w:num w:numId="41" w16cid:durableId="1326546449">
    <w:abstractNumId w:val="74"/>
  </w:num>
  <w:num w:numId="42" w16cid:durableId="1896698117">
    <w:abstractNumId w:val="89"/>
  </w:num>
  <w:num w:numId="43" w16cid:durableId="587081556">
    <w:abstractNumId w:val="10"/>
  </w:num>
  <w:num w:numId="44" w16cid:durableId="2103793017">
    <w:abstractNumId w:val="41"/>
  </w:num>
  <w:num w:numId="45" w16cid:durableId="105001106">
    <w:abstractNumId w:val="0"/>
  </w:num>
  <w:num w:numId="46" w16cid:durableId="1767188614">
    <w:abstractNumId w:val="63"/>
  </w:num>
  <w:num w:numId="47" w16cid:durableId="1867913315">
    <w:abstractNumId w:val="11"/>
  </w:num>
  <w:num w:numId="48" w16cid:durableId="598372142">
    <w:abstractNumId w:val="59"/>
  </w:num>
  <w:num w:numId="49" w16cid:durableId="2000113747">
    <w:abstractNumId w:val="24"/>
  </w:num>
  <w:num w:numId="50" w16cid:durableId="707611935">
    <w:abstractNumId w:val="14"/>
  </w:num>
  <w:num w:numId="51" w16cid:durableId="1606110421">
    <w:abstractNumId w:val="22"/>
  </w:num>
  <w:num w:numId="52" w16cid:durableId="1292634655">
    <w:abstractNumId w:val="78"/>
  </w:num>
  <w:num w:numId="53" w16cid:durableId="869880758">
    <w:abstractNumId w:val="39"/>
  </w:num>
  <w:num w:numId="54" w16cid:durableId="568686584">
    <w:abstractNumId w:val="34"/>
  </w:num>
  <w:num w:numId="55" w16cid:durableId="2095545953">
    <w:abstractNumId w:val="29"/>
  </w:num>
  <w:num w:numId="56" w16cid:durableId="848716087">
    <w:abstractNumId w:val="67"/>
  </w:num>
  <w:num w:numId="57" w16cid:durableId="528956474">
    <w:abstractNumId w:val="68"/>
  </w:num>
  <w:num w:numId="58" w16cid:durableId="2127036836">
    <w:abstractNumId w:val="75"/>
  </w:num>
  <w:num w:numId="59" w16cid:durableId="366759912">
    <w:abstractNumId w:val="53"/>
  </w:num>
  <w:num w:numId="60" w16cid:durableId="1081098914">
    <w:abstractNumId w:val="86"/>
  </w:num>
  <w:num w:numId="61" w16cid:durableId="1763724797">
    <w:abstractNumId w:val="39"/>
    <w:lvlOverride w:ilvl="0">
      <w:startOverride w:val="2"/>
    </w:lvlOverride>
    <w:lvlOverride w:ilvl="1">
      <w:startOverride w:val="1"/>
    </w:lvlOverride>
  </w:num>
  <w:num w:numId="62" w16cid:durableId="462507902">
    <w:abstractNumId w:val="71"/>
  </w:num>
  <w:num w:numId="63" w16cid:durableId="1792698448">
    <w:abstractNumId w:val="19"/>
  </w:num>
  <w:num w:numId="64" w16cid:durableId="1762870028">
    <w:abstractNumId w:val="69"/>
  </w:num>
  <w:num w:numId="65" w16cid:durableId="1429302938">
    <w:abstractNumId w:val="90"/>
  </w:num>
  <w:num w:numId="66" w16cid:durableId="87045767">
    <w:abstractNumId w:val="16"/>
  </w:num>
  <w:num w:numId="67" w16cid:durableId="152457385">
    <w:abstractNumId w:val="38"/>
  </w:num>
  <w:num w:numId="68" w16cid:durableId="1635986778">
    <w:abstractNumId w:val="49"/>
  </w:num>
  <w:num w:numId="69" w16cid:durableId="448201861">
    <w:abstractNumId w:val="76"/>
  </w:num>
  <w:num w:numId="70" w16cid:durableId="447554079">
    <w:abstractNumId w:val="43"/>
  </w:num>
  <w:num w:numId="71" w16cid:durableId="188376052">
    <w:abstractNumId w:val="80"/>
  </w:num>
  <w:num w:numId="72" w16cid:durableId="538667617">
    <w:abstractNumId w:val="46"/>
  </w:num>
  <w:num w:numId="73" w16cid:durableId="525603592">
    <w:abstractNumId w:val="31"/>
  </w:num>
  <w:num w:numId="74" w16cid:durableId="674528104">
    <w:abstractNumId w:val="33"/>
  </w:num>
  <w:num w:numId="75" w16cid:durableId="632519006">
    <w:abstractNumId w:val="23"/>
  </w:num>
  <w:num w:numId="76" w16cid:durableId="518355271">
    <w:abstractNumId w:val="91"/>
  </w:num>
  <w:num w:numId="77" w16cid:durableId="1353143153">
    <w:abstractNumId w:val="27"/>
  </w:num>
  <w:num w:numId="78" w16cid:durableId="1894124120">
    <w:abstractNumId w:val="32"/>
  </w:num>
  <w:num w:numId="79" w16cid:durableId="21256120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656536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3947173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155273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355762342">
    <w:abstractNumId w:val="8"/>
  </w:num>
  <w:num w:numId="84" w16cid:durableId="143133515">
    <w:abstractNumId w:val="83"/>
  </w:num>
  <w:num w:numId="85" w16cid:durableId="1534683469">
    <w:abstractNumId w:val="28"/>
  </w:num>
  <w:num w:numId="86" w16cid:durableId="2011326060">
    <w:abstractNumId w:val="62"/>
  </w:num>
  <w:num w:numId="87" w16cid:durableId="486359494">
    <w:abstractNumId w:val="57"/>
  </w:num>
  <w:num w:numId="88" w16cid:durableId="367026911">
    <w:abstractNumId w:val="85"/>
  </w:num>
  <w:num w:numId="89" w16cid:durableId="1509516217">
    <w:abstractNumId w:val="37"/>
  </w:num>
  <w:num w:numId="90" w16cid:durableId="1415860778">
    <w:abstractNumId w:val="5"/>
  </w:num>
  <w:num w:numId="91" w16cid:durableId="1492522199">
    <w:abstractNumId w:val="94"/>
  </w:num>
  <w:num w:numId="92" w16cid:durableId="5326171">
    <w:abstractNumId w:val="84"/>
  </w:num>
  <w:num w:numId="93" w16cid:durableId="2005429950">
    <w:abstractNumId w:val="9"/>
  </w:num>
  <w:num w:numId="94" w16cid:durableId="1348023245">
    <w:abstractNumId w:val="6"/>
  </w:num>
  <w:num w:numId="95" w16cid:durableId="1962107636">
    <w:abstractNumId w:val="12"/>
  </w:num>
  <w:num w:numId="96" w16cid:durableId="565071452">
    <w:abstractNumId w:val="64"/>
  </w:num>
  <w:num w:numId="97" w16cid:durableId="1260213072">
    <w:abstractNumId w:val="93"/>
  </w:num>
  <w:num w:numId="98" w16cid:durableId="506020590">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9rwt2w8padxcerwx6prd0a9wtda2w5fw2t&quot;&gt;My EndNote Library&lt;record-ids&gt;&lt;item&gt;5&lt;/item&gt;&lt;item&gt;9&lt;/item&gt;&lt;item&gt;11&lt;/item&gt;&lt;item&gt;12&lt;/item&gt;&lt;item&gt;13&lt;/item&gt;&lt;item&gt;17&lt;/item&gt;&lt;item&gt;18&lt;/item&gt;&lt;item&gt;20&lt;/item&gt;&lt;item&gt;21&lt;/item&gt;&lt;item&gt;23&lt;/item&gt;&lt;item&gt;25&lt;/item&gt;&lt;item&gt;26&lt;/item&gt;&lt;item&gt;27&lt;/item&gt;&lt;item&gt;28&lt;/item&gt;&lt;item&gt;29&lt;/item&gt;&lt;item&gt;33&lt;/item&gt;&lt;item&gt;35&lt;/item&gt;&lt;item&gt;44&lt;/item&gt;&lt;item&gt;48&lt;/item&gt;&lt;item&gt;49&lt;/item&gt;&lt;item&gt;54&lt;/item&gt;&lt;item&gt;103&lt;/item&gt;&lt;item&gt;110&lt;/item&gt;&lt;item&gt;111&lt;/item&gt;&lt;item&gt;112&lt;/item&gt;&lt;item&gt;114&lt;/item&gt;&lt;item&gt;132&lt;/item&gt;&lt;item&gt;133&lt;/item&gt;&lt;item&gt;136&lt;/item&gt;&lt;item&gt;137&lt;/item&gt;&lt;item&gt;138&lt;/item&gt;&lt;item&gt;140&lt;/item&gt;&lt;item&gt;142&lt;/item&gt;&lt;item&gt;144&lt;/item&gt;&lt;item&gt;145&lt;/item&gt;&lt;item&gt;153&lt;/item&gt;&lt;item&gt;155&lt;/item&gt;&lt;item&gt;156&lt;/item&gt;&lt;item&gt;157&lt;/item&gt;&lt;item&gt;158&lt;/item&gt;&lt;item&gt;160&lt;/item&gt;&lt;item&gt;161&lt;/item&gt;&lt;item&gt;162&lt;/item&gt;&lt;item&gt;164&lt;/item&gt;&lt;item&gt;168&lt;/item&gt;&lt;item&gt;169&lt;/item&gt;&lt;item&gt;170&lt;/item&gt;&lt;item&gt;171&lt;/item&gt;&lt;item&gt;172&lt;/item&gt;&lt;item&gt;173&lt;/item&gt;&lt;item&gt;178&lt;/item&gt;&lt;item&gt;180&lt;/item&gt;&lt;item&gt;181&lt;/item&gt;&lt;item&gt;184&lt;/item&gt;&lt;item&gt;186&lt;/item&gt;&lt;item&gt;187&lt;/item&gt;&lt;item&gt;188&lt;/item&gt;&lt;item&gt;192&lt;/item&gt;&lt;item&gt;195&lt;/item&gt;&lt;item&gt;196&lt;/item&gt;&lt;item&gt;197&lt;/item&gt;&lt;item&gt;198&lt;/item&gt;&lt;item&gt;200&lt;/item&gt;&lt;item&gt;203&lt;/item&gt;&lt;item&gt;206&lt;/item&gt;&lt;item&gt;207&lt;/item&gt;&lt;item&gt;211&lt;/item&gt;&lt;item&gt;212&lt;/item&gt;&lt;item&gt;214&lt;/item&gt;&lt;item&gt;220&lt;/item&gt;&lt;item&gt;221&lt;/item&gt;&lt;item&gt;223&lt;/item&gt;&lt;item&gt;224&lt;/item&gt;&lt;item&gt;226&lt;/item&gt;&lt;item&gt;227&lt;/item&gt;&lt;item&gt;228&lt;/item&gt;&lt;item&gt;229&lt;/item&gt;&lt;item&gt;231&lt;/item&gt;&lt;item&gt;232&lt;/item&gt;&lt;item&gt;233&lt;/item&gt;&lt;item&gt;244&lt;/item&gt;&lt;item&gt;246&lt;/item&gt;&lt;item&gt;247&lt;/item&gt;&lt;item&gt;248&lt;/item&gt;&lt;item&gt;250&lt;/item&gt;&lt;item&gt;251&lt;/item&gt;&lt;item&gt;252&lt;/item&gt;&lt;item&gt;253&lt;/item&gt;&lt;item&gt;254&lt;/item&gt;&lt;item&gt;256&lt;/item&gt;&lt;item&gt;258&lt;/item&gt;&lt;item&gt;259&lt;/item&gt;&lt;item&gt;260&lt;/item&gt;&lt;item&gt;261&lt;/item&gt;&lt;item&gt;262&lt;/item&gt;&lt;item&gt;264&lt;/item&gt;&lt;item&gt;267&lt;/item&gt;&lt;item&gt;269&lt;/item&gt;&lt;item&gt;270&lt;/item&gt;&lt;item&gt;273&lt;/item&gt;&lt;item&gt;274&lt;/item&gt;&lt;item&gt;275&lt;/item&gt;&lt;item&gt;277&lt;/item&gt;&lt;item&gt;278&lt;/item&gt;&lt;item&gt;279&lt;/item&gt;&lt;item&gt;280&lt;/item&gt;&lt;item&gt;281&lt;/item&gt;&lt;item&gt;288&lt;/item&gt;&lt;item&gt;289&lt;/item&gt;&lt;item&gt;290&lt;/item&gt;&lt;item&gt;291&lt;/item&gt;&lt;item&gt;292&lt;/item&gt;&lt;item&gt;293&lt;/item&gt;&lt;item&gt;294&lt;/item&gt;&lt;item&gt;297&lt;/item&gt;&lt;item&gt;298&lt;/item&gt;&lt;item&gt;307&lt;/item&gt;&lt;item&gt;309&lt;/item&gt;&lt;item&gt;313&lt;/item&gt;&lt;item&gt;330&lt;/item&gt;&lt;item&gt;332&lt;/item&gt;&lt;item&gt;333&lt;/item&gt;&lt;item&gt;334&lt;/item&gt;&lt;item&gt;335&lt;/item&gt;&lt;item&gt;336&lt;/item&gt;&lt;item&gt;337&lt;/item&gt;&lt;item&gt;338&lt;/item&gt;&lt;item&gt;341&lt;/item&gt;&lt;item&gt;343&lt;/item&gt;&lt;item&gt;344&lt;/item&gt;&lt;item&gt;345&lt;/item&gt;&lt;item&gt;346&lt;/item&gt;&lt;item&gt;348&lt;/item&gt;&lt;item&gt;349&lt;/item&gt;&lt;item&gt;350&lt;/item&gt;&lt;item&gt;355&lt;/item&gt;&lt;item&gt;357&lt;/item&gt;&lt;item&gt;358&lt;/item&gt;&lt;item&gt;359&lt;/item&gt;&lt;item&gt;360&lt;/item&gt;&lt;item&gt;361&lt;/item&gt;&lt;item&gt;362&lt;/item&gt;&lt;item&gt;363&lt;/item&gt;&lt;item&gt;364&lt;/item&gt;&lt;item&gt;365&lt;/item&gt;&lt;item&gt;366&lt;/item&gt;&lt;item&gt;367&lt;/item&gt;&lt;item&gt;369&lt;/item&gt;&lt;item&gt;372&lt;/item&gt;&lt;item&gt;374&lt;/item&gt;&lt;item&gt;375&lt;/item&gt;&lt;item&gt;378&lt;/item&gt;&lt;item&gt;380&lt;/item&gt;&lt;item&gt;385&lt;/item&gt;&lt;item&gt;386&lt;/item&gt;&lt;item&gt;390&lt;/item&gt;&lt;item&gt;392&lt;/item&gt;&lt;item&gt;393&lt;/item&gt;&lt;item&gt;397&lt;/item&gt;&lt;item&gt;398&lt;/item&gt;&lt;item&gt;399&lt;/item&gt;&lt;item&gt;403&lt;/item&gt;&lt;item&gt;405&lt;/item&gt;&lt;item&gt;408&lt;/item&gt;&lt;item&gt;409&lt;/item&gt;&lt;item&gt;410&lt;/item&gt;&lt;item&gt;412&lt;/item&gt;&lt;item&gt;413&lt;/item&gt;&lt;item&gt;414&lt;/item&gt;&lt;item&gt;415&lt;/item&gt;&lt;item&gt;416&lt;/item&gt;&lt;item&gt;417&lt;/item&gt;&lt;item&gt;420&lt;/item&gt;&lt;item&gt;421&lt;/item&gt;&lt;item&gt;423&lt;/item&gt;&lt;item&gt;424&lt;/item&gt;&lt;item&gt;425&lt;/item&gt;&lt;item&gt;426&lt;/item&gt;&lt;item&gt;427&lt;/item&gt;&lt;item&gt;428&lt;/item&gt;&lt;item&gt;429&lt;/item&gt;&lt;item&gt;432&lt;/item&gt;&lt;item&gt;433&lt;/item&gt;&lt;item&gt;434&lt;/item&gt;&lt;item&gt;436&lt;/item&gt;&lt;item&gt;437&lt;/item&gt;&lt;item&gt;438&lt;/item&gt;&lt;item&gt;441&lt;/item&gt;&lt;item&gt;442&lt;/item&gt;&lt;item&gt;444&lt;/item&gt;&lt;item&gt;445&lt;/item&gt;&lt;item&gt;447&lt;/item&gt;&lt;item&gt;449&lt;/item&gt;&lt;item&gt;450&lt;/item&gt;&lt;item&gt;451&lt;/item&gt;&lt;item&gt;452&lt;/item&gt;&lt;item&gt;453&lt;/item&gt;&lt;item&gt;454&lt;/item&gt;&lt;item&gt;455&lt;/item&gt;&lt;item&gt;458&lt;/item&gt;&lt;item&gt;459&lt;/item&gt;&lt;item&gt;460&lt;/item&gt;&lt;item&gt;462&lt;/item&gt;&lt;item&gt;464&lt;/item&gt;&lt;item&gt;465&lt;/item&gt;&lt;item&gt;466&lt;/item&gt;&lt;item&gt;467&lt;/item&gt;&lt;item&gt;473&lt;/item&gt;&lt;item&gt;476&lt;/item&gt;&lt;item&gt;477&lt;/item&gt;&lt;item&gt;478&lt;/item&gt;&lt;item&gt;479&lt;/item&gt;&lt;item&gt;483&lt;/item&gt;&lt;item&gt;484&lt;/item&gt;&lt;item&gt;486&lt;/item&gt;&lt;item&gt;488&lt;/item&gt;&lt;item&gt;490&lt;/item&gt;&lt;item&gt;491&lt;/item&gt;&lt;item&gt;492&lt;/item&gt;&lt;item&gt;493&lt;/item&gt;&lt;item&gt;496&lt;/item&gt;&lt;item&gt;497&lt;/item&gt;&lt;item&gt;498&lt;/item&gt;&lt;item&gt;499&lt;/item&gt;&lt;item&gt;500&lt;/item&gt;&lt;item&gt;502&lt;/item&gt;&lt;item&gt;503&lt;/item&gt;&lt;item&gt;504&lt;/item&gt;&lt;item&gt;505&lt;/item&gt;&lt;item&gt;506&lt;/item&gt;&lt;item&gt;507&lt;/item&gt;&lt;item&gt;508&lt;/item&gt;&lt;item&gt;509&lt;/item&gt;&lt;item&gt;510&lt;/item&gt;&lt;item&gt;511&lt;/item&gt;&lt;item&gt;514&lt;/item&gt;&lt;item&gt;515&lt;/item&gt;&lt;item&gt;516&lt;/item&gt;&lt;item&gt;517&lt;/item&gt;&lt;item&gt;519&lt;/item&gt;&lt;item&gt;520&lt;/item&gt;&lt;item&gt;521&lt;/item&gt;&lt;item&gt;522&lt;/item&gt;&lt;item&gt;524&lt;/item&gt;&lt;item&gt;525&lt;/item&gt;&lt;item&gt;527&lt;/item&gt;&lt;item&gt;528&lt;/item&gt;&lt;item&gt;529&lt;/item&gt;&lt;item&gt;531&lt;/item&gt;&lt;item&gt;532&lt;/item&gt;&lt;item&gt;533&lt;/item&gt;&lt;item&gt;534&lt;/item&gt;&lt;item&gt;535&lt;/item&gt;&lt;item&gt;537&lt;/item&gt;&lt;item&gt;539&lt;/item&gt;&lt;item&gt;540&lt;/item&gt;&lt;/record-ids&gt;&lt;/item&gt;&lt;/Libraries&gt;"/>
  </w:docVars>
  <w:rsids>
    <w:rsidRoot w:val="00B301A9"/>
    <w:rsid w:val="000004C5"/>
    <w:rsid w:val="000015AC"/>
    <w:rsid w:val="00001905"/>
    <w:rsid w:val="00002634"/>
    <w:rsid w:val="00002D78"/>
    <w:rsid w:val="00003095"/>
    <w:rsid w:val="000039CB"/>
    <w:rsid w:val="00003CE9"/>
    <w:rsid w:val="0000419D"/>
    <w:rsid w:val="000044FE"/>
    <w:rsid w:val="000046FE"/>
    <w:rsid w:val="00004C90"/>
    <w:rsid w:val="00004EA7"/>
    <w:rsid w:val="00005065"/>
    <w:rsid w:val="00006664"/>
    <w:rsid w:val="00006DE4"/>
    <w:rsid w:val="000075DF"/>
    <w:rsid w:val="00007F10"/>
    <w:rsid w:val="00010021"/>
    <w:rsid w:val="00010A07"/>
    <w:rsid w:val="00010E23"/>
    <w:rsid w:val="00011665"/>
    <w:rsid w:val="000124D0"/>
    <w:rsid w:val="00012C41"/>
    <w:rsid w:val="00012DD6"/>
    <w:rsid w:val="00012EFB"/>
    <w:rsid w:val="00012FEC"/>
    <w:rsid w:val="000132A3"/>
    <w:rsid w:val="000137F6"/>
    <w:rsid w:val="00013DF2"/>
    <w:rsid w:val="0001419E"/>
    <w:rsid w:val="00014AD5"/>
    <w:rsid w:val="00014C87"/>
    <w:rsid w:val="00015345"/>
    <w:rsid w:val="00016728"/>
    <w:rsid w:val="00016C4D"/>
    <w:rsid w:val="00016C80"/>
    <w:rsid w:val="0002056B"/>
    <w:rsid w:val="00020B57"/>
    <w:rsid w:val="00020D48"/>
    <w:rsid w:val="00021065"/>
    <w:rsid w:val="0002113B"/>
    <w:rsid w:val="000215D4"/>
    <w:rsid w:val="00021D12"/>
    <w:rsid w:val="0002202B"/>
    <w:rsid w:val="00022221"/>
    <w:rsid w:val="000222BE"/>
    <w:rsid w:val="000223A2"/>
    <w:rsid w:val="0002251A"/>
    <w:rsid w:val="000226AA"/>
    <w:rsid w:val="000226EA"/>
    <w:rsid w:val="00022782"/>
    <w:rsid w:val="00022B21"/>
    <w:rsid w:val="00022DB8"/>
    <w:rsid w:val="0002379E"/>
    <w:rsid w:val="0002399E"/>
    <w:rsid w:val="00023C78"/>
    <w:rsid w:val="00023CC6"/>
    <w:rsid w:val="00023D5A"/>
    <w:rsid w:val="00024071"/>
    <w:rsid w:val="00024A0C"/>
    <w:rsid w:val="00025B32"/>
    <w:rsid w:val="00025D07"/>
    <w:rsid w:val="000265C3"/>
    <w:rsid w:val="00026BE7"/>
    <w:rsid w:val="00027720"/>
    <w:rsid w:val="000302D6"/>
    <w:rsid w:val="00030D3C"/>
    <w:rsid w:val="0003115E"/>
    <w:rsid w:val="0003144C"/>
    <w:rsid w:val="00031929"/>
    <w:rsid w:val="00031C19"/>
    <w:rsid w:val="00031F7A"/>
    <w:rsid w:val="00034858"/>
    <w:rsid w:val="00034B32"/>
    <w:rsid w:val="000352DC"/>
    <w:rsid w:val="0003553D"/>
    <w:rsid w:val="00035566"/>
    <w:rsid w:val="000356D5"/>
    <w:rsid w:val="00035C0C"/>
    <w:rsid w:val="00036459"/>
    <w:rsid w:val="000364E7"/>
    <w:rsid w:val="00036678"/>
    <w:rsid w:val="000366D8"/>
    <w:rsid w:val="0003694F"/>
    <w:rsid w:val="00036B48"/>
    <w:rsid w:val="0003710C"/>
    <w:rsid w:val="00037457"/>
    <w:rsid w:val="0004072C"/>
    <w:rsid w:val="0004100A"/>
    <w:rsid w:val="00041515"/>
    <w:rsid w:val="000417E2"/>
    <w:rsid w:val="00041904"/>
    <w:rsid w:val="00041BA4"/>
    <w:rsid w:val="0004220A"/>
    <w:rsid w:val="00042B05"/>
    <w:rsid w:val="00042EAC"/>
    <w:rsid w:val="000432F7"/>
    <w:rsid w:val="00043A62"/>
    <w:rsid w:val="0004425C"/>
    <w:rsid w:val="0004437B"/>
    <w:rsid w:val="0004488B"/>
    <w:rsid w:val="000449F9"/>
    <w:rsid w:val="00045205"/>
    <w:rsid w:val="0004523B"/>
    <w:rsid w:val="0004545C"/>
    <w:rsid w:val="00045815"/>
    <w:rsid w:val="000459BF"/>
    <w:rsid w:val="000459D0"/>
    <w:rsid w:val="00045A0D"/>
    <w:rsid w:val="00045B17"/>
    <w:rsid w:val="00045C5A"/>
    <w:rsid w:val="000465C2"/>
    <w:rsid w:val="000465D0"/>
    <w:rsid w:val="00046707"/>
    <w:rsid w:val="0004693C"/>
    <w:rsid w:val="00046C76"/>
    <w:rsid w:val="000478E0"/>
    <w:rsid w:val="00047F12"/>
    <w:rsid w:val="00047FC7"/>
    <w:rsid w:val="00050810"/>
    <w:rsid w:val="0005102F"/>
    <w:rsid w:val="00051905"/>
    <w:rsid w:val="00051B34"/>
    <w:rsid w:val="00051B78"/>
    <w:rsid w:val="00051D98"/>
    <w:rsid w:val="000522D3"/>
    <w:rsid w:val="000523B1"/>
    <w:rsid w:val="00052D73"/>
    <w:rsid w:val="00052DD6"/>
    <w:rsid w:val="00053924"/>
    <w:rsid w:val="00054404"/>
    <w:rsid w:val="00054883"/>
    <w:rsid w:val="0005668C"/>
    <w:rsid w:val="00056726"/>
    <w:rsid w:val="00056BFA"/>
    <w:rsid w:val="00057FC9"/>
    <w:rsid w:val="00060139"/>
    <w:rsid w:val="00060918"/>
    <w:rsid w:val="0006183A"/>
    <w:rsid w:val="000619CF"/>
    <w:rsid w:val="00062696"/>
    <w:rsid w:val="000626B2"/>
    <w:rsid w:val="00062E48"/>
    <w:rsid w:val="00062EFD"/>
    <w:rsid w:val="00063B4F"/>
    <w:rsid w:val="00064117"/>
    <w:rsid w:val="000647C0"/>
    <w:rsid w:val="00064A39"/>
    <w:rsid w:val="00065099"/>
    <w:rsid w:val="000651B4"/>
    <w:rsid w:val="000656AF"/>
    <w:rsid w:val="00065AB2"/>
    <w:rsid w:val="00065CE6"/>
    <w:rsid w:val="00066006"/>
    <w:rsid w:val="000662CB"/>
    <w:rsid w:val="00066AA0"/>
    <w:rsid w:val="00066AC0"/>
    <w:rsid w:val="000670EC"/>
    <w:rsid w:val="000672BE"/>
    <w:rsid w:val="00067524"/>
    <w:rsid w:val="00067715"/>
    <w:rsid w:val="00067777"/>
    <w:rsid w:val="000700F2"/>
    <w:rsid w:val="00070149"/>
    <w:rsid w:val="00071581"/>
    <w:rsid w:val="000715BB"/>
    <w:rsid w:val="00071A18"/>
    <w:rsid w:val="00071DFD"/>
    <w:rsid w:val="000724CA"/>
    <w:rsid w:val="000742AF"/>
    <w:rsid w:val="000748D8"/>
    <w:rsid w:val="00074E25"/>
    <w:rsid w:val="000754FB"/>
    <w:rsid w:val="00075E3C"/>
    <w:rsid w:val="000765D0"/>
    <w:rsid w:val="00076661"/>
    <w:rsid w:val="000768B1"/>
    <w:rsid w:val="00076EBA"/>
    <w:rsid w:val="00076FFF"/>
    <w:rsid w:val="000770A6"/>
    <w:rsid w:val="00077593"/>
    <w:rsid w:val="00077B26"/>
    <w:rsid w:val="00077EF8"/>
    <w:rsid w:val="00077F2E"/>
    <w:rsid w:val="000801D9"/>
    <w:rsid w:val="0008026A"/>
    <w:rsid w:val="0008056C"/>
    <w:rsid w:val="0008093B"/>
    <w:rsid w:val="000811B5"/>
    <w:rsid w:val="00081217"/>
    <w:rsid w:val="00081368"/>
    <w:rsid w:val="00081789"/>
    <w:rsid w:val="000818C9"/>
    <w:rsid w:val="00081C7E"/>
    <w:rsid w:val="00081DBB"/>
    <w:rsid w:val="000822E4"/>
    <w:rsid w:val="0008261D"/>
    <w:rsid w:val="00082D24"/>
    <w:rsid w:val="00082FFC"/>
    <w:rsid w:val="00083028"/>
    <w:rsid w:val="00083568"/>
    <w:rsid w:val="000842DC"/>
    <w:rsid w:val="000847C9"/>
    <w:rsid w:val="0008499E"/>
    <w:rsid w:val="00084D08"/>
    <w:rsid w:val="000855DD"/>
    <w:rsid w:val="00085883"/>
    <w:rsid w:val="00085D6A"/>
    <w:rsid w:val="00085E00"/>
    <w:rsid w:val="00085E1C"/>
    <w:rsid w:val="000862B0"/>
    <w:rsid w:val="0008654D"/>
    <w:rsid w:val="00086A7D"/>
    <w:rsid w:val="00086DC1"/>
    <w:rsid w:val="00087671"/>
    <w:rsid w:val="000879A5"/>
    <w:rsid w:val="000900A8"/>
    <w:rsid w:val="000904F8"/>
    <w:rsid w:val="0009061E"/>
    <w:rsid w:val="00090AC5"/>
    <w:rsid w:val="00090B5F"/>
    <w:rsid w:val="00090C23"/>
    <w:rsid w:val="000914CA"/>
    <w:rsid w:val="00091FE5"/>
    <w:rsid w:val="000923BE"/>
    <w:rsid w:val="000939E6"/>
    <w:rsid w:val="00093AA9"/>
    <w:rsid w:val="00093AD3"/>
    <w:rsid w:val="00093D7F"/>
    <w:rsid w:val="00093D84"/>
    <w:rsid w:val="00094869"/>
    <w:rsid w:val="00095906"/>
    <w:rsid w:val="00096324"/>
    <w:rsid w:val="00096521"/>
    <w:rsid w:val="00096B12"/>
    <w:rsid w:val="00096D58"/>
    <w:rsid w:val="0009763C"/>
    <w:rsid w:val="00097837"/>
    <w:rsid w:val="000A01F1"/>
    <w:rsid w:val="000A0478"/>
    <w:rsid w:val="000A0645"/>
    <w:rsid w:val="000A0B93"/>
    <w:rsid w:val="000A10D0"/>
    <w:rsid w:val="000A1355"/>
    <w:rsid w:val="000A17AA"/>
    <w:rsid w:val="000A19E1"/>
    <w:rsid w:val="000A1A2D"/>
    <w:rsid w:val="000A1F01"/>
    <w:rsid w:val="000A1FF4"/>
    <w:rsid w:val="000A3564"/>
    <w:rsid w:val="000A36CD"/>
    <w:rsid w:val="000A41BE"/>
    <w:rsid w:val="000A42D1"/>
    <w:rsid w:val="000A4BD2"/>
    <w:rsid w:val="000A5FE2"/>
    <w:rsid w:val="000A665A"/>
    <w:rsid w:val="000A66F6"/>
    <w:rsid w:val="000B01A7"/>
    <w:rsid w:val="000B01FB"/>
    <w:rsid w:val="000B080B"/>
    <w:rsid w:val="000B0B5C"/>
    <w:rsid w:val="000B0E27"/>
    <w:rsid w:val="000B1D07"/>
    <w:rsid w:val="000B1E9D"/>
    <w:rsid w:val="000B2615"/>
    <w:rsid w:val="000B2807"/>
    <w:rsid w:val="000B2E37"/>
    <w:rsid w:val="000B358D"/>
    <w:rsid w:val="000B3C88"/>
    <w:rsid w:val="000B467F"/>
    <w:rsid w:val="000B641E"/>
    <w:rsid w:val="000B6437"/>
    <w:rsid w:val="000B6637"/>
    <w:rsid w:val="000B789E"/>
    <w:rsid w:val="000C05F2"/>
    <w:rsid w:val="000C181F"/>
    <w:rsid w:val="000C19A9"/>
    <w:rsid w:val="000C1A3A"/>
    <w:rsid w:val="000C204E"/>
    <w:rsid w:val="000C247B"/>
    <w:rsid w:val="000C27F9"/>
    <w:rsid w:val="000C2CFB"/>
    <w:rsid w:val="000C3296"/>
    <w:rsid w:val="000C35AD"/>
    <w:rsid w:val="000C3867"/>
    <w:rsid w:val="000C440A"/>
    <w:rsid w:val="000C478A"/>
    <w:rsid w:val="000C5087"/>
    <w:rsid w:val="000C5518"/>
    <w:rsid w:val="000C5736"/>
    <w:rsid w:val="000C5814"/>
    <w:rsid w:val="000C684D"/>
    <w:rsid w:val="000C6A7A"/>
    <w:rsid w:val="000C7486"/>
    <w:rsid w:val="000C76CF"/>
    <w:rsid w:val="000C7755"/>
    <w:rsid w:val="000C778B"/>
    <w:rsid w:val="000C79F9"/>
    <w:rsid w:val="000D06E7"/>
    <w:rsid w:val="000D14A1"/>
    <w:rsid w:val="000D197F"/>
    <w:rsid w:val="000D1AE8"/>
    <w:rsid w:val="000D1B71"/>
    <w:rsid w:val="000D2726"/>
    <w:rsid w:val="000D27D1"/>
    <w:rsid w:val="000D29BD"/>
    <w:rsid w:val="000D2B53"/>
    <w:rsid w:val="000D3734"/>
    <w:rsid w:val="000D3984"/>
    <w:rsid w:val="000D443A"/>
    <w:rsid w:val="000D4537"/>
    <w:rsid w:val="000D4C74"/>
    <w:rsid w:val="000D5AE9"/>
    <w:rsid w:val="000D628A"/>
    <w:rsid w:val="000D6475"/>
    <w:rsid w:val="000D7320"/>
    <w:rsid w:val="000D7564"/>
    <w:rsid w:val="000D7AEE"/>
    <w:rsid w:val="000D7FB4"/>
    <w:rsid w:val="000E1712"/>
    <w:rsid w:val="000E27DF"/>
    <w:rsid w:val="000E2836"/>
    <w:rsid w:val="000E2DDA"/>
    <w:rsid w:val="000E309B"/>
    <w:rsid w:val="000E30AC"/>
    <w:rsid w:val="000E3A5A"/>
    <w:rsid w:val="000E3CB9"/>
    <w:rsid w:val="000E3F2C"/>
    <w:rsid w:val="000E4563"/>
    <w:rsid w:val="000E5C10"/>
    <w:rsid w:val="000E5D2B"/>
    <w:rsid w:val="000E6147"/>
    <w:rsid w:val="000E658E"/>
    <w:rsid w:val="000E6C60"/>
    <w:rsid w:val="000E722D"/>
    <w:rsid w:val="000E767A"/>
    <w:rsid w:val="000E7AF4"/>
    <w:rsid w:val="000E7C8F"/>
    <w:rsid w:val="000F0070"/>
    <w:rsid w:val="000F0166"/>
    <w:rsid w:val="000F0C91"/>
    <w:rsid w:val="000F0E86"/>
    <w:rsid w:val="000F0FA8"/>
    <w:rsid w:val="000F1495"/>
    <w:rsid w:val="000F217D"/>
    <w:rsid w:val="000F2FC1"/>
    <w:rsid w:val="000F33BB"/>
    <w:rsid w:val="000F3B45"/>
    <w:rsid w:val="000F4748"/>
    <w:rsid w:val="000F4A2A"/>
    <w:rsid w:val="000F4BE1"/>
    <w:rsid w:val="000F51CF"/>
    <w:rsid w:val="000F525A"/>
    <w:rsid w:val="000F577A"/>
    <w:rsid w:val="000F5B31"/>
    <w:rsid w:val="000F6877"/>
    <w:rsid w:val="000F6C4B"/>
    <w:rsid w:val="000F708F"/>
    <w:rsid w:val="000F7400"/>
    <w:rsid w:val="000F7529"/>
    <w:rsid w:val="000F7607"/>
    <w:rsid w:val="000F77B6"/>
    <w:rsid w:val="000F7826"/>
    <w:rsid w:val="000F7964"/>
    <w:rsid w:val="000F7D57"/>
    <w:rsid w:val="000F7E09"/>
    <w:rsid w:val="000F7EE0"/>
    <w:rsid w:val="0010061F"/>
    <w:rsid w:val="0010101B"/>
    <w:rsid w:val="0010124C"/>
    <w:rsid w:val="00101DF9"/>
    <w:rsid w:val="00102739"/>
    <w:rsid w:val="001036A6"/>
    <w:rsid w:val="00104375"/>
    <w:rsid w:val="001045A5"/>
    <w:rsid w:val="00104946"/>
    <w:rsid w:val="00104AC9"/>
    <w:rsid w:val="00104F1A"/>
    <w:rsid w:val="00105189"/>
    <w:rsid w:val="0010579B"/>
    <w:rsid w:val="001057DD"/>
    <w:rsid w:val="00105938"/>
    <w:rsid w:val="00105B61"/>
    <w:rsid w:val="00105B80"/>
    <w:rsid w:val="00105CCD"/>
    <w:rsid w:val="00105FF9"/>
    <w:rsid w:val="0010600C"/>
    <w:rsid w:val="00106E1A"/>
    <w:rsid w:val="00106EE4"/>
    <w:rsid w:val="00106F97"/>
    <w:rsid w:val="00111F0F"/>
    <w:rsid w:val="00112006"/>
    <w:rsid w:val="0011236B"/>
    <w:rsid w:val="00112B8B"/>
    <w:rsid w:val="00113678"/>
    <w:rsid w:val="00113758"/>
    <w:rsid w:val="00113967"/>
    <w:rsid w:val="00113A94"/>
    <w:rsid w:val="00113C94"/>
    <w:rsid w:val="001146AB"/>
    <w:rsid w:val="00114C83"/>
    <w:rsid w:val="00114F42"/>
    <w:rsid w:val="0011584E"/>
    <w:rsid w:val="0011585B"/>
    <w:rsid w:val="00115C8C"/>
    <w:rsid w:val="00115D48"/>
    <w:rsid w:val="0011678E"/>
    <w:rsid w:val="00116E12"/>
    <w:rsid w:val="00117161"/>
    <w:rsid w:val="00117C7D"/>
    <w:rsid w:val="00117E2D"/>
    <w:rsid w:val="00121394"/>
    <w:rsid w:val="00121C20"/>
    <w:rsid w:val="00121D13"/>
    <w:rsid w:val="001221A4"/>
    <w:rsid w:val="00122297"/>
    <w:rsid w:val="00122F27"/>
    <w:rsid w:val="00123302"/>
    <w:rsid w:val="001236CE"/>
    <w:rsid w:val="00123B58"/>
    <w:rsid w:val="00123CB7"/>
    <w:rsid w:val="001245B0"/>
    <w:rsid w:val="001246D5"/>
    <w:rsid w:val="00124979"/>
    <w:rsid w:val="001251F2"/>
    <w:rsid w:val="00125996"/>
    <w:rsid w:val="00125EC7"/>
    <w:rsid w:val="00126E69"/>
    <w:rsid w:val="00126F2F"/>
    <w:rsid w:val="001270E4"/>
    <w:rsid w:val="00127525"/>
    <w:rsid w:val="00127E67"/>
    <w:rsid w:val="00130374"/>
    <w:rsid w:val="001312F2"/>
    <w:rsid w:val="001313E0"/>
    <w:rsid w:val="00131E59"/>
    <w:rsid w:val="0013272C"/>
    <w:rsid w:val="00133760"/>
    <w:rsid w:val="00133DC2"/>
    <w:rsid w:val="0013448C"/>
    <w:rsid w:val="00134540"/>
    <w:rsid w:val="00135703"/>
    <w:rsid w:val="00135CBF"/>
    <w:rsid w:val="001377D6"/>
    <w:rsid w:val="00137DE5"/>
    <w:rsid w:val="001409A4"/>
    <w:rsid w:val="0014102F"/>
    <w:rsid w:val="00141B68"/>
    <w:rsid w:val="00141CB1"/>
    <w:rsid w:val="00141DB0"/>
    <w:rsid w:val="001426A7"/>
    <w:rsid w:val="001426F1"/>
    <w:rsid w:val="0014358B"/>
    <w:rsid w:val="00143AD3"/>
    <w:rsid w:val="00143C6E"/>
    <w:rsid w:val="001459D0"/>
    <w:rsid w:val="00146BF1"/>
    <w:rsid w:val="00146D15"/>
    <w:rsid w:val="001478E5"/>
    <w:rsid w:val="0014794B"/>
    <w:rsid w:val="00147988"/>
    <w:rsid w:val="00147A8A"/>
    <w:rsid w:val="00147FA5"/>
    <w:rsid w:val="00150421"/>
    <w:rsid w:val="001507EE"/>
    <w:rsid w:val="00151044"/>
    <w:rsid w:val="00151FA2"/>
    <w:rsid w:val="00152050"/>
    <w:rsid w:val="00152303"/>
    <w:rsid w:val="00152359"/>
    <w:rsid w:val="00152451"/>
    <w:rsid w:val="001530DD"/>
    <w:rsid w:val="00153522"/>
    <w:rsid w:val="00153CD9"/>
    <w:rsid w:val="0015406C"/>
    <w:rsid w:val="00154199"/>
    <w:rsid w:val="00154C33"/>
    <w:rsid w:val="00156078"/>
    <w:rsid w:val="00156998"/>
    <w:rsid w:val="00156E37"/>
    <w:rsid w:val="00157342"/>
    <w:rsid w:val="00157B7A"/>
    <w:rsid w:val="0016033D"/>
    <w:rsid w:val="0016063A"/>
    <w:rsid w:val="00160D38"/>
    <w:rsid w:val="00160FA1"/>
    <w:rsid w:val="00161001"/>
    <w:rsid w:val="001611A7"/>
    <w:rsid w:val="0016262D"/>
    <w:rsid w:val="00162908"/>
    <w:rsid w:val="00162A0D"/>
    <w:rsid w:val="00162C39"/>
    <w:rsid w:val="00162EE3"/>
    <w:rsid w:val="001637AE"/>
    <w:rsid w:val="00163C22"/>
    <w:rsid w:val="00163DB7"/>
    <w:rsid w:val="00165FA9"/>
    <w:rsid w:val="00167136"/>
    <w:rsid w:val="0016714C"/>
    <w:rsid w:val="001672BA"/>
    <w:rsid w:val="00167876"/>
    <w:rsid w:val="00167BCA"/>
    <w:rsid w:val="00167CD9"/>
    <w:rsid w:val="001706A9"/>
    <w:rsid w:val="00170B3D"/>
    <w:rsid w:val="00170C24"/>
    <w:rsid w:val="00170EE2"/>
    <w:rsid w:val="0017148D"/>
    <w:rsid w:val="001719F1"/>
    <w:rsid w:val="00171DBA"/>
    <w:rsid w:val="00171DCB"/>
    <w:rsid w:val="001720B6"/>
    <w:rsid w:val="001720E9"/>
    <w:rsid w:val="00172DF8"/>
    <w:rsid w:val="00173E7E"/>
    <w:rsid w:val="001751B4"/>
    <w:rsid w:val="0017573F"/>
    <w:rsid w:val="00175DC3"/>
    <w:rsid w:val="001766CE"/>
    <w:rsid w:val="00176EDC"/>
    <w:rsid w:val="0017729E"/>
    <w:rsid w:val="00177FBF"/>
    <w:rsid w:val="001806AE"/>
    <w:rsid w:val="00180965"/>
    <w:rsid w:val="00181154"/>
    <w:rsid w:val="0018170C"/>
    <w:rsid w:val="00183342"/>
    <w:rsid w:val="00183362"/>
    <w:rsid w:val="001834DE"/>
    <w:rsid w:val="00184089"/>
    <w:rsid w:val="00184301"/>
    <w:rsid w:val="0018443F"/>
    <w:rsid w:val="00184A8F"/>
    <w:rsid w:val="00184DEB"/>
    <w:rsid w:val="00185170"/>
    <w:rsid w:val="001856B8"/>
    <w:rsid w:val="00185B77"/>
    <w:rsid w:val="00186299"/>
    <w:rsid w:val="00186BC8"/>
    <w:rsid w:val="00186D1B"/>
    <w:rsid w:val="00187220"/>
    <w:rsid w:val="001874B5"/>
    <w:rsid w:val="00190A0F"/>
    <w:rsid w:val="00190CEA"/>
    <w:rsid w:val="0019143B"/>
    <w:rsid w:val="00191F95"/>
    <w:rsid w:val="001926E2"/>
    <w:rsid w:val="00192A88"/>
    <w:rsid w:val="00192E40"/>
    <w:rsid w:val="00192ED6"/>
    <w:rsid w:val="00193342"/>
    <w:rsid w:val="00193A78"/>
    <w:rsid w:val="00193F98"/>
    <w:rsid w:val="00194324"/>
    <w:rsid w:val="0019438F"/>
    <w:rsid w:val="00194415"/>
    <w:rsid w:val="00194A68"/>
    <w:rsid w:val="00194EBC"/>
    <w:rsid w:val="00195279"/>
    <w:rsid w:val="001957F4"/>
    <w:rsid w:val="00195CC4"/>
    <w:rsid w:val="00196782"/>
    <w:rsid w:val="001969CD"/>
    <w:rsid w:val="00196B1C"/>
    <w:rsid w:val="00196BA7"/>
    <w:rsid w:val="00197029"/>
    <w:rsid w:val="00197160"/>
    <w:rsid w:val="00197769"/>
    <w:rsid w:val="00197CC7"/>
    <w:rsid w:val="001A066D"/>
    <w:rsid w:val="001A0B06"/>
    <w:rsid w:val="001A0DCF"/>
    <w:rsid w:val="001A2332"/>
    <w:rsid w:val="001A4007"/>
    <w:rsid w:val="001A47AD"/>
    <w:rsid w:val="001A4BBE"/>
    <w:rsid w:val="001A4FEC"/>
    <w:rsid w:val="001A5A1C"/>
    <w:rsid w:val="001A5D70"/>
    <w:rsid w:val="001A6648"/>
    <w:rsid w:val="001A67BE"/>
    <w:rsid w:val="001A6C58"/>
    <w:rsid w:val="001B02DF"/>
    <w:rsid w:val="001B080B"/>
    <w:rsid w:val="001B09CB"/>
    <w:rsid w:val="001B0DE8"/>
    <w:rsid w:val="001B0E2E"/>
    <w:rsid w:val="001B10F4"/>
    <w:rsid w:val="001B1138"/>
    <w:rsid w:val="001B1147"/>
    <w:rsid w:val="001B1519"/>
    <w:rsid w:val="001B3459"/>
    <w:rsid w:val="001B3D0D"/>
    <w:rsid w:val="001B4D8A"/>
    <w:rsid w:val="001B4F88"/>
    <w:rsid w:val="001B6324"/>
    <w:rsid w:val="001B634C"/>
    <w:rsid w:val="001B6551"/>
    <w:rsid w:val="001B68C9"/>
    <w:rsid w:val="001B753D"/>
    <w:rsid w:val="001B7628"/>
    <w:rsid w:val="001C12DE"/>
    <w:rsid w:val="001C1C96"/>
    <w:rsid w:val="001C1D4E"/>
    <w:rsid w:val="001C2368"/>
    <w:rsid w:val="001C254A"/>
    <w:rsid w:val="001C263F"/>
    <w:rsid w:val="001C290A"/>
    <w:rsid w:val="001C2A57"/>
    <w:rsid w:val="001C2FB0"/>
    <w:rsid w:val="001C3BD6"/>
    <w:rsid w:val="001C40E5"/>
    <w:rsid w:val="001C462A"/>
    <w:rsid w:val="001C5859"/>
    <w:rsid w:val="001C5C53"/>
    <w:rsid w:val="001C5D63"/>
    <w:rsid w:val="001C5E8A"/>
    <w:rsid w:val="001C6447"/>
    <w:rsid w:val="001C697A"/>
    <w:rsid w:val="001C7349"/>
    <w:rsid w:val="001C7DDC"/>
    <w:rsid w:val="001C7E5C"/>
    <w:rsid w:val="001D0248"/>
    <w:rsid w:val="001D04B2"/>
    <w:rsid w:val="001D06E1"/>
    <w:rsid w:val="001D089D"/>
    <w:rsid w:val="001D14B6"/>
    <w:rsid w:val="001D2087"/>
    <w:rsid w:val="001D2764"/>
    <w:rsid w:val="001D32A4"/>
    <w:rsid w:val="001D37E8"/>
    <w:rsid w:val="001D3E1E"/>
    <w:rsid w:val="001D43AD"/>
    <w:rsid w:val="001D44FA"/>
    <w:rsid w:val="001D48DC"/>
    <w:rsid w:val="001D4B57"/>
    <w:rsid w:val="001D5AA1"/>
    <w:rsid w:val="001D63B0"/>
    <w:rsid w:val="001D7535"/>
    <w:rsid w:val="001D788A"/>
    <w:rsid w:val="001D7C61"/>
    <w:rsid w:val="001E0293"/>
    <w:rsid w:val="001E073A"/>
    <w:rsid w:val="001E098C"/>
    <w:rsid w:val="001E163F"/>
    <w:rsid w:val="001E1707"/>
    <w:rsid w:val="001E215B"/>
    <w:rsid w:val="001E2B1A"/>
    <w:rsid w:val="001E33CF"/>
    <w:rsid w:val="001E34AA"/>
    <w:rsid w:val="001E3D4D"/>
    <w:rsid w:val="001E4408"/>
    <w:rsid w:val="001E4670"/>
    <w:rsid w:val="001E4B88"/>
    <w:rsid w:val="001E4BB6"/>
    <w:rsid w:val="001E5360"/>
    <w:rsid w:val="001E605B"/>
    <w:rsid w:val="001E630A"/>
    <w:rsid w:val="001E6422"/>
    <w:rsid w:val="001E64A6"/>
    <w:rsid w:val="001E658E"/>
    <w:rsid w:val="001E72CC"/>
    <w:rsid w:val="001E7989"/>
    <w:rsid w:val="001E7CF8"/>
    <w:rsid w:val="001E7D92"/>
    <w:rsid w:val="001F0609"/>
    <w:rsid w:val="001F0F4C"/>
    <w:rsid w:val="001F112D"/>
    <w:rsid w:val="001F1B4C"/>
    <w:rsid w:val="001F2604"/>
    <w:rsid w:val="001F27B9"/>
    <w:rsid w:val="001F2C4F"/>
    <w:rsid w:val="001F32EB"/>
    <w:rsid w:val="001F3614"/>
    <w:rsid w:val="001F396A"/>
    <w:rsid w:val="001F41AB"/>
    <w:rsid w:val="001F4213"/>
    <w:rsid w:val="001F4287"/>
    <w:rsid w:val="001F5B32"/>
    <w:rsid w:val="001F626D"/>
    <w:rsid w:val="001F6741"/>
    <w:rsid w:val="001F6901"/>
    <w:rsid w:val="001F7814"/>
    <w:rsid w:val="001F78FE"/>
    <w:rsid w:val="001F7AE1"/>
    <w:rsid w:val="001F7EED"/>
    <w:rsid w:val="00200255"/>
    <w:rsid w:val="002009F8"/>
    <w:rsid w:val="00200F9F"/>
    <w:rsid w:val="002017D8"/>
    <w:rsid w:val="00201E25"/>
    <w:rsid w:val="0020272E"/>
    <w:rsid w:val="00202F4F"/>
    <w:rsid w:val="002032D8"/>
    <w:rsid w:val="002034B2"/>
    <w:rsid w:val="002034E9"/>
    <w:rsid w:val="0020365C"/>
    <w:rsid w:val="00203740"/>
    <w:rsid w:val="00203974"/>
    <w:rsid w:val="00203FF6"/>
    <w:rsid w:val="00204002"/>
    <w:rsid w:val="00204248"/>
    <w:rsid w:val="002043C9"/>
    <w:rsid w:val="0020462E"/>
    <w:rsid w:val="0020550F"/>
    <w:rsid w:val="00205CB5"/>
    <w:rsid w:val="00206116"/>
    <w:rsid w:val="002064C3"/>
    <w:rsid w:val="00206907"/>
    <w:rsid w:val="00206943"/>
    <w:rsid w:val="00206EE0"/>
    <w:rsid w:val="0020712F"/>
    <w:rsid w:val="002077EE"/>
    <w:rsid w:val="00207AA0"/>
    <w:rsid w:val="00207B27"/>
    <w:rsid w:val="0021039D"/>
    <w:rsid w:val="0021060C"/>
    <w:rsid w:val="00211028"/>
    <w:rsid w:val="00212712"/>
    <w:rsid w:val="00212AA2"/>
    <w:rsid w:val="00212C1D"/>
    <w:rsid w:val="00212D9E"/>
    <w:rsid w:val="002136DA"/>
    <w:rsid w:val="00213EFD"/>
    <w:rsid w:val="00213FFE"/>
    <w:rsid w:val="0021413B"/>
    <w:rsid w:val="0021543F"/>
    <w:rsid w:val="002154C2"/>
    <w:rsid w:val="00215C8D"/>
    <w:rsid w:val="00216378"/>
    <w:rsid w:val="00216903"/>
    <w:rsid w:val="00216DE2"/>
    <w:rsid w:val="00217234"/>
    <w:rsid w:val="00217467"/>
    <w:rsid w:val="00220BCA"/>
    <w:rsid w:val="00221AF8"/>
    <w:rsid w:val="0022252C"/>
    <w:rsid w:val="002229EC"/>
    <w:rsid w:val="00222B52"/>
    <w:rsid w:val="00222DC1"/>
    <w:rsid w:val="00222F12"/>
    <w:rsid w:val="002231E5"/>
    <w:rsid w:val="00223B43"/>
    <w:rsid w:val="00224029"/>
    <w:rsid w:val="002243CA"/>
    <w:rsid w:val="0022489C"/>
    <w:rsid w:val="002252D4"/>
    <w:rsid w:val="002254A5"/>
    <w:rsid w:val="002257B2"/>
    <w:rsid w:val="0022598D"/>
    <w:rsid w:val="00226909"/>
    <w:rsid w:val="00227343"/>
    <w:rsid w:val="00227863"/>
    <w:rsid w:val="00227CA7"/>
    <w:rsid w:val="00227E00"/>
    <w:rsid w:val="0023043A"/>
    <w:rsid w:val="00230989"/>
    <w:rsid w:val="00230B7C"/>
    <w:rsid w:val="00230BB4"/>
    <w:rsid w:val="00232167"/>
    <w:rsid w:val="002324B9"/>
    <w:rsid w:val="002326B5"/>
    <w:rsid w:val="0023285C"/>
    <w:rsid w:val="00232CA0"/>
    <w:rsid w:val="0023380C"/>
    <w:rsid w:val="002338D5"/>
    <w:rsid w:val="002344C1"/>
    <w:rsid w:val="00235552"/>
    <w:rsid w:val="0023594F"/>
    <w:rsid w:val="00235CB3"/>
    <w:rsid w:val="00236432"/>
    <w:rsid w:val="00236D34"/>
    <w:rsid w:val="002401D1"/>
    <w:rsid w:val="00240361"/>
    <w:rsid w:val="00240974"/>
    <w:rsid w:val="00241369"/>
    <w:rsid w:val="002419B9"/>
    <w:rsid w:val="00242D64"/>
    <w:rsid w:val="0024380D"/>
    <w:rsid w:val="00243B95"/>
    <w:rsid w:val="002449E2"/>
    <w:rsid w:val="00245201"/>
    <w:rsid w:val="0024540E"/>
    <w:rsid w:val="002456C3"/>
    <w:rsid w:val="00245785"/>
    <w:rsid w:val="00245DD3"/>
    <w:rsid w:val="00245F75"/>
    <w:rsid w:val="00246065"/>
    <w:rsid w:val="00246484"/>
    <w:rsid w:val="0024652D"/>
    <w:rsid w:val="00247230"/>
    <w:rsid w:val="0024764B"/>
    <w:rsid w:val="002478B2"/>
    <w:rsid w:val="00247ED9"/>
    <w:rsid w:val="0025036E"/>
    <w:rsid w:val="00250908"/>
    <w:rsid w:val="00250A41"/>
    <w:rsid w:val="00250C95"/>
    <w:rsid w:val="00250E1E"/>
    <w:rsid w:val="00250F67"/>
    <w:rsid w:val="0025166D"/>
    <w:rsid w:val="00251DF7"/>
    <w:rsid w:val="00251EAE"/>
    <w:rsid w:val="002527F0"/>
    <w:rsid w:val="00252BEE"/>
    <w:rsid w:val="00253084"/>
    <w:rsid w:val="00253B92"/>
    <w:rsid w:val="00254256"/>
    <w:rsid w:val="00254D04"/>
    <w:rsid w:val="00254F03"/>
    <w:rsid w:val="00255573"/>
    <w:rsid w:val="00255D56"/>
    <w:rsid w:val="00255F83"/>
    <w:rsid w:val="00257B79"/>
    <w:rsid w:val="0026021E"/>
    <w:rsid w:val="00260921"/>
    <w:rsid w:val="00260DEF"/>
    <w:rsid w:val="00260F2B"/>
    <w:rsid w:val="002613B8"/>
    <w:rsid w:val="002614FD"/>
    <w:rsid w:val="00262D1C"/>
    <w:rsid w:val="00263441"/>
    <w:rsid w:val="0026363E"/>
    <w:rsid w:val="00263970"/>
    <w:rsid w:val="00263CFA"/>
    <w:rsid w:val="002640EE"/>
    <w:rsid w:val="0026531C"/>
    <w:rsid w:val="00265C01"/>
    <w:rsid w:val="00267036"/>
    <w:rsid w:val="002674A7"/>
    <w:rsid w:val="00267710"/>
    <w:rsid w:val="002678CB"/>
    <w:rsid w:val="00267CAB"/>
    <w:rsid w:val="00270286"/>
    <w:rsid w:val="0027092D"/>
    <w:rsid w:val="00271A11"/>
    <w:rsid w:val="0027254C"/>
    <w:rsid w:val="00273435"/>
    <w:rsid w:val="002734B2"/>
    <w:rsid w:val="0027355F"/>
    <w:rsid w:val="00273DB8"/>
    <w:rsid w:val="002740E5"/>
    <w:rsid w:val="0027436F"/>
    <w:rsid w:val="00274987"/>
    <w:rsid w:val="002749E6"/>
    <w:rsid w:val="00274C7C"/>
    <w:rsid w:val="00275193"/>
    <w:rsid w:val="0027532C"/>
    <w:rsid w:val="00275871"/>
    <w:rsid w:val="002763B1"/>
    <w:rsid w:val="00276CBF"/>
    <w:rsid w:val="00276CD6"/>
    <w:rsid w:val="00277280"/>
    <w:rsid w:val="00280403"/>
    <w:rsid w:val="00280A4C"/>
    <w:rsid w:val="00280BA4"/>
    <w:rsid w:val="00280FB4"/>
    <w:rsid w:val="00281406"/>
    <w:rsid w:val="00281A6C"/>
    <w:rsid w:val="00281C96"/>
    <w:rsid w:val="0028205E"/>
    <w:rsid w:val="00282176"/>
    <w:rsid w:val="0028264B"/>
    <w:rsid w:val="002827FB"/>
    <w:rsid w:val="002829C3"/>
    <w:rsid w:val="00282A95"/>
    <w:rsid w:val="00283662"/>
    <w:rsid w:val="00283A96"/>
    <w:rsid w:val="00284333"/>
    <w:rsid w:val="00284867"/>
    <w:rsid w:val="00284C10"/>
    <w:rsid w:val="00286201"/>
    <w:rsid w:val="002862E2"/>
    <w:rsid w:val="002863DA"/>
    <w:rsid w:val="002871EB"/>
    <w:rsid w:val="0028782E"/>
    <w:rsid w:val="002879AF"/>
    <w:rsid w:val="002879E7"/>
    <w:rsid w:val="002901BB"/>
    <w:rsid w:val="002905B1"/>
    <w:rsid w:val="00290B16"/>
    <w:rsid w:val="00290D75"/>
    <w:rsid w:val="00291371"/>
    <w:rsid w:val="0029186B"/>
    <w:rsid w:val="00292783"/>
    <w:rsid w:val="00292B6E"/>
    <w:rsid w:val="00292CDD"/>
    <w:rsid w:val="00293284"/>
    <w:rsid w:val="002935D3"/>
    <w:rsid w:val="00293B50"/>
    <w:rsid w:val="0029431B"/>
    <w:rsid w:val="00294520"/>
    <w:rsid w:val="00294C3A"/>
    <w:rsid w:val="002950A1"/>
    <w:rsid w:val="0029532D"/>
    <w:rsid w:val="00295A33"/>
    <w:rsid w:val="00295BA0"/>
    <w:rsid w:val="00295C3B"/>
    <w:rsid w:val="002967AB"/>
    <w:rsid w:val="00297C99"/>
    <w:rsid w:val="002A0364"/>
    <w:rsid w:val="002A0C8E"/>
    <w:rsid w:val="002A18F0"/>
    <w:rsid w:val="002A1B7E"/>
    <w:rsid w:val="002A256E"/>
    <w:rsid w:val="002A27D6"/>
    <w:rsid w:val="002A2A4F"/>
    <w:rsid w:val="002A38A9"/>
    <w:rsid w:val="002A3BBE"/>
    <w:rsid w:val="002A3FBE"/>
    <w:rsid w:val="002A439C"/>
    <w:rsid w:val="002A45E9"/>
    <w:rsid w:val="002A5064"/>
    <w:rsid w:val="002A523D"/>
    <w:rsid w:val="002A5343"/>
    <w:rsid w:val="002A662F"/>
    <w:rsid w:val="002A66C2"/>
    <w:rsid w:val="002A733E"/>
    <w:rsid w:val="002A7DF1"/>
    <w:rsid w:val="002B0014"/>
    <w:rsid w:val="002B0564"/>
    <w:rsid w:val="002B0AFE"/>
    <w:rsid w:val="002B21B0"/>
    <w:rsid w:val="002B2640"/>
    <w:rsid w:val="002B2647"/>
    <w:rsid w:val="002B299F"/>
    <w:rsid w:val="002B2C99"/>
    <w:rsid w:val="002B2D3D"/>
    <w:rsid w:val="002B2FAC"/>
    <w:rsid w:val="002B31C6"/>
    <w:rsid w:val="002B3FF6"/>
    <w:rsid w:val="002B4B28"/>
    <w:rsid w:val="002B4B61"/>
    <w:rsid w:val="002B4EC3"/>
    <w:rsid w:val="002B533E"/>
    <w:rsid w:val="002B54ED"/>
    <w:rsid w:val="002B6BB1"/>
    <w:rsid w:val="002B6C24"/>
    <w:rsid w:val="002B6C9B"/>
    <w:rsid w:val="002B76E9"/>
    <w:rsid w:val="002B7D0F"/>
    <w:rsid w:val="002C0CA3"/>
    <w:rsid w:val="002C12D2"/>
    <w:rsid w:val="002C16CA"/>
    <w:rsid w:val="002C1AE8"/>
    <w:rsid w:val="002C1E5F"/>
    <w:rsid w:val="002C1EC6"/>
    <w:rsid w:val="002C214A"/>
    <w:rsid w:val="002C2371"/>
    <w:rsid w:val="002C25D4"/>
    <w:rsid w:val="002C2741"/>
    <w:rsid w:val="002C2A47"/>
    <w:rsid w:val="002C2A58"/>
    <w:rsid w:val="002C31AC"/>
    <w:rsid w:val="002C3262"/>
    <w:rsid w:val="002C3C89"/>
    <w:rsid w:val="002C3C8D"/>
    <w:rsid w:val="002C3E02"/>
    <w:rsid w:val="002C440E"/>
    <w:rsid w:val="002C4955"/>
    <w:rsid w:val="002C49A0"/>
    <w:rsid w:val="002C4C75"/>
    <w:rsid w:val="002C53ED"/>
    <w:rsid w:val="002C5CD2"/>
    <w:rsid w:val="002C5FC7"/>
    <w:rsid w:val="002C6024"/>
    <w:rsid w:val="002C60C7"/>
    <w:rsid w:val="002C64DF"/>
    <w:rsid w:val="002C6CE8"/>
    <w:rsid w:val="002C6D82"/>
    <w:rsid w:val="002C77E9"/>
    <w:rsid w:val="002C7857"/>
    <w:rsid w:val="002C7C40"/>
    <w:rsid w:val="002D0226"/>
    <w:rsid w:val="002D04C8"/>
    <w:rsid w:val="002D0589"/>
    <w:rsid w:val="002D0F13"/>
    <w:rsid w:val="002D10E9"/>
    <w:rsid w:val="002D1840"/>
    <w:rsid w:val="002D266C"/>
    <w:rsid w:val="002D2B38"/>
    <w:rsid w:val="002D2DC8"/>
    <w:rsid w:val="002D38E8"/>
    <w:rsid w:val="002D393F"/>
    <w:rsid w:val="002D3DFC"/>
    <w:rsid w:val="002D4B15"/>
    <w:rsid w:val="002D67CB"/>
    <w:rsid w:val="002D6AFE"/>
    <w:rsid w:val="002D6C7A"/>
    <w:rsid w:val="002D6D83"/>
    <w:rsid w:val="002D71B6"/>
    <w:rsid w:val="002E05B6"/>
    <w:rsid w:val="002E0798"/>
    <w:rsid w:val="002E0C73"/>
    <w:rsid w:val="002E0FA4"/>
    <w:rsid w:val="002E11B9"/>
    <w:rsid w:val="002E11D6"/>
    <w:rsid w:val="002E152E"/>
    <w:rsid w:val="002E1F6B"/>
    <w:rsid w:val="002E22D8"/>
    <w:rsid w:val="002E319F"/>
    <w:rsid w:val="002E3427"/>
    <w:rsid w:val="002E3551"/>
    <w:rsid w:val="002E3893"/>
    <w:rsid w:val="002E3D70"/>
    <w:rsid w:val="002E49DB"/>
    <w:rsid w:val="002E4B2F"/>
    <w:rsid w:val="002E4CEC"/>
    <w:rsid w:val="002E5B3F"/>
    <w:rsid w:val="002E5C3D"/>
    <w:rsid w:val="002E65AF"/>
    <w:rsid w:val="002E6FDE"/>
    <w:rsid w:val="002E70F1"/>
    <w:rsid w:val="002E7806"/>
    <w:rsid w:val="002F0192"/>
    <w:rsid w:val="002F02BC"/>
    <w:rsid w:val="002F03F2"/>
    <w:rsid w:val="002F0A46"/>
    <w:rsid w:val="002F0F3F"/>
    <w:rsid w:val="002F15A4"/>
    <w:rsid w:val="002F176B"/>
    <w:rsid w:val="002F18AD"/>
    <w:rsid w:val="002F18D7"/>
    <w:rsid w:val="002F1D56"/>
    <w:rsid w:val="002F1DC0"/>
    <w:rsid w:val="002F24E0"/>
    <w:rsid w:val="002F34E1"/>
    <w:rsid w:val="002F3722"/>
    <w:rsid w:val="002F39E8"/>
    <w:rsid w:val="002F4693"/>
    <w:rsid w:val="002F557C"/>
    <w:rsid w:val="002F58BA"/>
    <w:rsid w:val="002F5C05"/>
    <w:rsid w:val="002F5C8D"/>
    <w:rsid w:val="002F68B6"/>
    <w:rsid w:val="002F68F9"/>
    <w:rsid w:val="002F6AC0"/>
    <w:rsid w:val="002F7861"/>
    <w:rsid w:val="00300005"/>
    <w:rsid w:val="003004C2"/>
    <w:rsid w:val="00300566"/>
    <w:rsid w:val="003007B8"/>
    <w:rsid w:val="00300962"/>
    <w:rsid w:val="00300BD3"/>
    <w:rsid w:val="0030114B"/>
    <w:rsid w:val="003011CD"/>
    <w:rsid w:val="00301393"/>
    <w:rsid w:val="00301D52"/>
    <w:rsid w:val="00301FB2"/>
    <w:rsid w:val="00302334"/>
    <w:rsid w:val="003024B0"/>
    <w:rsid w:val="003025F1"/>
    <w:rsid w:val="00302A1C"/>
    <w:rsid w:val="00302E9B"/>
    <w:rsid w:val="00302F64"/>
    <w:rsid w:val="00303A70"/>
    <w:rsid w:val="00304A4D"/>
    <w:rsid w:val="00305A74"/>
    <w:rsid w:val="003061AE"/>
    <w:rsid w:val="00306313"/>
    <w:rsid w:val="00306CB7"/>
    <w:rsid w:val="00306F6F"/>
    <w:rsid w:val="0030732E"/>
    <w:rsid w:val="00307811"/>
    <w:rsid w:val="00307B83"/>
    <w:rsid w:val="003107B5"/>
    <w:rsid w:val="00311EAE"/>
    <w:rsid w:val="00312018"/>
    <w:rsid w:val="003121B2"/>
    <w:rsid w:val="00312C43"/>
    <w:rsid w:val="00312DE0"/>
    <w:rsid w:val="00313A4E"/>
    <w:rsid w:val="00313CB1"/>
    <w:rsid w:val="0031421E"/>
    <w:rsid w:val="0031447C"/>
    <w:rsid w:val="003145A3"/>
    <w:rsid w:val="003148B7"/>
    <w:rsid w:val="00314EB1"/>
    <w:rsid w:val="0031532D"/>
    <w:rsid w:val="00315847"/>
    <w:rsid w:val="00315D9B"/>
    <w:rsid w:val="0031653B"/>
    <w:rsid w:val="00317027"/>
    <w:rsid w:val="003175B4"/>
    <w:rsid w:val="00320230"/>
    <w:rsid w:val="00320AF6"/>
    <w:rsid w:val="003211AB"/>
    <w:rsid w:val="003215E9"/>
    <w:rsid w:val="00321633"/>
    <w:rsid w:val="00321829"/>
    <w:rsid w:val="003218C7"/>
    <w:rsid w:val="00321D1C"/>
    <w:rsid w:val="0032214F"/>
    <w:rsid w:val="00322AD8"/>
    <w:rsid w:val="00322F05"/>
    <w:rsid w:val="0032332E"/>
    <w:rsid w:val="00323395"/>
    <w:rsid w:val="0032472F"/>
    <w:rsid w:val="00324B80"/>
    <w:rsid w:val="003252E4"/>
    <w:rsid w:val="00325B0C"/>
    <w:rsid w:val="00325E4F"/>
    <w:rsid w:val="00325F94"/>
    <w:rsid w:val="00326278"/>
    <w:rsid w:val="003265CD"/>
    <w:rsid w:val="003265DC"/>
    <w:rsid w:val="0032661A"/>
    <w:rsid w:val="00326687"/>
    <w:rsid w:val="00326FA7"/>
    <w:rsid w:val="00327E8D"/>
    <w:rsid w:val="00327F71"/>
    <w:rsid w:val="00330BD2"/>
    <w:rsid w:val="00330E4F"/>
    <w:rsid w:val="00330E93"/>
    <w:rsid w:val="00331463"/>
    <w:rsid w:val="00331794"/>
    <w:rsid w:val="0033179A"/>
    <w:rsid w:val="00331CE5"/>
    <w:rsid w:val="00331E63"/>
    <w:rsid w:val="0033208F"/>
    <w:rsid w:val="00332E75"/>
    <w:rsid w:val="00332EBC"/>
    <w:rsid w:val="00333F1A"/>
    <w:rsid w:val="00333F9B"/>
    <w:rsid w:val="003354B3"/>
    <w:rsid w:val="00335761"/>
    <w:rsid w:val="0033577D"/>
    <w:rsid w:val="00335973"/>
    <w:rsid w:val="00335B4F"/>
    <w:rsid w:val="00335C35"/>
    <w:rsid w:val="00335CDC"/>
    <w:rsid w:val="0033631E"/>
    <w:rsid w:val="003363F6"/>
    <w:rsid w:val="0033672C"/>
    <w:rsid w:val="00336C2A"/>
    <w:rsid w:val="00336C61"/>
    <w:rsid w:val="00337153"/>
    <w:rsid w:val="003373BB"/>
    <w:rsid w:val="003374C8"/>
    <w:rsid w:val="00340027"/>
    <w:rsid w:val="00340284"/>
    <w:rsid w:val="00340665"/>
    <w:rsid w:val="0034095E"/>
    <w:rsid w:val="003412F5"/>
    <w:rsid w:val="00341CC6"/>
    <w:rsid w:val="003433F1"/>
    <w:rsid w:val="0034479D"/>
    <w:rsid w:val="00345257"/>
    <w:rsid w:val="003465CA"/>
    <w:rsid w:val="003465DC"/>
    <w:rsid w:val="00346ADB"/>
    <w:rsid w:val="00346D5E"/>
    <w:rsid w:val="00346ECE"/>
    <w:rsid w:val="0035003C"/>
    <w:rsid w:val="00350138"/>
    <w:rsid w:val="00350445"/>
    <w:rsid w:val="00350AFB"/>
    <w:rsid w:val="00350CB3"/>
    <w:rsid w:val="00351BD1"/>
    <w:rsid w:val="0035324A"/>
    <w:rsid w:val="00353473"/>
    <w:rsid w:val="003536D1"/>
    <w:rsid w:val="00353C2E"/>
    <w:rsid w:val="00353FF4"/>
    <w:rsid w:val="003544A8"/>
    <w:rsid w:val="003545B4"/>
    <w:rsid w:val="003545CD"/>
    <w:rsid w:val="00354998"/>
    <w:rsid w:val="00354C7A"/>
    <w:rsid w:val="00354E49"/>
    <w:rsid w:val="0035515E"/>
    <w:rsid w:val="00355781"/>
    <w:rsid w:val="00355B99"/>
    <w:rsid w:val="00355BCE"/>
    <w:rsid w:val="00356E56"/>
    <w:rsid w:val="00357003"/>
    <w:rsid w:val="003603AC"/>
    <w:rsid w:val="00360588"/>
    <w:rsid w:val="003610C2"/>
    <w:rsid w:val="0036159B"/>
    <w:rsid w:val="00361638"/>
    <w:rsid w:val="003622DC"/>
    <w:rsid w:val="003623E9"/>
    <w:rsid w:val="003628D4"/>
    <w:rsid w:val="00362A14"/>
    <w:rsid w:val="00362F97"/>
    <w:rsid w:val="003633CF"/>
    <w:rsid w:val="00363D6F"/>
    <w:rsid w:val="003644A4"/>
    <w:rsid w:val="003647C4"/>
    <w:rsid w:val="00365552"/>
    <w:rsid w:val="00365782"/>
    <w:rsid w:val="00365BBB"/>
    <w:rsid w:val="00366011"/>
    <w:rsid w:val="0036635B"/>
    <w:rsid w:val="003664B8"/>
    <w:rsid w:val="003667ED"/>
    <w:rsid w:val="00367ADE"/>
    <w:rsid w:val="00370641"/>
    <w:rsid w:val="0037142B"/>
    <w:rsid w:val="00371C87"/>
    <w:rsid w:val="00371DB2"/>
    <w:rsid w:val="00372689"/>
    <w:rsid w:val="0037300E"/>
    <w:rsid w:val="003735F8"/>
    <w:rsid w:val="00373B7B"/>
    <w:rsid w:val="00373D66"/>
    <w:rsid w:val="0037472E"/>
    <w:rsid w:val="00374808"/>
    <w:rsid w:val="00374FEF"/>
    <w:rsid w:val="00375144"/>
    <w:rsid w:val="00375A31"/>
    <w:rsid w:val="00375DAC"/>
    <w:rsid w:val="003764EE"/>
    <w:rsid w:val="003768A5"/>
    <w:rsid w:val="00376DB9"/>
    <w:rsid w:val="00376E43"/>
    <w:rsid w:val="00377BEB"/>
    <w:rsid w:val="00380370"/>
    <w:rsid w:val="00380500"/>
    <w:rsid w:val="003806D6"/>
    <w:rsid w:val="0038089B"/>
    <w:rsid w:val="00380F76"/>
    <w:rsid w:val="00381039"/>
    <w:rsid w:val="00381629"/>
    <w:rsid w:val="00381AB9"/>
    <w:rsid w:val="00381E98"/>
    <w:rsid w:val="0038267B"/>
    <w:rsid w:val="003828A4"/>
    <w:rsid w:val="00382F0A"/>
    <w:rsid w:val="00384254"/>
    <w:rsid w:val="00384B3C"/>
    <w:rsid w:val="00384D25"/>
    <w:rsid w:val="00385B4B"/>
    <w:rsid w:val="00385C1A"/>
    <w:rsid w:val="00386247"/>
    <w:rsid w:val="003864CB"/>
    <w:rsid w:val="00386984"/>
    <w:rsid w:val="00386BD8"/>
    <w:rsid w:val="00386D24"/>
    <w:rsid w:val="0039053A"/>
    <w:rsid w:val="00390D27"/>
    <w:rsid w:val="003911D8"/>
    <w:rsid w:val="003921E2"/>
    <w:rsid w:val="0039272B"/>
    <w:rsid w:val="00392E16"/>
    <w:rsid w:val="00393497"/>
    <w:rsid w:val="00393A22"/>
    <w:rsid w:val="00393CCD"/>
    <w:rsid w:val="0039465E"/>
    <w:rsid w:val="00394BC7"/>
    <w:rsid w:val="00395684"/>
    <w:rsid w:val="003957F5"/>
    <w:rsid w:val="00396460"/>
    <w:rsid w:val="003964F1"/>
    <w:rsid w:val="0039655F"/>
    <w:rsid w:val="003967A5"/>
    <w:rsid w:val="0039686A"/>
    <w:rsid w:val="00396A7B"/>
    <w:rsid w:val="0039740C"/>
    <w:rsid w:val="0039789B"/>
    <w:rsid w:val="003A0093"/>
    <w:rsid w:val="003A013E"/>
    <w:rsid w:val="003A1626"/>
    <w:rsid w:val="003A16CC"/>
    <w:rsid w:val="003A18E6"/>
    <w:rsid w:val="003A1E49"/>
    <w:rsid w:val="003A2397"/>
    <w:rsid w:val="003A2BF2"/>
    <w:rsid w:val="003A2F05"/>
    <w:rsid w:val="003A34B8"/>
    <w:rsid w:val="003A37C3"/>
    <w:rsid w:val="003A3917"/>
    <w:rsid w:val="003A3FA8"/>
    <w:rsid w:val="003A4810"/>
    <w:rsid w:val="003A5A0E"/>
    <w:rsid w:val="003A5A65"/>
    <w:rsid w:val="003A5B9F"/>
    <w:rsid w:val="003A648E"/>
    <w:rsid w:val="003A67AE"/>
    <w:rsid w:val="003A6A51"/>
    <w:rsid w:val="003A6E85"/>
    <w:rsid w:val="003A7D35"/>
    <w:rsid w:val="003B02AA"/>
    <w:rsid w:val="003B032A"/>
    <w:rsid w:val="003B037C"/>
    <w:rsid w:val="003B0F60"/>
    <w:rsid w:val="003B11D8"/>
    <w:rsid w:val="003B15CB"/>
    <w:rsid w:val="003B17A1"/>
    <w:rsid w:val="003B19EA"/>
    <w:rsid w:val="003B1FEF"/>
    <w:rsid w:val="003B2211"/>
    <w:rsid w:val="003B2430"/>
    <w:rsid w:val="003B2C54"/>
    <w:rsid w:val="003B2C63"/>
    <w:rsid w:val="003B30FB"/>
    <w:rsid w:val="003B371C"/>
    <w:rsid w:val="003B3C99"/>
    <w:rsid w:val="003B42F3"/>
    <w:rsid w:val="003B4DAB"/>
    <w:rsid w:val="003B4E4D"/>
    <w:rsid w:val="003B5F1B"/>
    <w:rsid w:val="003B6133"/>
    <w:rsid w:val="003B6138"/>
    <w:rsid w:val="003B6284"/>
    <w:rsid w:val="003B67CD"/>
    <w:rsid w:val="003B7508"/>
    <w:rsid w:val="003B7C09"/>
    <w:rsid w:val="003B7CAE"/>
    <w:rsid w:val="003C0BC7"/>
    <w:rsid w:val="003C117D"/>
    <w:rsid w:val="003C11D5"/>
    <w:rsid w:val="003C1E69"/>
    <w:rsid w:val="003C1FA1"/>
    <w:rsid w:val="003C2153"/>
    <w:rsid w:val="003C2408"/>
    <w:rsid w:val="003C24DD"/>
    <w:rsid w:val="003C4020"/>
    <w:rsid w:val="003C4760"/>
    <w:rsid w:val="003C4D2B"/>
    <w:rsid w:val="003C53CE"/>
    <w:rsid w:val="003C6573"/>
    <w:rsid w:val="003C695D"/>
    <w:rsid w:val="003C6A0F"/>
    <w:rsid w:val="003C6B46"/>
    <w:rsid w:val="003C6DFC"/>
    <w:rsid w:val="003C7117"/>
    <w:rsid w:val="003C71DF"/>
    <w:rsid w:val="003C777C"/>
    <w:rsid w:val="003C792E"/>
    <w:rsid w:val="003C7BE2"/>
    <w:rsid w:val="003C7DF2"/>
    <w:rsid w:val="003D0A60"/>
    <w:rsid w:val="003D14E0"/>
    <w:rsid w:val="003D1908"/>
    <w:rsid w:val="003D1950"/>
    <w:rsid w:val="003D1C69"/>
    <w:rsid w:val="003D2325"/>
    <w:rsid w:val="003D23A8"/>
    <w:rsid w:val="003D23EE"/>
    <w:rsid w:val="003D2EBA"/>
    <w:rsid w:val="003D3478"/>
    <w:rsid w:val="003D37CC"/>
    <w:rsid w:val="003D406F"/>
    <w:rsid w:val="003D48AD"/>
    <w:rsid w:val="003D4BCE"/>
    <w:rsid w:val="003D55C1"/>
    <w:rsid w:val="003D58DF"/>
    <w:rsid w:val="003D5F3E"/>
    <w:rsid w:val="003D6872"/>
    <w:rsid w:val="003D6A08"/>
    <w:rsid w:val="003D6ED7"/>
    <w:rsid w:val="003D72B1"/>
    <w:rsid w:val="003E0442"/>
    <w:rsid w:val="003E064A"/>
    <w:rsid w:val="003E0EC9"/>
    <w:rsid w:val="003E13BE"/>
    <w:rsid w:val="003E1B44"/>
    <w:rsid w:val="003E22D0"/>
    <w:rsid w:val="003E29E9"/>
    <w:rsid w:val="003E2E83"/>
    <w:rsid w:val="003E3673"/>
    <w:rsid w:val="003E3E24"/>
    <w:rsid w:val="003E40E1"/>
    <w:rsid w:val="003E4527"/>
    <w:rsid w:val="003E5CB4"/>
    <w:rsid w:val="003E6877"/>
    <w:rsid w:val="003E6F5A"/>
    <w:rsid w:val="003E75FB"/>
    <w:rsid w:val="003E76F1"/>
    <w:rsid w:val="003E7A2A"/>
    <w:rsid w:val="003F00BE"/>
    <w:rsid w:val="003F0324"/>
    <w:rsid w:val="003F055A"/>
    <w:rsid w:val="003F0A16"/>
    <w:rsid w:val="003F0AF2"/>
    <w:rsid w:val="003F17A0"/>
    <w:rsid w:val="003F2918"/>
    <w:rsid w:val="003F29FC"/>
    <w:rsid w:val="003F2B19"/>
    <w:rsid w:val="003F2FE4"/>
    <w:rsid w:val="003F3102"/>
    <w:rsid w:val="003F3777"/>
    <w:rsid w:val="003F4147"/>
    <w:rsid w:val="003F4197"/>
    <w:rsid w:val="003F47E5"/>
    <w:rsid w:val="003F4A47"/>
    <w:rsid w:val="003F5977"/>
    <w:rsid w:val="003F6093"/>
    <w:rsid w:val="003F70DB"/>
    <w:rsid w:val="003F718D"/>
    <w:rsid w:val="003F735C"/>
    <w:rsid w:val="003F775C"/>
    <w:rsid w:val="00400887"/>
    <w:rsid w:val="004008BB"/>
    <w:rsid w:val="00401392"/>
    <w:rsid w:val="00401B3A"/>
    <w:rsid w:val="00401B54"/>
    <w:rsid w:val="0040235E"/>
    <w:rsid w:val="0040241A"/>
    <w:rsid w:val="004027F5"/>
    <w:rsid w:val="004028CB"/>
    <w:rsid w:val="00402A71"/>
    <w:rsid w:val="00402C14"/>
    <w:rsid w:val="004034BC"/>
    <w:rsid w:val="00403CA4"/>
    <w:rsid w:val="00403FDF"/>
    <w:rsid w:val="00404121"/>
    <w:rsid w:val="00404500"/>
    <w:rsid w:val="00405098"/>
    <w:rsid w:val="004050AE"/>
    <w:rsid w:val="0040585F"/>
    <w:rsid w:val="00405D5E"/>
    <w:rsid w:val="00406685"/>
    <w:rsid w:val="00406D65"/>
    <w:rsid w:val="004075CD"/>
    <w:rsid w:val="00407681"/>
    <w:rsid w:val="00410B2B"/>
    <w:rsid w:val="00411331"/>
    <w:rsid w:val="00411779"/>
    <w:rsid w:val="00411992"/>
    <w:rsid w:val="004128DB"/>
    <w:rsid w:val="0041410D"/>
    <w:rsid w:val="00414683"/>
    <w:rsid w:val="00414A74"/>
    <w:rsid w:val="00414BCB"/>
    <w:rsid w:val="00414C9F"/>
    <w:rsid w:val="004155EC"/>
    <w:rsid w:val="00415C0B"/>
    <w:rsid w:val="00415EB6"/>
    <w:rsid w:val="00415EDF"/>
    <w:rsid w:val="00416512"/>
    <w:rsid w:val="004174C6"/>
    <w:rsid w:val="0041782C"/>
    <w:rsid w:val="004179D8"/>
    <w:rsid w:val="00417D42"/>
    <w:rsid w:val="00417DD0"/>
    <w:rsid w:val="00420092"/>
    <w:rsid w:val="0042104D"/>
    <w:rsid w:val="00421050"/>
    <w:rsid w:val="00421226"/>
    <w:rsid w:val="004213D9"/>
    <w:rsid w:val="00422768"/>
    <w:rsid w:val="00422CE9"/>
    <w:rsid w:val="00422FF8"/>
    <w:rsid w:val="004232A9"/>
    <w:rsid w:val="00423A43"/>
    <w:rsid w:val="00424B47"/>
    <w:rsid w:val="00424CF2"/>
    <w:rsid w:val="00426023"/>
    <w:rsid w:val="0042603F"/>
    <w:rsid w:val="00426428"/>
    <w:rsid w:val="00426DED"/>
    <w:rsid w:val="0042734D"/>
    <w:rsid w:val="004273F1"/>
    <w:rsid w:val="00427BB3"/>
    <w:rsid w:val="00427F11"/>
    <w:rsid w:val="00430C6A"/>
    <w:rsid w:val="00431AEB"/>
    <w:rsid w:val="00431D53"/>
    <w:rsid w:val="00431E24"/>
    <w:rsid w:val="004321A8"/>
    <w:rsid w:val="004321DF"/>
    <w:rsid w:val="0043249E"/>
    <w:rsid w:val="004325ED"/>
    <w:rsid w:val="0043296A"/>
    <w:rsid w:val="004334BA"/>
    <w:rsid w:val="00433AFE"/>
    <w:rsid w:val="00434204"/>
    <w:rsid w:val="004345BF"/>
    <w:rsid w:val="00435545"/>
    <w:rsid w:val="00435605"/>
    <w:rsid w:val="004360F4"/>
    <w:rsid w:val="0043647C"/>
    <w:rsid w:val="004365B3"/>
    <w:rsid w:val="00436658"/>
    <w:rsid w:val="0043669A"/>
    <w:rsid w:val="00436735"/>
    <w:rsid w:val="00436B2C"/>
    <w:rsid w:val="00436F08"/>
    <w:rsid w:val="00436F53"/>
    <w:rsid w:val="00437100"/>
    <w:rsid w:val="00437513"/>
    <w:rsid w:val="0043754A"/>
    <w:rsid w:val="004378D5"/>
    <w:rsid w:val="00437B11"/>
    <w:rsid w:val="0044000D"/>
    <w:rsid w:val="004402C8"/>
    <w:rsid w:val="00440FC5"/>
    <w:rsid w:val="00441DB6"/>
    <w:rsid w:val="004427C8"/>
    <w:rsid w:val="00442A0F"/>
    <w:rsid w:val="00442EFA"/>
    <w:rsid w:val="004432D6"/>
    <w:rsid w:val="00443574"/>
    <w:rsid w:val="0044361D"/>
    <w:rsid w:val="00443AB3"/>
    <w:rsid w:val="00443C11"/>
    <w:rsid w:val="00444022"/>
    <w:rsid w:val="00444D78"/>
    <w:rsid w:val="004451A4"/>
    <w:rsid w:val="00445628"/>
    <w:rsid w:val="0044571E"/>
    <w:rsid w:val="0044591A"/>
    <w:rsid w:val="00446183"/>
    <w:rsid w:val="004462F5"/>
    <w:rsid w:val="00446722"/>
    <w:rsid w:val="00446B17"/>
    <w:rsid w:val="00446C88"/>
    <w:rsid w:val="00446E9A"/>
    <w:rsid w:val="004473A9"/>
    <w:rsid w:val="00447838"/>
    <w:rsid w:val="004478A6"/>
    <w:rsid w:val="004500C6"/>
    <w:rsid w:val="0045010A"/>
    <w:rsid w:val="004503F4"/>
    <w:rsid w:val="00450ADB"/>
    <w:rsid w:val="00450FF6"/>
    <w:rsid w:val="00451529"/>
    <w:rsid w:val="0045173A"/>
    <w:rsid w:val="00452070"/>
    <w:rsid w:val="0045284B"/>
    <w:rsid w:val="00452BD8"/>
    <w:rsid w:val="00452E1B"/>
    <w:rsid w:val="00453C66"/>
    <w:rsid w:val="00453E1C"/>
    <w:rsid w:val="00453E27"/>
    <w:rsid w:val="00454153"/>
    <w:rsid w:val="00454FFF"/>
    <w:rsid w:val="00455562"/>
    <w:rsid w:val="00455569"/>
    <w:rsid w:val="004578E6"/>
    <w:rsid w:val="00457C13"/>
    <w:rsid w:val="00460AB8"/>
    <w:rsid w:val="0046184C"/>
    <w:rsid w:val="0046198C"/>
    <w:rsid w:val="00462450"/>
    <w:rsid w:val="004626A5"/>
    <w:rsid w:val="00463BF5"/>
    <w:rsid w:val="0046458C"/>
    <w:rsid w:val="004645CD"/>
    <w:rsid w:val="00464859"/>
    <w:rsid w:val="00464BC5"/>
    <w:rsid w:val="00465188"/>
    <w:rsid w:val="00465657"/>
    <w:rsid w:val="00465A67"/>
    <w:rsid w:val="00465F2D"/>
    <w:rsid w:val="004662C9"/>
    <w:rsid w:val="00466B6D"/>
    <w:rsid w:val="00466B81"/>
    <w:rsid w:val="00466F40"/>
    <w:rsid w:val="00467047"/>
    <w:rsid w:val="00467161"/>
    <w:rsid w:val="00467573"/>
    <w:rsid w:val="00467DF5"/>
    <w:rsid w:val="00470777"/>
    <w:rsid w:val="00471388"/>
    <w:rsid w:val="00471F4F"/>
    <w:rsid w:val="00472169"/>
    <w:rsid w:val="00472747"/>
    <w:rsid w:val="004728E1"/>
    <w:rsid w:val="00472B4D"/>
    <w:rsid w:val="00474A61"/>
    <w:rsid w:val="004754A1"/>
    <w:rsid w:val="00475A0B"/>
    <w:rsid w:val="004762E0"/>
    <w:rsid w:val="004763E9"/>
    <w:rsid w:val="00477235"/>
    <w:rsid w:val="00477524"/>
    <w:rsid w:val="004800DD"/>
    <w:rsid w:val="004809BB"/>
    <w:rsid w:val="00480B1D"/>
    <w:rsid w:val="00480BB0"/>
    <w:rsid w:val="004812CD"/>
    <w:rsid w:val="004812E0"/>
    <w:rsid w:val="004816E4"/>
    <w:rsid w:val="004817F0"/>
    <w:rsid w:val="004826B2"/>
    <w:rsid w:val="00483519"/>
    <w:rsid w:val="00483AC7"/>
    <w:rsid w:val="00484111"/>
    <w:rsid w:val="00484452"/>
    <w:rsid w:val="004854B4"/>
    <w:rsid w:val="00485C67"/>
    <w:rsid w:val="00485F15"/>
    <w:rsid w:val="0048673B"/>
    <w:rsid w:val="00490068"/>
    <w:rsid w:val="004902AB"/>
    <w:rsid w:val="00490BA8"/>
    <w:rsid w:val="00490D40"/>
    <w:rsid w:val="00491395"/>
    <w:rsid w:val="00491C9F"/>
    <w:rsid w:val="00491DCA"/>
    <w:rsid w:val="004920B1"/>
    <w:rsid w:val="0049274B"/>
    <w:rsid w:val="00492995"/>
    <w:rsid w:val="00492F17"/>
    <w:rsid w:val="00493008"/>
    <w:rsid w:val="00493918"/>
    <w:rsid w:val="00493FE7"/>
    <w:rsid w:val="004946D7"/>
    <w:rsid w:val="004959E8"/>
    <w:rsid w:val="00495F95"/>
    <w:rsid w:val="0049623E"/>
    <w:rsid w:val="004962D2"/>
    <w:rsid w:val="00497D42"/>
    <w:rsid w:val="00497ED7"/>
    <w:rsid w:val="004A004B"/>
    <w:rsid w:val="004A0421"/>
    <w:rsid w:val="004A06E0"/>
    <w:rsid w:val="004A15A9"/>
    <w:rsid w:val="004A3346"/>
    <w:rsid w:val="004A3669"/>
    <w:rsid w:val="004A38B1"/>
    <w:rsid w:val="004A398A"/>
    <w:rsid w:val="004A3DAF"/>
    <w:rsid w:val="004A4126"/>
    <w:rsid w:val="004A42C8"/>
    <w:rsid w:val="004A482D"/>
    <w:rsid w:val="004A4AD6"/>
    <w:rsid w:val="004A4B88"/>
    <w:rsid w:val="004A4CDE"/>
    <w:rsid w:val="004A5E61"/>
    <w:rsid w:val="004A6219"/>
    <w:rsid w:val="004A6FFA"/>
    <w:rsid w:val="004A7400"/>
    <w:rsid w:val="004A7D28"/>
    <w:rsid w:val="004A7E48"/>
    <w:rsid w:val="004A7FCF"/>
    <w:rsid w:val="004B03E3"/>
    <w:rsid w:val="004B0489"/>
    <w:rsid w:val="004B08CC"/>
    <w:rsid w:val="004B0B3D"/>
    <w:rsid w:val="004B0DB9"/>
    <w:rsid w:val="004B1328"/>
    <w:rsid w:val="004B153D"/>
    <w:rsid w:val="004B1702"/>
    <w:rsid w:val="004B3809"/>
    <w:rsid w:val="004B3A57"/>
    <w:rsid w:val="004B4991"/>
    <w:rsid w:val="004B4BA8"/>
    <w:rsid w:val="004B4CDF"/>
    <w:rsid w:val="004B5464"/>
    <w:rsid w:val="004B55AC"/>
    <w:rsid w:val="004B61E3"/>
    <w:rsid w:val="004B6521"/>
    <w:rsid w:val="004B72A8"/>
    <w:rsid w:val="004B7660"/>
    <w:rsid w:val="004C0B4F"/>
    <w:rsid w:val="004C0BBB"/>
    <w:rsid w:val="004C0DE4"/>
    <w:rsid w:val="004C117A"/>
    <w:rsid w:val="004C126D"/>
    <w:rsid w:val="004C162B"/>
    <w:rsid w:val="004C1A32"/>
    <w:rsid w:val="004C1E4B"/>
    <w:rsid w:val="004C2468"/>
    <w:rsid w:val="004C2B76"/>
    <w:rsid w:val="004C3202"/>
    <w:rsid w:val="004C3331"/>
    <w:rsid w:val="004C3755"/>
    <w:rsid w:val="004C3DFA"/>
    <w:rsid w:val="004C43A4"/>
    <w:rsid w:val="004C46B2"/>
    <w:rsid w:val="004C543D"/>
    <w:rsid w:val="004C5E5C"/>
    <w:rsid w:val="004C614A"/>
    <w:rsid w:val="004C6B04"/>
    <w:rsid w:val="004C7136"/>
    <w:rsid w:val="004D06A5"/>
    <w:rsid w:val="004D0D3D"/>
    <w:rsid w:val="004D10F9"/>
    <w:rsid w:val="004D131F"/>
    <w:rsid w:val="004D15A3"/>
    <w:rsid w:val="004D16A6"/>
    <w:rsid w:val="004D18B8"/>
    <w:rsid w:val="004D1910"/>
    <w:rsid w:val="004D1AF9"/>
    <w:rsid w:val="004D235C"/>
    <w:rsid w:val="004D274E"/>
    <w:rsid w:val="004D29CA"/>
    <w:rsid w:val="004D3821"/>
    <w:rsid w:val="004D38ED"/>
    <w:rsid w:val="004D3C43"/>
    <w:rsid w:val="004D4227"/>
    <w:rsid w:val="004D47A4"/>
    <w:rsid w:val="004D523E"/>
    <w:rsid w:val="004D54C2"/>
    <w:rsid w:val="004D691E"/>
    <w:rsid w:val="004D6BAB"/>
    <w:rsid w:val="004D792F"/>
    <w:rsid w:val="004D7C47"/>
    <w:rsid w:val="004E09C6"/>
    <w:rsid w:val="004E18D1"/>
    <w:rsid w:val="004E18F5"/>
    <w:rsid w:val="004E1AF8"/>
    <w:rsid w:val="004E1B02"/>
    <w:rsid w:val="004E1C73"/>
    <w:rsid w:val="004E1DA5"/>
    <w:rsid w:val="004E22D1"/>
    <w:rsid w:val="004E23A3"/>
    <w:rsid w:val="004E270C"/>
    <w:rsid w:val="004E3856"/>
    <w:rsid w:val="004E39EF"/>
    <w:rsid w:val="004E3EC6"/>
    <w:rsid w:val="004E4B9D"/>
    <w:rsid w:val="004E558D"/>
    <w:rsid w:val="004E57E2"/>
    <w:rsid w:val="004E5974"/>
    <w:rsid w:val="004E5C0D"/>
    <w:rsid w:val="004E5C4E"/>
    <w:rsid w:val="004E7F06"/>
    <w:rsid w:val="004E7FB7"/>
    <w:rsid w:val="004F0137"/>
    <w:rsid w:val="004F063E"/>
    <w:rsid w:val="004F09A9"/>
    <w:rsid w:val="004F0FB9"/>
    <w:rsid w:val="004F2061"/>
    <w:rsid w:val="004F225C"/>
    <w:rsid w:val="004F2E4A"/>
    <w:rsid w:val="004F2FE5"/>
    <w:rsid w:val="004F3255"/>
    <w:rsid w:val="004F3338"/>
    <w:rsid w:val="004F56B8"/>
    <w:rsid w:val="004F5DE3"/>
    <w:rsid w:val="004F60F6"/>
    <w:rsid w:val="004F61EA"/>
    <w:rsid w:val="004F643A"/>
    <w:rsid w:val="004F67C1"/>
    <w:rsid w:val="004F6EC0"/>
    <w:rsid w:val="004F7ADE"/>
    <w:rsid w:val="00500D6F"/>
    <w:rsid w:val="00501DC2"/>
    <w:rsid w:val="005020C9"/>
    <w:rsid w:val="0050225C"/>
    <w:rsid w:val="005024B4"/>
    <w:rsid w:val="00503027"/>
    <w:rsid w:val="00503498"/>
    <w:rsid w:val="00503D5A"/>
    <w:rsid w:val="0050406B"/>
    <w:rsid w:val="00504ECF"/>
    <w:rsid w:val="00505701"/>
    <w:rsid w:val="005059FC"/>
    <w:rsid w:val="00505A20"/>
    <w:rsid w:val="00505A99"/>
    <w:rsid w:val="00505C62"/>
    <w:rsid w:val="00506CE7"/>
    <w:rsid w:val="00507365"/>
    <w:rsid w:val="00507461"/>
    <w:rsid w:val="005074EC"/>
    <w:rsid w:val="00510484"/>
    <w:rsid w:val="00512C2D"/>
    <w:rsid w:val="00513927"/>
    <w:rsid w:val="00514051"/>
    <w:rsid w:val="005142BC"/>
    <w:rsid w:val="005142DC"/>
    <w:rsid w:val="00514314"/>
    <w:rsid w:val="005146B1"/>
    <w:rsid w:val="00515239"/>
    <w:rsid w:val="005154BB"/>
    <w:rsid w:val="00516CB5"/>
    <w:rsid w:val="005202DE"/>
    <w:rsid w:val="0052139A"/>
    <w:rsid w:val="005219DA"/>
    <w:rsid w:val="00521A5F"/>
    <w:rsid w:val="00521FC2"/>
    <w:rsid w:val="00522DF4"/>
    <w:rsid w:val="00522E10"/>
    <w:rsid w:val="005231A2"/>
    <w:rsid w:val="00523B9E"/>
    <w:rsid w:val="005241F8"/>
    <w:rsid w:val="00524208"/>
    <w:rsid w:val="00524255"/>
    <w:rsid w:val="005252D3"/>
    <w:rsid w:val="005252D9"/>
    <w:rsid w:val="005253CB"/>
    <w:rsid w:val="00525DB2"/>
    <w:rsid w:val="005264A8"/>
    <w:rsid w:val="00526B3D"/>
    <w:rsid w:val="00527939"/>
    <w:rsid w:val="005304CA"/>
    <w:rsid w:val="00530C32"/>
    <w:rsid w:val="00531134"/>
    <w:rsid w:val="005311BA"/>
    <w:rsid w:val="005313C7"/>
    <w:rsid w:val="00532006"/>
    <w:rsid w:val="005321D1"/>
    <w:rsid w:val="0053236F"/>
    <w:rsid w:val="00532E1E"/>
    <w:rsid w:val="00532FF8"/>
    <w:rsid w:val="005336AC"/>
    <w:rsid w:val="005337D3"/>
    <w:rsid w:val="005339ED"/>
    <w:rsid w:val="00533B35"/>
    <w:rsid w:val="0053438B"/>
    <w:rsid w:val="00535A02"/>
    <w:rsid w:val="00535DED"/>
    <w:rsid w:val="005365E1"/>
    <w:rsid w:val="00537084"/>
    <w:rsid w:val="00537FDE"/>
    <w:rsid w:val="005407C6"/>
    <w:rsid w:val="00540937"/>
    <w:rsid w:val="00540ABC"/>
    <w:rsid w:val="00541066"/>
    <w:rsid w:val="00541F75"/>
    <w:rsid w:val="00542207"/>
    <w:rsid w:val="0054221D"/>
    <w:rsid w:val="0054227C"/>
    <w:rsid w:val="0054305F"/>
    <w:rsid w:val="00543356"/>
    <w:rsid w:val="00543728"/>
    <w:rsid w:val="00543E2A"/>
    <w:rsid w:val="00543E49"/>
    <w:rsid w:val="005448C0"/>
    <w:rsid w:val="005448D0"/>
    <w:rsid w:val="00544A60"/>
    <w:rsid w:val="005455CB"/>
    <w:rsid w:val="00545F0D"/>
    <w:rsid w:val="0054725A"/>
    <w:rsid w:val="0054784B"/>
    <w:rsid w:val="00547C6D"/>
    <w:rsid w:val="00547D87"/>
    <w:rsid w:val="005506E5"/>
    <w:rsid w:val="00550A90"/>
    <w:rsid w:val="00550B6F"/>
    <w:rsid w:val="00551E3B"/>
    <w:rsid w:val="0055342A"/>
    <w:rsid w:val="0055384B"/>
    <w:rsid w:val="00553A1B"/>
    <w:rsid w:val="00553C91"/>
    <w:rsid w:val="00554215"/>
    <w:rsid w:val="0055430E"/>
    <w:rsid w:val="005545DC"/>
    <w:rsid w:val="00554710"/>
    <w:rsid w:val="00554752"/>
    <w:rsid w:val="0055496A"/>
    <w:rsid w:val="0055534A"/>
    <w:rsid w:val="0055667E"/>
    <w:rsid w:val="00557A32"/>
    <w:rsid w:val="00560314"/>
    <w:rsid w:val="005605FE"/>
    <w:rsid w:val="00560B88"/>
    <w:rsid w:val="0056135A"/>
    <w:rsid w:val="0056143C"/>
    <w:rsid w:val="00561AEC"/>
    <w:rsid w:val="00561E12"/>
    <w:rsid w:val="005626A0"/>
    <w:rsid w:val="00562DA4"/>
    <w:rsid w:val="005637DB"/>
    <w:rsid w:val="005638DD"/>
    <w:rsid w:val="005640E1"/>
    <w:rsid w:val="005641D8"/>
    <w:rsid w:val="005649A4"/>
    <w:rsid w:val="00565309"/>
    <w:rsid w:val="00565A6B"/>
    <w:rsid w:val="00565D56"/>
    <w:rsid w:val="005660D3"/>
    <w:rsid w:val="005665CC"/>
    <w:rsid w:val="005673EE"/>
    <w:rsid w:val="00567BAF"/>
    <w:rsid w:val="00567D72"/>
    <w:rsid w:val="00570055"/>
    <w:rsid w:val="00570842"/>
    <w:rsid w:val="005709B6"/>
    <w:rsid w:val="00572495"/>
    <w:rsid w:val="00572F66"/>
    <w:rsid w:val="005747DC"/>
    <w:rsid w:val="00574CFE"/>
    <w:rsid w:val="00574F86"/>
    <w:rsid w:val="00575192"/>
    <w:rsid w:val="00576268"/>
    <w:rsid w:val="00576B98"/>
    <w:rsid w:val="00576BDA"/>
    <w:rsid w:val="00577066"/>
    <w:rsid w:val="005775A6"/>
    <w:rsid w:val="0057773C"/>
    <w:rsid w:val="005779EE"/>
    <w:rsid w:val="00577B6F"/>
    <w:rsid w:val="00577DD6"/>
    <w:rsid w:val="00580327"/>
    <w:rsid w:val="00580377"/>
    <w:rsid w:val="00580F88"/>
    <w:rsid w:val="00583E3C"/>
    <w:rsid w:val="00584C2D"/>
    <w:rsid w:val="00584E66"/>
    <w:rsid w:val="00585287"/>
    <w:rsid w:val="0058618E"/>
    <w:rsid w:val="00586E7E"/>
    <w:rsid w:val="00587CB7"/>
    <w:rsid w:val="00587CD0"/>
    <w:rsid w:val="0059043E"/>
    <w:rsid w:val="00590D67"/>
    <w:rsid w:val="00591754"/>
    <w:rsid w:val="00591B15"/>
    <w:rsid w:val="00591E29"/>
    <w:rsid w:val="005924CA"/>
    <w:rsid w:val="00592CBF"/>
    <w:rsid w:val="00593130"/>
    <w:rsid w:val="0059353B"/>
    <w:rsid w:val="00593841"/>
    <w:rsid w:val="00593862"/>
    <w:rsid w:val="005944F7"/>
    <w:rsid w:val="00594A27"/>
    <w:rsid w:val="00594E5C"/>
    <w:rsid w:val="00595216"/>
    <w:rsid w:val="00595B4B"/>
    <w:rsid w:val="00596718"/>
    <w:rsid w:val="0059704F"/>
    <w:rsid w:val="00597514"/>
    <w:rsid w:val="00597680"/>
    <w:rsid w:val="005A030B"/>
    <w:rsid w:val="005A03EF"/>
    <w:rsid w:val="005A0455"/>
    <w:rsid w:val="005A0807"/>
    <w:rsid w:val="005A0C7D"/>
    <w:rsid w:val="005A1342"/>
    <w:rsid w:val="005A1B0D"/>
    <w:rsid w:val="005A1C1A"/>
    <w:rsid w:val="005A1D59"/>
    <w:rsid w:val="005A2DCB"/>
    <w:rsid w:val="005A3625"/>
    <w:rsid w:val="005A37FF"/>
    <w:rsid w:val="005A390A"/>
    <w:rsid w:val="005A3A3F"/>
    <w:rsid w:val="005A3E84"/>
    <w:rsid w:val="005A3F96"/>
    <w:rsid w:val="005A4658"/>
    <w:rsid w:val="005A47EC"/>
    <w:rsid w:val="005A490E"/>
    <w:rsid w:val="005A5319"/>
    <w:rsid w:val="005A5399"/>
    <w:rsid w:val="005A61EA"/>
    <w:rsid w:val="005A6311"/>
    <w:rsid w:val="005A665B"/>
    <w:rsid w:val="005B1382"/>
    <w:rsid w:val="005B161A"/>
    <w:rsid w:val="005B1A5D"/>
    <w:rsid w:val="005B2156"/>
    <w:rsid w:val="005B2662"/>
    <w:rsid w:val="005B28CB"/>
    <w:rsid w:val="005B2E31"/>
    <w:rsid w:val="005B2FEC"/>
    <w:rsid w:val="005B3259"/>
    <w:rsid w:val="005B3524"/>
    <w:rsid w:val="005B3B95"/>
    <w:rsid w:val="005B453A"/>
    <w:rsid w:val="005B4E02"/>
    <w:rsid w:val="005B4EFC"/>
    <w:rsid w:val="005B5A96"/>
    <w:rsid w:val="005B6F55"/>
    <w:rsid w:val="005B7314"/>
    <w:rsid w:val="005B73EF"/>
    <w:rsid w:val="005B7739"/>
    <w:rsid w:val="005C08E7"/>
    <w:rsid w:val="005C0B25"/>
    <w:rsid w:val="005C0B5B"/>
    <w:rsid w:val="005C114F"/>
    <w:rsid w:val="005C1410"/>
    <w:rsid w:val="005C199E"/>
    <w:rsid w:val="005C1A08"/>
    <w:rsid w:val="005C202F"/>
    <w:rsid w:val="005C259D"/>
    <w:rsid w:val="005C2D65"/>
    <w:rsid w:val="005C31D2"/>
    <w:rsid w:val="005C32F5"/>
    <w:rsid w:val="005C3633"/>
    <w:rsid w:val="005C3C68"/>
    <w:rsid w:val="005C3C82"/>
    <w:rsid w:val="005C3D96"/>
    <w:rsid w:val="005C4137"/>
    <w:rsid w:val="005C4329"/>
    <w:rsid w:val="005C4356"/>
    <w:rsid w:val="005C4BE5"/>
    <w:rsid w:val="005C54E6"/>
    <w:rsid w:val="005C55E0"/>
    <w:rsid w:val="005C5665"/>
    <w:rsid w:val="005C600E"/>
    <w:rsid w:val="005C654F"/>
    <w:rsid w:val="005C6E32"/>
    <w:rsid w:val="005C733D"/>
    <w:rsid w:val="005C7344"/>
    <w:rsid w:val="005C76E1"/>
    <w:rsid w:val="005C7B85"/>
    <w:rsid w:val="005C7DD9"/>
    <w:rsid w:val="005C7E17"/>
    <w:rsid w:val="005D04B4"/>
    <w:rsid w:val="005D1014"/>
    <w:rsid w:val="005D179E"/>
    <w:rsid w:val="005D1A7A"/>
    <w:rsid w:val="005D1FE5"/>
    <w:rsid w:val="005D2ED1"/>
    <w:rsid w:val="005D31BA"/>
    <w:rsid w:val="005D3769"/>
    <w:rsid w:val="005D3D6C"/>
    <w:rsid w:val="005D4602"/>
    <w:rsid w:val="005D46E7"/>
    <w:rsid w:val="005D474B"/>
    <w:rsid w:val="005D47F2"/>
    <w:rsid w:val="005D523D"/>
    <w:rsid w:val="005D5F1D"/>
    <w:rsid w:val="005D6581"/>
    <w:rsid w:val="005D65B9"/>
    <w:rsid w:val="005D6C90"/>
    <w:rsid w:val="005D7794"/>
    <w:rsid w:val="005D7BBE"/>
    <w:rsid w:val="005D7EE7"/>
    <w:rsid w:val="005E1270"/>
    <w:rsid w:val="005E1849"/>
    <w:rsid w:val="005E19CF"/>
    <w:rsid w:val="005E1F9D"/>
    <w:rsid w:val="005E2E24"/>
    <w:rsid w:val="005E3B60"/>
    <w:rsid w:val="005E4038"/>
    <w:rsid w:val="005E5795"/>
    <w:rsid w:val="005E6948"/>
    <w:rsid w:val="005E70FA"/>
    <w:rsid w:val="005E7A9F"/>
    <w:rsid w:val="005E7F54"/>
    <w:rsid w:val="005F033B"/>
    <w:rsid w:val="005F058B"/>
    <w:rsid w:val="005F09C9"/>
    <w:rsid w:val="005F0BCC"/>
    <w:rsid w:val="005F0F3A"/>
    <w:rsid w:val="005F2200"/>
    <w:rsid w:val="005F2480"/>
    <w:rsid w:val="005F2596"/>
    <w:rsid w:val="005F3B8A"/>
    <w:rsid w:val="005F48C6"/>
    <w:rsid w:val="005F577E"/>
    <w:rsid w:val="005F5B4B"/>
    <w:rsid w:val="005F661D"/>
    <w:rsid w:val="005F6BEF"/>
    <w:rsid w:val="005F7760"/>
    <w:rsid w:val="005F78CB"/>
    <w:rsid w:val="005F7C66"/>
    <w:rsid w:val="00600907"/>
    <w:rsid w:val="00600985"/>
    <w:rsid w:val="006012CA"/>
    <w:rsid w:val="00601362"/>
    <w:rsid w:val="006016A1"/>
    <w:rsid w:val="006016EB"/>
    <w:rsid w:val="0060198E"/>
    <w:rsid w:val="00602300"/>
    <w:rsid w:val="00603FA8"/>
    <w:rsid w:val="00604435"/>
    <w:rsid w:val="006049CA"/>
    <w:rsid w:val="00604F7A"/>
    <w:rsid w:val="00605502"/>
    <w:rsid w:val="00605603"/>
    <w:rsid w:val="00605CFA"/>
    <w:rsid w:val="00606386"/>
    <w:rsid w:val="006071DD"/>
    <w:rsid w:val="006079B7"/>
    <w:rsid w:val="00607F4C"/>
    <w:rsid w:val="0061006D"/>
    <w:rsid w:val="00610173"/>
    <w:rsid w:val="00610226"/>
    <w:rsid w:val="00610275"/>
    <w:rsid w:val="00610835"/>
    <w:rsid w:val="00610B1F"/>
    <w:rsid w:val="00610B67"/>
    <w:rsid w:val="00610FBE"/>
    <w:rsid w:val="006115E5"/>
    <w:rsid w:val="00611B6F"/>
    <w:rsid w:val="006124CB"/>
    <w:rsid w:val="00612B89"/>
    <w:rsid w:val="00613063"/>
    <w:rsid w:val="00613B80"/>
    <w:rsid w:val="00613E8B"/>
    <w:rsid w:val="00613EB9"/>
    <w:rsid w:val="00614E0A"/>
    <w:rsid w:val="00615979"/>
    <w:rsid w:val="00616585"/>
    <w:rsid w:val="0061679E"/>
    <w:rsid w:val="00616897"/>
    <w:rsid w:val="00616A55"/>
    <w:rsid w:val="006170A8"/>
    <w:rsid w:val="006173EB"/>
    <w:rsid w:val="00617AF6"/>
    <w:rsid w:val="00617BBD"/>
    <w:rsid w:val="006213EA"/>
    <w:rsid w:val="00621A3A"/>
    <w:rsid w:val="0062235F"/>
    <w:rsid w:val="0062270A"/>
    <w:rsid w:val="006229EB"/>
    <w:rsid w:val="0062382B"/>
    <w:rsid w:val="00623D68"/>
    <w:rsid w:val="00623DD6"/>
    <w:rsid w:val="00624028"/>
    <w:rsid w:val="00625D44"/>
    <w:rsid w:val="00626115"/>
    <w:rsid w:val="006262C6"/>
    <w:rsid w:val="00626388"/>
    <w:rsid w:val="0062717D"/>
    <w:rsid w:val="00627674"/>
    <w:rsid w:val="00630B5D"/>
    <w:rsid w:val="00630BDE"/>
    <w:rsid w:val="00631105"/>
    <w:rsid w:val="006323F1"/>
    <w:rsid w:val="006323FF"/>
    <w:rsid w:val="00632A52"/>
    <w:rsid w:val="00633215"/>
    <w:rsid w:val="0063324A"/>
    <w:rsid w:val="006338F0"/>
    <w:rsid w:val="00633D7E"/>
    <w:rsid w:val="00633E94"/>
    <w:rsid w:val="0063417A"/>
    <w:rsid w:val="00634369"/>
    <w:rsid w:val="006347D4"/>
    <w:rsid w:val="00634886"/>
    <w:rsid w:val="006348AA"/>
    <w:rsid w:val="00634A34"/>
    <w:rsid w:val="00635B9B"/>
    <w:rsid w:val="0064056D"/>
    <w:rsid w:val="006409FB"/>
    <w:rsid w:val="00640EB7"/>
    <w:rsid w:val="006411A3"/>
    <w:rsid w:val="00641337"/>
    <w:rsid w:val="00641462"/>
    <w:rsid w:val="00641755"/>
    <w:rsid w:val="00642450"/>
    <w:rsid w:val="0064274E"/>
    <w:rsid w:val="00642846"/>
    <w:rsid w:val="00642C9A"/>
    <w:rsid w:val="00643083"/>
    <w:rsid w:val="00643311"/>
    <w:rsid w:val="006439FF"/>
    <w:rsid w:val="0064439E"/>
    <w:rsid w:val="00644597"/>
    <w:rsid w:val="006446AD"/>
    <w:rsid w:val="006448D0"/>
    <w:rsid w:val="006450C6"/>
    <w:rsid w:val="006454F1"/>
    <w:rsid w:val="0064558D"/>
    <w:rsid w:val="00645F76"/>
    <w:rsid w:val="00646D70"/>
    <w:rsid w:val="0064720A"/>
    <w:rsid w:val="00647727"/>
    <w:rsid w:val="00647D46"/>
    <w:rsid w:val="00647E5D"/>
    <w:rsid w:val="00647F90"/>
    <w:rsid w:val="0065039F"/>
    <w:rsid w:val="00650935"/>
    <w:rsid w:val="00651424"/>
    <w:rsid w:val="00651811"/>
    <w:rsid w:val="00652355"/>
    <w:rsid w:val="00652374"/>
    <w:rsid w:val="006528B5"/>
    <w:rsid w:val="00652E84"/>
    <w:rsid w:val="00653ACF"/>
    <w:rsid w:val="00653D66"/>
    <w:rsid w:val="006541F1"/>
    <w:rsid w:val="006554F0"/>
    <w:rsid w:val="006554F9"/>
    <w:rsid w:val="0065683D"/>
    <w:rsid w:val="00656F63"/>
    <w:rsid w:val="006577D8"/>
    <w:rsid w:val="00657CE1"/>
    <w:rsid w:val="00660C6E"/>
    <w:rsid w:val="006613A9"/>
    <w:rsid w:val="00661795"/>
    <w:rsid w:val="00661C4B"/>
    <w:rsid w:val="00661CFF"/>
    <w:rsid w:val="00661E1A"/>
    <w:rsid w:val="00662F25"/>
    <w:rsid w:val="006637B7"/>
    <w:rsid w:val="00663FF0"/>
    <w:rsid w:val="00664093"/>
    <w:rsid w:val="00664A71"/>
    <w:rsid w:val="00664C87"/>
    <w:rsid w:val="00665DC2"/>
    <w:rsid w:val="006663AA"/>
    <w:rsid w:val="006664C7"/>
    <w:rsid w:val="0066683F"/>
    <w:rsid w:val="00666CFB"/>
    <w:rsid w:val="006705CD"/>
    <w:rsid w:val="006718A6"/>
    <w:rsid w:val="006718DC"/>
    <w:rsid w:val="0067224F"/>
    <w:rsid w:val="0067255E"/>
    <w:rsid w:val="00673383"/>
    <w:rsid w:val="00673845"/>
    <w:rsid w:val="00673B55"/>
    <w:rsid w:val="006744F0"/>
    <w:rsid w:val="00674B97"/>
    <w:rsid w:val="00674E0D"/>
    <w:rsid w:val="00675439"/>
    <w:rsid w:val="006754B9"/>
    <w:rsid w:val="006755E9"/>
    <w:rsid w:val="00676E63"/>
    <w:rsid w:val="0067721F"/>
    <w:rsid w:val="006805D3"/>
    <w:rsid w:val="00681B08"/>
    <w:rsid w:val="0068209D"/>
    <w:rsid w:val="0068328B"/>
    <w:rsid w:val="00683464"/>
    <w:rsid w:val="006835CC"/>
    <w:rsid w:val="006837BF"/>
    <w:rsid w:val="00684250"/>
    <w:rsid w:val="00685006"/>
    <w:rsid w:val="00685633"/>
    <w:rsid w:val="00685AA3"/>
    <w:rsid w:val="00686563"/>
    <w:rsid w:val="0068677B"/>
    <w:rsid w:val="00686D21"/>
    <w:rsid w:val="00686D4E"/>
    <w:rsid w:val="0068795E"/>
    <w:rsid w:val="00687975"/>
    <w:rsid w:val="006904AE"/>
    <w:rsid w:val="0069096F"/>
    <w:rsid w:val="0069115D"/>
    <w:rsid w:val="00691C7B"/>
    <w:rsid w:val="00691EFE"/>
    <w:rsid w:val="00692C1E"/>
    <w:rsid w:val="006938F0"/>
    <w:rsid w:val="00693D56"/>
    <w:rsid w:val="00693D78"/>
    <w:rsid w:val="0069498D"/>
    <w:rsid w:val="0069559C"/>
    <w:rsid w:val="006956D3"/>
    <w:rsid w:val="0069763F"/>
    <w:rsid w:val="00697B67"/>
    <w:rsid w:val="00697BF9"/>
    <w:rsid w:val="00697C60"/>
    <w:rsid w:val="006A034C"/>
    <w:rsid w:val="006A07AF"/>
    <w:rsid w:val="006A0B9F"/>
    <w:rsid w:val="006A0D10"/>
    <w:rsid w:val="006A1081"/>
    <w:rsid w:val="006A215F"/>
    <w:rsid w:val="006A268B"/>
    <w:rsid w:val="006A27D4"/>
    <w:rsid w:val="006A45EE"/>
    <w:rsid w:val="006A4FBF"/>
    <w:rsid w:val="006A5A60"/>
    <w:rsid w:val="006A5BEF"/>
    <w:rsid w:val="006A5E23"/>
    <w:rsid w:val="006A604C"/>
    <w:rsid w:val="006A60A7"/>
    <w:rsid w:val="006A676B"/>
    <w:rsid w:val="006A7243"/>
    <w:rsid w:val="006A74DE"/>
    <w:rsid w:val="006B017E"/>
    <w:rsid w:val="006B03E2"/>
    <w:rsid w:val="006B0AE5"/>
    <w:rsid w:val="006B0B4C"/>
    <w:rsid w:val="006B0F26"/>
    <w:rsid w:val="006B0F67"/>
    <w:rsid w:val="006B12BD"/>
    <w:rsid w:val="006B135A"/>
    <w:rsid w:val="006B1CB7"/>
    <w:rsid w:val="006B2026"/>
    <w:rsid w:val="006B282D"/>
    <w:rsid w:val="006B3C78"/>
    <w:rsid w:val="006B4503"/>
    <w:rsid w:val="006B4A64"/>
    <w:rsid w:val="006B512C"/>
    <w:rsid w:val="006B5197"/>
    <w:rsid w:val="006B541B"/>
    <w:rsid w:val="006B5543"/>
    <w:rsid w:val="006B561E"/>
    <w:rsid w:val="006B5A04"/>
    <w:rsid w:val="006B6C69"/>
    <w:rsid w:val="006B7796"/>
    <w:rsid w:val="006B7BD7"/>
    <w:rsid w:val="006B7BEF"/>
    <w:rsid w:val="006C0311"/>
    <w:rsid w:val="006C03CD"/>
    <w:rsid w:val="006C0B1A"/>
    <w:rsid w:val="006C105F"/>
    <w:rsid w:val="006C141D"/>
    <w:rsid w:val="006C1CB0"/>
    <w:rsid w:val="006C1E4D"/>
    <w:rsid w:val="006C1E83"/>
    <w:rsid w:val="006C2025"/>
    <w:rsid w:val="006C23D1"/>
    <w:rsid w:val="006C321C"/>
    <w:rsid w:val="006C3820"/>
    <w:rsid w:val="006C3DAC"/>
    <w:rsid w:val="006C3E3B"/>
    <w:rsid w:val="006C4187"/>
    <w:rsid w:val="006C4604"/>
    <w:rsid w:val="006C464D"/>
    <w:rsid w:val="006C48FE"/>
    <w:rsid w:val="006C4BAA"/>
    <w:rsid w:val="006C4D82"/>
    <w:rsid w:val="006C5275"/>
    <w:rsid w:val="006C567A"/>
    <w:rsid w:val="006C6409"/>
    <w:rsid w:val="006C6D5B"/>
    <w:rsid w:val="006C703D"/>
    <w:rsid w:val="006C744B"/>
    <w:rsid w:val="006C7E98"/>
    <w:rsid w:val="006D0421"/>
    <w:rsid w:val="006D08FA"/>
    <w:rsid w:val="006D0A64"/>
    <w:rsid w:val="006D0B07"/>
    <w:rsid w:val="006D0DC0"/>
    <w:rsid w:val="006D15E6"/>
    <w:rsid w:val="006D27BF"/>
    <w:rsid w:val="006D328E"/>
    <w:rsid w:val="006D37D0"/>
    <w:rsid w:val="006D3ABE"/>
    <w:rsid w:val="006D3EE6"/>
    <w:rsid w:val="006D3F86"/>
    <w:rsid w:val="006D416F"/>
    <w:rsid w:val="006D4BE2"/>
    <w:rsid w:val="006D4E7A"/>
    <w:rsid w:val="006D51AD"/>
    <w:rsid w:val="006D5287"/>
    <w:rsid w:val="006D5B50"/>
    <w:rsid w:val="006D5CE6"/>
    <w:rsid w:val="006D6030"/>
    <w:rsid w:val="006D6247"/>
    <w:rsid w:val="006D77CB"/>
    <w:rsid w:val="006D7D7C"/>
    <w:rsid w:val="006E0A5B"/>
    <w:rsid w:val="006E0E9A"/>
    <w:rsid w:val="006E108C"/>
    <w:rsid w:val="006E146E"/>
    <w:rsid w:val="006E1DA9"/>
    <w:rsid w:val="006E1F80"/>
    <w:rsid w:val="006E2157"/>
    <w:rsid w:val="006E2EFC"/>
    <w:rsid w:val="006E39A4"/>
    <w:rsid w:val="006E3CD1"/>
    <w:rsid w:val="006E4113"/>
    <w:rsid w:val="006E429E"/>
    <w:rsid w:val="006E448B"/>
    <w:rsid w:val="006E53BF"/>
    <w:rsid w:val="006E5CC7"/>
    <w:rsid w:val="006E6081"/>
    <w:rsid w:val="006E6503"/>
    <w:rsid w:val="006E66C1"/>
    <w:rsid w:val="006E7093"/>
    <w:rsid w:val="006E72BD"/>
    <w:rsid w:val="006E7961"/>
    <w:rsid w:val="006E7B48"/>
    <w:rsid w:val="006F000A"/>
    <w:rsid w:val="006F09D7"/>
    <w:rsid w:val="006F0BCD"/>
    <w:rsid w:val="006F0F10"/>
    <w:rsid w:val="006F0FB8"/>
    <w:rsid w:val="006F145C"/>
    <w:rsid w:val="006F1B12"/>
    <w:rsid w:val="006F1B83"/>
    <w:rsid w:val="006F2C95"/>
    <w:rsid w:val="006F2D27"/>
    <w:rsid w:val="006F38D7"/>
    <w:rsid w:val="006F3A4E"/>
    <w:rsid w:val="006F3C39"/>
    <w:rsid w:val="006F4475"/>
    <w:rsid w:val="006F4B6A"/>
    <w:rsid w:val="006F4F4D"/>
    <w:rsid w:val="006F5C05"/>
    <w:rsid w:val="006F6268"/>
    <w:rsid w:val="006F634F"/>
    <w:rsid w:val="006F6780"/>
    <w:rsid w:val="006F76E9"/>
    <w:rsid w:val="007001BE"/>
    <w:rsid w:val="0070050C"/>
    <w:rsid w:val="00700519"/>
    <w:rsid w:val="00700DD9"/>
    <w:rsid w:val="00701BC0"/>
    <w:rsid w:val="00701CBE"/>
    <w:rsid w:val="00701D34"/>
    <w:rsid w:val="00702250"/>
    <w:rsid w:val="00702B4C"/>
    <w:rsid w:val="0070319E"/>
    <w:rsid w:val="00703279"/>
    <w:rsid w:val="00703D08"/>
    <w:rsid w:val="00703E5A"/>
    <w:rsid w:val="007047D4"/>
    <w:rsid w:val="00704A27"/>
    <w:rsid w:val="007053A7"/>
    <w:rsid w:val="007061B5"/>
    <w:rsid w:val="00707473"/>
    <w:rsid w:val="00707B0B"/>
    <w:rsid w:val="00710445"/>
    <w:rsid w:val="0071045E"/>
    <w:rsid w:val="00710C63"/>
    <w:rsid w:val="00710E91"/>
    <w:rsid w:val="0071140A"/>
    <w:rsid w:val="00711E86"/>
    <w:rsid w:val="00713259"/>
    <w:rsid w:val="00713CD1"/>
    <w:rsid w:val="0071573E"/>
    <w:rsid w:val="007158D9"/>
    <w:rsid w:val="00715A26"/>
    <w:rsid w:val="00715EE6"/>
    <w:rsid w:val="00716346"/>
    <w:rsid w:val="00716D5E"/>
    <w:rsid w:val="00716E27"/>
    <w:rsid w:val="00717081"/>
    <w:rsid w:val="007171B1"/>
    <w:rsid w:val="007176C0"/>
    <w:rsid w:val="007178D4"/>
    <w:rsid w:val="0071795F"/>
    <w:rsid w:val="0072075E"/>
    <w:rsid w:val="00720CD8"/>
    <w:rsid w:val="00721C61"/>
    <w:rsid w:val="00721F7C"/>
    <w:rsid w:val="007222AE"/>
    <w:rsid w:val="007224F0"/>
    <w:rsid w:val="007225F0"/>
    <w:rsid w:val="007235B2"/>
    <w:rsid w:val="0072389D"/>
    <w:rsid w:val="00723E5E"/>
    <w:rsid w:val="007241FB"/>
    <w:rsid w:val="00724651"/>
    <w:rsid w:val="007247E7"/>
    <w:rsid w:val="00725568"/>
    <w:rsid w:val="0072572A"/>
    <w:rsid w:val="00725AE1"/>
    <w:rsid w:val="00725FE9"/>
    <w:rsid w:val="00726163"/>
    <w:rsid w:val="00727624"/>
    <w:rsid w:val="00727974"/>
    <w:rsid w:val="00730DAC"/>
    <w:rsid w:val="007314C6"/>
    <w:rsid w:val="00731D2F"/>
    <w:rsid w:val="007324D7"/>
    <w:rsid w:val="007339BE"/>
    <w:rsid w:val="00733A0A"/>
    <w:rsid w:val="00734033"/>
    <w:rsid w:val="00735239"/>
    <w:rsid w:val="00735C5F"/>
    <w:rsid w:val="00735EB8"/>
    <w:rsid w:val="00736054"/>
    <w:rsid w:val="00736249"/>
    <w:rsid w:val="007362B9"/>
    <w:rsid w:val="0073633C"/>
    <w:rsid w:val="0073652B"/>
    <w:rsid w:val="00737295"/>
    <w:rsid w:val="00737408"/>
    <w:rsid w:val="00740DF6"/>
    <w:rsid w:val="00741A10"/>
    <w:rsid w:val="00741CDA"/>
    <w:rsid w:val="00742339"/>
    <w:rsid w:val="00742BDA"/>
    <w:rsid w:val="00742C7B"/>
    <w:rsid w:val="007430D7"/>
    <w:rsid w:val="007435F9"/>
    <w:rsid w:val="007444DB"/>
    <w:rsid w:val="007449B9"/>
    <w:rsid w:val="00746861"/>
    <w:rsid w:val="00746A70"/>
    <w:rsid w:val="0074717C"/>
    <w:rsid w:val="00747283"/>
    <w:rsid w:val="0074778E"/>
    <w:rsid w:val="00751123"/>
    <w:rsid w:val="00751548"/>
    <w:rsid w:val="00751A39"/>
    <w:rsid w:val="00751D62"/>
    <w:rsid w:val="00752257"/>
    <w:rsid w:val="00752301"/>
    <w:rsid w:val="00752804"/>
    <w:rsid w:val="0075299D"/>
    <w:rsid w:val="00752AE2"/>
    <w:rsid w:val="00752B46"/>
    <w:rsid w:val="00752DA8"/>
    <w:rsid w:val="00752DD8"/>
    <w:rsid w:val="007534F5"/>
    <w:rsid w:val="00753942"/>
    <w:rsid w:val="007539F5"/>
    <w:rsid w:val="00753D52"/>
    <w:rsid w:val="007547CA"/>
    <w:rsid w:val="00754929"/>
    <w:rsid w:val="00754FA4"/>
    <w:rsid w:val="00755214"/>
    <w:rsid w:val="007557C5"/>
    <w:rsid w:val="00755896"/>
    <w:rsid w:val="00755B7D"/>
    <w:rsid w:val="00755C73"/>
    <w:rsid w:val="00755E8B"/>
    <w:rsid w:val="00756096"/>
    <w:rsid w:val="007563C3"/>
    <w:rsid w:val="007568AC"/>
    <w:rsid w:val="00757781"/>
    <w:rsid w:val="00757DF9"/>
    <w:rsid w:val="00757F98"/>
    <w:rsid w:val="00760597"/>
    <w:rsid w:val="00760D02"/>
    <w:rsid w:val="00760FE6"/>
    <w:rsid w:val="00760FFB"/>
    <w:rsid w:val="007610B9"/>
    <w:rsid w:val="00761B3D"/>
    <w:rsid w:val="00761B93"/>
    <w:rsid w:val="0076223A"/>
    <w:rsid w:val="007626B2"/>
    <w:rsid w:val="00762737"/>
    <w:rsid w:val="00763063"/>
    <w:rsid w:val="007637C1"/>
    <w:rsid w:val="00763BF8"/>
    <w:rsid w:val="00764486"/>
    <w:rsid w:val="00764B92"/>
    <w:rsid w:val="00764BD5"/>
    <w:rsid w:val="00764C4D"/>
    <w:rsid w:val="0076547C"/>
    <w:rsid w:val="00765997"/>
    <w:rsid w:val="00765B32"/>
    <w:rsid w:val="00765CF6"/>
    <w:rsid w:val="007666A1"/>
    <w:rsid w:val="0076676B"/>
    <w:rsid w:val="007670A9"/>
    <w:rsid w:val="0076758A"/>
    <w:rsid w:val="007679C9"/>
    <w:rsid w:val="00767CA1"/>
    <w:rsid w:val="007705FF"/>
    <w:rsid w:val="00770CC3"/>
    <w:rsid w:val="007712D9"/>
    <w:rsid w:val="00772173"/>
    <w:rsid w:val="007730B6"/>
    <w:rsid w:val="00773469"/>
    <w:rsid w:val="00773732"/>
    <w:rsid w:val="007742D4"/>
    <w:rsid w:val="00774F55"/>
    <w:rsid w:val="00775407"/>
    <w:rsid w:val="0077540B"/>
    <w:rsid w:val="007756BB"/>
    <w:rsid w:val="00775818"/>
    <w:rsid w:val="007815B8"/>
    <w:rsid w:val="0078181A"/>
    <w:rsid w:val="0078189A"/>
    <w:rsid w:val="007818FB"/>
    <w:rsid w:val="00781F70"/>
    <w:rsid w:val="007822F7"/>
    <w:rsid w:val="0078240F"/>
    <w:rsid w:val="0078271B"/>
    <w:rsid w:val="00782843"/>
    <w:rsid w:val="00782C3D"/>
    <w:rsid w:val="00782CD1"/>
    <w:rsid w:val="00782D54"/>
    <w:rsid w:val="0078327C"/>
    <w:rsid w:val="007834A2"/>
    <w:rsid w:val="00784107"/>
    <w:rsid w:val="00784210"/>
    <w:rsid w:val="00784745"/>
    <w:rsid w:val="00784863"/>
    <w:rsid w:val="007848A5"/>
    <w:rsid w:val="00785A05"/>
    <w:rsid w:val="00786DC4"/>
    <w:rsid w:val="00786F3C"/>
    <w:rsid w:val="00787821"/>
    <w:rsid w:val="00787C98"/>
    <w:rsid w:val="00787C99"/>
    <w:rsid w:val="00787EB9"/>
    <w:rsid w:val="0079004F"/>
    <w:rsid w:val="0079070D"/>
    <w:rsid w:val="00791314"/>
    <w:rsid w:val="00791477"/>
    <w:rsid w:val="0079194F"/>
    <w:rsid w:val="00791B00"/>
    <w:rsid w:val="00792BDF"/>
    <w:rsid w:val="00793025"/>
    <w:rsid w:val="007933EE"/>
    <w:rsid w:val="00793DAB"/>
    <w:rsid w:val="00794FFF"/>
    <w:rsid w:val="00795583"/>
    <w:rsid w:val="007955FC"/>
    <w:rsid w:val="00795A33"/>
    <w:rsid w:val="00795BF5"/>
    <w:rsid w:val="00795E89"/>
    <w:rsid w:val="00796010"/>
    <w:rsid w:val="00796D35"/>
    <w:rsid w:val="00796F09"/>
    <w:rsid w:val="00796FA2"/>
    <w:rsid w:val="00796FE7"/>
    <w:rsid w:val="007A0BEF"/>
    <w:rsid w:val="007A1D53"/>
    <w:rsid w:val="007A2751"/>
    <w:rsid w:val="007A2762"/>
    <w:rsid w:val="007A2A4A"/>
    <w:rsid w:val="007A2B7D"/>
    <w:rsid w:val="007A2BD7"/>
    <w:rsid w:val="007A3169"/>
    <w:rsid w:val="007A4698"/>
    <w:rsid w:val="007A4C2E"/>
    <w:rsid w:val="007A5126"/>
    <w:rsid w:val="007A6094"/>
    <w:rsid w:val="007A6236"/>
    <w:rsid w:val="007A62C9"/>
    <w:rsid w:val="007A6529"/>
    <w:rsid w:val="007A7030"/>
    <w:rsid w:val="007A7452"/>
    <w:rsid w:val="007A76E2"/>
    <w:rsid w:val="007A79BE"/>
    <w:rsid w:val="007B01D0"/>
    <w:rsid w:val="007B1099"/>
    <w:rsid w:val="007B126F"/>
    <w:rsid w:val="007B18A2"/>
    <w:rsid w:val="007B20A4"/>
    <w:rsid w:val="007B2719"/>
    <w:rsid w:val="007B2BDE"/>
    <w:rsid w:val="007B34C1"/>
    <w:rsid w:val="007B392F"/>
    <w:rsid w:val="007B48BC"/>
    <w:rsid w:val="007B48EE"/>
    <w:rsid w:val="007B5B4B"/>
    <w:rsid w:val="007B61CA"/>
    <w:rsid w:val="007B65AB"/>
    <w:rsid w:val="007B7019"/>
    <w:rsid w:val="007B7E32"/>
    <w:rsid w:val="007C0F24"/>
    <w:rsid w:val="007C1BC3"/>
    <w:rsid w:val="007C1BD1"/>
    <w:rsid w:val="007C2C8C"/>
    <w:rsid w:val="007C32D8"/>
    <w:rsid w:val="007C3B27"/>
    <w:rsid w:val="007C4479"/>
    <w:rsid w:val="007C504E"/>
    <w:rsid w:val="007C5257"/>
    <w:rsid w:val="007C54D9"/>
    <w:rsid w:val="007C5B16"/>
    <w:rsid w:val="007C77EC"/>
    <w:rsid w:val="007C7865"/>
    <w:rsid w:val="007C7F1F"/>
    <w:rsid w:val="007D0242"/>
    <w:rsid w:val="007D0A62"/>
    <w:rsid w:val="007D0C10"/>
    <w:rsid w:val="007D136A"/>
    <w:rsid w:val="007D1810"/>
    <w:rsid w:val="007D27D9"/>
    <w:rsid w:val="007D2ACA"/>
    <w:rsid w:val="007D2FE0"/>
    <w:rsid w:val="007D342A"/>
    <w:rsid w:val="007D3BCF"/>
    <w:rsid w:val="007D3EE9"/>
    <w:rsid w:val="007D4075"/>
    <w:rsid w:val="007D5584"/>
    <w:rsid w:val="007D56D4"/>
    <w:rsid w:val="007D584E"/>
    <w:rsid w:val="007D5FB5"/>
    <w:rsid w:val="007D6314"/>
    <w:rsid w:val="007D6878"/>
    <w:rsid w:val="007D733B"/>
    <w:rsid w:val="007E0AE0"/>
    <w:rsid w:val="007E0C7C"/>
    <w:rsid w:val="007E0D6A"/>
    <w:rsid w:val="007E0FA9"/>
    <w:rsid w:val="007E11CE"/>
    <w:rsid w:val="007E1413"/>
    <w:rsid w:val="007E1C19"/>
    <w:rsid w:val="007E23CE"/>
    <w:rsid w:val="007E23E0"/>
    <w:rsid w:val="007E2968"/>
    <w:rsid w:val="007E2BFB"/>
    <w:rsid w:val="007E3788"/>
    <w:rsid w:val="007E38C8"/>
    <w:rsid w:val="007E3B9F"/>
    <w:rsid w:val="007E54B1"/>
    <w:rsid w:val="007E55F2"/>
    <w:rsid w:val="007E69B8"/>
    <w:rsid w:val="007E6E9D"/>
    <w:rsid w:val="007E72C0"/>
    <w:rsid w:val="007E7735"/>
    <w:rsid w:val="007F0EB9"/>
    <w:rsid w:val="007F2B00"/>
    <w:rsid w:val="007F2B01"/>
    <w:rsid w:val="007F2BC1"/>
    <w:rsid w:val="007F2CB7"/>
    <w:rsid w:val="007F561B"/>
    <w:rsid w:val="007F5E6B"/>
    <w:rsid w:val="007F606B"/>
    <w:rsid w:val="007F60FD"/>
    <w:rsid w:val="007F6256"/>
    <w:rsid w:val="007F64CF"/>
    <w:rsid w:val="007F658B"/>
    <w:rsid w:val="007F765C"/>
    <w:rsid w:val="007F7B6D"/>
    <w:rsid w:val="007F7B7F"/>
    <w:rsid w:val="007F7E09"/>
    <w:rsid w:val="007F7FFB"/>
    <w:rsid w:val="008000FE"/>
    <w:rsid w:val="008003DD"/>
    <w:rsid w:val="00800564"/>
    <w:rsid w:val="00800581"/>
    <w:rsid w:val="008006A1"/>
    <w:rsid w:val="00800891"/>
    <w:rsid w:val="0080098B"/>
    <w:rsid w:val="00800EB4"/>
    <w:rsid w:val="008013EC"/>
    <w:rsid w:val="008014FD"/>
    <w:rsid w:val="00801513"/>
    <w:rsid w:val="00801563"/>
    <w:rsid w:val="00801642"/>
    <w:rsid w:val="00802425"/>
    <w:rsid w:val="00802888"/>
    <w:rsid w:val="0080297B"/>
    <w:rsid w:val="00803170"/>
    <w:rsid w:val="0080327D"/>
    <w:rsid w:val="00803783"/>
    <w:rsid w:val="00803DBF"/>
    <w:rsid w:val="00803E07"/>
    <w:rsid w:val="00804254"/>
    <w:rsid w:val="0080497A"/>
    <w:rsid w:val="00804E9F"/>
    <w:rsid w:val="0080645C"/>
    <w:rsid w:val="008066E0"/>
    <w:rsid w:val="008067FD"/>
    <w:rsid w:val="008077B1"/>
    <w:rsid w:val="00807C4B"/>
    <w:rsid w:val="008109B2"/>
    <w:rsid w:val="00810C94"/>
    <w:rsid w:val="00810CF9"/>
    <w:rsid w:val="00810D3D"/>
    <w:rsid w:val="00810E02"/>
    <w:rsid w:val="00811737"/>
    <w:rsid w:val="00811D14"/>
    <w:rsid w:val="00811F95"/>
    <w:rsid w:val="0081204B"/>
    <w:rsid w:val="008131CB"/>
    <w:rsid w:val="00813632"/>
    <w:rsid w:val="00813A45"/>
    <w:rsid w:val="0081446B"/>
    <w:rsid w:val="008147E4"/>
    <w:rsid w:val="00814CC7"/>
    <w:rsid w:val="00814EBA"/>
    <w:rsid w:val="00815126"/>
    <w:rsid w:val="00815233"/>
    <w:rsid w:val="00816A18"/>
    <w:rsid w:val="00816B4D"/>
    <w:rsid w:val="008171B2"/>
    <w:rsid w:val="00817216"/>
    <w:rsid w:val="00817573"/>
    <w:rsid w:val="00817903"/>
    <w:rsid w:val="00817CF2"/>
    <w:rsid w:val="00820498"/>
    <w:rsid w:val="008204B8"/>
    <w:rsid w:val="008208A4"/>
    <w:rsid w:val="00820956"/>
    <w:rsid w:val="00821735"/>
    <w:rsid w:val="00821904"/>
    <w:rsid w:val="00821BF9"/>
    <w:rsid w:val="00821F3C"/>
    <w:rsid w:val="0082220D"/>
    <w:rsid w:val="00822E1B"/>
    <w:rsid w:val="00822F4D"/>
    <w:rsid w:val="008232CF"/>
    <w:rsid w:val="0082362C"/>
    <w:rsid w:val="00824771"/>
    <w:rsid w:val="008256AC"/>
    <w:rsid w:val="00825925"/>
    <w:rsid w:val="00825FA7"/>
    <w:rsid w:val="008265BD"/>
    <w:rsid w:val="00826C91"/>
    <w:rsid w:val="00826F15"/>
    <w:rsid w:val="00826FEB"/>
    <w:rsid w:val="0082701F"/>
    <w:rsid w:val="00830681"/>
    <w:rsid w:val="008309D7"/>
    <w:rsid w:val="00830EC2"/>
    <w:rsid w:val="00831FFD"/>
    <w:rsid w:val="008324E8"/>
    <w:rsid w:val="00832573"/>
    <w:rsid w:val="00832BA0"/>
    <w:rsid w:val="00832C2A"/>
    <w:rsid w:val="00832DD8"/>
    <w:rsid w:val="00833A3C"/>
    <w:rsid w:val="00833B49"/>
    <w:rsid w:val="00833F1A"/>
    <w:rsid w:val="00833FAA"/>
    <w:rsid w:val="008343E6"/>
    <w:rsid w:val="00834495"/>
    <w:rsid w:val="00835CD0"/>
    <w:rsid w:val="008366EE"/>
    <w:rsid w:val="008367DC"/>
    <w:rsid w:val="00836807"/>
    <w:rsid w:val="00836B9C"/>
    <w:rsid w:val="00836CB4"/>
    <w:rsid w:val="00836D91"/>
    <w:rsid w:val="00837CA8"/>
    <w:rsid w:val="00837EC6"/>
    <w:rsid w:val="00840259"/>
    <w:rsid w:val="00840261"/>
    <w:rsid w:val="00840685"/>
    <w:rsid w:val="008407C2"/>
    <w:rsid w:val="0084136F"/>
    <w:rsid w:val="0084144C"/>
    <w:rsid w:val="00841718"/>
    <w:rsid w:val="008419CF"/>
    <w:rsid w:val="00842167"/>
    <w:rsid w:val="0084321C"/>
    <w:rsid w:val="008442E6"/>
    <w:rsid w:val="008449BC"/>
    <w:rsid w:val="00844B4D"/>
    <w:rsid w:val="00844B89"/>
    <w:rsid w:val="00845017"/>
    <w:rsid w:val="008464D9"/>
    <w:rsid w:val="00846723"/>
    <w:rsid w:val="00846E6F"/>
    <w:rsid w:val="00847670"/>
    <w:rsid w:val="0084790A"/>
    <w:rsid w:val="00847BA2"/>
    <w:rsid w:val="00847C6C"/>
    <w:rsid w:val="008501A3"/>
    <w:rsid w:val="008505C2"/>
    <w:rsid w:val="008505C6"/>
    <w:rsid w:val="00850609"/>
    <w:rsid w:val="0085071A"/>
    <w:rsid w:val="00850D14"/>
    <w:rsid w:val="00851C47"/>
    <w:rsid w:val="0085214D"/>
    <w:rsid w:val="00852330"/>
    <w:rsid w:val="008524D0"/>
    <w:rsid w:val="0085275D"/>
    <w:rsid w:val="008527B9"/>
    <w:rsid w:val="00854F79"/>
    <w:rsid w:val="008555DB"/>
    <w:rsid w:val="008557F4"/>
    <w:rsid w:val="00855848"/>
    <w:rsid w:val="00855A4B"/>
    <w:rsid w:val="00856A84"/>
    <w:rsid w:val="00857C6A"/>
    <w:rsid w:val="00857F15"/>
    <w:rsid w:val="00857FAC"/>
    <w:rsid w:val="008601D0"/>
    <w:rsid w:val="00860234"/>
    <w:rsid w:val="00860B7F"/>
    <w:rsid w:val="008621FD"/>
    <w:rsid w:val="00862746"/>
    <w:rsid w:val="008629E6"/>
    <w:rsid w:val="00863319"/>
    <w:rsid w:val="00863E2A"/>
    <w:rsid w:val="00863FBC"/>
    <w:rsid w:val="00864037"/>
    <w:rsid w:val="0086469D"/>
    <w:rsid w:val="008650B4"/>
    <w:rsid w:val="00865B5D"/>
    <w:rsid w:val="00865B6B"/>
    <w:rsid w:val="00865D41"/>
    <w:rsid w:val="00865F1E"/>
    <w:rsid w:val="00866321"/>
    <w:rsid w:val="00866437"/>
    <w:rsid w:val="00866CB9"/>
    <w:rsid w:val="0086751E"/>
    <w:rsid w:val="00867C81"/>
    <w:rsid w:val="008710EB"/>
    <w:rsid w:val="008710ED"/>
    <w:rsid w:val="00871964"/>
    <w:rsid w:val="00872617"/>
    <w:rsid w:val="00872E07"/>
    <w:rsid w:val="00872E78"/>
    <w:rsid w:val="00873402"/>
    <w:rsid w:val="0087354C"/>
    <w:rsid w:val="00874E34"/>
    <w:rsid w:val="008757D9"/>
    <w:rsid w:val="0087590C"/>
    <w:rsid w:val="00876064"/>
    <w:rsid w:val="00877170"/>
    <w:rsid w:val="008775E0"/>
    <w:rsid w:val="008802B9"/>
    <w:rsid w:val="00881422"/>
    <w:rsid w:val="008827FE"/>
    <w:rsid w:val="00882CB5"/>
    <w:rsid w:val="008832E2"/>
    <w:rsid w:val="00883A2E"/>
    <w:rsid w:val="00883F5A"/>
    <w:rsid w:val="0088428B"/>
    <w:rsid w:val="008847B8"/>
    <w:rsid w:val="00884C44"/>
    <w:rsid w:val="00884CC8"/>
    <w:rsid w:val="00884DA9"/>
    <w:rsid w:val="008852E7"/>
    <w:rsid w:val="00885676"/>
    <w:rsid w:val="0088660D"/>
    <w:rsid w:val="00886669"/>
    <w:rsid w:val="00886875"/>
    <w:rsid w:val="00886BE6"/>
    <w:rsid w:val="00886F3F"/>
    <w:rsid w:val="00887182"/>
    <w:rsid w:val="008872A1"/>
    <w:rsid w:val="0089025A"/>
    <w:rsid w:val="008905E1"/>
    <w:rsid w:val="008909C1"/>
    <w:rsid w:val="00890B19"/>
    <w:rsid w:val="00890C83"/>
    <w:rsid w:val="00890ED1"/>
    <w:rsid w:val="008919C5"/>
    <w:rsid w:val="00891EFA"/>
    <w:rsid w:val="00892868"/>
    <w:rsid w:val="008930E3"/>
    <w:rsid w:val="0089317B"/>
    <w:rsid w:val="00893356"/>
    <w:rsid w:val="00893886"/>
    <w:rsid w:val="00893A15"/>
    <w:rsid w:val="00893B50"/>
    <w:rsid w:val="00893C80"/>
    <w:rsid w:val="00893CBE"/>
    <w:rsid w:val="00893F59"/>
    <w:rsid w:val="008943A2"/>
    <w:rsid w:val="00894A79"/>
    <w:rsid w:val="008955F4"/>
    <w:rsid w:val="008958D3"/>
    <w:rsid w:val="00896193"/>
    <w:rsid w:val="00896324"/>
    <w:rsid w:val="008963F1"/>
    <w:rsid w:val="00896913"/>
    <w:rsid w:val="00896E82"/>
    <w:rsid w:val="00897332"/>
    <w:rsid w:val="00897A35"/>
    <w:rsid w:val="00897C81"/>
    <w:rsid w:val="00897D89"/>
    <w:rsid w:val="00897F71"/>
    <w:rsid w:val="008A00E5"/>
    <w:rsid w:val="008A0243"/>
    <w:rsid w:val="008A0517"/>
    <w:rsid w:val="008A1E0A"/>
    <w:rsid w:val="008A2032"/>
    <w:rsid w:val="008A29B5"/>
    <w:rsid w:val="008A34E2"/>
    <w:rsid w:val="008A34E4"/>
    <w:rsid w:val="008A35FA"/>
    <w:rsid w:val="008A36F8"/>
    <w:rsid w:val="008A3C2D"/>
    <w:rsid w:val="008A4805"/>
    <w:rsid w:val="008A4BA8"/>
    <w:rsid w:val="008A4C67"/>
    <w:rsid w:val="008A778E"/>
    <w:rsid w:val="008A77C1"/>
    <w:rsid w:val="008B0A92"/>
    <w:rsid w:val="008B0B36"/>
    <w:rsid w:val="008B2235"/>
    <w:rsid w:val="008B260A"/>
    <w:rsid w:val="008B30F0"/>
    <w:rsid w:val="008B30FD"/>
    <w:rsid w:val="008B3386"/>
    <w:rsid w:val="008B395A"/>
    <w:rsid w:val="008B3F22"/>
    <w:rsid w:val="008B4811"/>
    <w:rsid w:val="008B4AA4"/>
    <w:rsid w:val="008B4F68"/>
    <w:rsid w:val="008B589B"/>
    <w:rsid w:val="008B5DA9"/>
    <w:rsid w:val="008B65FA"/>
    <w:rsid w:val="008B6B7A"/>
    <w:rsid w:val="008B7468"/>
    <w:rsid w:val="008C037F"/>
    <w:rsid w:val="008C0425"/>
    <w:rsid w:val="008C0461"/>
    <w:rsid w:val="008C0621"/>
    <w:rsid w:val="008C0AF5"/>
    <w:rsid w:val="008C1DAF"/>
    <w:rsid w:val="008C257F"/>
    <w:rsid w:val="008C33C6"/>
    <w:rsid w:val="008C3682"/>
    <w:rsid w:val="008C3CC7"/>
    <w:rsid w:val="008C45FD"/>
    <w:rsid w:val="008C4EFC"/>
    <w:rsid w:val="008C520B"/>
    <w:rsid w:val="008C61AC"/>
    <w:rsid w:val="008C6B45"/>
    <w:rsid w:val="008C7116"/>
    <w:rsid w:val="008C714F"/>
    <w:rsid w:val="008C74FE"/>
    <w:rsid w:val="008D086F"/>
    <w:rsid w:val="008D092F"/>
    <w:rsid w:val="008D0D46"/>
    <w:rsid w:val="008D16F0"/>
    <w:rsid w:val="008D190E"/>
    <w:rsid w:val="008D1E53"/>
    <w:rsid w:val="008D2B0C"/>
    <w:rsid w:val="008D2C39"/>
    <w:rsid w:val="008D2EEF"/>
    <w:rsid w:val="008D3B22"/>
    <w:rsid w:val="008D3CB3"/>
    <w:rsid w:val="008D3D81"/>
    <w:rsid w:val="008D3FCC"/>
    <w:rsid w:val="008D538E"/>
    <w:rsid w:val="008D5406"/>
    <w:rsid w:val="008D566E"/>
    <w:rsid w:val="008D5B8E"/>
    <w:rsid w:val="008D6106"/>
    <w:rsid w:val="008D6CB6"/>
    <w:rsid w:val="008D6DD7"/>
    <w:rsid w:val="008D719C"/>
    <w:rsid w:val="008D7450"/>
    <w:rsid w:val="008D7972"/>
    <w:rsid w:val="008D7D2A"/>
    <w:rsid w:val="008E08DF"/>
    <w:rsid w:val="008E0BE4"/>
    <w:rsid w:val="008E1134"/>
    <w:rsid w:val="008E12F1"/>
    <w:rsid w:val="008E15A3"/>
    <w:rsid w:val="008E17DA"/>
    <w:rsid w:val="008E1EFC"/>
    <w:rsid w:val="008E210A"/>
    <w:rsid w:val="008E212F"/>
    <w:rsid w:val="008E2F64"/>
    <w:rsid w:val="008E3576"/>
    <w:rsid w:val="008E3C68"/>
    <w:rsid w:val="008E3DFA"/>
    <w:rsid w:val="008E4CB0"/>
    <w:rsid w:val="008E4E1B"/>
    <w:rsid w:val="008E5106"/>
    <w:rsid w:val="008E5E74"/>
    <w:rsid w:val="008E5FA9"/>
    <w:rsid w:val="008E6976"/>
    <w:rsid w:val="008E7351"/>
    <w:rsid w:val="008E737A"/>
    <w:rsid w:val="008E7CE7"/>
    <w:rsid w:val="008F28B6"/>
    <w:rsid w:val="008F33C8"/>
    <w:rsid w:val="008F34DC"/>
    <w:rsid w:val="008F3660"/>
    <w:rsid w:val="008F3D41"/>
    <w:rsid w:val="008F3F03"/>
    <w:rsid w:val="008F53FE"/>
    <w:rsid w:val="008F5461"/>
    <w:rsid w:val="008F56D1"/>
    <w:rsid w:val="008F576E"/>
    <w:rsid w:val="008F59F1"/>
    <w:rsid w:val="008F5EDE"/>
    <w:rsid w:val="008F606A"/>
    <w:rsid w:val="008F6455"/>
    <w:rsid w:val="008F6972"/>
    <w:rsid w:val="008F6FBE"/>
    <w:rsid w:val="008F7555"/>
    <w:rsid w:val="008F7725"/>
    <w:rsid w:val="008F7930"/>
    <w:rsid w:val="009010F6"/>
    <w:rsid w:val="00901ABF"/>
    <w:rsid w:val="00902B1F"/>
    <w:rsid w:val="00902D3D"/>
    <w:rsid w:val="009031BC"/>
    <w:rsid w:val="0090330D"/>
    <w:rsid w:val="009033B4"/>
    <w:rsid w:val="009043C6"/>
    <w:rsid w:val="0090450F"/>
    <w:rsid w:val="00904966"/>
    <w:rsid w:val="00904C86"/>
    <w:rsid w:val="00904D81"/>
    <w:rsid w:val="00905300"/>
    <w:rsid w:val="009054E0"/>
    <w:rsid w:val="0090591E"/>
    <w:rsid w:val="00905A21"/>
    <w:rsid w:val="00906B97"/>
    <w:rsid w:val="0090749E"/>
    <w:rsid w:val="00907C0B"/>
    <w:rsid w:val="00907F20"/>
    <w:rsid w:val="0091085C"/>
    <w:rsid w:val="009113A0"/>
    <w:rsid w:val="00912435"/>
    <w:rsid w:val="00912A37"/>
    <w:rsid w:val="00912AFC"/>
    <w:rsid w:val="00912CCD"/>
    <w:rsid w:val="009132E9"/>
    <w:rsid w:val="0091337B"/>
    <w:rsid w:val="00914789"/>
    <w:rsid w:val="00914AD1"/>
    <w:rsid w:val="0091548A"/>
    <w:rsid w:val="00915A94"/>
    <w:rsid w:val="00915EC7"/>
    <w:rsid w:val="00916CFD"/>
    <w:rsid w:val="0091747B"/>
    <w:rsid w:val="00917639"/>
    <w:rsid w:val="00920A5B"/>
    <w:rsid w:val="009210BD"/>
    <w:rsid w:val="009216C6"/>
    <w:rsid w:val="0092228C"/>
    <w:rsid w:val="00923D20"/>
    <w:rsid w:val="009244BA"/>
    <w:rsid w:val="0092492C"/>
    <w:rsid w:val="00924ED3"/>
    <w:rsid w:val="00925933"/>
    <w:rsid w:val="00926849"/>
    <w:rsid w:val="00926923"/>
    <w:rsid w:val="00926B54"/>
    <w:rsid w:val="00926BBC"/>
    <w:rsid w:val="009273EB"/>
    <w:rsid w:val="00927D8B"/>
    <w:rsid w:val="00927F7F"/>
    <w:rsid w:val="00930AD0"/>
    <w:rsid w:val="009321A5"/>
    <w:rsid w:val="00932E9F"/>
    <w:rsid w:val="00932EC4"/>
    <w:rsid w:val="0093332B"/>
    <w:rsid w:val="009335EE"/>
    <w:rsid w:val="00933737"/>
    <w:rsid w:val="00933ACF"/>
    <w:rsid w:val="00933DA5"/>
    <w:rsid w:val="009342D7"/>
    <w:rsid w:val="009344AB"/>
    <w:rsid w:val="009346F7"/>
    <w:rsid w:val="00935056"/>
    <w:rsid w:val="009350DE"/>
    <w:rsid w:val="009350DF"/>
    <w:rsid w:val="009353A5"/>
    <w:rsid w:val="00936C0C"/>
    <w:rsid w:val="00936FDB"/>
    <w:rsid w:val="00937878"/>
    <w:rsid w:val="00937927"/>
    <w:rsid w:val="00937EFC"/>
    <w:rsid w:val="00940BDB"/>
    <w:rsid w:val="009411DF"/>
    <w:rsid w:val="009417A5"/>
    <w:rsid w:val="00941943"/>
    <w:rsid w:val="00941EB7"/>
    <w:rsid w:val="009426A0"/>
    <w:rsid w:val="00942EEF"/>
    <w:rsid w:val="00943089"/>
    <w:rsid w:val="0094335D"/>
    <w:rsid w:val="0094377F"/>
    <w:rsid w:val="0094382E"/>
    <w:rsid w:val="00944047"/>
    <w:rsid w:val="00944743"/>
    <w:rsid w:val="00944950"/>
    <w:rsid w:val="00944D7C"/>
    <w:rsid w:val="00944F1E"/>
    <w:rsid w:val="00945363"/>
    <w:rsid w:val="009453ED"/>
    <w:rsid w:val="00945B87"/>
    <w:rsid w:val="00945C18"/>
    <w:rsid w:val="00945C2E"/>
    <w:rsid w:val="00945C6D"/>
    <w:rsid w:val="00946B48"/>
    <w:rsid w:val="00946D64"/>
    <w:rsid w:val="009470BE"/>
    <w:rsid w:val="009470DB"/>
    <w:rsid w:val="009472BE"/>
    <w:rsid w:val="00947344"/>
    <w:rsid w:val="00947A7C"/>
    <w:rsid w:val="00947C26"/>
    <w:rsid w:val="009501A6"/>
    <w:rsid w:val="00950353"/>
    <w:rsid w:val="00950979"/>
    <w:rsid w:val="00950C4E"/>
    <w:rsid w:val="009518A2"/>
    <w:rsid w:val="00951E56"/>
    <w:rsid w:val="00951F5A"/>
    <w:rsid w:val="00952013"/>
    <w:rsid w:val="00952DA0"/>
    <w:rsid w:val="00952F4C"/>
    <w:rsid w:val="00952F9F"/>
    <w:rsid w:val="009534B8"/>
    <w:rsid w:val="0095352E"/>
    <w:rsid w:val="009535E2"/>
    <w:rsid w:val="009536B5"/>
    <w:rsid w:val="00954331"/>
    <w:rsid w:val="009544E9"/>
    <w:rsid w:val="0095469C"/>
    <w:rsid w:val="00955A47"/>
    <w:rsid w:val="00956356"/>
    <w:rsid w:val="009564FB"/>
    <w:rsid w:val="00956D80"/>
    <w:rsid w:val="00957132"/>
    <w:rsid w:val="00957BF9"/>
    <w:rsid w:val="00957D9E"/>
    <w:rsid w:val="009605F8"/>
    <w:rsid w:val="00960AF9"/>
    <w:rsid w:val="009615CB"/>
    <w:rsid w:val="00961A4D"/>
    <w:rsid w:val="00961A9D"/>
    <w:rsid w:val="00962075"/>
    <w:rsid w:val="00962932"/>
    <w:rsid w:val="00963600"/>
    <w:rsid w:val="009638FB"/>
    <w:rsid w:val="009641A2"/>
    <w:rsid w:val="00964237"/>
    <w:rsid w:val="00964581"/>
    <w:rsid w:val="0096461F"/>
    <w:rsid w:val="009648EB"/>
    <w:rsid w:val="00964AD4"/>
    <w:rsid w:val="00964AEB"/>
    <w:rsid w:val="00964C06"/>
    <w:rsid w:val="0096516C"/>
    <w:rsid w:val="00965A13"/>
    <w:rsid w:val="00965EEB"/>
    <w:rsid w:val="00965F48"/>
    <w:rsid w:val="009670AF"/>
    <w:rsid w:val="009674E0"/>
    <w:rsid w:val="00967708"/>
    <w:rsid w:val="00967888"/>
    <w:rsid w:val="0097007D"/>
    <w:rsid w:val="0097093D"/>
    <w:rsid w:val="0097101D"/>
    <w:rsid w:val="00971943"/>
    <w:rsid w:val="00971CED"/>
    <w:rsid w:val="009724D7"/>
    <w:rsid w:val="00972BEA"/>
    <w:rsid w:val="00972FDD"/>
    <w:rsid w:val="009737DB"/>
    <w:rsid w:val="00973D47"/>
    <w:rsid w:val="00973F78"/>
    <w:rsid w:val="00973F9F"/>
    <w:rsid w:val="0097421E"/>
    <w:rsid w:val="00974548"/>
    <w:rsid w:val="009746E2"/>
    <w:rsid w:val="0097591A"/>
    <w:rsid w:val="00975E63"/>
    <w:rsid w:val="0097661D"/>
    <w:rsid w:val="00976F21"/>
    <w:rsid w:val="00980366"/>
    <w:rsid w:val="00980723"/>
    <w:rsid w:val="009808B9"/>
    <w:rsid w:val="00980B1B"/>
    <w:rsid w:val="00980E9D"/>
    <w:rsid w:val="0098157F"/>
    <w:rsid w:val="00981865"/>
    <w:rsid w:val="009818AB"/>
    <w:rsid w:val="00981D75"/>
    <w:rsid w:val="009822E2"/>
    <w:rsid w:val="009825BF"/>
    <w:rsid w:val="00982FE0"/>
    <w:rsid w:val="00983013"/>
    <w:rsid w:val="00983654"/>
    <w:rsid w:val="00983B80"/>
    <w:rsid w:val="00983DC7"/>
    <w:rsid w:val="00983EE6"/>
    <w:rsid w:val="009842BB"/>
    <w:rsid w:val="00984685"/>
    <w:rsid w:val="00984B0B"/>
    <w:rsid w:val="00984C64"/>
    <w:rsid w:val="00984CFF"/>
    <w:rsid w:val="00984F34"/>
    <w:rsid w:val="00985322"/>
    <w:rsid w:val="00985353"/>
    <w:rsid w:val="009857D0"/>
    <w:rsid w:val="00985A2A"/>
    <w:rsid w:val="00985ADF"/>
    <w:rsid w:val="00985F09"/>
    <w:rsid w:val="00985FA9"/>
    <w:rsid w:val="00986032"/>
    <w:rsid w:val="00986D25"/>
    <w:rsid w:val="00986EC8"/>
    <w:rsid w:val="009875D6"/>
    <w:rsid w:val="00987843"/>
    <w:rsid w:val="00987899"/>
    <w:rsid w:val="0099027B"/>
    <w:rsid w:val="009906BD"/>
    <w:rsid w:val="00990A0F"/>
    <w:rsid w:val="00991181"/>
    <w:rsid w:val="0099142B"/>
    <w:rsid w:val="00991584"/>
    <w:rsid w:val="00993343"/>
    <w:rsid w:val="009933B8"/>
    <w:rsid w:val="00993E70"/>
    <w:rsid w:val="00993FAF"/>
    <w:rsid w:val="009946A4"/>
    <w:rsid w:val="00994743"/>
    <w:rsid w:val="009951A9"/>
    <w:rsid w:val="00995AFC"/>
    <w:rsid w:val="00996797"/>
    <w:rsid w:val="00996C09"/>
    <w:rsid w:val="00996E10"/>
    <w:rsid w:val="00997116"/>
    <w:rsid w:val="0099727B"/>
    <w:rsid w:val="009976CD"/>
    <w:rsid w:val="0099793E"/>
    <w:rsid w:val="00997A65"/>
    <w:rsid w:val="009A05D2"/>
    <w:rsid w:val="009A0793"/>
    <w:rsid w:val="009A0E60"/>
    <w:rsid w:val="009A10FF"/>
    <w:rsid w:val="009A14E0"/>
    <w:rsid w:val="009A2ACE"/>
    <w:rsid w:val="009A3301"/>
    <w:rsid w:val="009A427B"/>
    <w:rsid w:val="009A46DF"/>
    <w:rsid w:val="009A5EF7"/>
    <w:rsid w:val="009A5F1F"/>
    <w:rsid w:val="009A646A"/>
    <w:rsid w:val="009A6BE4"/>
    <w:rsid w:val="009A777F"/>
    <w:rsid w:val="009A7780"/>
    <w:rsid w:val="009A7BE2"/>
    <w:rsid w:val="009A7C17"/>
    <w:rsid w:val="009A7C26"/>
    <w:rsid w:val="009B10C3"/>
    <w:rsid w:val="009B19FA"/>
    <w:rsid w:val="009B1AFA"/>
    <w:rsid w:val="009B29AE"/>
    <w:rsid w:val="009B2C1A"/>
    <w:rsid w:val="009B2C1B"/>
    <w:rsid w:val="009B35F3"/>
    <w:rsid w:val="009B3913"/>
    <w:rsid w:val="009B45E8"/>
    <w:rsid w:val="009B52A4"/>
    <w:rsid w:val="009B555A"/>
    <w:rsid w:val="009B64B4"/>
    <w:rsid w:val="009B65F4"/>
    <w:rsid w:val="009B6D88"/>
    <w:rsid w:val="009B6EFE"/>
    <w:rsid w:val="009B70C3"/>
    <w:rsid w:val="009B7634"/>
    <w:rsid w:val="009C06FE"/>
    <w:rsid w:val="009C0DE4"/>
    <w:rsid w:val="009C115A"/>
    <w:rsid w:val="009C1204"/>
    <w:rsid w:val="009C14DD"/>
    <w:rsid w:val="009C1849"/>
    <w:rsid w:val="009C2070"/>
    <w:rsid w:val="009C2A85"/>
    <w:rsid w:val="009C2A87"/>
    <w:rsid w:val="009C3D8B"/>
    <w:rsid w:val="009C3FE1"/>
    <w:rsid w:val="009C4860"/>
    <w:rsid w:val="009C4B0E"/>
    <w:rsid w:val="009C50A4"/>
    <w:rsid w:val="009C5735"/>
    <w:rsid w:val="009C59F1"/>
    <w:rsid w:val="009C5ED2"/>
    <w:rsid w:val="009C5F13"/>
    <w:rsid w:val="009C6254"/>
    <w:rsid w:val="009C641D"/>
    <w:rsid w:val="009C7A56"/>
    <w:rsid w:val="009C7B3B"/>
    <w:rsid w:val="009C7FA9"/>
    <w:rsid w:val="009D006E"/>
    <w:rsid w:val="009D048A"/>
    <w:rsid w:val="009D0877"/>
    <w:rsid w:val="009D12AA"/>
    <w:rsid w:val="009D1384"/>
    <w:rsid w:val="009D13C6"/>
    <w:rsid w:val="009D1777"/>
    <w:rsid w:val="009D1BAB"/>
    <w:rsid w:val="009D1FA4"/>
    <w:rsid w:val="009D292F"/>
    <w:rsid w:val="009D3303"/>
    <w:rsid w:val="009D398B"/>
    <w:rsid w:val="009D3B51"/>
    <w:rsid w:val="009D3DA5"/>
    <w:rsid w:val="009D4084"/>
    <w:rsid w:val="009D4511"/>
    <w:rsid w:val="009D4AF6"/>
    <w:rsid w:val="009D53B8"/>
    <w:rsid w:val="009D5D6E"/>
    <w:rsid w:val="009D5DF4"/>
    <w:rsid w:val="009D6848"/>
    <w:rsid w:val="009D7352"/>
    <w:rsid w:val="009D75EE"/>
    <w:rsid w:val="009D7BD7"/>
    <w:rsid w:val="009E0408"/>
    <w:rsid w:val="009E091A"/>
    <w:rsid w:val="009E0EA1"/>
    <w:rsid w:val="009E167B"/>
    <w:rsid w:val="009E1697"/>
    <w:rsid w:val="009E183B"/>
    <w:rsid w:val="009E1898"/>
    <w:rsid w:val="009E231A"/>
    <w:rsid w:val="009E2503"/>
    <w:rsid w:val="009E2C3E"/>
    <w:rsid w:val="009E3447"/>
    <w:rsid w:val="009E3479"/>
    <w:rsid w:val="009E35F1"/>
    <w:rsid w:val="009E400F"/>
    <w:rsid w:val="009E41A8"/>
    <w:rsid w:val="009E43A9"/>
    <w:rsid w:val="009E4C34"/>
    <w:rsid w:val="009E4D3B"/>
    <w:rsid w:val="009E4DF5"/>
    <w:rsid w:val="009E5506"/>
    <w:rsid w:val="009E58ED"/>
    <w:rsid w:val="009E5CF2"/>
    <w:rsid w:val="009E6279"/>
    <w:rsid w:val="009E6E3A"/>
    <w:rsid w:val="009E7140"/>
    <w:rsid w:val="009E7A22"/>
    <w:rsid w:val="009E7A61"/>
    <w:rsid w:val="009F03BB"/>
    <w:rsid w:val="009F0781"/>
    <w:rsid w:val="009F1266"/>
    <w:rsid w:val="009F14FB"/>
    <w:rsid w:val="009F1FB1"/>
    <w:rsid w:val="009F221D"/>
    <w:rsid w:val="009F22B7"/>
    <w:rsid w:val="009F27B7"/>
    <w:rsid w:val="009F2EFE"/>
    <w:rsid w:val="009F2F2F"/>
    <w:rsid w:val="009F39D2"/>
    <w:rsid w:val="009F426A"/>
    <w:rsid w:val="009F466E"/>
    <w:rsid w:val="009F47B1"/>
    <w:rsid w:val="009F48D8"/>
    <w:rsid w:val="009F4BFC"/>
    <w:rsid w:val="009F56AC"/>
    <w:rsid w:val="009F56B6"/>
    <w:rsid w:val="009F5ADA"/>
    <w:rsid w:val="009F6EFB"/>
    <w:rsid w:val="009F7D80"/>
    <w:rsid w:val="00A008D5"/>
    <w:rsid w:val="00A00D94"/>
    <w:rsid w:val="00A00FAC"/>
    <w:rsid w:val="00A01036"/>
    <w:rsid w:val="00A01D52"/>
    <w:rsid w:val="00A02058"/>
    <w:rsid w:val="00A021C6"/>
    <w:rsid w:val="00A02525"/>
    <w:rsid w:val="00A02E5B"/>
    <w:rsid w:val="00A02FE3"/>
    <w:rsid w:val="00A03038"/>
    <w:rsid w:val="00A031C6"/>
    <w:rsid w:val="00A03F38"/>
    <w:rsid w:val="00A04580"/>
    <w:rsid w:val="00A045C8"/>
    <w:rsid w:val="00A04E03"/>
    <w:rsid w:val="00A0575A"/>
    <w:rsid w:val="00A057A4"/>
    <w:rsid w:val="00A067B1"/>
    <w:rsid w:val="00A0792E"/>
    <w:rsid w:val="00A079C2"/>
    <w:rsid w:val="00A07B74"/>
    <w:rsid w:val="00A10693"/>
    <w:rsid w:val="00A1073E"/>
    <w:rsid w:val="00A10769"/>
    <w:rsid w:val="00A10D3F"/>
    <w:rsid w:val="00A12314"/>
    <w:rsid w:val="00A12499"/>
    <w:rsid w:val="00A12A79"/>
    <w:rsid w:val="00A1356F"/>
    <w:rsid w:val="00A139DF"/>
    <w:rsid w:val="00A14548"/>
    <w:rsid w:val="00A14CB0"/>
    <w:rsid w:val="00A1500A"/>
    <w:rsid w:val="00A152C3"/>
    <w:rsid w:val="00A15444"/>
    <w:rsid w:val="00A158A5"/>
    <w:rsid w:val="00A1603C"/>
    <w:rsid w:val="00A16497"/>
    <w:rsid w:val="00A16603"/>
    <w:rsid w:val="00A1670D"/>
    <w:rsid w:val="00A16D21"/>
    <w:rsid w:val="00A16E82"/>
    <w:rsid w:val="00A1743D"/>
    <w:rsid w:val="00A179D6"/>
    <w:rsid w:val="00A17E37"/>
    <w:rsid w:val="00A210C7"/>
    <w:rsid w:val="00A214FF"/>
    <w:rsid w:val="00A21877"/>
    <w:rsid w:val="00A21AC6"/>
    <w:rsid w:val="00A21EB9"/>
    <w:rsid w:val="00A23E2A"/>
    <w:rsid w:val="00A245AB"/>
    <w:rsid w:val="00A24701"/>
    <w:rsid w:val="00A250C6"/>
    <w:rsid w:val="00A257F0"/>
    <w:rsid w:val="00A25B74"/>
    <w:rsid w:val="00A25DF6"/>
    <w:rsid w:val="00A25E0B"/>
    <w:rsid w:val="00A25F9C"/>
    <w:rsid w:val="00A26736"/>
    <w:rsid w:val="00A268AD"/>
    <w:rsid w:val="00A269B6"/>
    <w:rsid w:val="00A26A00"/>
    <w:rsid w:val="00A26B7F"/>
    <w:rsid w:val="00A26D50"/>
    <w:rsid w:val="00A2719B"/>
    <w:rsid w:val="00A271E9"/>
    <w:rsid w:val="00A2740F"/>
    <w:rsid w:val="00A30170"/>
    <w:rsid w:val="00A30232"/>
    <w:rsid w:val="00A30B21"/>
    <w:rsid w:val="00A310FE"/>
    <w:rsid w:val="00A322FE"/>
    <w:rsid w:val="00A32E58"/>
    <w:rsid w:val="00A33010"/>
    <w:rsid w:val="00A33790"/>
    <w:rsid w:val="00A3525D"/>
    <w:rsid w:val="00A35B9D"/>
    <w:rsid w:val="00A35E2D"/>
    <w:rsid w:val="00A35FA0"/>
    <w:rsid w:val="00A36483"/>
    <w:rsid w:val="00A36850"/>
    <w:rsid w:val="00A36AE4"/>
    <w:rsid w:val="00A36BBD"/>
    <w:rsid w:val="00A37233"/>
    <w:rsid w:val="00A40058"/>
    <w:rsid w:val="00A40118"/>
    <w:rsid w:val="00A4020D"/>
    <w:rsid w:val="00A40EF5"/>
    <w:rsid w:val="00A4214E"/>
    <w:rsid w:val="00A44415"/>
    <w:rsid w:val="00A4456D"/>
    <w:rsid w:val="00A44C12"/>
    <w:rsid w:val="00A44E3F"/>
    <w:rsid w:val="00A44FBE"/>
    <w:rsid w:val="00A4528E"/>
    <w:rsid w:val="00A45A31"/>
    <w:rsid w:val="00A462B2"/>
    <w:rsid w:val="00A469E3"/>
    <w:rsid w:val="00A46BD7"/>
    <w:rsid w:val="00A47B7E"/>
    <w:rsid w:val="00A50695"/>
    <w:rsid w:val="00A50FE8"/>
    <w:rsid w:val="00A5112A"/>
    <w:rsid w:val="00A51D20"/>
    <w:rsid w:val="00A52BD0"/>
    <w:rsid w:val="00A531E2"/>
    <w:rsid w:val="00A533CE"/>
    <w:rsid w:val="00A534A7"/>
    <w:rsid w:val="00A5380C"/>
    <w:rsid w:val="00A53DF5"/>
    <w:rsid w:val="00A5406C"/>
    <w:rsid w:val="00A54CAB"/>
    <w:rsid w:val="00A54ED2"/>
    <w:rsid w:val="00A559BC"/>
    <w:rsid w:val="00A55C0E"/>
    <w:rsid w:val="00A566CF"/>
    <w:rsid w:val="00A56C25"/>
    <w:rsid w:val="00A57740"/>
    <w:rsid w:val="00A578B3"/>
    <w:rsid w:val="00A6010A"/>
    <w:rsid w:val="00A6161C"/>
    <w:rsid w:val="00A61D18"/>
    <w:rsid w:val="00A61D7B"/>
    <w:rsid w:val="00A61E7C"/>
    <w:rsid w:val="00A62479"/>
    <w:rsid w:val="00A62AA5"/>
    <w:rsid w:val="00A62E31"/>
    <w:rsid w:val="00A62E51"/>
    <w:rsid w:val="00A6336A"/>
    <w:rsid w:val="00A63948"/>
    <w:rsid w:val="00A63DBD"/>
    <w:rsid w:val="00A64728"/>
    <w:rsid w:val="00A64853"/>
    <w:rsid w:val="00A6490D"/>
    <w:rsid w:val="00A64993"/>
    <w:rsid w:val="00A64EDA"/>
    <w:rsid w:val="00A651F6"/>
    <w:rsid w:val="00A65236"/>
    <w:rsid w:val="00A659DA"/>
    <w:rsid w:val="00A6613C"/>
    <w:rsid w:val="00A66A7C"/>
    <w:rsid w:val="00A66E58"/>
    <w:rsid w:val="00A6702D"/>
    <w:rsid w:val="00A67C03"/>
    <w:rsid w:val="00A7053B"/>
    <w:rsid w:val="00A708CE"/>
    <w:rsid w:val="00A71B2A"/>
    <w:rsid w:val="00A71C8E"/>
    <w:rsid w:val="00A72D8E"/>
    <w:rsid w:val="00A73037"/>
    <w:rsid w:val="00A73413"/>
    <w:rsid w:val="00A73485"/>
    <w:rsid w:val="00A73852"/>
    <w:rsid w:val="00A73864"/>
    <w:rsid w:val="00A73945"/>
    <w:rsid w:val="00A7400B"/>
    <w:rsid w:val="00A74043"/>
    <w:rsid w:val="00A7410A"/>
    <w:rsid w:val="00A74666"/>
    <w:rsid w:val="00A746EF"/>
    <w:rsid w:val="00A749F1"/>
    <w:rsid w:val="00A74D47"/>
    <w:rsid w:val="00A7606D"/>
    <w:rsid w:val="00A7631C"/>
    <w:rsid w:val="00A768BB"/>
    <w:rsid w:val="00A76996"/>
    <w:rsid w:val="00A76C52"/>
    <w:rsid w:val="00A76F40"/>
    <w:rsid w:val="00A77A42"/>
    <w:rsid w:val="00A77DB3"/>
    <w:rsid w:val="00A77E4B"/>
    <w:rsid w:val="00A80586"/>
    <w:rsid w:val="00A80765"/>
    <w:rsid w:val="00A80B11"/>
    <w:rsid w:val="00A80BFA"/>
    <w:rsid w:val="00A811A7"/>
    <w:rsid w:val="00A813B4"/>
    <w:rsid w:val="00A81456"/>
    <w:rsid w:val="00A8167B"/>
    <w:rsid w:val="00A81697"/>
    <w:rsid w:val="00A81C30"/>
    <w:rsid w:val="00A825C2"/>
    <w:rsid w:val="00A82AED"/>
    <w:rsid w:val="00A83348"/>
    <w:rsid w:val="00A83E2D"/>
    <w:rsid w:val="00A84DCC"/>
    <w:rsid w:val="00A84E0E"/>
    <w:rsid w:val="00A8521E"/>
    <w:rsid w:val="00A8523D"/>
    <w:rsid w:val="00A8534C"/>
    <w:rsid w:val="00A859D3"/>
    <w:rsid w:val="00A85E5D"/>
    <w:rsid w:val="00A868A4"/>
    <w:rsid w:val="00A8765A"/>
    <w:rsid w:val="00A87A0E"/>
    <w:rsid w:val="00A913BB"/>
    <w:rsid w:val="00A915EC"/>
    <w:rsid w:val="00A917A8"/>
    <w:rsid w:val="00A92212"/>
    <w:rsid w:val="00A925C6"/>
    <w:rsid w:val="00A93108"/>
    <w:rsid w:val="00A93389"/>
    <w:rsid w:val="00A9338B"/>
    <w:rsid w:val="00A938FB"/>
    <w:rsid w:val="00A94DAB"/>
    <w:rsid w:val="00A966CB"/>
    <w:rsid w:val="00A96C44"/>
    <w:rsid w:val="00A96CBF"/>
    <w:rsid w:val="00A97121"/>
    <w:rsid w:val="00A97A5F"/>
    <w:rsid w:val="00AA0CC5"/>
    <w:rsid w:val="00AA0ED6"/>
    <w:rsid w:val="00AA23F6"/>
    <w:rsid w:val="00AA28DF"/>
    <w:rsid w:val="00AA2963"/>
    <w:rsid w:val="00AA2CCA"/>
    <w:rsid w:val="00AA30D4"/>
    <w:rsid w:val="00AA38C1"/>
    <w:rsid w:val="00AA3BA2"/>
    <w:rsid w:val="00AA3BC6"/>
    <w:rsid w:val="00AA5A27"/>
    <w:rsid w:val="00AA5F80"/>
    <w:rsid w:val="00AA5FDD"/>
    <w:rsid w:val="00AA6003"/>
    <w:rsid w:val="00AA6317"/>
    <w:rsid w:val="00AA6467"/>
    <w:rsid w:val="00AA64C5"/>
    <w:rsid w:val="00AA65E1"/>
    <w:rsid w:val="00AA691E"/>
    <w:rsid w:val="00AA6A88"/>
    <w:rsid w:val="00AA6F75"/>
    <w:rsid w:val="00AA70AA"/>
    <w:rsid w:val="00AA768C"/>
    <w:rsid w:val="00AA7F47"/>
    <w:rsid w:val="00AB0376"/>
    <w:rsid w:val="00AB0A64"/>
    <w:rsid w:val="00AB0E34"/>
    <w:rsid w:val="00AB2087"/>
    <w:rsid w:val="00AB21D1"/>
    <w:rsid w:val="00AB250F"/>
    <w:rsid w:val="00AB2612"/>
    <w:rsid w:val="00AB27DA"/>
    <w:rsid w:val="00AB2EEB"/>
    <w:rsid w:val="00AB2F80"/>
    <w:rsid w:val="00AB3840"/>
    <w:rsid w:val="00AB4A2C"/>
    <w:rsid w:val="00AB4EA8"/>
    <w:rsid w:val="00AB5256"/>
    <w:rsid w:val="00AB5FCB"/>
    <w:rsid w:val="00AB61FE"/>
    <w:rsid w:val="00AB641D"/>
    <w:rsid w:val="00AB6948"/>
    <w:rsid w:val="00AB6EB4"/>
    <w:rsid w:val="00AB7686"/>
    <w:rsid w:val="00AB7B24"/>
    <w:rsid w:val="00AB7DE3"/>
    <w:rsid w:val="00AC0645"/>
    <w:rsid w:val="00AC08EE"/>
    <w:rsid w:val="00AC0934"/>
    <w:rsid w:val="00AC094A"/>
    <w:rsid w:val="00AC0DC3"/>
    <w:rsid w:val="00AC10E1"/>
    <w:rsid w:val="00AC130A"/>
    <w:rsid w:val="00AC15A0"/>
    <w:rsid w:val="00AC1804"/>
    <w:rsid w:val="00AC226B"/>
    <w:rsid w:val="00AC2855"/>
    <w:rsid w:val="00AC2D1C"/>
    <w:rsid w:val="00AC4118"/>
    <w:rsid w:val="00AC419B"/>
    <w:rsid w:val="00AC4834"/>
    <w:rsid w:val="00AC562E"/>
    <w:rsid w:val="00AC75F6"/>
    <w:rsid w:val="00AC76A9"/>
    <w:rsid w:val="00AC7E5A"/>
    <w:rsid w:val="00AD05F5"/>
    <w:rsid w:val="00AD12F6"/>
    <w:rsid w:val="00AD1754"/>
    <w:rsid w:val="00AD1C94"/>
    <w:rsid w:val="00AD243B"/>
    <w:rsid w:val="00AD352F"/>
    <w:rsid w:val="00AD375F"/>
    <w:rsid w:val="00AD3906"/>
    <w:rsid w:val="00AD3BB4"/>
    <w:rsid w:val="00AD3D89"/>
    <w:rsid w:val="00AD3F39"/>
    <w:rsid w:val="00AD4163"/>
    <w:rsid w:val="00AD4443"/>
    <w:rsid w:val="00AD44FE"/>
    <w:rsid w:val="00AD49B2"/>
    <w:rsid w:val="00AD5095"/>
    <w:rsid w:val="00AD520E"/>
    <w:rsid w:val="00AD714F"/>
    <w:rsid w:val="00AD7317"/>
    <w:rsid w:val="00AD743E"/>
    <w:rsid w:val="00AE0134"/>
    <w:rsid w:val="00AE0C5E"/>
    <w:rsid w:val="00AE0E63"/>
    <w:rsid w:val="00AE1917"/>
    <w:rsid w:val="00AE19CC"/>
    <w:rsid w:val="00AE1CEC"/>
    <w:rsid w:val="00AE2BC0"/>
    <w:rsid w:val="00AE2BE4"/>
    <w:rsid w:val="00AE30F7"/>
    <w:rsid w:val="00AE3A6E"/>
    <w:rsid w:val="00AE416B"/>
    <w:rsid w:val="00AE42ED"/>
    <w:rsid w:val="00AE46F2"/>
    <w:rsid w:val="00AE4884"/>
    <w:rsid w:val="00AE51A0"/>
    <w:rsid w:val="00AE51CE"/>
    <w:rsid w:val="00AE588B"/>
    <w:rsid w:val="00AE5E66"/>
    <w:rsid w:val="00AE698B"/>
    <w:rsid w:val="00AE69E2"/>
    <w:rsid w:val="00AE6A63"/>
    <w:rsid w:val="00AE7987"/>
    <w:rsid w:val="00AE7A42"/>
    <w:rsid w:val="00AF0AF6"/>
    <w:rsid w:val="00AF0E5A"/>
    <w:rsid w:val="00AF0ED8"/>
    <w:rsid w:val="00AF1292"/>
    <w:rsid w:val="00AF1425"/>
    <w:rsid w:val="00AF1E04"/>
    <w:rsid w:val="00AF2126"/>
    <w:rsid w:val="00AF29CE"/>
    <w:rsid w:val="00AF2EBE"/>
    <w:rsid w:val="00AF3967"/>
    <w:rsid w:val="00AF4243"/>
    <w:rsid w:val="00AF4C7B"/>
    <w:rsid w:val="00AF4CFF"/>
    <w:rsid w:val="00AF5248"/>
    <w:rsid w:val="00AF5691"/>
    <w:rsid w:val="00AF5A66"/>
    <w:rsid w:val="00AF5CE1"/>
    <w:rsid w:val="00AF6304"/>
    <w:rsid w:val="00AF7046"/>
    <w:rsid w:val="00AF75B1"/>
    <w:rsid w:val="00AF7AF9"/>
    <w:rsid w:val="00AF7BC0"/>
    <w:rsid w:val="00AF7E53"/>
    <w:rsid w:val="00B00CAC"/>
    <w:rsid w:val="00B01D0D"/>
    <w:rsid w:val="00B01F31"/>
    <w:rsid w:val="00B022DA"/>
    <w:rsid w:val="00B02BBA"/>
    <w:rsid w:val="00B02E4E"/>
    <w:rsid w:val="00B032C7"/>
    <w:rsid w:val="00B03CCE"/>
    <w:rsid w:val="00B052D5"/>
    <w:rsid w:val="00B05DFA"/>
    <w:rsid w:val="00B06159"/>
    <w:rsid w:val="00B06377"/>
    <w:rsid w:val="00B07433"/>
    <w:rsid w:val="00B106EF"/>
    <w:rsid w:val="00B10A99"/>
    <w:rsid w:val="00B10CEF"/>
    <w:rsid w:val="00B11248"/>
    <w:rsid w:val="00B11292"/>
    <w:rsid w:val="00B1199E"/>
    <w:rsid w:val="00B11E30"/>
    <w:rsid w:val="00B123CE"/>
    <w:rsid w:val="00B123D7"/>
    <w:rsid w:val="00B128AD"/>
    <w:rsid w:val="00B12FF1"/>
    <w:rsid w:val="00B1326C"/>
    <w:rsid w:val="00B13396"/>
    <w:rsid w:val="00B1339C"/>
    <w:rsid w:val="00B142C3"/>
    <w:rsid w:val="00B148C8"/>
    <w:rsid w:val="00B15190"/>
    <w:rsid w:val="00B160BE"/>
    <w:rsid w:val="00B16156"/>
    <w:rsid w:val="00B16184"/>
    <w:rsid w:val="00B16BFB"/>
    <w:rsid w:val="00B16ED0"/>
    <w:rsid w:val="00B17041"/>
    <w:rsid w:val="00B2043A"/>
    <w:rsid w:val="00B205FA"/>
    <w:rsid w:val="00B214DF"/>
    <w:rsid w:val="00B21CFD"/>
    <w:rsid w:val="00B222F9"/>
    <w:rsid w:val="00B229F7"/>
    <w:rsid w:val="00B22F1E"/>
    <w:rsid w:val="00B22FBD"/>
    <w:rsid w:val="00B24E0C"/>
    <w:rsid w:val="00B250E7"/>
    <w:rsid w:val="00B259D8"/>
    <w:rsid w:val="00B25FC2"/>
    <w:rsid w:val="00B263B0"/>
    <w:rsid w:val="00B263EE"/>
    <w:rsid w:val="00B26A6A"/>
    <w:rsid w:val="00B26B57"/>
    <w:rsid w:val="00B26E46"/>
    <w:rsid w:val="00B301A9"/>
    <w:rsid w:val="00B303C2"/>
    <w:rsid w:val="00B30542"/>
    <w:rsid w:val="00B30CC7"/>
    <w:rsid w:val="00B30E53"/>
    <w:rsid w:val="00B3108F"/>
    <w:rsid w:val="00B3129B"/>
    <w:rsid w:val="00B312EC"/>
    <w:rsid w:val="00B31346"/>
    <w:rsid w:val="00B314D6"/>
    <w:rsid w:val="00B3150B"/>
    <w:rsid w:val="00B31615"/>
    <w:rsid w:val="00B31730"/>
    <w:rsid w:val="00B31732"/>
    <w:rsid w:val="00B320AE"/>
    <w:rsid w:val="00B32334"/>
    <w:rsid w:val="00B32A09"/>
    <w:rsid w:val="00B32B5E"/>
    <w:rsid w:val="00B32C07"/>
    <w:rsid w:val="00B32C86"/>
    <w:rsid w:val="00B3314E"/>
    <w:rsid w:val="00B33FE0"/>
    <w:rsid w:val="00B342D8"/>
    <w:rsid w:val="00B345C2"/>
    <w:rsid w:val="00B348AE"/>
    <w:rsid w:val="00B34B1D"/>
    <w:rsid w:val="00B34F9B"/>
    <w:rsid w:val="00B355A8"/>
    <w:rsid w:val="00B35FA4"/>
    <w:rsid w:val="00B36390"/>
    <w:rsid w:val="00B36B1A"/>
    <w:rsid w:val="00B37455"/>
    <w:rsid w:val="00B37AFF"/>
    <w:rsid w:val="00B37DAA"/>
    <w:rsid w:val="00B37DB0"/>
    <w:rsid w:val="00B37EC3"/>
    <w:rsid w:val="00B400B9"/>
    <w:rsid w:val="00B4086C"/>
    <w:rsid w:val="00B4171C"/>
    <w:rsid w:val="00B42561"/>
    <w:rsid w:val="00B4291F"/>
    <w:rsid w:val="00B42C30"/>
    <w:rsid w:val="00B42EFB"/>
    <w:rsid w:val="00B4397B"/>
    <w:rsid w:val="00B43B93"/>
    <w:rsid w:val="00B43D31"/>
    <w:rsid w:val="00B44B3B"/>
    <w:rsid w:val="00B44F9F"/>
    <w:rsid w:val="00B4525B"/>
    <w:rsid w:val="00B45514"/>
    <w:rsid w:val="00B45B8B"/>
    <w:rsid w:val="00B45C3A"/>
    <w:rsid w:val="00B45C6D"/>
    <w:rsid w:val="00B46F76"/>
    <w:rsid w:val="00B47158"/>
    <w:rsid w:val="00B47808"/>
    <w:rsid w:val="00B50011"/>
    <w:rsid w:val="00B501F4"/>
    <w:rsid w:val="00B50900"/>
    <w:rsid w:val="00B50FF4"/>
    <w:rsid w:val="00B51643"/>
    <w:rsid w:val="00B52149"/>
    <w:rsid w:val="00B5294B"/>
    <w:rsid w:val="00B529C0"/>
    <w:rsid w:val="00B52F6E"/>
    <w:rsid w:val="00B53508"/>
    <w:rsid w:val="00B536C6"/>
    <w:rsid w:val="00B53C9B"/>
    <w:rsid w:val="00B54053"/>
    <w:rsid w:val="00B5431B"/>
    <w:rsid w:val="00B5476D"/>
    <w:rsid w:val="00B54897"/>
    <w:rsid w:val="00B5576E"/>
    <w:rsid w:val="00B564CC"/>
    <w:rsid w:val="00B57BB5"/>
    <w:rsid w:val="00B57C77"/>
    <w:rsid w:val="00B6072A"/>
    <w:rsid w:val="00B60BE9"/>
    <w:rsid w:val="00B6125F"/>
    <w:rsid w:val="00B6220E"/>
    <w:rsid w:val="00B62520"/>
    <w:rsid w:val="00B628A2"/>
    <w:rsid w:val="00B63D34"/>
    <w:rsid w:val="00B64647"/>
    <w:rsid w:val="00B6484C"/>
    <w:rsid w:val="00B64C40"/>
    <w:rsid w:val="00B653E0"/>
    <w:rsid w:val="00B65EC9"/>
    <w:rsid w:val="00B66CD5"/>
    <w:rsid w:val="00B66E68"/>
    <w:rsid w:val="00B67123"/>
    <w:rsid w:val="00B67A7C"/>
    <w:rsid w:val="00B70866"/>
    <w:rsid w:val="00B70E62"/>
    <w:rsid w:val="00B71C14"/>
    <w:rsid w:val="00B71D79"/>
    <w:rsid w:val="00B71DBE"/>
    <w:rsid w:val="00B72D6A"/>
    <w:rsid w:val="00B73192"/>
    <w:rsid w:val="00B739DE"/>
    <w:rsid w:val="00B73CB5"/>
    <w:rsid w:val="00B73D27"/>
    <w:rsid w:val="00B74255"/>
    <w:rsid w:val="00B74562"/>
    <w:rsid w:val="00B751E5"/>
    <w:rsid w:val="00B75CDA"/>
    <w:rsid w:val="00B7671D"/>
    <w:rsid w:val="00B768FC"/>
    <w:rsid w:val="00B76B29"/>
    <w:rsid w:val="00B76DD7"/>
    <w:rsid w:val="00B76F76"/>
    <w:rsid w:val="00B77751"/>
    <w:rsid w:val="00B777EE"/>
    <w:rsid w:val="00B77A11"/>
    <w:rsid w:val="00B77B49"/>
    <w:rsid w:val="00B800BA"/>
    <w:rsid w:val="00B80D7F"/>
    <w:rsid w:val="00B81BE2"/>
    <w:rsid w:val="00B81D86"/>
    <w:rsid w:val="00B82292"/>
    <w:rsid w:val="00B827D9"/>
    <w:rsid w:val="00B82C11"/>
    <w:rsid w:val="00B82F4F"/>
    <w:rsid w:val="00B8306A"/>
    <w:rsid w:val="00B83459"/>
    <w:rsid w:val="00B83A00"/>
    <w:rsid w:val="00B84446"/>
    <w:rsid w:val="00B85401"/>
    <w:rsid w:val="00B8578F"/>
    <w:rsid w:val="00B860EF"/>
    <w:rsid w:val="00B86A1D"/>
    <w:rsid w:val="00B86E17"/>
    <w:rsid w:val="00B879F2"/>
    <w:rsid w:val="00B87E35"/>
    <w:rsid w:val="00B90969"/>
    <w:rsid w:val="00B914AE"/>
    <w:rsid w:val="00B9190F"/>
    <w:rsid w:val="00B91BE0"/>
    <w:rsid w:val="00B91EA3"/>
    <w:rsid w:val="00B9220C"/>
    <w:rsid w:val="00B92CFD"/>
    <w:rsid w:val="00B9302B"/>
    <w:rsid w:val="00B9334B"/>
    <w:rsid w:val="00B934B6"/>
    <w:rsid w:val="00B9355C"/>
    <w:rsid w:val="00B93DA7"/>
    <w:rsid w:val="00B9404A"/>
    <w:rsid w:val="00B9466B"/>
    <w:rsid w:val="00B9474F"/>
    <w:rsid w:val="00B9492A"/>
    <w:rsid w:val="00B94D1B"/>
    <w:rsid w:val="00B951E5"/>
    <w:rsid w:val="00B954B2"/>
    <w:rsid w:val="00B95739"/>
    <w:rsid w:val="00B95E58"/>
    <w:rsid w:val="00B95FCC"/>
    <w:rsid w:val="00B962CF"/>
    <w:rsid w:val="00B96A86"/>
    <w:rsid w:val="00B96E7E"/>
    <w:rsid w:val="00B9746C"/>
    <w:rsid w:val="00B97B13"/>
    <w:rsid w:val="00B97B77"/>
    <w:rsid w:val="00B97C85"/>
    <w:rsid w:val="00BA0008"/>
    <w:rsid w:val="00BA01E5"/>
    <w:rsid w:val="00BA0AF3"/>
    <w:rsid w:val="00BA0B9B"/>
    <w:rsid w:val="00BA104D"/>
    <w:rsid w:val="00BA1423"/>
    <w:rsid w:val="00BA14F6"/>
    <w:rsid w:val="00BA15DC"/>
    <w:rsid w:val="00BA174C"/>
    <w:rsid w:val="00BA200A"/>
    <w:rsid w:val="00BA2314"/>
    <w:rsid w:val="00BA4059"/>
    <w:rsid w:val="00BA4EA2"/>
    <w:rsid w:val="00BA51A1"/>
    <w:rsid w:val="00BA5207"/>
    <w:rsid w:val="00BA5231"/>
    <w:rsid w:val="00BA661D"/>
    <w:rsid w:val="00BA6732"/>
    <w:rsid w:val="00BA6B6B"/>
    <w:rsid w:val="00BA76D8"/>
    <w:rsid w:val="00BA77C9"/>
    <w:rsid w:val="00BA7CF4"/>
    <w:rsid w:val="00BB0FBC"/>
    <w:rsid w:val="00BB167C"/>
    <w:rsid w:val="00BB19EF"/>
    <w:rsid w:val="00BB1E14"/>
    <w:rsid w:val="00BB306E"/>
    <w:rsid w:val="00BB38CC"/>
    <w:rsid w:val="00BB486A"/>
    <w:rsid w:val="00BB4E5A"/>
    <w:rsid w:val="00BB4E5E"/>
    <w:rsid w:val="00BB4E87"/>
    <w:rsid w:val="00BB5424"/>
    <w:rsid w:val="00BB61FC"/>
    <w:rsid w:val="00BB6FF1"/>
    <w:rsid w:val="00BB79E7"/>
    <w:rsid w:val="00BB7AF6"/>
    <w:rsid w:val="00BB7ED7"/>
    <w:rsid w:val="00BC03FE"/>
    <w:rsid w:val="00BC15EC"/>
    <w:rsid w:val="00BC16CB"/>
    <w:rsid w:val="00BC2038"/>
    <w:rsid w:val="00BC22B4"/>
    <w:rsid w:val="00BC271D"/>
    <w:rsid w:val="00BC37A4"/>
    <w:rsid w:val="00BC4434"/>
    <w:rsid w:val="00BC4712"/>
    <w:rsid w:val="00BC48B4"/>
    <w:rsid w:val="00BC491E"/>
    <w:rsid w:val="00BC49AF"/>
    <w:rsid w:val="00BC4E0B"/>
    <w:rsid w:val="00BC4F74"/>
    <w:rsid w:val="00BC5026"/>
    <w:rsid w:val="00BC5250"/>
    <w:rsid w:val="00BC5821"/>
    <w:rsid w:val="00BC60A1"/>
    <w:rsid w:val="00BC6553"/>
    <w:rsid w:val="00BC6567"/>
    <w:rsid w:val="00BC6727"/>
    <w:rsid w:val="00BC6C3B"/>
    <w:rsid w:val="00BC6E76"/>
    <w:rsid w:val="00BC7201"/>
    <w:rsid w:val="00BC729B"/>
    <w:rsid w:val="00BC7567"/>
    <w:rsid w:val="00BC76D3"/>
    <w:rsid w:val="00BC7873"/>
    <w:rsid w:val="00BD0050"/>
    <w:rsid w:val="00BD01F6"/>
    <w:rsid w:val="00BD03ED"/>
    <w:rsid w:val="00BD1DA9"/>
    <w:rsid w:val="00BD2C33"/>
    <w:rsid w:val="00BD2CE2"/>
    <w:rsid w:val="00BD32CB"/>
    <w:rsid w:val="00BD3783"/>
    <w:rsid w:val="00BD3B7E"/>
    <w:rsid w:val="00BD3BE9"/>
    <w:rsid w:val="00BD47D1"/>
    <w:rsid w:val="00BD4E18"/>
    <w:rsid w:val="00BD4E25"/>
    <w:rsid w:val="00BD5896"/>
    <w:rsid w:val="00BD71B7"/>
    <w:rsid w:val="00BD799B"/>
    <w:rsid w:val="00BE0034"/>
    <w:rsid w:val="00BE03BE"/>
    <w:rsid w:val="00BE0E9A"/>
    <w:rsid w:val="00BE2AA6"/>
    <w:rsid w:val="00BE2FBE"/>
    <w:rsid w:val="00BE3AF9"/>
    <w:rsid w:val="00BE3B4B"/>
    <w:rsid w:val="00BE4337"/>
    <w:rsid w:val="00BE5066"/>
    <w:rsid w:val="00BE69F8"/>
    <w:rsid w:val="00BE7349"/>
    <w:rsid w:val="00BE765A"/>
    <w:rsid w:val="00BE77D3"/>
    <w:rsid w:val="00BE78AC"/>
    <w:rsid w:val="00BE79F5"/>
    <w:rsid w:val="00BF0008"/>
    <w:rsid w:val="00BF0234"/>
    <w:rsid w:val="00BF042F"/>
    <w:rsid w:val="00BF0AF5"/>
    <w:rsid w:val="00BF0E1B"/>
    <w:rsid w:val="00BF20B1"/>
    <w:rsid w:val="00BF2612"/>
    <w:rsid w:val="00BF2D6A"/>
    <w:rsid w:val="00BF2DBF"/>
    <w:rsid w:val="00BF2EDE"/>
    <w:rsid w:val="00BF2F1A"/>
    <w:rsid w:val="00BF42A8"/>
    <w:rsid w:val="00BF457B"/>
    <w:rsid w:val="00BF5088"/>
    <w:rsid w:val="00BF5BFB"/>
    <w:rsid w:val="00BF5D3D"/>
    <w:rsid w:val="00BF5E83"/>
    <w:rsid w:val="00BF5F9C"/>
    <w:rsid w:val="00BF69E9"/>
    <w:rsid w:val="00BF6D93"/>
    <w:rsid w:val="00BF78BB"/>
    <w:rsid w:val="00C002F6"/>
    <w:rsid w:val="00C00644"/>
    <w:rsid w:val="00C00CBB"/>
    <w:rsid w:val="00C01425"/>
    <w:rsid w:val="00C01D44"/>
    <w:rsid w:val="00C0207D"/>
    <w:rsid w:val="00C02365"/>
    <w:rsid w:val="00C024F6"/>
    <w:rsid w:val="00C02923"/>
    <w:rsid w:val="00C02DEE"/>
    <w:rsid w:val="00C04328"/>
    <w:rsid w:val="00C049B2"/>
    <w:rsid w:val="00C069A8"/>
    <w:rsid w:val="00C06B5C"/>
    <w:rsid w:val="00C071C2"/>
    <w:rsid w:val="00C07393"/>
    <w:rsid w:val="00C10263"/>
    <w:rsid w:val="00C1028C"/>
    <w:rsid w:val="00C10372"/>
    <w:rsid w:val="00C1088F"/>
    <w:rsid w:val="00C111C8"/>
    <w:rsid w:val="00C11501"/>
    <w:rsid w:val="00C11712"/>
    <w:rsid w:val="00C11C5A"/>
    <w:rsid w:val="00C12841"/>
    <w:rsid w:val="00C12981"/>
    <w:rsid w:val="00C12B11"/>
    <w:rsid w:val="00C12E8F"/>
    <w:rsid w:val="00C13392"/>
    <w:rsid w:val="00C1394D"/>
    <w:rsid w:val="00C13C61"/>
    <w:rsid w:val="00C144C4"/>
    <w:rsid w:val="00C16224"/>
    <w:rsid w:val="00C1656F"/>
    <w:rsid w:val="00C1714E"/>
    <w:rsid w:val="00C2034B"/>
    <w:rsid w:val="00C20BDA"/>
    <w:rsid w:val="00C20E4D"/>
    <w:rsid w:val="00C21A91"/>
    <w:rsid w:val="00C2254C"/>
    <w:rsid w:val="00C22692"/>
    <w:rsid w:val="00C2275B"/>
    <w:rsid w:val="00C2275F"/>
    <w:rsid w:val="00C228B2"/>
    <w:rsid w:val="00C231DB"/>
    <w:rsid w:val="00C233C9"/>
    <w:rsid w:val="00C247B2"/>
    <w:rsid w:val="00C24FF5"/>
    <w:rsid w:val="00C25123"/>
    <w:rsid w:val="00C2570C"/>
    <w:rsid w:val="00C25B30"/>
    <w:rsid w:val="00C25FC9"/>
    <w:rsid w:val="00C2677E"/>
    <w:rsid w:val="00C26931"/>
    <w:rsid w:val="00C27030"/>
    <w:rsid w:val="00C313AA"/>
    <w:rsid w:val="00C320B6"/>
    <w:rsid w:val="00C322EC"/>
    <w:rsid w:val="00C32B0B"/>
    <w:rsid w:val="00C33248"/>
    <w:rsid w:val="00C33589"/>
    <w:rsid w:val="00C33F1F"/>
    <w:rsid w:val="00C33F5F"/>
    <w:rsid w:val="00C33F82"/>
    <w:rsid w:val="00C346F5"/>
    <w:rsid w:val="00C355AC"/>
    <w:rsid w:val="00C35D90"/>
    <w:rsid w:val="00C3624A"/>
    <w:rsid w:val="00C36D13"/>
    <w:rsid w:val="00C36D4A"/>
    <w:rsid w:val="00C372C4"/>
    <w:rsid w:val="00C3769A"/>
    <w:rsid w:val="00C37E37"/>
    <w:rsid w:val="00C37ED2"/>
    <w:rsid w:val="00C40D6D"/>
    <w:rsid w:val="00C410D0"/>
    <w:rsid w:val="00C4124B"/>
    <w:rsid w:val="00C41820"/>
    <w:rsid w:val="00C41D82"/>
    <w:rsid w:val="00C42076"/>
    <w:rsid w:val="00C42277"/>
    <w:rsid w:val="00C43E5E"/>
    <w:rsid w:val="00C452B0"/>
    <w:rsid w:val="00C45474"/>
    <w:rsid w:val="00C45579"/>
    <w:rsid w:val="00C4587B"/>
    <w:rsid w:val="00C46148"/>
    <w:rsid w:val="00C461FA"/>
    <w:rsid w:val="00C46428"/>
    <w:rsid w:val="00C46579"/>
    <w:rsid w:val="00C46725"/>
    <w:rsid w:val="00C46C41"/>
    <w:rsid w:val="00C47244"/>
    <w:rsid w:val="00C4781A"/>
    <w:rsid w:val="00C4783E"/>
    <w:rsid w:val="00C5015F"/>
    <w:rsid w:val="00C50163"/>
    <w:rsid w:val="00C50309"/>
    <w:rsid w:val="00C50535"/>
    <w:rsid w:val="00C50FE1"/>
    <w:rsid w:val="00C5105D"/>
    <w:rsid w:val="00C511FA"/>
    <w:rsid w:val="00C522F7"/>
    <w:rsid w:val="00C5240A"/>
    <w:rsid w:val="00C52C0F"/>
    <w:rsid w:val="00C52C6D"/>
    <w:rsid w:val="00C54066"/>
    <w:rsid w:val="00C5481B"/>
    <w:rsid w:val="00C54875"/>
    <w:rsid w:val="00C54BD9"/>
    <w:rsid w:val="00C54D24"/>
    <w:rsid w:val="00C55378"/>
    <w:rsid w:val="00C5558A"/>
    <w:rsid w:val="00C558E8"/>
    <w:rsid w:val="00C56FBA"/>
    <w:rsid w:val="00C574EC"/>
    <w:rsid w:val="00C577BB"/>
    <w:rsid w:val="00C5793B"/>
    <w:rsid w:val="00C57FA4"/>
    <w:rsid w:val="00C60901"/>
    <w:rsid w:val="00C6111C"/>
    <w:rsid w:val="00C617B5"/>
    <w:rsid w:val="00C623E8"/>
    <w:rsid w:val="00C625E2"/>
    <w:rsid w:val="00C6260E"/>
    <w:rsid w:val="00C63269"/>
    <w:rsid w:val="00C635B8"/>
    <w:rsid w:val="00C635FF"/>
    <w:rsid w:val="00C6471D"/>
    <w:rsid w:val="00C65503"/>
    <w:rsid w:val="00C659AC"/>
    <w:rsid w:val="00C65C56"/>
    <w:rsid w:val="00C65E15"/>
    <w:rsid w:val="00C65F6E"/>
    <w:rsid w:val="00C6611B"/>
    <w:rsid w:val="00C66871"/>
    <w:rsid w:val="00C66930"/>
    <w:rsid w:val="00C66C34"/>
    <w:rsid w:val="00C67178"/>
    <w:rsid w:val="00C6792A"/>
    <w:rsid w:val="00C67EDE"/>
    <w:rsid w:val="00C70223"/>
    <w:rsid w:val="00C70436"/>
    <w:rsid w:val="00C709CB"/>
    <w:rsid w:val="00C70D3C"/>
    <w:rsid w:val="00C71226"/>
    <w:rsid w:val="00C715AC"/>
    <w:rsid w:val="00C715C8"/>
    <w:rsid w:val="00C7161C"/>
    <w:rsid w:val="00C722BE"/>
    <w:rsid w:val="00C723BF"/>
    <w:rsid w:val="00C72854"/>
    <w:rsid w:val="00C72A85"/>
    <w:rsid w:val="00C72D21"/>
    <w:rsid w:val="00C735D6"/>
    <w:rsid w:val="00C735E9"/>
    <w:rsid w:val="00C7417A"/>
    <w:rsid w:val="00C74402"/>
    <w:rsid w:val="00C74B82"/>
    <w:rsid w:val="00C74F5A"/>
    <w:rsid w:val="00C7512C"/>
    <w:rsid w:val="00C7549C"/>
    <w:rsid w:val="00C7559F"/>
    <w:rsid w:val="00C757CB"/>
    <w:rsid w:val="00C76CBA"/>
    <w:rsid w:val="00C77056"/>
    <w:rsid w:val="00C776FD"/>
    <w:rsid w:val="00C77DE6"/>
    <w:rsid w:val="00C802EC"/>
    <w:rsid w:val="00C8036D"/>
    <w:rsid w:val="00C803FA"/>
    <w:rsid w:val="00C80684"/>
    <w:rsid w:val="00C8097D"/>
    <w:rsid w:val="00C80ED4"/>
    <w:rsid w:val="00C81D74"/>
    <w:rsid w:val="00C822F2"/>
    <w:rsid w:val="00C82B2A"/>
    <w:rsid w:val="00C83E64"/>
    <w:rsid w:val="00C848EB"/>
    <w:rsid w:val="00C84BA2"/>
    <w:rsid w:val="00C863B0"/>
    <w:rsid w:val="00C86450"/>
    <w:rsid w:val="00C86B22"/>
    <w:rsid w:val="00C872A8"/>
    <w:rsid w:val="00C9014D"/>
    <w:rsid w:val="00C90431"/>
    <w:rsid w:val="00C90564"/>
    <w:rsid w:val="00C90C05"/>
    <w:rsid w:val="00C90CF3"/>
    <w:rsid w:val="00C91854"/>
    <w:rsid w:val="00C9195A"/>
    <w:rsid w:val="00C91AA2"/>
    <w:rsid w:val="00C91DAF"/>
    <w:rsid w:val="00C9276A"/>
    <w:rsid w:val="00C92E7D"/>
    <w:rsid w:val="00C93A9A"/>
    <w:rsid w:val="00C93BE0"/>
    <w:rsid w:val="00C93C4B"/>
    <w:rsid w:val="00C94014"/>
    <w:rsid w:val="00C9421F"/>
    <w:rsid w:val="00C94712"/>
    <w:rsid w:val="00C94CE3"/>
    <w:rsid w:val="00C951E4"/>
    <w:rsid w:val="00C957E0"/>
    <w:rsid w:val="00C9585B"/>
    <w:rsid w:val="00C961C8"/>
    <w:rsid w:val="00C9635C"/>
    <w:rsid w:val="00C964E1"/>
    <w:rsid w:val="00C96589"/>
    <w:rsid w:val="00C965A6"/>
    <w:rsid w:val="00C968F9"/>
    <w:rsid w:val="00C96B31"/>
    <w:rsid w:val="00C974F0"/>
    <w:rsid w:val="00C97594"/>
    <w:rsid w:val="00C97853"/>
    <w:rsid w:val="00C979FB"/>
    <w:rsid w:val="00CA1CF0"/>
    <w:rsid w:val="00CA20A3"/>
    <w:rsid w:val="00CA23B8"/>
    <w:rsid w:val="00CA2A7A"/>
    <w:rsid w:val="00CA309B"/>
    <w:rsid w:val="00CA3194"/>
    <w:rsid w:val="00CA31CE"/>
    <w:rsid w:val="00CA31DE"/>
    <w:rsid w:val="00CA3380"/>
    <w:rsid w:val="00CA4152"/>
    <w:rsid w:val="00CA442B"/>
    <w:rsid w:val="00CA4981"/>
    <w:rsid w:val="00CA5585"/>
    <w:rsid w:val="00CA684E"/>
    <w:rsid w:val="00CA68A2"/>
    <w:rsid w:val="00CA7C86"/>
    <w:rsid w:val="00CB0188"/>
    <w:rsid w:val="00CB07C2"/>
    <w:rsid w:val="00CB0E57"/>
    <w:rsid w:val="00CB13BC"/>
    <w:rsid w:val="00CB1720"/>
    <w:rsid w:val="00CB1759"/>
    <w:rsid w:val="00CB1FF7"/>
    <w:rsid w:val="00CB2048"/>
    <w:rsid w:val="00CB21BA"/>
    <w:rsid w:val="00CB23E3"/>
    <w:rsid w:val="00CB35A6"/>
    <w:rsid w:val="00CB36DF"/>
    <w:rsid w:val="00CB44E0"/>
    <w:rsid w:val="00CB450B"/>
    <w:rsid w:val="00CB4EE5"/>
    <w:rsid w:val="00CB5992"/>
    <w:rsid w:val="00CB5BA1"/>
    <w:rsid w:val="00CB5EFD"/>
    <w:rsid w:val="00CB6488"/>
    <w:rsid w:val="00CB6870"/>
    <w:rsid w:val="00CB6D3E"/>
    <w:rsid w:val="00CB6D6E"/>
    <w:rsid w:val="00CB7150"/>
    <w:rsid w:val="00CB73BA"/>
    <w:rsid w:val="00CC0242"/>
    <w:rsid w:val="00CC09F0"/>
    <w:rsid w:val="00CC1370"/>
    <w:rsid w:val="00CC1B82"/>
    <w:rsid w:val="00CC286B"/>
    <w:rsid w:val="00CC2ED8"/>
    <w:rsid w:val="00CC3338"/>
    <w:rsid w:val="00CC35EF"/>
    <w:rsid w:val="00CC39F0"/>
    <w:rsid w:val="00CC4028"/>
    <w:rsid w:val="00CC4760"/>
    <w:rsid w:val="00CC5175"/>
    <w:rsid w:val="00CC52B5"/>
    <w:rsid w:val="00CC584D"/>
    <w:rsid w:val="00CC60AC"/>
    <w:rsid w:val="00CC6196"/>
    <w:rsid w:val="00CC63E9"/>
    <w:rsid w:val="00CC70F2"/>
    <w:rsid w:val="00CC7114"/>
    <w:rsid w:val="00CC72BB"/>
    <w:rsid w:val="00CC79A1"/>
    <w:rsid w:val="00CC7A6A"/>
    <w:rsid w:val="00CD0854"/>
    <w:rsid w:val="00CD0B70"/>
    <w:rsid w:val="00CD0F46"/>
    <w:rsid w:val="00CD11CB"/>
    <w:rsid w:val="00CD131A"/>
    <w:rsid w:val="00CD19A7"/>
    <w:rsid w:val="00CD1ED9"/>
    <w:rsid w:val="00CD24D2"/>
    <w:rsid w:val="00CD2C33"/>
    <w:rsid w:val="00CD2C7F"/>
    <w:rsid w:val="00CD313F"/>
    <w:rsid w:val="00CD32B2"/>
    <w:rsid w:val="00CD3E28"/>
    <w:rsid w:val="00CD4516"/>
    <w:rsid w:val="00CD456C"/>
    <w:rsid w:val="00CD467F"/>
    <w:rsid w:val="00CD4B99"/>
    <w:rsid w:val="00CD51DD"/>
    <w:rsid w:val="00CD53D6"/>
    <w:rsid w:val="00CD6270"/>
    <w:rsid w:val="00CD6D96"/>
    <w:rsid w:val="00CD70B6"/>
    <w:rsid w:val="00CD7329"/>
    <w:rsid w:val="00CD73FD"/>
    <w:rsid w:val="00CE02D2"/>
    <w:rsid w:val="00CE1148"/>
    <w:rsid w:val="00CE17EC"/>
    <w:rsid w:val="00CE2595"/>
    <w:rsid w:val="00CE2E42"/>
    <w:rsid w:val="00CE37E7"/>
    <w:rsid w:val="00CE3D1A"/>
    <w:rsid w:val="00CE3E08"/>
    <w:rsid w:val="00CE49E3"/>
    <w:rsid w:val="00CE52D6"/>
    <w:rsid w:val="00CE576A"/>
    <w:rsid w:val="00CE5CEC"/>
    <w:rsid w:val="00CE6285"/>
    <w:rsid w:val="00CE700A"/>
    <w:rsid w:val="00CE7E70"/>
    <w:rsid w:val="00CF00D7"/>
    <w:rsid w:val="00CF02CE"/>
    <w:rsid w:val="00CF18A9"/>
    <w:rsid w:val="00CF23E9"/>
    <w:rsid w:val="00CF23FF"/>
    <w:rsid w:val="00CF27B2"/>
    <w:rsid w:val="00CF2E1F"/>
    <w:rsid w:val="00CF33CC"/>
    <w:rsid w:val="00CF4657"/>
    <w:rsid w:val="00CF48D5"/>
    <w:rsid w:val="00CF4AAE"/>
    <w:rsid w:val="00CF4F8A"/>
    <w:rsid w:val="00CF57F4"/>
    <w:rsid w:val="00CF5B55"/>
    <w:rsid w:val="00CF646F"/>
    <w:rsid w:val="00CF6AC8"/>
    <w:rsid w:val="00CF7105"/>
    <w:rsid w:val="00CF7AD7"/>
    <w:rsid w:val="00CF7BD8"/>
    <w:rsid w:val="00CF7EB0"/>
    <w:rsid w:val="00D0025F"/>
    <w:rsid w:val="00D00340"/>
    <w:rsid w:val="00D00F98"/>
    <w:rsid w:val="00D01536"/>
    <w:rsid w:val="00D01961"/>
    <w:rsid w:val="00D01E03"/>
    <w:rsid w:val="00D02DA4"/>
    <w:rsid w:val="00D04115"/>
    <w:rsid w:val="00D04739"/>
    <w:rsid w:val="00D05200"/>
    <w:rsid w:val="00D054C5"/>
    <w:rsid w:val="00D05832"/>
    <w:rsid w:val="00D05E13"/>
    <w:rsid w:val="00D06865"/>
    <w:rsid w:val="00D070DE"/>
    <w:rsid w:val="00D07859"/>
    <w:rsid w:val="00D0798A"/>
    <w:rsid w:val="00D100C2"/>
    <w:rsid w:val="00D103A9"/>
    <w:rsid w:val="00D10BC4"/>
    <w:rsid w:val="00D10BD4"/>
    <w:rsid w:val="00D1173A"/>
    <w:rsid w:val="00D118D6"/>
    <w:rsid w:val="00D1196A"/>
    <w:rsid w:val="00D11B8A"/>
    <w:rsid w:val="00D11CA9"/>
    <w:rsid w:val="00D1259C"/>
    <w:rsid w:val="00D12620"/>
    <w:rsid w:val="00D12708"/>
    <w:rsid w:val="00D12BC2"/>
    <w:rsid w:val="00D12C9C"/>
    <w:rsid w:val="00D12E09"/>
    <w:rsid w:val="00D12F0A"/>
    <w:rsid w:val="00D1338F"/>
    <w:rsid w:val="00D136B9"/>
    <w:rsid w:val="00D13BCB"/>
    <w:rsid w:val="00D13CDA"/>
    <w:rsid w:val="00D140A1"/>
    <w:rsid w:val="00D144AB"/>
    <w:rsid w:val="00D14C4D"/>
    <w:rsid w:val="00D14E55"/>
    <w:rsid w:val="00D151D7"/>
    <w:rsid w:val="00D15325"/>
    <w:rsid w:val="00D1546B"/>
    <w:rsid w:val="00D15FB8"/>
    <w:rsid w:val="00D161FB"/>
    <w:rsid w:val="00D174D8"/>
    <w:rsid w:val="00D17A8E"/>
    <w:rsid w:val="00D17E61"/>
    <w:rsid w:val="00D17E6A"/>
    <w:rsid w:val="00D2056A"/>
    <w:rsid w:val="00D20BC6"/>
    <w:rsid w:val="00D21013"/>
    <w:rsid w:val="00D210FE"/>
    <w:rsid w:val="00D2114B"/>
    <w:rsid w:val="00D216D2"/>
    <w:rsid w:val="00D217CD"/>
    <w:rsid w:val="00D21957"/>
    <w:rsid w:val="00D21ADA"/>
    <w:rsid w:val="00D22034"/>
    <w:rsid w:val="00D220A4"/>
    <w:rsid w:val="00D22132"/>
    <w:rsid w:val="00D2325C"/>
    <w:rsid w:val="00D235BC"/>
    <w:rsid w:val="00D24712"/>
    <w:rsid w:val="00D24A39"/>
    <w:rsid w:val="00D24B90"/>
    <w:rsid w:val="00D24C93"/>
    <w:rsid w:val="00D25067"/>
    <w:rsid w:val="00D251B2"/>
    <w:rsid w:val="00D254B6"/>
    <w:rsid w:val="00D25F3F"/>
    <w:rsid w:val="00D26350"/>
    <w:rsid w:val="00D2652C"/>
    <w:rsid w:val="00D26B3C"/>
    <w:rsid w:val="00D274DB"/>
    <w:rsid w:val="00D303B7"/>
    <w:rsid w:val="00D30784"/>
    <w:rsid w:val="00D30987"/>
    <w:rsid w:val="00D30ABD"/>
    <w:rsid w:val="00D30B3E"/>
    <w:rsid w:val="00D30EBB"/>
    <w:rsid w:val="00D31922"/>
    <w:rsid w:val="00D31C43"/>
    <w:rsid w:val="00D3296B"/>
    <w:rsid w:val="00D32D12"/>
    <w:rsid w:val="00D32E50"/>
    <w:rsid w:val="00D33363"/>
    <w:rsid w:val="00D33B81"/>
    <w:rsid w:val="00D345F7"/>
    <w:rsid w:val="00D34699"/>
    <w:rsid w:val="00D351BE"/>
    <w:rsid w:val="00D354A1"/>
    <w:rsid w:val="00D35C0A"/>
    <w:rsid w:val="00D35E73"/>
    <w:rsid w:val="00D37221"/>
    <w:rsid w:val="00D37358"/>
    <w:rsid w:val="00D376E1"/>
    <w:rsid w:val="00D37D0F"/>
    <w:rsid w:val="00D37F09"/>
    <w:rsid w:val="00D37F2F"/>
    <w:rsid w:val="00D37F53"/>
    <w:rsid w:val="00D403EB"/>
    <w:rsid w:val="00D40B87"/>
    <w:rsid w:val="00D418F8"/>
    <w:rsid w:val="00D419F9"/>
    <w:rsid w:val="00D41BB3"/>
    <w:rsid w:val="00D42286"/>
    <w:rsid w:val="00D42CCB"/>
    <w:rsid w:val="00D42E45"/>
    <w:rsid w:val="00D42F53"/>
    <w:rsid w:val="00D436A3"/>
    <w:rsid w:val="00D43786"/>
    <w:rsid w:val="00D43EC1"/>
    <w:rsid w:val="00D43ECD"/>
    <w:rsid w:val="00D44180"/>
    <w:rsid w:val="00D4428F"/>
    <w:rsid w:val="00D44C24"/>
    <w:rsid w:val="00D452E8"/>
    <w:rsid w:val="00D453FB"/>
    <w:rsid w:val="00D45502"/>
    <w:rsid w:val="00D45AAD"/>
    <w:rsid w:val="00D46113"/>
    <w:rsid w:val="00D46920"/>
    <w:rsid w:val="00D46D94"/>
    <w:rsid w:val="00D47432"/>
    <w:rsid w:val="00D475DF"/>
    <w:rsid w:val="00D478DA"/>
    <w:rsid w:val="00D5056F"/>
    <w:rsid w:val="00D50913"/>
    <w:rsid w:val="00D50C8F"/>
    <w:rsid w:val="00D50D14"/>
    <w:rsid w:val="00D511DC"/>
    <w:rsid w:val="00D516CF"/>
    <w:rsid w:val="00D519AB"/>
    <w:rsid w:val="00D51B76"/>
    <w:rsid w:val="00D51B85"/>
    <w:rsid w:val="00D51BA7"/>
    <w:rsid w:val="00D51F17"/>
    <w:rsid w:val="00D52B38"/>
    <w:rsid w:val="00D5322C"/>
    <w:rsid w:val="00D534B4"/>
    <w:rsid w:val="00D53807"/>
    <w:rsid w:val="00D5398E"/>
    <w:rsid w:val="00D53CB8"/>
    <w:rsid w:val="00D55622"/>
    <w:rsid w:val="00D56342"/>
    <w:rsid w:val="00D5719C"/>
    <w:rsid w:val="00D571A6"/>
    <w:rsid w:val="00D57DAE"/>
    <w:rsid w:val="00D57F01"/>
    <w:rsid w:val="00D57FFA"/>
    <w:rsid w:val="00D607A2"/>
    <w:rsid w:val="00D61EAC"/>
    <w:rsid w:val="00D6250D"/>
    <w:rsid w:val="00D62650"/>
    <w:rsid w:val="00D63645"/>
    <w:rsid w:val="00D63B1C"/>
    <w:rsid w:val="00D64908"/>
    <w:rsid w:val="00D64A2D"/>
    <w:rsid w:val="00D656B7"/>
    <w:rsid w:val="00D65A71"/>
    <w:rsid w:val="00D65AC1"/>
    <w:rsid w:val="00D65C76"/>
    <w:rsid w:val="00D67490"/>
    <w:rsid w:val="00D677C0"/>
    <w:rsid w:val="00D67FE8"/>
    <w:rsid w:val="00D701A6"/>
    <w:rsid w:val="00D702F9"/>
    <w:rsid w:val="00D7040F"/>
    <w:rsid w:val="00D71322"/>
    <w:rsid w:val="00D714D2"/>
    <w:rsid w:val="00D7161E"/>
    <w:rsid w:val="00D72213"/>
    <w:rsid w:val="00D723E4"/>
    <w:rsid w:val="00D74C41"/>
    <w:rsid w:val="00D74ED2"/>
    <w:rsid w:val="00D757FD"/>
    <w:rsid w:val="00D75CF3"/>
    <w:rsid w:val="00D761F6"/>
    <w:rsid w:val="00D76306"/>
    <w:rsid w:val="00D76584"/>
    <w:rsid w:val="00D76E15"/>
    <w:rsid w:val="00D80082"/>
    <w:rsid w:val="00D80180"/>
    <w:rsid w:val="00D80451"/>
    <w:rsid w:val="00D806E8"/>
    <w:rsid w:val="00D808AE"/>
    <w:rsid w:val="00D809F4"/>
    <w:rsid w:val="00D8109B"/>
    <w:rsid w:val="00D810AF"/>
    <w:rsid w:val="00D8121D"/>
    <w:rsid w:val="00D81399"/>
    <w:rsid w:val="00D8154C"/>
    <w:rsid w:val="00D81E2A"/>
    <w:rsid w:val="00D823AE"/>
    <w:rsid w:val="00D827AF"/>
    <w:rsid w:val="00D82DAF"/>
    <w:rsid w:val="00D82EFA"/>
    <w:rsid w:val="00D833C5"/>
    <w:rsid w:val="00D833E1"/>
    <w:rsid w:val="00D83F78"/>
    <w:rsid w:val="00D84050"/>
    <w:rsid w:val="00D8429D"/>
    <w:rsid w:val="00D84320"/>
    <w:rsid w:val="00D84E4D"/>
    <w:rsid w:val="00D84F81"/>
    <w:rsid w:val="00D85110"/>
    <w:rsid w:val="00D852F0"/>
    <w:rsid w:val="00D85598"/>
    <w:rsid w:val="00D8667E"/>
    <w:rsid w:val="00D86D42"/>
    <w:rsid w:val="00D86D6E"/>
    <w:rsid w:val="00D87607"/>
    <w:rsid w:val="00D87B84"/>
    <w:rsid w:val="00D87D4A"/>
    <w:rsid w:val="00D90684"/>
    <w:rsid w:val="00D911DC"/>
    <w:rsid w:val="00D91F2B"/>
    <w:rsid w:val="00D9358E"/>
    <w:rsid w:val="00D93D24"/>
    <w:rsid w:val="00D94905"/>
    <w:rsid w:val="00D9497F"/>
    <w:rsid w:val="00D94EBD"/>
    <w:rsid w:val="00D94FC8"/>
    <w:rsid w:val="00D95344"/>
    <w:rsid w:val="00D95FCC"/>
    <w:rsid w:val="00DA049A"/>
    <w:rsid w:val="00DA1A4E"/>
    <w:rsid w:val="00DA1C49"/>
    <w:rsid w:val="00DA1D6D"/>
    <w:rsid w:val="00DA2196"/>
    <w:rsid w:val="00DA294B"/>
    <w:rsid w:val="00DA3D44"/>
    <w:rsid w:val="00DA3F3B"/>
    <w:rsid w:val="00DA427E"/>
    <w:rsid w:val="00DA474E"/>
    <w:rsid w:val="00DA4CC3"/>
    <w:rsid w:val="00DA535E"/>
    <w:rsid w:val="00DA5762"/>
    <w:rsid w:val="00DA5C7C"/>
    <w:rsid w:val="00DA5FE6"/>
    <w:rsid w:val="00DA61E5"/>
    <w:rsid w:val="00DA670E"/>
    <w:rsid w:val="00DA674E"/>
    <w:rsid w:val="00DA6B3D"/>
    <w:rsid w:val="00DA6C2E"/>
    <w:rsid w:val="00DA75B0"/>
    <w:rsid w:val="00DA7A95"/>
    <w:rsid w:val="00DA7EB3"/>
    <w:rsid w:val="00DB069C"/>
    <w:rsid w:val="00DB074E"/>
    <w:rsid w:val="00DB0E05"/>
    <w:rsid w:val="00DB11B9"/>
    <w:rsid w:val="00DB1746"/>
    <w:rsid w:val="00DB2413"/>
    <w:rsid w:val="00DB304A"/>
    <w:rsid w:val="00DB4FD5"/>
    <w:rsid w:val="00DB523D"/>
    <w:rsid w:val="00DB5822"/>
    <w:rsid w:val="00DB615F"/>
    <w:rsid w:val="00DB6CD7"/>
    <w:rsid w:val="00DB6F71"/>
    <w:rsid w:val="00DB7DB1"/>
    <w:rsid w:val="00DC0F10"/>
    <w:rsid w:val="00DC11AA"/>
    <w:rsid w:val="00DC17FF"/>
    <w:rsid w:val="00DC1CAD"/>
    <w:rsid w:val="00DC2BCF"/>
    <w:rsid w:val="00DC36B3"/>
    <w:rsid w:val="00DC3789"/>
    <w:rsid w:val="00DC387C"/>
    <w:rsid w:val="00DC3EF2"/>
    <w:rsid w:val="00DC3F2B"/>
    <w:rsid w:val="00DC4F39"/>
    <w:rsid w:val="00DC5668"/>
    <w:rsid w:val="00DC58E1"/>
    <w:rsid w:val="00DC5AF6"/>
    <w:rsid w:val="00DC66EA"/>
    <w:rsid w:val="00DC6C41"/>
    <w:rsid w:val="00DC6FFE"/>
    <w:rsid w:val="00DC739C"/>
    <w:rsid w:val="00DC7961"/>
    <w:rsid w:val="00DD0516"/>
    <w:rsid w:val="00DD0A71"/>
    <w:rsid w:val="00DD0DD3"/>
    <w:rsid w:val="00DD15BE"/>
    <w:rsid w:val="00DD1EDE"/>
    <w:rsid w:val="00DD1FC0"/>
    <w:rsid w:val="00DD2317"/>
    <w:rsid w:val="00DD2393"/>
    <w:rsid w:val="00DD2ED4"/>
    <w:rsid w:val="00DD337F"/>
    <w:rsid w:val="00DD46F9"/>
    <w:rsid w:val="00DD47AE"/>
    <w:rsid w:val="00DD49F6"/>
    <w:rsid w:val="00DD4ABB"/>
    <w:rsid w:val="00DD5063"/>
    <w:rsid w:val="00DD5DFF"/>
    <w:rsid w:val="00DD6355"/>
    <w:rsid w:val="00DD63D7"/>
    <w:rsid w:val="00DD68E3"/>
    <w:rsid w:val="00DD7358"/>
    <w:rsid w:val="00DD7E23"/>
    <w:rsid w:val="00DE151E"/>
    <w:rsid w:val="00DE1E44"/>
    <w:rsid w:val="00DE2D6A"/>
    <w:rsid w:val="00DE2FA8"/>
    <w:rsid w:val="00DE35D3"/>
    <w:rsid w:val="00DE3953"/>
    <w:rsid w:val="00DE3D1C"/>
    <w:rsid w:val="00DE3EC7"/>
    <w:rsid w:val="00DE4638"/>
    <w:rsid w:val="00DE4C18"/>
    <w:rsid w:val="00DE4FA3"/>
    <w:rsid w:val="00DE5806"/>
    <w:rsid w:val="00DE5D46"/>
    <w:rsid w:val="00DE6427"/>
    <w:rsid w:val="00DE6506"/>
    <w:rsid w:val="00DE6C4D"/>
    <w:rsid w:val="00DE6EEF"/>
    <w:rsid w:val="00DE7251"/>
    <w:rsid w:val="00DE7750"/>
    <w:rsid w:val="00DE79F5"/>
    <w:rsid w:val="00DE7D61"/>
    <w:rsid w:val="00DF0182"/>
    <w:rsid w:val="00DF0511"/>
    <w:rsid w:val="00DF17C3"/>
    <w:rsid w:val="00DF1844"/>
    <w:rsid w:val="00DF18D6"/>
    <w:rsid w:val="00DF21DA"/>
    <w:rsid w:val="00DF2670"/>
    <w:rsid w:val="00DF2A87"/>
    <w:rsid w:val="00DF2CD5"/>
    <w:rsid w:val="00DF2E8D"/>
    <w:rsid w:val="00DF2FC5"/>
    <w:rsid w:val="00DF3986"/>
    <w:rsid w:val="00DF3E36"/>
    <w:rsid w:val="00DF4061"/>
    <w:rsid w:val="00DF414B"/>
    <w:rsid w:val="00DF4FE8"/>
    <w:rsid w:val="00DF5DB0"/>
    <w:rsid w:val="00DF5E9F"/>
    <w:rsid w:val="00DF6855"/>
    <w:rsid w:val="00DF6886"/>
    <w:rsid w:val="00DF6E73"/>
    <w:rsid w:val="00DF72F4"/>
    <w:rsid w:val="00DF7B9B"/>
    <w:rsid w:val="00E0049A"/>
    <w:rsid w:val="00E00777"/>
    <w:rsid w:val="00E00848"/>
    <w:rsid w:val="00E00DB4"/>
    <w:rsid w:val="00E00F76"/>
    <w:rsid w:val="00E012D0"/>
    <w:rsid w:val="00E0138F"/>
    <w:rsid w:val="00E017C5"/>
    <w:rsid w:val="00E024EC"/>
    <w:rsid w:val="00E02E77"/>
    <w:rsid w:val="00E03505"/>
    <w:rsid w:val="00E036EB"/>
    <w:rsid w:val="00E03A63"/>
    <w:rsid w:val="00E03D9F"/>
    <w:rsid w:val="00E043B7"/>
    <w:rsid w:val="00E046CD"/>
    <w:rsid w:val="00E0472D"/>
    <w:rsid w:val="00E04CDC"/>
    <w:rsid w:val="00E05318"/>
    <w:rsid w:val="00E056A2"/>
    <w:rsid w:val="00E06CF3"/>
    <w:rsid w:val="00E07374"/>
    <w:rsid w:val="00E07A1B"/>
    <w:rsid w:val="00E07A90"/>
    <w:rsid w:val="00E07C7C"/>
    <w:rsid w:val="00E10A50"/>
    <w:rsid w:val="00E11138"/>
    <w:rsid w:val="00E1129E"/>
    <w:rsid w:val="00E11727"/>
    <w:rsid w:val="00E11E51"/>
    <w:rsid w:val="00E12309"/>
    <w:rsid w:val="00E12D61"/>
    <w:rsid w:val="00E12D7D"/>
    <w:rsid w:val="00E138D4"/>
    <w:rsid w:val="00E14852"/>
    <w:rsid w:val="00E14A1A"/>
    <w:rsid w:val="00E14BFA"/>
    <w:rsid w:val="00E15421"/>
    <w:rsid w:val="00E15BD0"/>
    <w:rsid w:val="00E16269"/>
    <w:rsid w:val="00E1664B"/>
    <w:rsid w:val="00E20CC3"/>
    <w:rsid w:val="00E212FC"/>
    <w:rsid w:val="00E21B9D"/>
    <w:rsid w:val="00E21FB0"/>
    <w:rsid w:val="00E22CAB"/>
    <w:rsid w:val="00E23733"/>
    <w:rsid w:val="00E23A62"/>
    <w:rsid w:val="00E24E21"/>
    <w:rsid w:val="00E25042"/>
    <w:rsid w:val="00E25434"/>
    <w:rsid w:val="00E25906"/>
    <w:rsid w:val="00E25A85"/>
    <w:rsid w:val="00E25D8B"/>
    <w:rsid w:val="00E25DBD"/>
    <w:rsid w:val="00E26375"/>
    <w:rsid w:val="00E26C49"/>
    <w:rsid w:val="00E27C2F"/>
    <w:rsid w:val="00E30670"/>
    <w:rsid w:val="00E31143"/>
    <w:rsid w:val="00E3161C"/>
    <w:rsid w:val="00E32B2F"/>
    <w:rsid w:val="00E32D7C"/>
    <w:rsid w:val="00E32EEC"/>
    <w:rsid w:val="00E331F1"/>
    <w:rsid w:val="00E33FEF"/>
    <w:rsid w:val="00E34432"/>
    <w:rsid w:val="00E345C3"/>
    <w:rsid w:val="00E34FA0"/>
    <w:rsid w:val="00E352E8"/>
    <w:rsid w:val="00E3558F"/>
    <w:rsid w:val="00E35824"/>
    <w:rsid w:val="00E35A80"/>
    <w:rsid w:val="00E36356"/>
    <w:rsid w:val="00E3652F"/>
    <w:rsid w:val="00E36FBB"/>
    <w:rsid w:val="00E37186"/>
    <w:rsid w:val="00E37439"/>
    <w:rsid w:val="00E37E41"/>
    <w:rsid w:val="00E401F5"/>
    <w:rsid w:val="00E404DA"/>
    <w:rsid w:val="00E4127A"/>
    <w:rsid w:val="00E419AC"/>
    <w:rsid w:val="00E4241C"/>
    <w:rsid w:val="00E428B4"/>
    <w:rsid w:val="00E43831"/>
    <w:rsid w:val="00E438EB"/>
    <w:rsid w:val="00E443DA"/>
    <w:rsid w:val="00E4446B"/>
    <w:rsid w:val="00E44C1F"/>
    <w:rsid w:val="00E45E66"/>
    <w:rsid w:val="00E46EA3"/>
    <w:rsid w:val="00E50301"/>
    <w:rsid w:val="00E5043B"/>
    <w:rsid w:val="00E50518"/>
    <w:rsid w:val="00E5065C"/>
    <w:rsid w:val="00E50D04"/>
    <w:rsid w:val="00E5173C"/>
    <w:rsid w:val="00E51BD0"/>
    <w:rsid w:val="00E51E99"/>
    <w:rsid w:val="00E51F64"/>
    <w:rsid w:val="00E523F5"/>
    <w:rsid w:val="00E5250E"/>
    <w:rsid w:val="00E52518"/>
    <w:rsid w:val="00E52A0F"/>
    <w:rsid w:val="00E533E1"/>
    <w:rsid w:val="00E543CD"/>
    <w:rsid w:val="00E54AD9"/>
    <w:rsid w:val="00E54BAF"/>
    <w:rsid w:val="00E54D24"/>
    <w:rsid w:val="00E55625"/>
    <w:rsid w:val="00E55790"/>
    <w:rsid w:val="00E55C0F"/>
    <w:rsid w:val="00E5664D"/>
    <w:rsid w:val="00E57671"/>
    <w:rsid w:val="00E57A16"/>
    <w:rsid w:val="00E57A3D"/>
    <w:rsid w:val="00E603AB"/>
    <w:rsid w:val="00E604F2"/>
    <w:rsid w:val="00E60698"/>
    <w:rsid w:val="00E615E4"/>
    <w:rsid w:val="00E61B77"/>
    <w:rsid w:val="00E61E02"/>
    <w:rsid w:val="00E6267E"/>
    <w:rsid w:val="00E6351C"/>
    <w:rsid w:val="00E638AC"/>
    <w:rsid w:val="00E63A20"/>
    <w:rsid w:val="00E63BCB"/>
    <w:rsid w:val="00E64568"/>
    <w:rsid w:val="00E65C5E"/>
    <w:rsid w:val="00E65C88"/>
    <w:rsid w:val="00E6614B"/>
    <w:rsid w:val="00E664C5"/>
    <w:rsid w:val="00E66B47"/>
    <w:rsid w:val="00E66F21"/>
    <w:rsid w:val="00E6739A"/>
    <w:rsid w:val="00E6745A"/>
    <w:rsid w:val="00E6782C"/>
    <w:rsid w:val="00E67949"/>
    <w:rsid w:val="00E7006E"/>
    <w:rsid w:val="00E70551"/>
    <w:rsid w:val="00E708FD"/>
    <w:rsid w:val="00E71208"/>
    <w:rsid w:val="00E718D1"/>
    <w:rsid w:val="00E719D7"/>
    <w:rsid w:val="00E71CC4"/>
    <w:rsid w:val="00E720E8"/>
    <w:rsid w:val="00E72143"/>
    <w:rsid w:val="00E722A1"/>
    <w:rsid w:val="00E728F5"/>
    <w:rsid w:val="00E73B0E"/>
    <w:rsid w:val="00E7431D"/>
    <w:rsid w:val="00E75ABD"/>
    <w:rsid w:val="00E76046"/>
    <w:rsid w:val="00E76CA9"/>
    <w:rsid w:val="00E76FE5"/>
    <w:rsid w:val="00E772B1"/>
    <w:rsid w:val="00E77487"/>
    <w:rsid w:val="00E77AAB"/>
    <w:rsid w:val="00E77B16"/>
    <w:rsid w:val="00E77B1F"/>
    <w:rsid w:val="00E77E8D"/>
    <w:rsid w:val="00E8019D"/>
    <w:rsid w:val="00E8072D"/>
    <w:rsid w:val="00E8089F"/>
    <w:rsid w:val="00E80F33"/>
    <w:rsid w:val="00E813FF"/>
    <w:rsid w:val="00E814F4"/>
    <w:rsid w:val="00E82735"/>
    <w:rsid w:val="00E82BBD"/>
    <w:rsid w:val="00E8353E"/>
    <w:rsid w:val="00E83735"/>
    <w:rsid w:val="00E853B9"/>
    <w:rsid w:val="00E859A9"/>
    <w:rsid w:val="00E85DC4"/>
    <w:rsid w:val="00E85E51"/>
    <w:rsid w:val="00E864B6"/>
    <w:rsid w:val="00E871C7"/>
    <w:rsid w:val="00E873E1"/>
    <w:rsid w:val="00E874E9"/>
    <w:rsid w:val="00E87ACA"/>
    <w:rsid w:val="00E904D3"/>
    <w:rsid w:val="00E91274"/>
    <w:rsid w:val="00E9131A"/>
    <w:rsid w:val="00E91867"/>
    <w:rsid w:val="00E918BD"/>
    <w:rsid w:val="00E91C72"/>
    <w:rsid w:val="00E92008"/>
    <w:rsid w:val="00E9223A"/>
    <w:rsid w:val="00E9278E"/>
    <w:rsid w:val="00E92BD0"/>
    <w:rsid w:val="00E9313F"/>
    <w:rsid w:val="00E93C5E"/>
    <w:rsid w:val="00E94061"/>
    <w:rsid w:val="00E94872"/>
    <w:rsid w:val="00E94A05"/>
    <w:rsid w:val="00E95660"/>
    <w:rsid w:val="00E95B86"/>
    <w:rsid w:val="00E96803"/>
    <w:rsid w:val="00E973BB"/>
    <w:rsid w:val="00E97582"/>
    <w:rsid w:val="00E9778C"/>
    <w:rsid w:val="00E97798"/>
    <w:rsid w:val="00E97AD1"/>
    <w:rsid w:val="00EA0BD0"/>
    <w:rsid w:val="00EA0DFB"/>
    <w:rsid w:val="00EA11F7"/>
    <w:rsid w:val="00EA1B59"/>
    <w:rsid w:val="00EA1ECC"/>
    <w:rsid w:val="00EA247C"/>
    <w:rsid w:val="00EA2657"/>
    <w:rsid w:val="00EA26AB"/>
    <w:rsid w:val="00EA26D6"/>
    <w:rsid w:val="00EA29C6"/>
    <w:rsid w:val="00EA2A37"/>
    <w:rsid w:val="00EA31A7"/>
    <w:rsid w:val="00EA31AF"/>
    <w:rsid w:val="00EA40AE"/>
    <w:rsid w:val="00EA45D1"/>
    <w:rsid w:val="00EA4C83"/>
    <w:rsid w:val="00EA5690"/>
    <w:rsid w:val="00EA59F8"/>
    <w:rsid w:val="00EA5A8A"/>
    <w:rsid w:val="00EA5D1A"/>
    <w:rsid w:val="00EA6A07"/>
    <w:rsid w:val="00EA6C95"/>
    <w:rsid w:val="00EA7024"/>
    <w:rsid w:val="00EA769B"/>
    <w:rsid w:val="00EA772B"/>
    <w:rsid w:val="00EA79F0"/>
    <w:rsid w:val="00EA7BB2"/>
    <w:rsid w:val="00EB023F"/>
    <w:rsid w:val="00EB0610"/>
    <w:rsid w:val="00EB081B"/>
    <w:rsid w:val="00EB0CC4"/>
    <w:rsid w:val="00EB0D93"/>
    <w:rsid w:val="00EB10D6"/>
    <w:rsid w:val="00EB111D"/>
    <w:rsid w:val="00EB129D"/>
    <w:rsid w:val="00EB16DA"/>
    <w:rsid w:val="00EB235C"/>
    <w:rsid w:val="00EB3D67"/>
    <w:rsid w:val="00EB4965"/>
    <w:rsid w:val="00EB5382"/>
    <w:rsid w:val="00EB54CF"/>
    <w:rsid w:val="00EB5A2D"/>
    <w:rsid w:val="00EB61B5"/>
    <w:rsid w:val="00EB6269"/>
    <w:rsid w:val="00EB66C9"/>
    <w:rsid w:val="00EB6BA0"/>
    <w:rsid w:val="00EB6C4A"/>
    <w:rsid w:val="00EB6C72"/>
    <w:rsid w:val="00EB6E7E"/>
    <w:rsid w:val="00EB7371"/>
    <w:rsid w:val="00EB768C"/>
    <w:rsid w:val="00EB7805"/>
    <w:rsid w:val="00EB7CF9"/>
    <w:rsid w:val="00EC00B9"/>
    <w:rsid w:val="00EC036C"/>
    <w:rsid w:val="00EC0542"/>
    <w:rsid w:val="00EC0D18"/>
    <w:rsid w:val="00EC0E00"/>
    <w:rsid w:val="00EC2A40"/>
    <w:rsid w:val="00EC2F70"/>
    <w:rsid w:val="00EC30E3"/>
    <w:rsid w:val="00EC3351"/>
    <w:rsid w:val="00EC40CD"/>
    <w:rsid w:val="00EC422E"/>
    <w:rsid w:val="00EC4F61"/>
    <w:rsid w:val="00EC5243"/>
    <w:rsid w:val="00EC5484"/>
    <w:rsid w:val="00EC57B0"/>
    <w:rsid w:val="00EC6609"/>
    <w:rsid w:val="00EC6732"/>
    <w:rsid w:val="00EC6791"/>
    <w:rsid w:val="00EC69CE"/>
    <w:rsid w:val="00ED0001"/>
    <w:rsid w:val="00ED0077"/>
    <w:rsid w:val="00ED0173"/>
    <w:rsid w:val="00ED01C4"/>
    <w:rsid w:val="00ED0929"/>
    <w:rsid w:val="00ED0AD4"/>
    <w:rsid w:val="00ED0E0A"/>
    <w:rsid w:val="00ED1242"/>
    <w:rsid w:val="00ED1E42"/>
    <w:rsid w:val="00ED1F72"/>
    <w:rsid w:val="00ED2275"/>
    <w:rsid w:val="00ED22C7"/>
    <w:rsid w:val="00ED29A3"/>
    <w:rsid w:val="00ED2D5F"/>
    <w:rsid w:val="00ED2EAB"/>
    <w:rsid w:val="00ED32B1"/>
    <w:rsid w:val="00ED3835"/>
    <w:rsid w:val="00ED488B"/>
    <w:rsid w:val="00ED4A3A"/>
    <w:rsid w:val="00ED4E1B"/>
    <w:rsid w:val="00ED51C8"/>
    <w:rsid w:val="00ED5223"/>
    <w:rsid w:val="00ED60E9"/>
    <w:rsid w:val="00ED639D"/>
    <w:rsid w:val="00ED64B4"/>
    <w:rsid w:val="00ED6553"/>
    <w:rsid w:val="00ED6D1B"/>
    <w:rsid w:val="00ED7655"/>
    <w:rsid w:val="00ED7689"/>
    <w:rsid w:val="00ED7CE2"/>
    <w:rsid w:val="00EE0807"/>
    <w:rsid w:val="00EE106E"/>
    <w:rsid w:val="00EE1173"/>
    <w:rsid w:val="00EE1578"/>
    <w:rsid w:val="00EE1F9E"/>
    <w:rsid w:val="00EE224C"/>
    <w:rsid w:val="00EE22EB"/>
    <w:rsid w:val="00EE23C8"/>
    <w:rsid w:val="00EE26F1"/>
    <w:rsid w:val="00EE2D6D"/>
    <w:rsid w:val="00EE2DF2"/>
    <w:rsid w:val="00EE34D6"/>
    <w:rsid w:val="00EE36F2"/>
    <w:rsid w:val="00EE3D1D"/>
    <w:rsid w:val="00EE42BC"/>
    <w:rsid w:val="00EE478D"/>
    <w:rsid w:val="00EE55F9"/>
    <w:rsid w:val="00EE5B5F"/>
    <w:rsid w:val="00EE6307"/>
    <w:rsid w:val="00EE6382"/>
    <w:rsid w:val="00EE6643"/>
    <w:rsid w:val="00EE7442"/>
    <w:rsid w:val="00EE780C"/>
    <w:rsid w:val="00EE7B0C"/>
    <w:rsid w:val="00EF03DB"/>
    <w:rsid w:val="00EF05B4"/>
    <w:rsid w:val="00EF0839"/>
    <w:rsid w:val="00EF0CC7"/>
    <w:rsid w:val="00EF0E55"/>
    <w:rsid w:val="00EF0FE6"/>
    <w:rsid w:val="00EF11A2"/>
    <w:rsid w:val="00EF17D4"/>
    <w:rsid w:val="00EF1BF7"/>
    <w:rsid w:val="00EF1C90"/>
    <w:rsid w:val="00EF259E"/>
    <w:rsid w:val="00EF2671"/>
    <w:rsid w:val="00EF3961"/>
    <w:rsid w:val="00EF3B67"/>
    <w:rsid w:val="00EF3C19"/>
    <w:rsid w:val="00EF4A76"/>
    <w:rsid w:val="00EF5884"/>
    <w:rsid w:val="00EF650B"/>
    <w:rsid w:val="00EF6646"/>
    <w:rsid w:val="00EF67A2"/>
    <w:rsid w:val="00EF67A3"/>
    <w:rsid w:val="00EF76E4"/>
    <w:rsid w:val="00EF7AAD"/>
    <w:rsid w:val="00F00672"/>
    <w:rsid w:val="00F01064"/>
    <w:rsid w:val="00F01C80"/>
    <w:rsid w:val="00F01F4C"/>
    <w:rsid w:val="00F027EF"/>
    <w:rsid w:val="00F02D45"/>
    <w:rsid w:val="00F0305F"/>
    <w:rsid w:val="00F040C9"/>
    <w:rsid w:val="00F05219"/>
    <w:rsid w:val="00F055EF"/>
    <w:rsid w:val="00F058E8"/>
    <w:rsid w:val="00F05AA7"/>
    <w:rsid w:val="00F06FE3"/>
    <w:rsid w:val="00F070C2"/>
    <w:rsid w:val="00F07472"/>
    <w:rsid w:val="00F074AC"/>
    <w:rsid w:val="00F1039D"/>
    <w:rsid w:val="00F104C0"/>
    <w:rsid w:val="00F11334"/>
    <w:rsid w:val="00F114E8"/>
    <w:rsid w:val="00F115D1"/>
    <w:rsid w:val="00F11727"/>
    <w:rsid w:val="00F1180C"/>
    <w:rsid w:val="00F11812"/>
    <w:rsid w:val="00F121EC"/>
    <w:rsid w:val="00F12CC6"/>
    <w:rsid w:val="00F13228"/>
    <w:rsid w:val="00F1351F"/>
    <w:rsid w:val="00F13521"/>
    <w:rsid w:val="00F13607"/>
    <w:rsid w:val="00F138E0"/>
    <w:rsid w:val="00F144B7"/>
    <w:rsid w:val="00F145C7"/>
    <w:rsid w:val="00F14806"/>
    <w:rsid w:val="00F152DB"/>
    <w:rsid w:val="00F1548D"/>
    <w:rsid w:val="00F1596B"/>
    <w:rsid w:val="00F159D0"/>
    <w:rsid w:val="00F15AEC"/>
    <w:rsid w:val="00F15C53"/>
    <w:rsid w:val="00F15E64"/>
    <w:rsid w:val="00F1692E"/>
    <w:rsid w:val="00F16BB3"/>
    <w:rsid w:val="00F172D1"/>
    <w:rsid w:val="00F17522"/>
    <w:rsid w:val="00F17916"/>
    <w:rsid w:val="00F17D35"/>
    <w:rsid w:val="00F2030E"/>
    <w:rsid w:val="00F20949"/>
    <w:rsid w:val="00F20C42"/>
    <w:rsid w:val="00F20F8A"/>
    <w:rsid w:val="00F21321"/>
    <w:rsid w:val="00F21969"/>
    <w:rsid w:val="00F21EE8"/>
    <w:rsid w:val="00F22101"/>
    <w:rsid w:val="00F22855"/>
    <w:rsid w:val="00F22959"/>
    <w:rsid w:val="00F229D4"/>
    <w:rsid w:val="00F230D0"/>
    <w:rsid w:val="00F232AC"/>
    <w:rsid w:val="00F23397"/>
    <w:rsid w:val="00F23467"/>
    <w:rsid w:val="00F23DB1"/>
    <w:rsid w:val="00F2450F"/>
    <w:rsid w:val="00F250B4"/>
    <w:rsid w:val="00F2544F"/>
    <w:rsid w:val="00F25EA1"/>
    <w:rsid w:val="00F261A3"/>
    <w:rsid w:val="00F26789"/>
    <w:rsid w:val="00F26900"/>
    <w:rsid w:val="00F27244"/>
    <w:rsid w:val="00F27C32"/>
    <w:rsid w:val="00F27D1E"/>
    <w:rsid w:val="00F300B3"/>
    <w:rsid w:val="00F30911"/>
    <w:rsid w:val="00F309E1"/>
    <w:rsid w:val="00F30E37"/>
    <w:rsid w:val="00F30EFA"/>
    <w:rsid w:val="00F31397"/>
    <w:rsid w:val="00F31770"/>
    <w:rsid w:val="00F31BE2"/>
    <w:rsid w:val="00F32010"/>
    <w:rsid w:val="00F323F6"/>
    <w:rsid w:val="00F326D0"/>
    <w:rsid w:val="00F32AE7"/>
    <w:rsid w:val="00F3547C"/>
    <w:rsid w:val="00F35FD4"/>
    <w:rsid w:val="00F361C0"/>
    <w:rsid w:val="00F37694"/>
    <w:rsid w:val="00F37E4E"/>
    <w:rsid w:val="00F40046"/>
    <w:rsid w:val="00F4090A"/>
    <w:rsid w:val="00F40FB7"/>
    <w:rsid w:val="00F41035"/>
    <w:rsid w:val="00F412D2"/>
    <w:rsid w:val="00F414A9"/>
    <w:rsid w:val="00F41E8A"/>
    <w:rsid w:val="00F42C6F"/>
    <w:rsid w:val="00F43166"/>
    <w:rsid w:val="00F439DD"/>
    <w:rsid w:val="00F44A76"/>
    <w:rsid w:val="00F44C09"/>
    <w:rsid w:val="00F452E1"/>
    <w:rsid w:val="00F457A1"/>
    <w:rsid w:val="00F457FA"/>
    <w:rsid w:val="00F45D6D"/>
    <w:rsid w:val="00F46A2D"/>
    <w:rsid w:val="00F46B8D"/>
    <w:rsid w:val="00F4722B"/>
    <w:rsid w:val="00F47930"/>
    <w:rsid w:val="00F47CAF"/>
    <w:rsid w:val="00F50001"/>
    <w:rsid w:val="00F50281"/>
    <w:rsid w:val="00F50340"/>
    <w:rsid w:val="00F510E7"/>
    <w:rsid w:val="00F5110B"/>
    <w:rsid w:val="00F51145"/>
    <w:rsid w:val="00F5115A"/>
    <w:rsid w:val="00F5143B"/>
    <w:rsid w:val="00F515E9"/>
    <w:rsid w:val="00F5170A"/>
    <w:rsid w:val="00F5195B"/>
    <w:rsid w:val="00F51B7D"/>
    <w:rsid w:val="00F51EAD"/>
    <w:rsid w:val="00F51FCB"/>
    <w:rsid w:val="00F52212"/>
    <w:rsid w:val="00F52E4A"/>
    <w:rsid w:val="00F533D6"/>
    <w:rsid w:val="00F53C46"/>
    <w:rsid w:val="00F5404A"/>
    <w:rsid w:val="00F543C3"/>
    <w:rsid w:val="00F56E2D"/>
    <w:rsid w:val="00F578F3"/>
    <w:rsid w:val="00F60106"/>
    <w:rsid w:val="00F60BE9"/>
    <w:rsid w:val="00F60C6F"/>
    <w:rsid w:val="00F61558"/>
    <w:rsid w:val="00F61782"/>
    <w:rsid w:val="00F6271D"/>
    <w:rsid w:val="00F6283E"/>
    <w:rsid w:val="00F62BD3"/>
    <w:rsid w:val="00F63047"/>
    <w:rsid w:val="00F63182"/>
    <w:rsid w:val="00F63220"/>
    <w:rsid w:val="00F63256"/>
    <w:rsid w:val="00F635F4"/>
    <w:rsid w:val="00F63C0E"/>
    <w:rsid w:val="00F64540"/>
    <w:rsid w:val="00F65547"/>
    <w:rsid w:val="00F655F4"/>
    <w:rsid w:val="00F659FF"/>
    <w:rsid w:val="00F65C38"/>
    <w:rsid w:val="00F6605E"/>
    <w:rsid w:val="00F660C8"/>
    <w:rsid w:val="00F664E2"/>
    <w:rsid w:val="00F66841"/>
    <w:rsid w:val="00F66D9F"/>
    <w:rsid w:val="00F66E35"/>
    <w:rsid w:val="00F6714A"/>
    <w:rsid w:val="00F67182"/>
    <w:rsid w:val="00F70506"/>
    <w:rsid w:val="00F7080F"/>
    <w:rsid w:val="00F70990"/>
    <w:rsid w:val="00F71021"/>
    <w:rsid w:val="00F71248"/>
    <w:rsid w:val="00F718A6"/>
    <w:rsid w:val="00F71CB7"/>
    <w:rsid w:val="00F72374"/>
    <w:rsid w:val="00F72A4D"/>
    <w:rsid w:val="00F737E6"/>
    <w:rsid w:val="00F7388B"/>
    <w:rsid w:val="00F73D54"/>
    <w:rsid w:val="00F74A6B"/>
    <w:rsid w:val="00F74BC4"/>
    <w:rsid w:val="00F752FE"/>
    <w:rsid w:val="00F75376"/>
    <w:rsid w:val="00F7547A"/>
    <w:rsid w:val="00F76F3A"/>
    <w:rsid w:val="00F7720E"/>
    <w:rsid w:val="00F77452"/>
    <w:rsid w:val="00F779FC"/>
    <w:rsid w:val="00F77B5E"/>
    <w:rsid w:val="00F80010"/>
    <w:rsid w:val="00F8125E"/>
    <w:rsid w:val="00F8141E"/>
    <w:rsid w:val="00F81704"/>
    <w:rsid w:val="00F81C8B"/>
    <w:rsid w:val="00F81F83"/>
    <w:rsid w:val="00F820ED"/>
    <w:rsid w:val="00F8259E"/>
    <w:rsid w:val="00F82A6B"/>
    <w:rsid w:val="00F82B7D"/>
    <w:rsid w:val="00F82FE0"/>
    <w:rsid w:val="00F82FE9"/>
    <w:rsid w:val="00F838D6"/>
    <w:rsid w:val="00F83B67"/>
    <w:rsid w:val="00F83D15"/>
    <w:rsid w:val="00F83E0F"/>
    <w:rsid w:val="00F847E9"/>
    <w:rsid w:val="00F84852"/>
    <w:rsid w:val="00F85725"/>
    <w:rsid w:val="00F85805"/>
    <w:rsid w:val="00F85E43"/>
    <w:rsid w:val="00F86545"/>
    <w:rsid w:val="00F86584"/>
    <w:rsid w:val="00F865FF"/>
    <w:rsid w:val="00F86BC7"/>
    <w:rsid w:val="00F87252"/>
    <w:rsid w:val="00F87A23"/>
    <w:rsid w:val="00F90012"/>
    <w:rsid w:val="00F903E6"/>
    <w:rsid w:val="00F904E5"/>
    <w:rsid w:val="00F90823"/>
    <w:rsid w:val="00F90841"/>
    <w:rsid w:val="00F925CD"/>
    <w:rsid w:val="00F9315E"/>
    <w:rsid w:val="00F93A83"/>
    <w:rsid w:val="00F93B20"/>
    <w:rsid w:val="00F93D5E"/>
    <w:rsid w:val="00F93F88"/>
    <w:rsid w:val="00F9460C"/>
    <w:rsid w:val="00F94C0E"/>
    <w:rsid w:val="00F94C66"/>
    <w:rsid w:val="00F9573C"/>
    <w:rsid w:val="00F964D4"/>
    <w:rsid w:val="00F96E89"/>
    <w:rsid w:val="00FA032E"/>
    <w:rsid w:val="00FA036A"/>
    <w:rsid w:val="00FA0726"/>
    <w:rsid w:val="00FA1475"/>
    <w:rsid w:val="00FA163F"/>
    <w:rsid w:val="00FA175D"/>
    <w:rsid w:val="00FA177E"/>
    <w:rsid w:val="00FA196A"/>
    <w:rsid w:val="00FA1A55"/>
    <w:rsid w:val="00FA2550"/>
    <w:rsid w:val="00FA265A"/>
    <w:rsid w:val="00FA2D62"/>
    <w:rsid w:val="00FA2EAE"/>
    <w:rsid w:val="00FA2EE8"/>
    <w:rsid w:val="00FA30E0"/>
    <w:rsid w:val="00FA3684"/>
    <w:rsid w:val="00FA37E4"/>
    <w:rsid w:val="00FA41AF"/>
    <w:rsid w:val="00FA4590"/>
    <w:rsid w:val="00FA5589"/>
    <w:rsid w:val="00FA5854"/>
    <w:rsid w:val="00FA65B7"/>
    <w:rsid w:val="00FA66FB"/>
    <w:rsid w:val="00FA69E2"/>
    <w:rsid w:val="00FA76E2"/>
    <w:rsid w:val="00FA7E7B"/>
    <w:rsid w:val="00FB04BD"/>
    <w:rsid w:val="00FB05D9"/>
    <w:rsid w:val="00FB086F"/>
    <w:rsid w:val="00FB1269"/>
    <w:rsid w:val="00FB179D"/>
    <w:rsid w:val="00FB22A4"/>
    <w:rsid w:val="00FB2722"/>
    <w:rsid w:val="00FB2B64"/>
    <w:rsid w:val="00FB2FDA"/>
    <w:rsid w:val="00FB3000"/>
    <w:rsid w:val="00FB316C"/>
    <w:rsid w:val="00FB4A70"/>
    <w:rsid w:val="00FB57D3"/>
    <w:rsid w:val="00FB58EF"/>
    <w:rsid w:val="00FB5B77"/>
    <w:rsid w:val="00FB6023"/>
    <w:rsid w:val="00FB6300"/>
    <w:rsid w:val="00FB6358"/>
    <w:rsid w:val="00FC031C"/>
    <w:rsid w:val="00FC03FC"/>
    <w:rsid w:val="00FC0B69"/>
    <w:rsid w:val="00FC1167"/>
    <w:rsid w:val="00FC1B9F"/>
    <w:rsid w:val="00FC244A"/>
    <w:rsid w:val="00FC2501"/>
    <w:rsid w:val="00FC27EB"/>
    <w:rsid w:val="00FC2AC6"/>
    <w:rsid w:val="00FC2D83"/>
    <w:rsid w:val="00FC352A"/>
    <w:rsid w:val="00FC3A19"/>
    <w:rsid w:val="00FC3AB4"/>
    <w:rsid w:val="00FC3B71"/>
    <w:rsid w:val="00FC43B2"/>
    <w:rsid w:val="00FC43D8"/>
    <w:rsid w:val="00FC59D5"/>
    <w:rsid w:val="00FC5E60"/>
    <w:rsid w:val="00FC6127"/>
    <w:rsid w:val="00FC6524"/>
    <w:rsid w:val="00FC66DF"/>
    <w:rsid w:val="00FC69B8"/>
    <w:rsid w:val="00FC6ABF"/>
    <w:rsid w:val="00FC7097"/>
    <w:rsid w:val="00FD0258"/>
    <w:rsid w:val="00FD070C"/>
    <w:rsid w:val="00FD09D9"/>
    <w:rsid w:val="00FD0C66"/>
    <w:rsid w:val="00FD0D39"/>
    <w:rsid w:val="00FD1CDE"/>
    <w:rsid w:val="00FD1D60"/>
    <w:rsid w:val="00FD1F94"/>
    <w:rsid w:val="00FD228D"/>
    <w:rsid w:val="00FD2296"/>
    <w:rsid w:val="00FD2612"/>
    <w:rsid w:val="00FD28EB"/>
    <w:rsid w:val="00FD2F0B"/>
    <w:rsid w:val="00FD30CC"/>
    <w:rsid w:val="00FD3305"/>
    <w:rsid w:val="00FD3C48"/>
    <w:rsid w:val="00FD3D58"/>
    <w:rsid w:val="00FD4726"/>
    <w:rsid w:val="00FD4EA3"/>
    <w:rsid w:val="00FD513F"/>
    <w:rsid w:val="00FD5844"/>
    <w:rsid w:val="00FD5FC3"/>
    <w:rsid w:val="00FD60B1"/>
    <w:rsid w:val="00FD6590"/>
    <w:rsid w:val="00FD6C6A"/>
    <w:rsid w:val="00FD6DC4"/>
    <w:rsid w:val="00FD7C70"/>
    <w:rsid w:val="00FE011C"/>
    <w:rsid w:val="00FE0750"/>
    <w:rsid w:val="00FE0EAD"/>
    <w:rsid w:val="00FE1179"/>
    <w:rsid w:val="00FE141F"/>
    <w:rsid w:val="00FE19BF"/>
    <w:rsid w:val="00FE2B34"/>
    <w:rsid w:val="00FE2ED2"/>
    <w:rsid w:val="00FE3879"/>
    <w:rsid w:val="00FE3B85"/>
    <w:rsid w:val="00FE3D83"/>
    <w:rsid w:val="00FE4555"/>
    <w:rsid w:val="00FE463B"/>
    <w:rsid w:val="00FE49D3"/>
    <w:rsid w:val="00FE5DBE"/>
    <w:rsid w:val="00FE75A5"/>
    <w:rsid w:val="00FF0180"/>
    <w:rsid w:val="00FF0E7D"/>
    <w:rsid w:val="00FF1253"/>
    <w:rsid w:val="00FF1F45"/>
    <w:rsid w:val="00FF2267"/>
    <w:rsid w:val="00FF320B"/>
    <w:rsid w:val="00FF3597"/>
    <w:rsid w:val="00FF38B2"/>
    <w:rsid w:val="00FF4300"/>
    <w:rsid w:val="00FF4610"/>
    <w:rsid w:val="00FF4FF2"/>
    <w:rsid w:val="00FF527B"/>
    <w:rsid w:val="00FF55FC"/>
    <w:rsid w:val="00FF76B9"/>
    <w:rsid w:val="00FF7F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70C027"/>
  <w15:docId w15:val="{2E8D2747-DA62-42C2-8C42-67025A8A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8"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DC4"/>
    <w:pPr>
      <w:spacing w:after="0" w:line="240" w:lineRule="auto"/>
    </w:pPr>
  </w:style>
  <w:style w:type="paragraph" w:styleId="Heading1">
    <w:name w:val="heading 1"/>
    <w:basedOn w:val="Normal"/>
    <w:next w:val="Normal"/>
    <w:link w:val="Heading1Char"/>
    <w:uiPriority w:val="9"/>
    <w:qFormat/>
    <w:rsid w:val="00C93C4B"/>
    <w:pPr>
      <w:keepNext/>
      <w:keepLines/>
      <w:numPr>
        <w:numId w:val="53"/>
      </w:numPr>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8"/>
    <w:unhideWhenUsed/>
    <w:qFormat/>
    <w:rsid w:val="004F3338"/>
    <w:pPr>
      <w:keepNext/>
      <w:keepLines/>
      <w:numPr>
        <w:ilvl w:val="1"/>
        <w:numId w:val="53"/>
      </w:numPr>
      <w:spacing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8"/>
    <w:unhideWhenUsed/>
    <w:qFormat/>
    <w:rsid w:val="00C93C4B"/>
    <w:pPr>
      <w:keepNext/>
      <w:keepLines/>
      <w:numPr>
        <w:ilvl w:val="2"/>
        <w:numId w:val="53"/>
      </w:numPr>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2F176B"/>
    <w:pPr>
      <w:keepNext/>
      <w:keepLines/>
      <w:numPr>
        <w:ilvl w:val="3"/>
        <w:numId w:val="53"/>
      </w:numPr>
      <w:spacing w:before="40" w:line="259" w:lineRule="auto"/>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unhideWhenUsed/>
    <w:qFormat/>
    <w:rsid w:val="00EA769B"/>
    <w:pPr>
      <w:keepNext/>
      <w:keepLines/>
      <w:numPr>
        <w:ilvl w:val="4"/>
        <w:numId w:val="53"/>
      </w:numPr>
      <w:spacing w:before="40" w:line="259" w:lineRule="auto"/>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next w:val="Normal"/>
    <w:link w:val="Heading6Char"/>
    <w:uiPriority w:val="9"/>
    <w:semiHidden/>
    <w:unhideWhenUsed/>
    <w:qFormat/>
    <w:rsid w:val="00EA769B"/>
    <w:pPr>
      <w:keepNext/>
      <w:keepLines/>
      <w:numPr>
        <w:ilvl w:val="5"/>
        <w:numId w:val="53"/>
      </w:numPr>
      <w:spacing w:before="40" w:line="259" w:lineRule="auto"/>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semiHidden/>
    <w:unhideWhenUsed/>
    <w:qFormat/>
    <w:rsid w:val="00EA769B"/>
    <w:pPr>
      <w:keepNext/>
      <w:keepLines/>
      <w:numPr>
        <w:ilvl w:val="6"/>
        <w:numId w:val="53"/>
      </w:numPr>
      <w:spacing w:before="40" w:line="259" w:lineRule="auto"/>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EA769B"/>
    <w:pPr>
      <w:keepNext/>
      <w:keepLines/>
      <w:numPr>
        <w:ilvl w:val="7"/>
        <w:numId w:val="53"/>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769B"/>
    <w:pPr>
      <w:keepNext/>
      <w:keepLines/>
      <w:numPr>
        <w:ilvl w:val="8"/>
        <w:numId w:val="53"/>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C4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8"/>
    <w:rsid w:val="004F33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8"/>
    <w:rsid w:val="00C93C4B"/>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2F176B"/>
    <w:rPr>
      <w:rFonts w:asciiTheme="majorHAnsi" w:eastAsiaTheme="majorEastAsia" w:hAnsiTheme="majorHAnsi" w:cstheme="majorBidi"/>
      <w:i/>
      <w:iCs/>
      <w:color w:val="2E74B5" w:themeColor="accent1" w:themeShade="BF"/>
      <w:sz w:val="22"/>
      <w:szCs w:val="22"/>
    </w:rPr>
  </w:style>
  <w:style w:type="paragraph" w:styleId="ListParagraph">
    <w:name w:val="List Paragraph"/>
    <w:basedOn w:val="Normal"/>
    <w:uiPriority w:val="34"/>
    <w:qFormat/>
    <w:rsid w:val="00B301A9"/>
    <w:pPr>
      <w:spacing w:after="160" w:line="259" w:lineRule="auto"/>
      <w:ind w:left="720"/>
      <w:contextualSpacing/>
    </w:pPr>
    <w:rPr>
      <w:rFonts w:asciiTheme="minorHAnsi" w:hAnsiTheme="minorHAnsi" w:cstheme="minorBidi"/>
      <w:sz w:val="22"/>
      <w:szCs w:val="22"/>
    </w:rPr>
  </w:style>
  <w:style w:type="table" w:styleId="TableGrid">
    <w:name w:val="Table Grid"/>
    <w:basedOn w:val="TableNormal"/>
    <w:uiPriority w:val="39"/>
    <w:rsid w:val="00DE4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DE4FA3"/>
    <w:rPr>
      <w:sz w:val="16"/>
      <w:szCs w:val="16"/>
    </w:rPr>
  </w:style>
  <w:style w:type="paragraph" w:styleId="CommentText">
    <w:name w:val="annotation text"/>
    <w:basedOn w:val="Normal"/>
    <w:link w:val="CommentTextChar"/>
    <w:unhideWhenUsed/>
    <w:rsid w:val="00DE4FA3"/>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rsid w:val="00DE4FA3"/>
    <w:rPr>
      <w:sz w:val="20"/>
      <w:szCs w:val="20"/>
    </w:rPr>
  </w:style>
  <w:style w:type="paragraph" w:styleId="BalloonText">
    <w:name w:val="Balloon Text"/>
    <w:basedOn w:val="Normal"/>
    <w:link w:val="BalloonTextChar"/>
    <w:semiHidden/>
    <w:unhideWhenUsed/>
    <w:rsid w:val="00C01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425"/>
    <w:rPr>
      <w:rFonts w:ascii="Segoe UI" w:hAnsi="Segoe UI" w:cs="Segoe UI"/>
      <w:sz w:val="18"/>
      <w:szCs w:val="18"/>
    </w:rPr>
  </w:style>
  <w:style w:type="character" w:styleId="Hyperlink">
    <w:name w:val="Hyperlink"/>
    <w:basedOn w:val="DefaultParagraphFont"/>
    <w:uiPriority w:val="99"/>
    <w:unhideWhenUsed/>
    <w:rsid w:val="00C01425"/>
    <w:rPr>
      <w:color w:val="0000FF"/>
      <w:u w:val="single"/>
    </w:rPr>
  </w:style>
  <w:style w:type="character" w:customStyle="1" w:styleId="refauthors">
    <w:name w:val="refauthors"/>
    <w:basedOn w:val="DefaultParagraphFont"/>
    <w:rsid w:val="003E75FB"/>
  </w:style>
  <w:style w:type="character" w:customStyle="1" w:styleId="reftitle">
    <w:name w:val="reftitle"/>
    <w:basedOn w:val="DefaultParagraphFont"/>
    <w:rsid w:val="003E75FB"/>
  </w:style>
  <w:style w:type="character" w:customStyle="1" w:styleId="refpublishername">
    <w:name w:val="refpublishername"/>
    <w:basedOn w:val="DefaultParagraphFont"/>
    <w:rsid w:val="003E75FB"/>
  </w:style>
  <w:style w:type="character" w:customStyle="1" w:styleId="refpublisherloc">
    <w:name w:val="refpublisherloc"/>
    <w:basedOn w:val="DefaultParagraphFont"/>
    <w:rsid w:val="003E75FB"/>
  </w:style>
  <w:style w:type="character" w:customStyle="1" w:styleId="refdate">
    <w:name w:val="refdate"/>
    <w:basedOn w:val="DefaultParagraphFont"/>
    <w:rsid w:val="003E75FB"/>
  </w:style>
  <w:style w:type="table" w:customStyle="1" w:styleId="TableGrid1">
    <w:name w:val="Table Grid1"/>
    <w:basedOn w:val="TableNormal"/>
    <w:next w:val="TableGrid"/>
    <w:uiPriority w:val="39"/>
    <w:rsid w:val="006663A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93C4B"/>
    <w:pPr>
      <w:outlineLvl w:val="9"/>
    </w:pPr>
    <w:rPr>
      <w:lang w:val="en-US"/>
    </w:rPr>
  </w:style>
  <w:style w:type="paragraph" w:styleId="TOC3">
    <w:name w:val="toc 3"/>
    <w:basedOn w:val="Normal"/>
    <w:next w:val="Normal"/>
    <w:autoRedefine/>
    <w:uiPriority w:val="39"/>
    <w:unhideWhenUsed/>
    <w:rsid w:val="00255573"/>
    <w:pPr>
      <w:tabs>
        <w:tab w:val="left" w:pos="1320"/>
        <w:tab w:val="right" w:leader="dot" w:pos="9350"/>
      </w:tabs>
      <w:spacing w:after="100" w:line="259" w:lineRule="auto"/>
      <w:ind w:left="440"/>
    </w:pPr>
    <w:rPr>
      <w:rFonts w:asciiTheme="minorHAnsi" w:hAnsiTheme="minorHAnsi" w:cstheme="minorBidi"/>
      <w:sz w:val="22"/>
      <w:szCs w:val="22"/>
    </w:rPr>
  </w:style>
  <w:style w:type="paragraph" w:styleId="TOC1">
    <w:name w:val="toc 1"/>
    <w:basedOn w:val="Normal"/>
    <w:next w:val="Normal"/>
    <w:autoRedefine/>
    <w:uiPriority w:val="39"/>
    <w:unhideWhenUsed/>
    <w:rsid w:val="002C440E"/>
    <w:pPr>
      <w:tabs>
        <w:tab w:val="right" w:leader="dot" w:pos="9350"/>
      </w:tabs>
      <w:spacing w:after="100" w:line="259" w:lineRule="auto"/>
    </w:pPr>
    <w:rPr>
      <w:rFonts w:asciiTheme="minorHAnsi" w:hAnsiTheme="minorHAnsi" w:cstheme="minorBidi"/>
      <w:sz w:val="22"/>
      <w:szCs w:val="22"/>
    </w:rPr>
  </w:style>
  <w:style w:type="paragraph" w:styleId="TOC2">
    <w:name w:val="toc 2"/>
    <w:basedOn w:val="Normal"/>
    <w:next w:val="Normal"/>
    <w:autoRedefine/>
    <w:uiPriority w:val="39"/>
    <w:unhideWhenUsed/>
    <w:rsid w:val="00255573"/>
    <w:pPr>
      <w:tabs>
        <w:tab w:val="right" w:leader="dot" w:pos="9350"/>
      </w:tabs>
      <w:spacing w:after="100" w:line="259" w:lineRule="auto"/>
      <w:ind w:left="220"/>
    </w:pPr>
    <w:rPr>
      <w:rFonts w:ascii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27254C"/>
    <w:rPr>
      <w:b/>
      <w:bCs/>
    </w:rPr>
  </w:style>
  <w:style w:type="character" w:customStyle="1" w:styleId="CommentSubjectChar">
    <w:name w:val="Comment Subject Char"/>
    <w:basedOn w:val="CommentTextChar"/>
    <w:link w:val="CommentSubject"/>
    <w:uiPriority w:val="99"/>
    <w:semiHidden/>
    <w:rsid w:val="0027254C"/>
    <w:rPr>
      <w:b/>
      <w:bCs/>
      <w:sz w:val="20"/>
      <w:szCs w:val="20"/>
    </w:rPr>
  </w:style>
  <w:style w:type="table" w:customStyle="1" w:styleId="TableGrid3">
    <w:name w:val="Table Grid3"/>
    <w:basedOn w:val="TableNormal"/>
    <w:next w:val="TableGrid"/>
    <w:rsid w:val="00DD7E23"/>
    <w:pPr>
      <w:spacing w:after="0" w:line="240" w:lineRule="auto"/>
    </w:pPr>
    <w:rPr>
      <w:rFonts w:eastAsia="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2B54ED"/>
  </w:style>
  <w:style w:type="character" w:customStyle="1" w:styleId="UnresolvedMention1">
    <w:name w:val="Unresolved Mention1"/>
    <w:basedOn w:val="DefaultParagraphFont"/>
    <w:uiPriority w:val="99"/>
    <w:semiHidden/>
    <w:unhideWhenUsed/>
    <w:rsid w:val="001766CE"/>
    <w:rPr>
      <w:color w:val="605E5C"/>
      <w:shd w:val="clear" w:color="auto" w:fill="E1DFDD"/>
    </w:rPr>
  </w:style>
  <w:style w:type="paragraph" w:styleId="Header">
    <w:name w:val="header"/>
    <w:basedOn w:val="Normal"/>
    <w:link w:val="HeaderChar"/>
    <w:uiPriority w:val="99"/>
    <w:unhideWhenUsed/>
    <w:rsid w:val="00A14CB0"/>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14CB0"/>
  </w:style>
  <w:style w:type="paragraph" w:styleId="Footer">
    <w:name w:val="footer"/>
    <w:basedOn w:val="Normal"/>
    <w:link w:val="FooterChar"/>
    <w:uiPriority w:val="99"/>
    <w:unhideWhenUsed/>
    <w:rsid w:val="00A14CB0"/>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A14CB0"/>
  </w:style>
  <w:style w:type="paragraph" w:styleId="Bibliography">
    <w:name w:val="Bibliography"/>
    <w:basedOn w:val="Normal"/>
    <w:next w:val="Normal"/>
    <w:uiPriority w:val="37"/>
    <w:unhideWhenUsed/>
    <w:rsid w:val="00C715AC"/>
  </w:style>
  <w:style w:type="character" w:styleId="Emphasis">
    <w:name w:val="Emphasis"/>
    <w:basedOn w:val="DefaultParagraphFont"/>
    <w:uiPriority w:val="20"/>
    <w:qFormat/>
    <w:rsid w:val="006A60A7"/>
    <w:rPr>
      <w:i/>
      <w:iCs/>
    </w:rPr>
  </w:style>
  <w:style w:type="character" w:customStyle="1" w:styleId="UnresolvedMention2">
    <w:name w:val="Unresolved Mention2"/>
    <w:basedOn w:val="DefaultParagraphFont"/>
    <w:uiPriority w:val="99"/>
    <w:semiHidden/>
    <w:unhideWhenUsed/>
    <w:rsid w:val="008555DB"/>
    <w:rPr>
      <w:color w:val="605E5C"/>
      <w:shd w:val="clear" w:color="auto" w:fill="E1DFDD"/>
    </w:rPr>
  </w:style>
  <w:style w:type="paragraph" w:customStyle="1" w:styleId="EndNoteBibliographyTitle">
    <w:name w:val="EndNote Bibliography Title"/>
    <w:basedOn w:val="Normal"/>
    <w:link w:val="EndNoteBibliographyTitleChar"/>
    <w:rsid w:val="00587CD0"/>
    <w:pPr>
      <w:spacing w:line="259" w:lineRule="auto"/>
      <w:jc w:val="center"/>
    </w:pPr>
    <w:rPr>
      <w:rFonts w:ascii="Calibri" w:hAnsi="Calibri" w:cs="Calibri"/>
      <w:noProof/>
      <w:sz w:val="22"/>
      <w:szCs w:val="22"/>
      <w:lang w:val="en-US"/>
    </w:rPr>
  </w:style>
  <w:style w:type="character" w:customStyle="1" w:styleId="EndNoteBibliographyTitleChar">
    <w:name w:val="EndNote Bibliography Title Char"/>
    <w:basedOn w:val="DefaultParagraphFont"/>
    <w:link w:val="EndNoteBibliographyTitle"/>
    <w:rsid w:val="00587CD0"/>
    <w:rPr>
      <w:rFonts w:ascii="Calibri" w:hAnsi="Calibri" w:cs="Calibri"/>
      <w:noProof/>
      <w:sz w:val="22"/>
      <w:szCs w:val="22"/>
      <w:lang w:val="en-US"/>
    </w:rPr>
  </w:style>
  <w:style w:type="paragraph" w:customStyle="1" w:styleId="EndNoteBibliography">
    <w:name w:val="EndNote Bibliography"/>
    <w:basedOn w:val="Normal"/>
    <w:link w:val="EndNoteBibliographyChar"/>
    <w:rsid w:val="00587CD0"/>
    <w:pPr>
      <w:spacing w:after="160"/>
    </w:pPr>
    <w:rPr>
      <w:rFonts w:ascii="Calibri" w:hAnsi="Calibri" w:cs="Calibri"/>
      <w:noProof/>
      <w:sz w:val="22"/>
      <w:szCs w:val="22"/>
      <w:lang w:val="en-US"/>
    </w:rPr>
  </w:style>
  <w:style w:type="character" w:customStyle="1" w:styleId="EndNoteBibliographyChar">
    <w:name w:val="EndNote Bibliography Char"/>
    <w:basedOn w:val="DefaultParagraphFont"/>
    <w:link w:val="EndNoteBibliography"/>
    <w:rsid w:val="00587CD0"/>
    <w:rPr>
      <w:rFonts w:ascii="Calibri" w:hAnsi="Calibri" w:cs="Calibri"/>
      <w:noProof/>
      <w:sz w:val="22"/>
      <w:szCs w:val="22"/>
      <w:lang w:val="en-US"/>
    </w:rPr>
  </w:style>
  <w:style w:type="paragraph" w:styleId="TOC4">
    <w:name w:val="toc 4"/>
    <w:basedOn w:val="Normal"/>
    <w:next w:val="Normal"/>
    <w:autoRedefine/>
    <w:uiPriority w:val="39"/>
    <w:unhideWhenUsed/>
    <w:rsid w:val="00195CC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95CC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95CC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95CC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95CC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95CC4"/>
    <w:pPr>
      <w:spacing w:after="100" w:line="259" w:lineRule="auto"/>
      <w:ind w:left="1760"/>
    </w:pPr>
    <w:rPr>
      <w:rFonts w:asciiTheme="minorHAnsi" w:eastAsiaTheme="minorEastAsia" w:hAnsiTheme="minorHAnsi" w:cstheme="minorBidi"/>
      <w:sz w:val="22"/>
      <w:szCs w:val="22"/>
    </w:rPr>
  </w:style>
  <w:style w:type="character" w:customStyle="1" w:styleId="highwire-cite-metadata-journal">
    <w:name w:val="highwire-cite-metadata-journal"/>
    <w:basedOn w:val="DefaultParagraphFont"/>
    <w:rsid w:val="00C45579"/>
  </w:style>
  <w:style w:type="character" w:customStyle="1" w:styleId="highwire-cite-metadata-year">
    <w:name w:val="highwire-cite-metadata-year"/>
    <w:basedOn w:val="DefaultParagraphFont"/>
    <w:rsid w:val="00C45579"/>
  </w:style>
  <w:style w:type="character" w:customStyle="1" w:styleId="highwire-cite-metadata-volume">
    <w:name w:val="highwire-cite-metadata-volume"/>
    <w:basedOn w:val="DefaultParagraphFont"/>
    <w:rsid w:val="00C45579"/>
  </w:style>
  <w:style w:type="character" w:customStyle="1" w:styleId="highwire-cite-metadata-pages">
    <w:name w:val="highwire-cite-metadata-pages"/>
    <w:basedOn w:val="DefaultParagraphFont"/>
    <w:rsid w:val="00C45579"/>
  </w:style>
  <w:style w:type="table" w:customStyle="1" w:styleId="TableGrid2">
    <w:name w:val="Table Grid2"/>
    <w:basedOn w:val="TableNormal"/>
    <w:next w:val="TableGrid"/>
    <w:rsid w:val="00A26D50"/>
    <w:pPr>
      <w:spacing w:after="0" w:line="240" w:lineRule="auto"/>
    </w:pPr>
    <w:rPr>
      <w:rFonts w:eastAsia="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art">
    <w:name w:val="citation-part"/>
    <w:basedOn w:val="DefaultParagraphFont"/>
    <w:rsid w:val="001F6741"/>
  </w:style>
  <w:style w:type="character" w:customStyle="1" w:styleId="docsum-pmid">
    <w:name w:val="docsum-pmid"/>
    <w:basedOn w:val="DefaultParagraphFont"/>
    <w:rsid w:val="001F6741"/>
  </w:style>
  <w:style w:type="paragraph" w:styleId="Revision">
    <w:name w:val="Revision"/>
    <w:hidden/>
    <w:uiPriority w:val="99"/>
    <w:semiHidden/>
    <w:rsid w:val="00236D34"/>
    <w:pPr>
      <w:spacing w:after="0" w:line="240" w:lineRule="auto"/>
    </w:pPr>
  </w:style>
  <w:style w:type="character" w:customStyle="1" w:styleId="docsum-authors">
    <w:name w:val="docsum-authors"/>
    <w:basedOn w:val="DefaultParagraphFont"/>
    <w:rsid w:val="00C233C9"/>
  </w:style>
  <w:style w:type="character" w:customStyle="1" w:styleId="docsum-journal-citation">
    <w:name w:val="docsum-journal-citation"/>
    <w:basedOn w:val="DefaultParagraphFont"/>
    <w:rsid w:val="00C233C9"/>
  </w:style>
  <w:style w:type="character" w:customStyle="1" w:styleId="UnresolvedMention3">
    <w:name w:val="Unresolved Mention3"/>
    <w:basedOn w:val="DefaultParagraphFont"/>
    <w:uiPriority w:val="99"/>
    <w:semiHidden/>
    <w:unhideWhenUsed/>
    <w:rsid w:val="004432D6"/>
    <w:rPr>
      <w:color w:val="605E5C"/>
      <w:shd w:val="clear" w:color="auto" w:fill="E1DFDD"/>
    </w:rPr>
  </w:style>
  <w:style w:type="paragraph" w:styleId="Caption">
    <w:name w:val="caption"/>
    <w:basedOn w:val="Normal"/>
    <w:next w:val="Normal"/>
    <w:uiPriority w:val="35"/>
    <w:unhideWhenUsed/>
    <w:qFormat/>
    <w:rsid w:val="009F7D80"/>
    <w:pPr>
      <w:spacing w:after="200"/>
    </w:pPr>
    <w:rPr>
      <w:rFonts w:asciiTheme="minorHAnsi" w:hAnsiTheme="minorHAnsi" w:cstheme="minorBidi"/>
      <w:i/>
      <w:iCs/>
      <w:color w:val="44546A" w:themeColor="text2"/>
      <w:sz w:val="18"/>
      <w:szCs w:val="18"/>
    </w:rPr>
  </w:style>
  <w:style w:type="paragraph" w:styleId="TableofFigures">
    <w:name w:val="table of figures"/>
    <w:basedOn w:val="Normal"/>
    <w:next w:val="Normal"/>
    <w:uiPriority w:val="99"/>
    <w:unhideWhenUsed/>
    <w:rsid w:val="009F7D80"/>
    <w:pPr>
      <w:spacing w:line="259" w:lineRule="auto"/>
    </w:pPr>
    <w:rPr>
      <w:rFonts w:asciiTheme="minorHAnsi" w:hAnsiTheme="minorHAnsi" w:cstheme="minorBidi"/>
      <w:sz w:val="22"/>
      <w:szCs w:val="22"/>
    </w:rPr>
  </w:style>
  <w:style w:type="character" w:customStyle="1" w:styleId="id-label">
    <w:name w:val="id-label"/>
    <w:basedOn w:val="DefaultParagraphFont"/>
    <w:rsid w:val="002967AB"/>
  </w:style>
  <w:style w:type="character" w:styleId="Strong">
    <w:name w:val="Strong"/>
    <w:basedOn w:val="DefaultParagraphFont"/>
    <w:uiPriority w:val="22"/>
    <w:qFormat/>
    <w:rsid w:val="002967AB"/>
    <w:rPr>
      <w:b/>
      <w:bCs/>
    </w:rPr>
  </w:style>
  <w:style w:type="character" w:customStyle="1" w:styleId="element-citation">
    <w:name w:val="element-citation"/>
    <w:basedOn w:val="DefaultParagraphFont"/>
    <w:rsid w:val="00DC5668"/>
  </w:style>
  <w:style w:type="character" w:customStyle="1" w:styleId="ref-journal">
    <w:name w:val="ref-journal"/>
    <w:basedOn w:val="DefaultParagraphFont"/>
    <w:rsid w:val="00DC5668"/>
  </w:style>
  <w:style w:type="character" w:customStyle="1" w:styleId="ref-vol">
    <w:name w:val="ref-vol"/>
    <w:basedOn w:val="DefaultParagraphFont"/>
    <w:rsid w:val="00DC5668"/>
  </w:style>
  <w:style w:type="paragraph" w:styleId="NormalWeb">
    <w:name w:val="Normal (Web)"/>
    <w:basedOn w:val="Normal"/>
    <w:uiPriority w:val="99"/>
    <w:semiHidden/>
    <w:unhideWhenUsed/>
    <w:rsid w:val="003107B5"/>
    <w:pPr>
      <w:spacing w:after="160" w:line="259" w:lineRule="auto"/>
    </w:pPr>
  </w:style>
  <w:style w:type="character" w:customStyle="1" w:styleId="gene">
    <w:name w:val="gene"/>
    <w:basedOn w:val="DefaultParagraphFont"/>
    <w:rsid w:val="00676E63"/>
  </w:style>
  <w:style w:type="paragraph" w:styleId="FootnoteText">
    <w:name w:val="footnote text"/>
    <w:basedOn w:val="Normal"/>
    <w:link w:val="FootnoteTextChar"/>
    <w:uiPriority w:val="99"/>
    <w:semiHidden/>
    <w:unhideWhenUsed/>
    <w:rsid w:val="0097661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7661D"/>
    <w:rPr>
      <w:sz w:val="20"/>
      <w:szCs w:val="20"/>
    </w:rPr>
  </w:style>
  <w:style w:type="character" w:styleId="FootnoteReference">
    <w:name w:val="footnote reference"/>
    <w:basedOn w:val="DefaultParagraphFont"/>
    <w:uiPriority w:val="99"/>
    <w:semiHidden/>
    <w:unhideWhenUsed/>
    <w:rsid w:val="0097661D"/>
    <w:rPr>
      <w:vertAlign w:val="superscript"/>
    </w:rPr>
  </w:style>
  <w:style w:type="paragraph" w:styleId="HTMLPreformatted">
    <w:name w:val="HTML Preformatted"/>
    <w:basedOn w:val="Normal"/>
    <w:link w:val="HTMLPreformattedChar"/>
    <w:uiPriority w:val="99"/>
    <w:semiHidden/>
    <w:unhideWhenUsed/>
    <w:rsid w:val="00E26375"/>
    <w:rPr>
      <w:rFonts w:ascii="Consolas" w:hAnsi="Consolas" w:cstheme="minorBidi"/>
      <w:sz w:val="20"/>
      <w:szCs w:val="20"/>
    </w:rPr>
  </w:style>
  <w:style w:type="character" w:customStyle="1" w:styleId="HTMLPreformattedChar">
    <w:name w:val="HTML Preformatted Char"/>
    <w:basedOn w:val="DefaultParagraphFont"/>
    <w:link w:val="HTMLPreformatted"/>
    <w:uiPriority w:val="99"/>
    <w:semiHidden/>
    <w:rsid w:val="00E26375"/>
    <w:rPr>
      <w:rFonts w:ascii="Consolas" w:hAnsi="Consolas"/>
      <w:sz w:val="20"/>
      <w:szCs w:val="20"/>
    </w:rPr>
  </w:style>
  <w:style w:type="character" w:styleId="UnresolvedMention">
    <w:name w:val="Unresolved Mention"/>
    <w:basedOn w:val="DefaultParagraphFont"/>
    <w:uiPriority w:val="99"/>
    <w:semiHidden/>
    <w:unhideWhenUsed/>
    <w:rsid w:val="00DC17FF"/>
    <w:rPr>
      <w:color w:val="605E5C"/>
      <w:shd w:val="clear" w:color="auto" w:fill="E1DFDD"/>
    </w:rPr>
  </w:style>
  <w:style w:type="character" w:styleId="FollowedHyperlink">
    <w:name w:val="FollowedHyperlink"/>
    <w:basedOn w:val="DefaultParagraphFont"/>
    <w:uiPriority w:val="99"/>
    <w:semiHidden/>
    <w:unhideWhenUsed/>
    <w:rsid w:val="0040235E"/>
    <w:rPr>
      <w:color w:val="954F72" w:themeColor="followedHyperlink"/>
      <w:u w:val="single"/>
    </w:rPr>
  </w:style>
  <w:style w:type="paragraph" w:customStyle="1" w:styleId="v1msonormal">
    <w:name w:val="v1msonormal"/>
    <w:basedOn w:val="Normal"/>
    <w:rsid w:val="00AC226B"/>
    <w:pPr>
      <w:spacing w:before="100" w:beforeAutospacing="1" w:after="100" w:afterAutospacing="1"/>
    </w:pPr>
  </w:style>
  <w:style w:type="paragraph" w:customStyle="1" w:styleId="v1msolistparagraph">
    <w:name w:val="v1msolistparagraph"/>
    <w:basedOn w:val="Normal"/>
    <w:rsid w:val="00AC226B"/>
    <w:pPr>
      <w:spacing w:before="100" w:beforeAutospacing="1" w:after="100" w:afterAutospacing="1"/>
    </w:pPr>
  </w:style>
  <w:style w:type="table" w:customStyle="1" w:styleId="TableGrid4">
    <w:name w:val="Table Grid4"/>
    <w:basedOn w:val="TableNormal"/>
    <w:next w:val="TableGrid"/>
    <w:rsid w:val="0010061F"/>
    <w:pPr>
      <w:spacing w:after="0" w:line="240" w:lineRule="auto"/>
    </w:pPr>
    <w:rPr>
      <w:rFonts w:eastAsia="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0061F"/>
  </w:style>
  <w:style w:type="paragraph" w:customStyle="1" w:styleId="00Paragraph">
    <w:name w:val="00Paragraph"/>
    <w:link w:val="00ParagraphChar"/>
    <w:rsid w:val="0010061F"/>
    <w:pPr>
      <w:spacing w:before="120" w:after="120" w:line="300" w:lineRule="atLeast"/>
    </w:pPr>
    <w:rPr>
      <w:rFonts w:eastAsia="MS Mincho"/>
      <w:lang w:val="en-US"/>
    </w:rPr>
  </w:style>
  <w:style w:type="paragraph" w:customStyle="1" w:styleId="08SubheadingBold">
    <w:name w:val="08Subheading Bold"/>
    <w:next w:val="00Paragraph"/>
    <w:link w:val="08SubheadingBoldChar"/>
    <w:rsid w:val="0010061F"/>
    <w:pPr>
      <w:keepNext/>
      <w:spacing w:after="0" w:line="300" w:lineRule="atLeast"/>
    </w:pPr>
    <w:rPr>
      <w:rFonts w:eastAsia="MS Mincho"/>
      <w:b/>
      <w:lang w:val="en-US"/>
    </w:rPr>
  </w:style>
  <w:style w:type="character" w:customStyle="1" w:styleId="00ParagraphChar">
    <w:name w:val="00Paragraph Char"/>
    <w:link w:val="00Paragraph"/>
    <w:rsid w:val="0010061F"/>
    <w:rPr>
      <w:rFonts w:ascii="Times New Roman" w:eastAsia="MS Mincho" w:hAnsi="Times New Roman" w:cs="Times New Roman"/>
      <w:sz w:val="24"/>
      <w:szCs w:val="24"/>
      <w:lang w:val="en-US"/>
    </w:rPr>
  </w:style>
  <w:style w:type="character" w:customStyle="1" w:styleId="08SubheadingBoldChar">
    <w:name w:val="08Subheading Bold Char"/>
    <w:link w:val="08SubheadingBold"/>
    <w:rsid w:val="0010061F"/>
    <w:rPr>
      <w:rFonts w:ascii="Times New Roman" w:eastAsia="MS Mincho" w:hAnsi="Times New Roman" w:cs="Times New Roman"/>
      <w:b/>
      <w:sz w:val="24"/>
      <w:szCs w:val="24"/>
      <w:lang w:val="en-US"/>
    </w:rPr>
  </w:style>
  <w:style w:type="character" w:customStyle="1" w:styleId="Heading5Char">
    <w:name w:val="Heading 5 Char"/>
    <w:basedOn w:val="DefaultParagraphFont"/>
    <w:link w:val="Heading5"/>
    <w:uiPriority w:val="9"/>
    <w:rsid w:val="00EA769B"/>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EA769B"/>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A769B"/>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A76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769B"/>
    <w:rPr>
      <w:rFonts w:asciiTheme="majorHAnsi" w:eastAsiaTheme="majorEastAsia" w:hAnsiTheme="majorHAnsi" w:cstheme="majorBidi"/>
      <w:i/>
      <w:iCs/>
      <w:color w:val="272727" w:themeColor="text1" w:themeTint="D8"/>
      <w:sz w:val="21"/>
      <w:szCs w:val="21"/>
    </w:rPr>
  </w:style>
  <w:style w:type="paragraph" w:customStyle="1" w:styleId="pf1">
    <w:name w:val="pf1"/>
    <w:basedOn w:val="Normal"/>
    <w:rsid w:val="00984F34"/>
    <w:pPr>
      <w:spacing w:before="100" w:beforeAutospacing="1" w:after="100" w:afterAutospacing="1"/>
    </w:pPr>
  </w:style>
  <w:style w:type="paragraph" w:customStyle="1" w:styleId="pf0">
    <w:name w:val="pf0"/>
    <w:basedOn w:val="Normal"/>
    <w:rsid w:val="00984F34"/>
    <w:pPr>
      <w:spacing w:before="100" w:beforeAutospacing="1" w:after="100" w:afterAutospacing="1"/>
    </w:pPr>
  </w:style>
  <w:style w:type="character" w:customStyle="1" w:styleId="cf01">
    <w:name w:val="cf01"/>
    <w:basedOn w:val="DefaultParagraphFont"/>
    <w:rsid w:val="00984F34"/>
    <w:rPr>
      <w:rFonts w:ascii="Segoe UI" w:hAnsi="Segoe UI" w:cs="Segoe UI" w:hint="default"/>
      <w:color w:val="2C363A"/>
      <w:sz w:val="18"/>
      <w:szCs w:val="18"/>
    </w:rPr>
  </w:style>
  <w:style w:type="character" w:customStyle="1" w:styleId="cf21">
    <w:name w:val="cf21"/>
    <w:basedOn w:val="DefaultParagraphFont"/>
    <w:rsid w:val="00984F34"/>
    <w:rPr>
      <w:rFonts w:ascii="Segoe UI" w:hAnsi="Segoe UI" w:cs="Segoe UI" w:hint="default"/>
      <w:color w:val="2C363A"/>
      <w:sz w:val="18"/>
      <w:szCs w:val="18"/>
      <w:shd w:val="clear" w:color="auto" w:fill="FFFF00"/>
    </w:rPr>
  </w:style>
  <w:style w:type="character" w:customStyle="1" w:styleId="cf31">
    <w:name w:val="cf31"/>
    <w:basedOn w:val="DefaultParagraphFont"/>
    <w:rsid w:val="00984F34"/>
    <w:rPr>
      <w:rFonts w:ascii="Segoe UI" w:hAnsi="Segoe UI" w:cs="Segoe UI" w:hint="default"/>
      <w:color w:val="2C363A"/>
      <w:sz w:val="18"/>
      <w:szCs w:val="18"/>
      <w:shd w:val="clear" w:color="auto" w:fill="00FF00"/>
    </w:rPr>
  </w:style>
  <w:style w:type="character" w:customStyle="1" w:styleId="cf41">
    <w:name w:val="cf41"/>
    <w:basedOn w:val="DefaultParagraphFont"/>
    <w:rsid w:val="00984F34"/>
    <w:rPr>
      <w:rFonts w:ascii="Segoe UI" w:hAnsi="Segoe UI" w:cs="Segoe UI" w:hint="default"/>
      <w:i/>
      <w:iCs/>
      <w:color w:val="2C363A"/>
      <w:sz w:val="18"/>
      <w:szCs w:val="18"/>
    </w:rPr>
  </w:style>
  <w:style w:type="paragraph" w:styleId="BodyText2">
    <w:name w:val="Body Text 2"/>
    <w:basedOn w:val="Normal"/>
    <w:link w:val="BodyText2Char"/>
    <w:uiPriority w:val="99"/>
    <w:rsid w:val="00BD3783"/>
    <w:pPr>
      <w:tabs>
        <w:tab w:val="left" w:pos="720"/>
        <w:tab w:val="left" w:pos="1440"/>
        <w:tab w:val="left" w:pos="2160"/>
        <w:tab w:val="left" w:pos="2880"/>
        <w:tab w:val="left" w:pos="4680"/>
        <w:tab w:val="left" w:pos="5400"/>
        <w:tab w:val="right" w:pos="9000"/>
      </w:tabs>
      <w:autoSpaceDE w:val="0"/>
      <w:autoSpaceDN w:val="0"/>
      <w:jc w:val="both"/>
    </w:pPr>
    <w:rPr>
      <w:rFonts w:ascii="Arial" w:eastAsia="Calibri" w:hAnsi="Arial" w:cs="Arial"/>
      <w:i/>
      <w:iCs/>
      <w:sz w:val="20"/>
      <w:szCs w:val="20"/>
    </w:rPr>
  </w:style>
  <w:style w:type="character" w:customStyle="1" w:styleId="BodyText2Char">
    <w:name w:val="Body Text 2 Char"/>
    <w:basedOn w:val="DefaultParagraphFont"/>
    <w:link w:val="BodyText2"/>
    <w:uiPriority w:val="99"/>
    <w:rsid w:val="00BD3783"/>
    <w:rPr>
      <w:rFonts w:ascii="Arial" w:eastAsia="Calibri" w:hAnsi="Arial" w:cs="Arial"/>
      <w:i/>
      <w:iCs/>
      <w:sz w:val="20"/>
      <w:szCs w:val="20"/>
    </w:rPr>
  </w:style>
  <w:style w:type="paragraph" w:styleId="BodyText">
    <w:name w:val="Body Text"/>
    <w:basedOn w:val="Normal"/>
    <w:link w:val="BodyTextChar"/>
    <w:uiPriority w:val="99"/>
    <w:rsid w:val="00BD3783"/>
    <w:rPr>
      <w:rFonts w:ascii="Arial" w:eastAsia="Calibri" w:hAnsi="Arial" w:cs="Arial"/>
      <w:lang w:eastAsia="en-GB"/>
    </w:rPr>
  </w:style>
  <w:style w:type="character" w:customStyle="1" w:styleId="BodyTextChar">
    <w:name w:val="Body Text Char"/>
    <w:basedOn w:val="DefaultParagraphFont"/>
    <w:link w:val="BodyText"/>
    <w:uiPriority w:val="99"/>
    <w:rsid w:val="00BD3783"/>
    <w:rPr>
      <w:rFonts w:ascii="Arial" w:eastAsia="Calibri" w:hAnsi="Arial" w:cs="Arial"/>
      <w:lang w:eastAsia="en-GB"/>
    </w:rPr>
  </w:style>
  <w:style w:type="paragraph" w:styleId="BodyTextIndent3">
    <w:name w:val="Body Text Indent 3"/>
    <w:basedOn w:val="Normal"/>
    <w:link w:val="BodyTextIndent3Char"/>
    <w:uiPriority w:val="99"/>
    <w:rsid w:val="00BD3783"/>
    <w:pPr>
      <w:tabs>
        <w:tab w:val="left" w:pos="720"/>
        <w:tab w:val="left" w:pos="1440"/>
        <w:tab w:val="left" w:pos="2160"/>
        <w:tab w:val="left" w:pos="2880"/>
        <w:tab w:val="left" w:pos="4680"/>
        <w:tab w:val="left" w:pos="5400"/>
        <w:tab w:val="right" w:pos="9000"/>
      </w:tabs>
      <w:autoSpaceDE w:val="0"/>
      <w:autoSpaceDN w:val="0"/>
      <w:spacing w:line="240" w:lineRule="atLeast"/>
      <w:ind w:left="360"/>
      <w:jc w:val="both"/>
      <w:outlineLvl w:val="0"/>
    </w:pPr>
    <w:rPr>
      <w:rFonts w:ascii="Arial" w:eastAsia="Calibri" w:hAnsi="Arial" w:cs="Arial"/>
      <w:i/>
      <w:iCs/>
      <w:sz w:val="20"/>
      <w:szCs w:val="20"/>
    </w:rPr>
  </w:style>
  <w:style w:type="character" w:customStyle="1" w:styleId="BodyTextIndent3Char">
    <w:name w:val="Body Text Indent 3 Char"/>
    <w:basedOn w:val="DefaultParagraphFont"/>
    <w:link w:val="BodyTextIndent3"/>
    <w:uiPriority w:val="99"/>
    <w:rsid w:val="00BD3783"/>
    <w:rPr>
      <w:rFonts w:ascii="Arial" w:eastAsia="Calibri" w:hAnsi="Arial" w:cs="Arial"/>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253">
      <w:bodyDiv w:val="1"/>
      <w:marLeft w:val="0"/>
      <w:marRight w:val="0"/>
      <w:marTop w:val="0"/>
      <w:marBottom w:val="0"/>
      <w:divBdr>
        <w:top w:val="none" w:sz="0" w:space="0" w:color="auto"/>
        <w:left w:val="none" w:sz="0" w:space="0" w:color="auto"/>
        <w:bottom w:val="none" w:sz="0" w:space="0" w:color="auto"/>
        <w:right w:val="none" w:sz="0" w:space="0" w:color="auto"/>
      </w:divBdr>
    </w:div>
    <w:div w:id="28914998">
      <w:bodyDiv w:val="1"/>
      <w:marLeft w:val="0"/>
      <w:marRight w:val="0"/>
      <w:marTop w:val="0"/>
      <w:marBottom w:val="0"/>
      <w:divBdr>
        <w:top w:val="none" w:sz="0" w:space="0" w:color="auto"/>
        <w:left w:val="none" w:sz="0" w:space="0" w:color="auto"/>
        <w:bottom w:val="none" w:sz="0" w:space="0" w:color="auto"/>
        <w:right w:val="none" w:sz="0" w:space="0" w:color="auto"/>
      </w:divBdr>
    </w:div>
    <w:div w:id="32851057">
      <w:bodyDiv w:val="1"/>
      <w:marLeft w:val="0"/>
      <w:marRight w:val="0"/>
      <w:marTop w:val="0"/>
      <w:marBottom w:val="0"/>
      <w:divBdr>
        <w:top w:val="none" w:sz="0" w:space="0" w:color="auto"/>
        <w:left w:val="none" w:sz="0" w:space="0" w:color="auto"/>
        <w:bottom w:val="none" w:sz="0" w:space="0" w:color="auto"/>
        <w:right w:val="none" w:sz="0" w:space="0" w:color="auto"/>
      </w:divBdr>
    </w:div>
    <w:div w:id="54009574">
      <w:bodyDiv w:val="1"/>
      <w:marLeft w:val="0"/>
      <w:marRight w:val="0"/>
      <w:marTop w:val="0"/>
      <w:marBottom w:val="0"/>
      <w:divBdr>
        <w:top w:val="none" w:sz="0" w:space="0" w:color="auto"/>
        <w:left w:val="none" w:sz="0" w:space="0" w:color="auto"/>
        <w:bottom w:val="none" w:sz="0" w:space="0" w:color="auto"/>
        <w:right w:val="none" w:sz="0" w:space="0" w:color="auto"/>
      </w:divBdr>
    </w:div>
    <w:div w:id="56982134">
      <w:bodyDiv w:val="1"/>
      <w:marLeft w:val="0"/>
      <w:marRight w:val="0"/>
      <w:marTop w:val="0"/>
      <w:marBottom w:val="0"/>
      <w:divBdr>
        <w:top w:val="none" w:sz="0" w:space="0" w:color="auto"/>
        <w:left w:val="none" w:sz="0" w:space="0" w:color="auto"/>
        <w:bottom w:val="none" w:sz="0" w:space="0" w:color="auto"/>
        <w:right w:val="none" w:sz="0" w:space="0" w:color="auto"/>
      </w:divBdr>
      <w:divsChild>
        <w:div w:id="306908296">
          <w:marLeft w:val="0"/>
          <w:marRight w:val="0"/>
          <w:marTop w:val="0"/>
          <w:marBottom w:val="0"/>
          <w:divBdr>
            <w:top w:val="none" w:sz="0" w:space="0" w:color="auto"/>
            <w:left w:val="none" w:sz="0" w:space="0" w:color="auto"/>
            <w:bottom w:val="none" w:sz="0" w:space="0" w:color="auto"/>
            <w:right w:val="none" w:sz="0" w:space="0" w:color="auto"/>
          </w:divBdr>
        </w:div>
        <w:div w:id="599795476">
          <w:marLeft w:val="0"/>
          <w:marRight w:val="0"/>
          <w:marTop w:val="0"/>
          <w:marBottom w:val="0"/>
          <w:divBdr>
            <w:top w:val="none" w:sz="0" w:space="0" w:color="auto"/>
            <w:left w:val="none" w:sz="0" w:space="0" w:color="auto"/>
            <w:bottom w:val="none" w:sz="0" w:space="0" w:color="auto"/>
            <w:right w:val="none" w:sz="0" w:space="0" w:color="auto"/>
          </w:divBdr>
        </w:div>
        <w:div w:id="718746712">
          <w:marLeft w:val="0"/>
          <w:marRight w:val="0"/>
          <w:marTop w:val="0"/>
          <w:marBottom w:val="0"/>
          <w:divBdr>
            <w:top w:val="none" w:sz="0" w:space="0" w:color="auto"/>
            <w:left w:val="none" w:sz="0" w:space="0" w:color="auto"/>
            <w:bottom w:val="none" w:sz="0" w:space="0" w:color="auto"/>
            <w:right w:val="none" w:sz="0" w:space="0" w:color="auto"/>
          </w:divBdr>
        </w:div>
        <w:div w:id="940264757">
          <w:marLeft w:val="0"/>
          <w:marRight w:val="0"/>
          <w:marTop w:val="0"/>
          <w:marBottom w:val="0"/>
          <w:divBdr>
            <w:top w:val="none" w:sz="0" w:space="0" w:color="auto"/>
            <w:left w:val="none" w:sz="0" w:space="0" w:color="auto"/>
            <w:bottom w:val="none" w:sz="0" w:space="0" w:color="auto"/>
            <w:right w:val="none" w:sz="0" w:space="0" w:color="auto"/>
          </w:divBdr>
        </w:div>
        <w:div w:id="1063067923">
          <w:marLeft w:val="0"/>
          <w:marRight w:val="0"/>
          <w:marTop w:val="0"/>
          <w:marBottom w:val="0"/>
          <w:divBdr>
            <w:top w:val="none" w:sz="0" w:space="0" w:color="auto"/>
            <w:left w:val="none" w:sz="0" w:space="0" w:color="auto"/>
            <w:bottom w:val="none" w:sz="0" w:space="0" w:color="auto"/>
            <w:right w:val="none" w:sz="0" w:space="0" w:color="auto"/>
          </w:divBdr>
        </w:div>
        <w:div w:id="1273591670">
          <w:marLeft w:val="0"/>
          <w:marRight w:val="0"/>
          <w:marTop w:val="0"/>
          <w:marBottom w:val="0"/>
          <w:divBdr>
            <w:top w:val="none" w:sz="0" w:space="0" w:color="auto"/>
            <w:left w:val="none" w:sz="0" w:space="0" w:color="auto"/>
            <w:bottom w:val="none" w:sz="0" w:space="0" w:color="auto"/>
            <w:right w:val="none" w:sz="0" w:space="0" w:color="auto"/>
          </w:divBdr>
        </w:div>
        <w:div w:id="1973097875">
          <w:marLeft w:val="0"/>
          <w:marRight w:val="0"/>
          <w:marTop w:val="0"/>
          <w:marBottom w:val="0"/>
          <w:divBdr>
            <w:top w:val="none" w:sz="0" w:space="0" w:color="auto"/>
            <w:left w:val="none" w:sz="0" w:space="0" w:color="auto"/>
            <w:bottom w:val="none" w:sz="0" w:space="0" w:color="auto"/>
            <w:right w:val="none" w:sz="0" w:space="0" w:color="auto"/>
          </w:divBdr>
        </w:div>
      </w:divsChild>
    </w:div>
    <w:div w:id="85999351">
      <w:bodyDiv w:val="1"/>
      <w:marLeft w:val="0"/>
      <w:marRight w:val="0"/>
      <w:marTop w:val="0"/>
      <w:marBottom w:val="0"/>
      <w:divBdr>
        <w:top w:val="none" w:sz="0" w:space="0" w:color="auto"/>
        <w:left w:val="none" w:sz="0" w:space="0" w:color="auto"/>
        <w:bottom w:val="none" w:sz="0" w:space="0" w:color="auto"/>
        <w:right w:val="none" w:sz="0" w:space="0" w:color="auto"/>
      </w:divBdr>
      <w:divsChild>
        <w:div w:id="1536776181">
          <w:marLeft w:val="0"/>
          <w:marRight w:val="0"/>
          <w:marTop w:val="0"/>
          <w:marBottom w:val="0"/>
          <w:divBdr>
            <w:top w:val="none" w:sz="0" w:space="0" w:color="auto"/>
            <w:left w:val="none" w:sz="0" w:space="0" w:color="auto"/>
            <w:bottom w:val="none" w:sz="0" w:space="0" w:color="auto"/>
            <w:right w:val="none" w:sz="0" w:space="0" w:color="auto"/>
          </w:divBdr>
          <w:divsChild>
            <w:div w:id="943075484">
              <w:marLeft w:val="0"/>
              <w:marRight w:val="0"/>
              <w:marTop w:val="0"/>
              <w:marBottom w:val="0"/>
              <w:divBdr>
                <w:top w:val="none" w:sz="0" w:space="0" w:color="auto"/>
                <w:left w:val="none" w:sz="0" w:space="0" w:color="auto"/>
                <w:bottom w:val="none" w:sz="0" w:space="0" w:color="auto"/>
                <w:right w:val="none" w:sz="0" w:space="0" w:color="auto"/>
              </w:divBdr>
            </w:div>
            <w:div w:id="11255808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6081010">
      <w:bodyDiv w:val="1"/>
      <w:marLeft w:val="0"/>
      <w:marRight w:val="0"/>
      <w:marTop w:val="0"/>
      <w:marBottom w:val="0"/>
      <w:divBdr>
        <w:top w:val="none" w:sz="0" w:space="0" w:color="auto"/>
        <w:left w:val="none" w:sz="0" w:space="0" w:color="auto"/>
        <w:bottom w:val="none" w:sz="0" w:space="0" w:color="auto"/>
        <w:right w:val="none" w:sz="0" w:space="0" w:color="auto"/>
      </w:divBdr>
    </w:div>
    <w:div w:id="91511995">
      <w:bodyDiv w:val="1"/>
      <w:marLeft w:val="0"/>
      <w:marRight w:val="0"/>
      <w:marTop w:val="0"/>
      <w:marBottom w:val="0"/>
      <w:divBdr>
        <w:top w:val="none" w:sz="0" w:space="0" w:color="auto"/>
        <w:left w:val="none" w:sz="0" w:space="0" w:color="auto"/>
        <w:bottom w:val="none" w:sz="0" w:space="0" w:color="auto"/>
        <w:right w:val="none" w:sz="0" w:space="0" w:color="auto"/>
      </w:divBdr>
    </w:div>
    <w:div w:id="108278930">
      <w:bodyDiv w:val="1"/>
      <w:marLeft w:val="0"/>
      <w:marRight w:val="0"/>
      <w:marTop w:val="0"/>
      <w:marBottom w:val="0"/>
      <w:divBdr>
        <w:top w:val="none" w:sz="0" w:space="0" w:color="auto"/>
        <w:left w:val="none" w:sz="0" w:space="0" w:color="auto"/>
        <w:bottom w:val="none" w:sz="0" w:space="0" w:color="auto"/>
        <w:right w:val="none" w:sz="0" w:space="0" w:color="auto"/>
      </w:divBdr>
    </w:div>
    <w:div w:id="111828533">
      <w:bodyDiv w:val="1"/>
      <w:marLeft w:val="0"/>
      <w:marRight w:val="0"/>
      <w:marTop w:val="0"/>
      <w:marBottom w:val="0"/>
      <w:divBdr>
        <w:top w:val="none" w:sz="0" w:space="0" w:color="auto"/>
        <w:left w:val="none" w:sz="0" w:space="0" w:color="auto"/>
        <w:bottom w:val="none" w:sz="0" w:space="0" w:color="auto"/>
        <w:right w:val="none" w:sz="0" w:space="0" w:color="auto"/>
      </w:divBdr>
    </w:div>
    <w:div w:id="126363807">
      <w:bodyDiv w:val="1"/>
      <w:marLeft w:val="0"/>
      <w:marRight w:val="0"/>
      <w:marTop w:val="0"/>
      <w:marBottom w:val="0"/>
      <w:divBdr>
        <w:top w:val="none" w:sz="0" w:space="0" w:color="auto"/>
        <w:left w:val="none" w:sz="0" w:space="0" w:color="auto"/>
        <w:bottom w:val="none" w:sz="0" w:space="0" w:color="auto"/>
        <w:right w:val="none" w:sz="0" w:space="0" w:color="auto"/>
      </w:divBdr>
      <w:divsChild>
        <w:div w:id="1100680410">
          <w:marLeft w:val="0"/>
          <w:marRight w:val="0"/>
          <w:marTop w:val="120"/>
          <w:marBottom w:val="0"/>
          <w:divBdr>
            <w:top w:val="none" w:sz="0" w:space="0" w:color="auto"/>
            <w:left w:val="none" w:sz="0" w:space="0" w:color="auto"/>
            <w:bottom w:val="none" w:sz="0" w:space="0" w:color="auto"/>
            <w:right w:val="none" w:sz="0" w:space="0" w:color="auto"/>
          </w:divBdr>
        </w:div>
        <w:div w:id="1513110190">
          <w:marLeft w:val="0"/>
          <w:marRight w:val="0"/>
          <w:marTop w:val="120"/>
          <w:marBottom w:val="0"/>
          <w:divBdr>
            <w:top w:val="none" w:sz="0" w:space="0" w:color="auto"/>
            <w:left w:val="none" w:sz="0" w:space="0" w:color="auto"/>
            <w:bottom w:val="none" w:sz="0" w:space="0" w:color="auto"/>
            <w:right w:val="none" w:sz="0" w:space="0" w:color="auto"/>
          </w:divBdr>
        </w:div>
      </w:divsChild>
    </w:div>
    <w:div w:id="139614409">
      <w:bodyDiv w:val="1"/>
      <w:marLeft w:val="0"/>
      <w:marRight w:val="0"/>
      <w:marTop w:val="0"/>
      <w:marBottom w:val="0"/>
      <w:divBdr>
        <w:top w:val="none" w:sz="0" w:space="0" w:color="auto"/>
        <w:left w:val="none" w:sz="0" w:space="0" w:color="auto"/>
        <w:bottom w:val="none" w:sz="0" w:space="0" w:color="auto"/>
        <w:right w:val="none" w:sz="0" w:space="0" w:color="auto"/>
      </w:divBdr>
    </w:div>
    <w:div w:id="147868305">
      <w:bodyDiv w:val="1"/>
      <w:marLeft w:val="0"/>
      <w:marRight w:val="0"/>
      <w:marTop w:val="0"/>
      <w:marBottom w:val="0"/>
      <w:divBdr>
        <w:top w:val="none" w:sz="0" w:space="0" w:color="auto"/>
        <w:left w:val="none" w:sz="0" w:space="0" w:color="auto"/>
        <w:bottom w:val="none" w:sz="0" w:space="0" w:color="auto"/>
        <w:right w:val="none" w:sz="0" w:space="0" w:color="auto"/>
      </w:divBdr>
    </w:div>
    <w:div w:id="187568528">
      <w:bodyDiv w:val="1"/>
      <w:marLeft w:val="0"/>
      <w:marRight w:val="0"/>
      <w:marTop w:val="0"/>
      <w:marBottom w:val="0"/>
      <w:divBdr>
        <w:top w:val="none" w:sz="0" w:space="0" w:color="auto"/>
        <w:left w:val="none" w:sz="0" w:space="0" w:color="auto"/>
        <w:bottom w:val="none" w:sz="0" w:space="0" w:color="auto"/>
        <w:right w:val="none" w:sz="0" w:space="0" w:color="auto"/>
      </w:divBdr>
    </w:div>
    <w:div w:id="189490498">
      <w:bodyDiv w:val="1"/>
      <w:marLeft w:val="0"/>
      <w:marRight w:val="0"/>
      <w:marTop w:val="0"/>
      <w:marBottom w:val="0"/>
      <w:divBdr>
        <w:top w:val="none" w:sz="0" w:space="0" w:color="auto"/>
        <w:left w:val="none" w:sz="0" w:space="0" w:color="auto"/>
        <w:bottom w:val="none" w:sz="0" w:space="0" w:color="auto"/>
        <w:right w:val="none" w:sz="0" w:space="0" w:color="auto"/>
      </w:divBdr>
    </w:div>
    <w:div w:id="200362606">
      <w:bodyDiv w:val="1"/>
      <w:marLeft w:val="0"/>
      <w:marRight w:val="0"/>
      <w:marTop w:val="0"/>
      <w:marBottom w:val="0"/>
      <w:divBdr>
        <w:top w:val="none" w:sz="0" w:space="0" w:color="auto"/>
        <w:left w:val="none" w:sz="0" w:space="0" w:color="auto"/>
        <w:bottom w:val="none" w:sz="0" w:space="0" w:color="auto"/>
        <w:right w:val="none" w:sz="0" w:space="0" w:color="auto"/>
      </w:divBdr>
    </w:div>
    <w:div w:id="236132548">
      <w:bodyDiv w:val="1"/>
      <w:marLeft w:val="0"/>
      <w:marRight w:val="0"/>
      <w:marTop w:val="0"/>
      <w:marBottom w:val="0"/>
      <w:divBdr>
        <w:top w:val="none" w:sz="0" w:space="0" w:color="auto"/>
        <w:left w:val="none" w:sz="0" w:space="0" w:color="auto"/>
        <w:bottom w:val="none" w:sz="0" w:space="0" w:color="auto"/>
        <w:right w:val="none" w:sz="0" w:space="0" w:color="auto"/>
      </w:divBdr>
    </w:div>
    <w:div w:id="249894487">
      <w:bodyDiv w:val="1"/>
      <w:marLeft w:val="0"/>
      <w:marRight w:val="0"/>
      <w:marTop w:val="0"/>
      <w:marBottom w:val="0"/>
      <w:divBdr>
        <w:top w:val="none" w:sz="0" w:space="0" w:color="auto"/>
        <w:left w:val="none" w:sz="0" w:space="0" w:color="auto"/>
        <w:bottom w:val="none" w:sz="0" w:space="0" w:color="auto"/>
        <w:right w:val="none" w:sz="0" w:space="0" w:color="auto"/>
      </w:divBdr>
    </w:div>
    <w:div w:id="250705132">
      <w:bodyDiv w:val="1"/>
      <w:marLeft w:val="0"/>
      <w:marRight w:val="0"/>
      <w:marTop w:val="0"/>
      <w:marBottom w:val="0"/>
      <w:divBdr>
        <w:top w:val="none" w:sz="0" w:space="0" w:color="auto"/>
        <w:left w:val="none" w:sz="0" w:space="0" w:color="auto"/>
        <w:bottom w:val="none" w:sz="0" w:space="0" w:color="auto"/>
        <w:right w:val="none" w:sz="0" w:space="0" w:color="auto"/>
      </w:divBdr>
    </w:div>
    <w:div w:id="257829426">
      <w:bodyDiv w:val="1"/>
      <w:marLeft w:val="0"/>
      <w:marRight w:val="0"/>
      <w:marTop w:val="0"/>
      <w:marBottom w:val="0"/>
      <w:divBdr>
        <w:top w:val="none" w:sz="0" w:space="0" w:color="auto"/>
        <w:left w:val="none" w:sz="0" w:space="0" w:color="auto"/>
        <w:bottom w:val="none" w:sz="0" w:space="0" w:color="auto"/>
        <w:right w:val="none" w:sz="0" w:space="0" w:color="auto"/>
      </w:divBdr>
    </w:div>
    <w:div w:id="274673214">
      <w:bodyDiv w:val="1"/>
      <w:marLeft w:val="0"/>
      <w:marRight w:val="0"/>
      <w:marTop w:val="0"/>
      <w:marBottom w:val="0"/>
      <w:divBdr>
        <w:top w:val="none" w:sz="0" w:space="0" w:color="auto"/>
        <w:left w:val="none" w:sz="0" w:space="0" w:color="auto"/>
        <w:bottom w:val="none" w:sz="0" w:space="0" w:color="auto"/>
        <w:right w:val="none" w:sz="0" w:space="0" w:color="auto"/>
      </w:divBdr>
    </w:div>
    <w:div w:id="329724164">
      <w:bodyDiv w:val="1"/>
      <w:marLeft w:val="0"/>
      <w:marRight w:val="0"/>
      <w:marTop w:val="0"/>
      <w:marBottom w:val="0"/>
      <w:divBdr>
        <w:top w:val="none" w:sz="0" w:space="0" w:color="auto"/>
        <w:left w:val="none" w:sz="0" w:space="0" w:color="auto"/>
        <w:bottom w:val="none" w:sz="0" w:space="0" w:color="auto"/>
        <w:right w:val="none" w:sz="0" w:space="0" w:color="auto"/>
      </w:divBdr>
    </w:div>
    <w:div w:id="368652204">
      <w:bodyDiv w:val="1"/>
      <w:marLeft w:val="0"/>
      <w:marRight w:val="0"/>
      <w:marTop w:val="0"/>
      <w:marBottom w:val="0"/>
      <w:divBdr>
        <w:top w:val="none" w:sz="0" w:space="0" w:color="auto"/>
        <w:left w:val="none" w:sz="0" w:space="0" w:color="auto"/>
        <w:bottom w:val="none" w:sz="0" w:space="0" w:color="auto"/>
        <w:right w:val="none" w:sz="0" w:space="0" w:color="auto"/>
      </w:divBdr>
    </w:div>
    <w:div w:id="375659580">
      <w:bodyDiv w:val="1"/>
      <w:marLeft w:val="0"/>
      <w:marRight w:val="0"/>
      <w:marTop w:val="0"/>
      <w:marBottom w:val="0"/>
      <w:divBdr>
        <w:top w:val="none" w:sz="0" w:space="0" w:color="auto"/>
        <w:left w:val="none" w:sz="0" w:space="0" w:color="auto"/>
        <w:bottom w:val="none" w:sz="0" w:space="0" w:color="auto"/>
        <w:right w:val="none" w:sz="0" w:space="0" w:color="auto"/>
      </w:divBdr>
    </w:div>
    <w:div w:id="394933322">
      <w:bodyDiv w:val="1"/>
      <w:marLeft w:val="0"/>
      <w:marRight w:val="0"/>
      <w:marTop w:val="0"/>
      <w:marBottom w:val="0"/>
      <w:divBdr>
        <w:top w:val="none" w:sz="0" w:space="0" w:color="auto"/>
        <w:left w:val="none" w:sz="0" w:space="0" w:color="auto"/>
        <w:bottom w:val="none" w:sz="0" w:space="0" w:color="auto"/>
        <w:right w:val="none" w:sz="0" w:space="0" w:color="auto"/>
      </w:divBdr>
    </w:div>
    <w:div w:id="406149726">
      <w:bodyDiv w:val="1"/>
      <w:marLeft w:val="0"/>
      <w:marRight w:val="0"/>
      <w:marTop w:val="0"/>
      <w:marBottom w:val="0"/>
      <w:divBdr>
        <w:top w:val="none" w:sz="0" w:space="0" w:color="auto"/>
        <w:left w:val="none" w:sz="0" w:space="0" w:color="auto"/>
        <w:bottom w:val="none" w:sz="0" w:space="0" w:color="auto"/>
        <w:right w:val="none" w:sz="0" w:space="0" w:color="auto"/>
      </w:divBdr>
    </w:div>
    <w:div w:id="454368145">
      <w:bodyDiv w:val="1"/>
      <w:marLeft w:val="0"/>
      <w:marRight w:val="0"/>
      <w:marTop w:val="0"/>
      <w:marBottom w:val="0"/>
      <w:divBdr>
        <w:top w:val="none" w:sz="0" w:space="0" w:color="auto"/>
        <w:left w:val="none" w:sz="0" w:space="0" w:color="auto"/>
        <w:bottom w:val="none" w:sz="0" w:space="0" w:color="auto"/>
        <w:right w:val="none" w:sz="0" w:space="0" w:color="auto"/>
      </w:divBdr>
    </w:div>
    <w:div w:id="464277173">
      <w:bodyDiv w:val="1"/>
      <w:marLeft w:val="0"/>
      <w:marRight w:val="0"/>
      <w:marTop w:val="0"/>
      <w:marBottom w:val="0"/>
      <w:divBdr>
        <w:top w:val="none" w:sz="0" w:space="0" w:color="auto"/>
        <w:left w:val="none" w:sz="0" w:space="0" w:color="auto"/>
        <w:bottom w:val="none" w:sz="0" w:space="0" w:color="auto"/>
        <w:right w:val="none" w:sz="0" w:space="0" w:color="auto"/>
      </w:divBdr>
    </w:div>
    <w:div w:id="466624746">
      <w:bodyDiv w:val="1"/>
      <w:marLeft w:val="0"/>
      <w:marRight w:val="0"/>
      <w:marTop w:val="0"/>
      <w:marBottom w:val="0"/>
      <w:divBdr>
        <w:top w:val="none" w:sz="0" w:space="0" w:color="auto"/>
        <w:left w:val="none" w:sz="0" w:space="0" w:color="auto"/>
        <w:bottom w:val="none" w:sz="0" w:space="0" w:color="auto"/>
        <w:right w:val="none" w:sz="0" w:space="0" w:color="auto"/>
      </w:divBdr>
    </w:div>
    <w:div w:id="506091705">
      <w:bodyDiv w:val="1"/>
      <w:marLeft w:val="0"/>
      <w:marRight w:val="0"/>
      <w:marTop w:val="0"/>
      <w:marBottom w:val="0"/>
      <w:divBdr>
        <w:top w:val="none" w:sz="0" w:space="0" w:color="auto"/>
        <w:left w:val="none" w:sz="0" w:space="0" w:color="auto"/>
        <w:bottom w:val="none" w:sz="0" w:space="0" w:color="auto"/>
        <w:right w:val="none" w:sz="0" w:space="0" w:color="auto"/>
      </w:divBdr>
    </w:div>
    <w:div w:id="544485503">
      <w:bodyDiv w:val="1"/>
      <w:marLeft w:val="0"/>
      <w:marRight w:val="0"/>
      <w:marTop w:val="0"/>
      <w:marBottom w:val="0"/>
      <w:divBdr>
        <w:top w:val="none" w:sz="0" w:space="0" w:color="auto"/>
        <w:left w:val="none" w:sz="0" w:space="0" w:color="auto"/>
        <w:bottom w:val="none" w:sz="0" w:space="0" w:color="auto"/>
        <w:right w:val="none" w:sz="0" w:space="0" w:color="auto"/>
      </w:divBdr>
    </w:div>
    <w:div w:id="548299373">
      <w:bodyDiv w:val="1"/>
      <w:marLeft w:val="0"/>
      <w:marRight w:val="0"/>
      <w:marTop w:val="0"/>
      <w:marBottom w:val="0"/>
      <w:divBdr>
        <w:top w:val="none" w:sz="0" w:space="0" w:color="auto"/>
        <w:left w:val="none" w:sz="0" w:space="0" w:color="auto"/>
        <w:bottom w:val="none" w:sz="0" w:space="0" w:color="auto"/>
        <w:right w:val="none" w:sz="0" w:space="0" w:color="auto"/>
      </w:divBdr>
    </w:div>
    <w:div w:id="564992521">
      <w:bodyDiv w:val="1"/>
      <w:marLeft w:val="0"/>
      <w:marRight w:val="0"/>
      <w:marTop w:val="0"/>
      <w:marBottom w:val="0"/>
      <w:divBdr>
        <w:top w:val="none" w:sz="0" w:space="0" w:color="auto"/>
        <w:left w:val="none" w:sz="0" w:space="0" w:color="auto"/>
        <w:bottom w:val="none" w:sz="0" w:space="0" w:color="auto"/>
        <w:right w:val="none" w:sz="0" w:space="0" w:color="auto"/>
      </w:divBdr>
    </w:div>
    <w:div w:id="587540418">
      <w:bodyDiv w:val="1"/>
      <w:marLeft w:val="0"/>
      <w:marRight w:val="0"/>
      <w:marTop w:val="0"/>
      <w:marBottom w:val="0"/>
      <w:divBdr>
        <w:top w:val="none" w:sz="0" w:space="0" w:color="auto"/>
        <w:left w:val="none" w:sz="0" w:space="0" w:color="auto"/>
        <w:bottom w:val="none" w:sz="0" w:space="0" w:color="auto"/>
        <w:right w:val="none" w:sz="0" w:space="0" w:color="auto"/>
      </w:divBdr>
    </w:div>
    <w:div w:id="624427154">
      <w:bodyDiv w:val="1"/>
      <w:marLeft w:val="0"/>
      <w:marRight w:val="0"/>
      <w:marTop w:val="0"/>
      <w:marBottom w:val="0"/>
      <w:divBdr>
        <w:top w:val="none" w:sz="0" w:space="0" w:color="auto"/>
        <w:left w:val="none" w:sz="0" w:space="0" w:color="auto"/>
        <w:bottom w:val="none" w:sz="0" w:space="0" w:color="auto"/>
        <w:right w:val="none" w:sz="0" w:space="0" w:color="auto"/>
      </w:divBdr>
      <w:divsChild>
        <w:div w:id="989403439">
          <w:marLeft w:val="0"/>
          <w:marRight w:val="0"/>
          <w:marTop w:val="0"/>
          <w:marBottom w:val="0"/>
          <w:divBdr>
            <w:top w:val="none" w:sz="0" w:space="0" w:color="auto"/>
            <w:left w:val="none" w:sz="0" w:space="0" w:color="auto"/>
            <w:bottom w:val="none" w:sz="0" w:space="0" w:color="auto"/>
            <w:right w:val="none" w:sz="0" w:space="0" w:color="auto"/>
          </w:divBdr>
          <w:divsChild>
            <w:div w:id="125710384">
              <w:marLeft w:val="0"/>
              <w:marRight w:val="0"/>
              <w:marTop w:val="0"/>
              <w:marBottom w:val="0"/>
              <w:divBdr>
                <w:top w:val="none" w:sz="0" w:space="0" w:color="auto"/>
                <w:left w:val="none" w:sz="0" w:space="0" w:color="auto"/>
                <w:bottom w:val="none" w:sz="0" w:space="0" w:color="auto"/>
                <w:right w:val="none" w:sz="0" w:space="0" w:color="auto"/>
              </w:divBdr>
              <w:divsChild>
                <w:div w:id="5588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735">
      <w:bodyDiv w:val="1"/>
      <w:marLeft w:val="0"/>
      <w:marRight w:val="0"/>
      <w:marTop w:val="0"/>
      <w:marBottom w:val="0"/>
      <w:divBdr>
        <w:top w:val="none" w:sz="0" w:space="0" w:color="auto"/>
        <w:left w:val="none" w:sz="0" w:space="0" w:color="auto"/>
        <w:bottom w:val="none" w:sz="0" w:space="0" w:color="auto"/>
        <w:right w:val="none" w:sz="0" w:space="0" w:color="auto"/>
      </w:divBdr>
      <w:divsChild>
        <w:div w:id="1497576082">
          <w:marLeft w:val="0"/>
          <w:marRight w:val="0"/>
          <w:marTop w:val="0"/>
          <w:marBottom w:val="0"/>
          <w:divBdr>
            <w:top w:val="none" w:sz="0" w:space="0" w:color="auto"/>
            <w:left w:val="none" w:sz="0" w:space="0" w:color="auto"/>
            <w:bottom w:val="none" w:sz="0" w:space="0" w:color="auto"/>
            <w:right w:val="none" w:sz="0" w:space="0" w:color="auto"/>
          </w:divBdr>
        </w:div>
      </w:divsChild>
    </w:div>
    <w:div w:id="632058157">
      <w:bodyDiv w:val="1"/>
      <w:marLeft w:val="0"/>
      <w:marRight w:val="0"/>
      <w:marTop w:val="0"/>
      <w:marBottom w:val="0"/>
      <w:divBdr>
        <w:top w:val="none" w:sz="0" w:space="0" w:color="auto"/>
        <w:left w:val="none" w:sz="0" w:space="0" w:color="auto"/>
        <w:bottom w:val="none" w:sz="0" w:space="0" w:color="auto"/>
        <w:right w:val="none" w:sz="0" w:space="0" w:color="auto"/>
      </w:divBdr>
    </w:div>
    <w:div w:id="632103763">
      <w:bodyDiv w:val="1"/>
      <w:marLeft w:val="0"/>
      <w:marRight w:val="0"/>
      <w:marTop w:val="0"/>
      <w:marBottom w:val="0"/>
      <w:divBdr>
        <w:top w:val="none" w:sz="0" w:space="0" w:color="auto"/>
        <w:left w:val="none" w:sz="0" w:space="0" w:color="auto"/>
        <w:bottom w:val="none" w:sz="0" w:space="0" w:color="auto"/>
        <w:right w:val="none" w:sz="0" w:space="0" w:color="auto"/>
      </w:divBdr>
    </w:div>
    <w:div w:id="656568690">
      <w:bodyDiv w:val="1"/>
      <w:marLeft w:val="0"/>
      <w:marRight w:val="0"/>
      <w:marTop w:val="0"/>
      <w:marBottom w:val="0"/>
      <w:divBdr>
        <w:top w:val="none" w:sz="0" w:space="0" w:color="auto"/>
        <w:left w:val="none" w:sz="0" w:space="0" w:color="auto"/>
        <w:bottom w:val="none" w:sz="0" w:space="0" w:color="auto"/>
        <w:right w:val="none" w:sz="0" w:space="0" w:color="auto"/>
      </w:divBdr>
    </w:div>
    <w:div w:id="659314018">
      <w:bodyDiv w:val="1"/>
      <w:marLeft w:val="0"/>
      <w:marRight w:val="0"/>
      <w:marTop w:val="0"/>
      <w:marBottom w:val="0"/>
      <w:divBdr>
        <w:top w:val="none" w:sz="0" w:space="0" w:color="auto"/>
        <w:left w:val="none" w:sz="0" w:space="0" w:color="auto"/>
        <w:bottom w:val="none" w:sz="0" w:space="0" w:color="auto"/>
        <w:right w:val="none" w:sz="0" w:space="0" w:color="auto"/>
      </w:divBdr>
    </w:div>
    <w:div w:id="694768490">
      <w:bodyDiv w:val="1"/>
      <w:marLeft w:val="0"/>
      <w:marRight w:val="0"/>
      <w:marTop w:val="0"/>
      <w:marBottom w:val="0"/>
      <w:divBdr>
        <w:top w:val="none" w:sz="0" w:space="0" w:color="auto"/>
        <w:left w:val="none" w:sz="0" w:space="0" w:color="auto"/>
        <w:bottom w:val="none" w:sz="0" w:space="0" w:color="auto"/>
        <w:right w:val="none" w:sz="0" w:space="0" w:color="auto"/>
      </w:divBdr>
    </w:div>
    <w:div w:id="746733253">
      <w:bodyDiv w:val="1"/>
      <w:marLeft w:val="0"/>
      <w:marRight w:val="0"/>
      <w:marTop w:val="0"/>
      <w:marBottom w:val="0"/>
      <w:divBdr>
        <w:top w:val="none" w:sz="0" w:space="0" w:color="auto"/>
        <w:left w:val="none" w:sz="0" w:space="0" w:color="auto"/>
        <w:bottom w:val="none" w:sz="0" w:space="0" w:color="auto"/>
        <w:right w:val="none" w:sz="0" w:space="0" w:color="auto"/>
      </w:divBdr>
    </w:div>
    <w:div w:id="775951709">
      <w:bodyDiv w:val="1"/>
      <w:marLeft w:val="0"/>
      <w:marRight w:val="0"/>
      <w:marTop w:val="0"/>
      <w:marBottom w:val="0"/>
      <w:divBdr>
        <w:top w:val="none" w:sz="0" w:space="0" w:color="auto"/>
        <w:left w:val="none" w:sz="0" w:space="0" w:color="auto"/>
        <w:bottom w:val="none" w:sz="0" w:space="0" w:color="auto"/>
        <w:right w:val="none" w:sz="0" w:space="0" w:color="auto"/>
      </w:divBdr>
    </w:div>
    <w:div w:id="792094033">
      <w:bodyDiv w:val="1"/>
      <w:marLeft w:val="0"/>
      <w:marRight w:val="0"/>
      <w:marTop w:val="0"/>
      <w:marBottom w:val="0"/>
      <w:divBdr>
        <w:top w:val="none" w:sz="0" w:space="0" w:color="auto"/>
        <w:left w:val="none" w:sz="0" w:space="0" w:color="auto"/>
        <w:bottom w:val="none" w:sz="0" w:space="0" w:color="auto"/>
        <w:right w:val="none" w:sz="0" w:space="0" w:color="auto"/>
      </w:divBdr>
    </w:div>
    <w:div w:id="797183281">
      <w:bodyDiv w:val="1"/>
      <w:marLeft w:val="0"/>
      <w:marRight w:val="0"/>
      <w:marTop w:val="0"/>
      <w:marBottom w:val="0"/>
      <w:divBdr>
        <w:top w:val="none" w:sz="0" w:space="0" w:color="auto"/>
        <w:left w:val="none" w:sz="0" w:space="0" w:color="auto"/>
        <w:bottom w:val="none" w:sz="0" w:space="0" w:color="auto"/>
        <w:right w:val="none" w:sz="0" w:space="0" w:color="auto"/>
      </w:divBdr>
    </w:div>
    <w:div w:id="805127867">
      <w:bodyDiv w:val="1"/>
      <w:marLeft w:val="0"/>
      <w:marRight w:val="0"/>
      <w:marTop w:val="0"/>
      <w:marBottom w:val="0"/>
      <w:divBdr>
        <w:top w:val="none" w:sz="0" w:space="0" w:color="auto"/>
        <w:left w:val="none" w:sz="0" w:space="0" w:color="auto"/>
        <w:bottom w:val="none" w:sz="0" w:space="0" w:color="auto"/>
        <w:right w:val="none" w:sz="0" w:space="0" w:color="auto"/>
      </w:divBdr>
      <w:divsChild>
        <w:div w:id="2054226745">
          <w:marLeft w:val="0"/>
          <w:marRight w:val="0"/>
          <w:marTop w:val="0"/>
          <w:marBottom w:val="0"/>
          <w:divBdr>
            <w:top w:val="none" w:sz="0" w:space="0" w:color="auto"/>
            <w:left w:val="none" w:sz="0" w:space="0" w:color="auto"/>
            <w:bottom w:val="none" w:sz="0" w:space="0" w:color="auto"/>
            <w:right w:val="none" w:sz="0" w:space="0" w:color="auto"/>
          </w:divBdr>
          <w:divsChild>
            <w:div w:id="1239705457">
              <w:marLeft w:val="0"/>
              <w:marRight w:val="0"/>
              <w:marTop w:val="0"/>
              <w:marBottom w:val="0"/>
              <w:divBdr>
                <w:top w:val="none" w:sz="0" w:space="0" w:color="auto"/>
                <w:left w:val="none" w:sz="0" w:space="0" w:color="auto"/>
                <w:bottom w:val="none" w:sz="0" w:space="0" w:color="auto"/>
                <w:right w:val="none" w:sz="0" w:space="0" w:color="auto"/>
              </w:divBdr>
              <w:divsChild>
                <w:div w:id="1845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5954">
      <w:bodyDiv w:val="1"/>
      <w:marLeft w:val="0"/>
      <w:marRight w:val="0"/>
      <w:marTop w:val="0"/>
      <w:marBottom w:val="0"/>
      <w:divBdr>
        <w:top w:val="none" w:sz="0" w:space="0" w:color="auto"/>
        <w:left w:val="none" w:sz="0" w:space="0" w:color="auto"/>
        <w:bottom w:val="none" w:sz="0" w:space="0" w:color="auto"/>
        <w:right w:val="none" w:sz="0" w:space="0" w:color="auto"/>
      </w:divBdr>
    </w:div>
    <w:div w:id="844054211">
      <w:bodyDiv w:val="1"/>
      <w:marLeft w:val="0"/>
      <w:marRight w:val="0"/>
      <w:marTop w:val="0"/>
      <w:marBottom w:val="0"/>
      <w:divBdr>
        <w:top w:val="none" w:sz="0" w:space="0" w:color="auto"/>
        <w:left w:val="none" w:sz="0" w:space="0" w:color="auto"/>
        <w:bottom w:val="none" w:sz="0" w:space="0" w:color="auto"/>
        <w:right w:val="none" w:sz="0" w:space="0" w:color="auto"/>
      </w:divBdr>
    </w:div>
    <w:div w:id="852765018">
      <w:bodyDiv w:val="1"/>
      <w:marLeft w:val="0"/>
      <w:marRight w:val="0"/>
      <w:marTop w:val="0"/>
      <w:marBottom w:val="0"/>
      <w:divBdr>
        <w:top w:val="none" w:sz="0" w:space="0" w:color="auto"/>
        <w:left w:val="none" w:sz="0" w:space="0" w:color="auto"/>
        <w:bottom w:val="none" w:sz="0" w:space="0" w:color="auto"/>
        <w:right w:val="none" w:sz="0" w:space="0" w:color="auto"/>
      </w:divBdr>
    </w:div>
    <w:div w:id="865824965">
      <w:bodyDiv w:val="1"/>
      <w:marLeft w:val="0"/>
      <w:marRight w:val="0"/>
      <w:marTop w:val="0"/>
      <w:marBottom w:val="0"/>
      <w:divBdr>
        <w:top w:val="none" w:sz="0" w:space="0" w:color="auto"/>
        <w:left w:val="none" w:sz="0" w:space="0" w:color="auto"/>
        <w:bottom w:val="none" w:sz="0" w:space="0" w:color="auto"/>
        <w:right w:val="none" w:sz="0" w:space="0" w:color="auto"/>
      </w:divBdr>
    </w:div>
    <w:div w:id="875655284">
      <w:bodyDiv w:val="1"/>
      <w:marLeft w:val="0"/>
      <w:marRight w:val="0"/>
      <w:marTop w:val="0"/>
      <w:marBottom w:val="0"/>
      <w:divBdr>
        <w:top w:val="none" w:sz="0" w:space="0" w:color="auto"/>
        <w:left w:val="none" w:sz="0" w:space="0" w:color="auto"/>
        <w:bottom w:val="none" w:sz="0" w:space="0" w:color="auto"/>
        <w:right w:val="none" w:sz="0" w:space="0" w:color="auto"/>
      </w:divBdr>
    </w:div>
    <w:div w:id="907151726">
      <w:bodyDiv w:val="1"/>
      <w:marLeft w:val="0"/>
      <w:marRight w:val="0"/>
      <w:marTop w:val="0"/>
      <w:marBottom w:val="0"/>
      <w:divBdr>
        <w:top w:val="none" w:sz="0" w:space="0" w:color="auto"/>
        <w:left w:val="none" w:sz="0" w:space="0" w:color="auto"/>
        <w:bottom w:val="none" w:sz="0" w:space="0" w:color="auto"/>
        <w:right w:val="none" w:sz="0" w:space="0" w:color="auto"/>
      </w:divBdr>
      <w:divsChild>
        <w:div w:id="576326218">
          <w:marLeft w:val="0"/>
          <w:marRight w:val="0"/>
          <w:marTop w:val="0"/>
          <w:marBottom w:val="210"/>
          <w:divBdr>
            <w:top w:val="none" w:sz="0" w:space="0" w:color="auto"/>
            <w:left w:val="none" w:sz="0" w:space="0" w:color="auto"/>
            <w:bottom w:val="none" w:sz="0" w:space="0" w:color="auto"/>
            <w:right w:val="none" w:sz="0" w:space="0" w:color="auto"/>
          </w:divBdr>
          <w:divsChild>
            <w:div w:id="12904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8">
      <w:bodyDiv w:val="1"/>
      <w:marLeft w:val="0"/>
      <w:marRight w:val="0"/>
      <w:marTop w:val="0"/>
      <w:marBottom w:val="0"/>
      <w:divBdr>
        <w:top w:val="none" w:sz="0" w:space="0" w:color="auto"/>
        <w:left w:val="none" w:sz="0" w:space="0" w:color="auto"/>
        <w:bottom w:val="none" w:sz="0" w:space="0" w:color="auto"/>
        <w:right w:val="none" w:sz="0" w:space="0" w:color="auto"/>
      </w:divBdr>
    </w:div>
    <w:div w:id="930814542">
      <w:bodyDiv w:val="1"/>
      <w:marLeft w:val="0"/>
      <w:marRight w:val="0"/>
      <w:marTop w:val="0"/>
      <w:marBottom w:val="0"/>
      <w:divBdr>
        <w:top w:val="none" w:sz="0" w:space="0" w:color="auto"/>
        <w:left w:val="none" w:sz="0" w:space="0" w:color="auto"/>
        <w:bottom w:val="none" w:sz="0" w:space="0" w:color="auto"/>
        <w:right w:val="none" w:sz="0" w:space="0" w:color="auto"/>
      </w:divBdr>
    </w:div>
    <w:div w:id="942034408">
      <w:bodyDiv w:val="1"/>
      <w:marLeft w:val="0"/>
      <w:marRight w:val="0"/>
      <w:marTop w:val="0"/>
      <w:marBottom w:val="0"/>
      <w:divBdr>
        <w:top w:val="none" w:sz="0" w:space="0" w:color="auto"/>
        <w:left w:val="none" w:sz="0" w:space="0" w:color="auto"/>
        <w:bottom w:val="none" w:sz="0" w:space="0" w:color="auto"/>
        <w:right w:val="none" w:sz="0" w:space="0" w:color="auto"/>
      </w:divBdr>
    </w:div>
    <w:div w:id="945693482">
      <w:bodyDiv w:val="1"/>
      <w:marLeft w:val="0"/>
      <w:marRight w:val="0"/>
      <w:marTop w:val="0"/>
      <w:marBottom w:val="0"/>
      <w:divBdr>
        <w:top w:val="none" w:sz="0" w:space="0" w:color="auto"/>
        <w:left w:val="none" w:sz="0" w:space="0" w:color="auto"/>
        <w:bottom w:val="none" w:sz="0" w:space="0" w:color="auto"/>
        <w:right w:val="none" w:sz="0" w:space="0" w:color="auto"/>
      </w:divBdr>
      <w:divsChild>
        <w:div w:id="729116594">
          <w:marLeft w:val="0"/>
          <w:marRight w:val="0"/>
          <w:marTop w:val="0"/>
          <w:marBottom w:val="0"/>
          <w:divBdr>
            <w:top w:val="none" w:sz="0" w:space="0" w:color="auto"/>
            <w:left w:val="none" w:sz="0" w:space="0" w:color="auto"/>
            <w:bottom w:val="none" w:sz="0" w:space="0" w:color="auto"/>
            <w:right w:val="none" w:sz="0" w:space="0" w:color="auto"/>
          </w:divBdr>
        </w:div>
      </w:divsChild>
    </w:div>
    <w:div w:id="947586440">
      <w:bodyDiv w:val="1"/>
      <w:marLeft w:val="0"/>
      <w:marRight w:val="0"/>
      <w:marTop w:val="0"/>
      <w:marBottom w:val="0"/>
      <w:divBdr>
        <w:top w:val="none" w:sz="0" w:space="0" w:color="auto"/>
        <w:left w:val="none" w:sz="0" w:space="0" w:color="auto"/>
        <w:bottom w:val="none" w:sz="0" w:space="0" w:color="auto"/>
        <w:right w:val="none" w:sz="0" w:space="0" w:color="auto"/>
      </w:divBdr>
      <w:divsChild>
        <w:div w:id="636956343">
          <w:marLeft w:val="0"/>
          <w:marRight w:val="0"/>
          <w:marTop w:val="0"/>
          <w:marBottom w:val="0"/>
          <w:divBdr>
            <w:top w:val="none" w:sz="0" w:space="0" w:color="auto"/>
            <w:left w:val="none" w:sz="0" w:space="0" w:color="auto"/>
            <w:bottom w:val="none" w:sz="0" w:space="0" w:color="auto"/>
            <w:right w:val="none" w:sz="0" w:space="0" w:color="auto"/>
          </w:divBdr>
          <w:divsChild>
            <w:div w:id="766584622">
              <w:marLeft w:val="0"/>
              <w:marRight w:val="0"/>
              <w:marTop w:val="0"/>
              <w:marBottom w:val="0"/>
              <w:divBdr>
                <w:top w:val="none" w:sz="0" w:space="0" w:color="auto"/>
                <w:left w:val="none" w:sz="0" w:space="0" w:color="auto"/>
                <w:bottom w:val="none" w:sz="0" w:space="0" w:color="auto"/>
                <w:right w:val="none" w:sz="0" w:space="0" w:color="auto"/>
              </w:divBdr>
              <w:divsChild>
                <w:div w:id="8677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8664">
      <w:bodyDiv w:val="1"/>
      <w:marLeft w:val="0"/>
      <w:marRight w:val="0"/>
      <w:marTop w:val="0"/>
      <w:marBottom w:val="0"/>
      <w:divBdr>
        <w:top w:val="none" w:sz="0" w:space="0" w:color="auto"/>
        <w:left w:val="none" w:sz="0" w:space="0" w:color="auto"/>
        <w:bottom w:val="none" w:sz="0" w:space="0" w:color="auto"/>
        <w:right w:val="none" w:sz="0" w:space="0" w:color="auto"/>
      </w:divBdr>
    </w:div>
    <w:div w:id="980617702">
      <w:bodyDiv w:val="1"/>
      <w:marLeft w:val="0"/>
      <w:marRight w:val="0"/>
      <w:marTop w:val="0"/>
      <w:marBottom w:val="0"/>
      <w:divBdr>
        <w:top w:val="none" w:sz="0" w:space="0" w:color="auto"/>
        <w:left w:val="none" w:sz="0" w:space="0" w:color="auto"/>
        <w:bottom w:val="none" w:sz="0" w:space="0" w:color="auto"/>
        <w:right w:val="none" w:sz="0" w:space="0" w:color="auto"/>
      </w:divBdr>
    </w:div>
    <w:div w:id="985937388">
      <w:bodyDiv w:val="1"/>
      <w:marLeft w:val="0"/>
      <w:marRight w:val="0"/>
      <w:marTop w:val="0"/>
      <w:marBottom w:val="0"/>
      <w:divBdr>
        <w:top w:val="none" w:sz="0" w:space="0" w:color="auto"/>
        <w:left w:val="none" w:sz="0" w:space="0" w:color="auto"/>
        <w:bottom w:val="none" w:sz="0" w:space="0" w:color="auto"/>
        <w:right w:val="none" w:sz="0" w:space="0" w:color="auto"/>
      </w:divBdr>
    </w:div>
    <w:div w:id="1009020659">
      <w:bodyDiv w:val="1"/>
      <w:marLeft w:val="0"/>
      <w:marRight w:val="0"/>
      <w:marTop w:val="0"/>
      <w:marBottom w:val="0"/>
      <w:divBdr>
        <w:top w:val="none" w:sz="0" w:space="0" w:color="auto"/>
        <w:left w:val="none" w:sz="0" w:space="0" w:color="auto"/>
        <w:bottom w:val="none" w:sz="0" w:space="0" w:color="auto"/>
        <w:right w:val="none" w:sz="0" w:space="0" w:color="auto"/>
      </w:divBdr>
    </w:div>
    <w:div w:id="1031144876">
      <w:bodyDiv w:val="1"/>
      <w:marLeft w:val="0"/>
      <w:marRight w:val="0"/>
      <w:marTop w:val="0"/>
      <w:marBottom w:val="0"/>
      <w:divBdr>
        <w:top w:val="none" w:sz="0" w:space="0" w:color="auto"/>
        <w:left w:val="none" w:sz="0" w:space="0" w:color="auto"/>
        <w:bottom w:val="none" w:sz="0" w:space="0" w:color="auto"/>
        <w:right w:val="none" w:sz="0" w:space="0" w:color="auto"/>
      </w:divBdr>
    </w:div>
    <w:div w:id="1038163310">
      <w:bodyDiv w:val="1"/>
      <w:marLeft w:val="0"/>
      <w:marRight w:val="0"/>
      <w:marTop w:val="0"/>
      <w:marBottom w:val="0"/>
      <w:divBdr>
        <w:top w:val="none" w:sz="0" w:space="0" w:color="auto"/>
        <w:left w:val="none" w:sz="0" w:space="0" w:color="auto"/>
        <w:bottom w:val="none" w:sz="0" w:space="0" w:color="auto"/>
        <w:right w:val="none" w:sz="0" w:space="0" w:color="auto"/>
      </w:divBdr>
      <w:divsChild>
        <w:div w:id="2065248511">
          <w:marLeft w:val="0"/>
          <w:marRight w:val="0"/>
          <w:marTop w:val="0"/>
          <w:marBottom w:val="0"/>
          <w:divBdr>
            <w:top w:val="none" w:sz="0" w:space="0" w:color="auto"/>
            <w:left w:val="none" w:sz="0" w:space="0" w:color="auto"/>
            <w:bottom w:val="none" w:sz="0" w:space="0" w:color="auto"/>
            <w:right w:val="none" w:sz="0" w:space="0" w:color="auto"/>
          </w:divBdr>
        </w:div>
      </w:divsChild>
    </w:div>
    <w:div w:id="1043676299">
      <w:bodyDiv w:val="1"/>
      <w:marLeft w:val="0"/>
      <w:marRight w:val="0"/>
      <w:marTop w:val="0"/>
      <w:marBottom w:val="0"/>
      <w:divBdr>
        <w:top w:val="none" w:sz="0" w:space="0" w:color="auto"/>
        <w:left w:val="none" w:sz="0" w:space="0" w:color="auto"/>
        <w:bottom w:val="none" w:sz="0" w:space="0" w:color="auto"/>
        <w:right w:val="none" w:sz="0" w:space="0" w:color="auto"/>
      </w:divBdr>
    </w:div>
    <w:div w:id="1057050225">
      <w:bodyDiv w:val="1"/>
      <w:marLeft w:val="0"/>
      <w:marRight w:val="0"/>
      <w:marTop w:val="0"/>
      <w:marBottom w:val="0"/>
      <w:divBdr>
        <w:top w:val="none" w:sz="0" w:space="0" w:color="auto"/>
        <w:left w:val="none" w:sz="0" w:space="0" w:color="auto"/>
        <w:bottom w:val="none" w:sz="0" w:space="0" w:color="auto"/>
        <w:right w:val="none" w:sz="0" w:space="0" w:color="auto"/>
      </w:divBdr>
      <w:divsChild>
        <w:div w:id="1647129462">
          <w:marLeft w:val="0"/>
          <w:marRight w:val="0"/>
          <w:marTop w:val="0"/>
          <w:marBottom w:val="0"/>
          <w:divBdr>
            <w:top w:val="none" w:sz="0" w:space="0" w:color="auto"/>
            <w:left w:val="none" w:sz="0" w:space="0" w:color="auto"/>
            <w:bottom w:val="none" w:sz="0" w:space="0" w:color="auto"/>
            <w:right w:val="none" w:sz="0" w:space="0" w:color="auto"/>
          </w:divBdr>
        </w:div>
      </w:divsChild>
    </w:div>
    <w:div w:id="1071390383">
      <w:bodyDiv w:val="1"/>
      <w:marLeft w:val="0"/>
      <w:marRight w:val="0"/>
      <w:marTop w:val="0"/>
      <w:marBottom w:val="0"/>
      <w:divBdr>
        <w:top w:val="none" w:sz="0" w:space="0" w:color="auto"/>
        <w:left w:val="none" w:sz="0" w:space="0" w:color="auto"/>
        <w:bottom w:val="none" w:sz="0" w:space="0" w:color="auto"/>
        <w:right w:val="none" w:sz="0" w:space="0" w:color="auto"/>
      </w:divBdr>
    </w:div>
    <w:div w:id="1122110877">
      <w:bodyDiv w:val="1"/>
      <w:marLeft w:val="0"/>
      <w:marRight w:val="0"/>
      <w:marTop w:val="0"/>
      <w:marBottom w:val="0"/>
      <w:divBdr>
        <w:top w:val="none" w:sz="0" w:space="0" w:color="auto"/>
        <w:left w:val="none" w:sz="0" w:space="0" w:color="auto"/>
        <w:bottom w:val="none" w:sz="0" w:space="0" w:color="auto"/>
        <w:right w:val="none" w:sz="0" w:space="0" w:color="auto"/>
      </w:divBdr>
    </w:div>
    <w:div w:id="1128862555">
      <w:bodyDiv w:val="1"/>
      <w:marLeft w:val="0"/>
      <w:marRight w:val="0"/>
      <w:marTop w:val="0"/>
      <w:marBottom w:val="0"/>
      <w:divBdr>
        <w:top w:val="none" w:sz="0" w:space="0" w:color="auto"/>
        <w:left w:val="none" w:sz="0" w:space="0" w:color="auto"/>
        <w:bottom w:val="none" w:sz="0" w:space="0" w:color="auto"/>
        <w:right w:val="none" w:sz="0" w:space="0" w:color="auto"/>
      </w:divBdr>
    </w:div>
    <w:div w:id="1148666161">
      <w:bodyDiv w:val="1"/>
      <w:marLeft w:val="0"/>
      <w:marRight w:val="0"/>
      <w:marTop w:val="0"/>
      <w:marBottom w:val="0"/>
      <w:divBdr>
        <w:top w:val="none" w:sz="0" w:space="0" w:color="auto"/>
        <w:left w:val="none" w:sz="0" w:space="0" w:color="auto"/>
        <w:bottom w:val="none" w:sz="0" w:space="0" w:color="auto"/>
        <w:right w:val="none" w:sz="0" w:space="0" w:color="auto"/>
      </w:divBdr>
      <w:divsChild>
        <w:div w:id="740904660">
          <w:marLeft w:val="0"/>
          <w:marRight w:val="0"/>
          <w:marTop w:val="0"/>
          <w:marBottom w:val="0"/>
          <w:divBdr>
            <w:top w:val="none" w:sz="0" w:space="0" w:color="auto"/>
            <w:left w:val="none" w:sz="0" w:space="0" w:color="auto"/>
            <w:bottom w:val="none" w:sz="0" w:space="0" w:color="auto"/>
            <w:right w:val="none" w:sz="0" w:space="0" w:color="auto"/>
          </w:divBdr>
        </w:div>
      </w:divsChild>
    </w:div>
    <w:div w:id="1149522232">
      <w:bodyDiv w:val="1"/>
      <w:marLeft w:val="0"/>
      <w:marRight w:val="0"/>
      <w:marTop w:val="0"/>
      <w:marBottom w:val="0"/>
      <w:divBdr>
        <w:top w:val="none" w:sz="0" w:space="0" w:color="auto"/>
        <w:left w:val="none" w:sz="0" w:space="0" w:color="auto"/>
        <w:bottom w:val="none" w:sz="0" w:space="0" w:color="auto"/>
        <w:right w:val="none" w:sz="0" w:space="0" w:color="auto"/>
      </w:divBdr>
      <w:divsChild>
        <w:div w:id="1470367653">
          <w:marLeft w:val="0"/>
          <w:marRight w:val="0"/>
          <w:marTop w:val="0"/>
          <w:marBottom w:val="0"/>
          <w:divBdr>
            <w:top w:val="none" w:sz="0" w:space="0" w:color="auto"/>
            <w:left w:val="none" w:sz="0" w:space="0" w:color="auto"/>
            <w:bottom w:val="none" w:sz="0" w:space="0" w:color="auto"/>
            <w:right w:val="none" w:sz="0" w:space="0" w:color="auto"/>
          </w:divBdr>
        </w:div>
      </w:divsChild>
    </w:div>
    <w:div w:id="1164124511">
      <w:bodyDiv w:val="1"/>
      <w:marLeft w:val="0"/>
      <w:marRight w:val="0"/>
      <w:marTop w:val="0"/>
      <w:marBottom w:val="0"/>
      <w:divBdr>
        <w:top w:val="none" w:sz="0" w:space="0" w:color="auto"/>
        <w:left w:val="none" w:sz="0" w:space="0" w:color="auto"/>
        <w:bottom w:val="none" w:sz="0" w:space="0" w:color="auto"/>
        <w:right w:val="none" w:sz="0" w:space="0" w:color="auto"/>
      </w:divBdr>
    </w:div>
    <w:div w:id="1170876583">
      <w:bodyDiv w:val="1"/>
      <w:marLeft w:val="0"/>
      <w:marRight w:val="0"/>
      <w:marTop w:val="0"/>
      <w:marBottom w:val="0"/>
      <w:divBdr>
        <w:top w:val="none" w:sz="0" w:space="0" w:color="auto"/>
        <w:left w:val="none" w:sz="0" w:space="0" w:color="auto"/>
        <w:bottom w:val="none" w:sz="0" w:space="0" w:color="auto"/>
        <w:right w:val="none" w:sz="0" w:space="0" w:color="auto"/>
      </w:divBdr>
    </w:div>
    <w:div w:id="1174102414">
      <w:bodyDiv w:val="1"/>
      <w:marLeft w:val="0"/>
      <w:marRight w:val="0"/>
      <w:marTop w:val="0"/>
      <w:marBottom w:val="0"/>
      <w:divBdr>
        <w:top w:val="none" w:sz="0" w:space="0" w:color="auto"/>
        <w:left w:val="none" w:sz="0" w:space="0" w:color="auto"/>
        <w:bottom w:val="none" w:sz="0" w:space="0" w:color="auto"/>
        <w:right w:val="none" w:sz="0" w:space="0" w:color="auto"/>
      </w:divBdr>
      <w:divsChild>
        <w:div w:id="1506626680">
          <w:marLeft w:val="0"/>
          <w:marRight w:val="0"/>
          <w:marTop w:val="0"/>
          <w:marBottom w:val="0"/>
          <w:divBdr>
            <w:top w:val="none" w:sz="0" w:space="0" w:color="auto"/>
            <w:left w:val="none" w:sz="0" w:space="0" w:color="auto"/>
            <w:bottom w:val="none" w:sz="0" w:space="0" w:color="auto"/>
            <w:right w:val="none" w:sz="0" w:space="0" w:color="auto"/>
          </w:divBdr>
        </w:div>
      </w:divsChild>
    </w:div>
    <w:div w:id="1212882222">
      <w:bodyDiv w:val="1"/>
      <w:marLeft w:val="0"/>
      <w:marRight w:val="0"/>
      <w:marTop w:val="0"/>
      <w:marBottom w:val="0"/>
      <w:divBdr>
        <w:top w:val="none" w:sz="0" w:space="0" w:color="auto"/>
        <w:left w:val="none" w:sz="0" w:space="0" w:color="auto"/>
        <w:bottom w:val="none" w:sz="0" w:space="0" w:color="auto"/>
        <w:right w:val="none" w:sz="0" w:space="0" w:color="auto"/>
      </w:divBdr>
    </w:div>
    <w:div w:id="1214121593">
      <w:bodyDiv w:val="1"/>
      <w:marLeft w:val="0"/>
      <w:marRight w:val="0"/>
      <w:marTop w:val="0"/>
      <w:marBottom w:val="0"/>
      <w:divBdr>
        <w:top w:val="none" w:sz="0" w:space="0" w:color="auto"/>
        <w:left w:val="none" w:sz="0" w:space="0" w:color="auto"/>
        <w:bottom w:val="none" w:sz="0" w:space="0" w:color="auto"/>
        <w:right w:val="none" w:sz="0" w:space="0" w:color="auto"/>
      </w:divBdr>
    </w:div>
    <w:div w:id="1219167637">
      <w:bodyDiv w:val="1"/>
      <w:marLeft w:val="0"/>
      <w:marRight w:val="0"/>
      <w:marTop w:val="0"/>
      <w:marBottom w:val="0"/>
      <w:divBdr>
        <w:top w:val="none" w:sz="0" w:space="0" w:color="auto"/>
        <w:left w:val="none" w:sz="0" w:space="0" w:color="auto"/>
        <w:bottom w:val="none" w:sz="0" w:space="0" w:color="auto"/>
        <w:right w:val="none" w:sz="0" w:space="0" w:color="auto"/>
      </w:divBdr>
    </w:div>
    <w:div w:id="1309750758">
      <w:bodyDiv w:val="1"/>
      <w:marLeft w:val="0"/>
      <w:marRight w:val="0"/>
      <w:marTop w:val="0"/>
      <w:marBottom w:val="0"/>
      <w:divBdr>
        <w:top w:val="none" w:sz="0" w:space="0" w:color="auto"/>
        <w:left w:val="none" w:sz="0" w:space="0" w:color="auto"/>
        <w:bottom w:val="none" w:sz="0" w:space="0" w:color="auto"/>
        <w:right w:val="none" w:sz="0" w:space="0" w:color="auto"/>
      </w:divBdr>
    </w:div>
    <w:div w:id="1329282580">
      <w:bodyDiv w:val="1"/>
      <w:marLeft w:val="0"/>
      <w:marRight w:val="0"/>
      <w:marTop w:val="0"/>
      <w:marBottom w:val="0"/>
      <w:divBdr>
        <w:top w:val="none" w:sz="0" w:space="0" w:color="auto"/>
        <w:left w:val="none" w:sz="0" w:space="0" w:color="auto"/>
        <w:bottom w:val="none" w:sz="0" w:space="0" w:color="auto"/>
        <w:right w:val="none" w:sz="0" w:space="0" w:color="auto"/>
      </w:divBdr>
    </w:div>
    <w:div w:id="1354914630">
      <w:bodyDiv w:val="1"/>
      <w:marLeft w:val="0"/>
      <w:marRight w:val="0"/>
      <w:marTop w:val="0"/>
      <w:marBottom w:val="0"/>
      <w:divBdr>
        <w:top w:val="none" w:sz="0" w:space="0" w:color="auto"/>
        <w:left w:val="none" w:sz="0" w:space="0" w:color="auto"/>
        <w:bottom w:val="none" w:sz="0" w:space="0" w:color="auto"/>
        <w:right w:val="none" w:sz="0" w:space="0" w:color="auto"/>
      </w:divBdr>
    </w:div>
    <w:div w:id="1368943306">
      <w:bodyDiv w:val="1"/>
      <w:marLeft w:val="0"/>
      <w:marRight w:val="0"/>
      <w:marTop w:val="0"/>
      <w:marBottom w:val="0"/>
      <w:divBdr>
        <w:top w:val="none" w:sz="0" w:space="0" w:color="auto"/>
        <w:left w:val="none" w:sz="0" w:space="0" w:color="auto"/>
        <w:bottom w:val="none" w:sz="0" w:space="0" w:color="auto"/>
        <w:right w:val="none" w:sz="0" w:space="0" w:color="auto"/>
      </w:divBdr>
      <w:divsChild>
        <w:div w:id="359553179">
          <w:marLeft w:val="0"/>
          <w:marRight w:val="0"/>
          <w:marTop w:val="0"/>
          <w:marBottom w:val="0"/>
          <w:divBdr>
            <w:top w:val="none" w:sz="0" w:space="0" w:color="auto"/>
            <w:left w:val="none" w:sz="0" w:space="0" w:color="auto"/>
            <w:bottom w:val="none" w:sz="0" w:space="0" w:color="auto"/>
            <w:right w:val="none" w:sz="0" w:space="0" w:color="auto"/>
          </w:divBdr>
          <w:divsChild>
            <w:div w:id="693923671">
              <w:marLeft w:val="0"/>
              <w:marRight w:val="0"/>
              <w:marTop w:val="0"/>
              <w:marBottom w:val="0"/>
              <w:divBdr>
                <w:top w:val="none" w:sz="0" w:space="0" w:color="auto"/>
                <w:left w:val="none" w:sz="0" w:space="0" w:color="auto"/>
                <w:bottom w:val="none" w:sz="0" w:space="0" w:color="auto"/>
                <w:right w:val="none" w:sz="0" w:space="0" w:color="auto"/>
              </w:divBdr>
              <w:divsChild>
                <w:div w:id="10640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70138">
      <w:bodyDiv w:val="1"/>
      <w:marLeft w:val="0"/>
      <w:marRight w:val="0"/>
      <w:marTop w:val="0"/>
      <w:marBottom w:val="0"/>
      <w:divBdr>
        <w:top w:val="none" w:sz="0" w:space="0" w:color="auto"/>
        <w:left w:val="none" w:sz="0" w:space="0" w:color="auto"/>
        <w:bottom w:val="none" w:sz="0" w:space="0" w:color="auto"/>
        <w:right w:val="none" w:sz="0" w:space="0" w:color="auto"/>
      </w:divBdr>
      <w:divsChild>
        <w:div w:id="1673680756">
          <w:marLeft w:val="0"/>
          <w:marRight w:val="0"/>
          <w:marTop w:val="0"/>
          <w:marBottom w:val="0"/>
          <w:divBdr>
            <w:top w:val="none" w:sz="0" w:space="0" w:color="auto"/>
            <w:left w:val="none" w:sz="0" w:space="0" w:color="auto"/>
            <w:bottom w:val="none" w:sz="0" w:space="0" w:color="auto"/>
            <w:right w:val="none" w:sz="0" w:space="0" w:color="auto"/>
          </w:divBdr>
        </w:div>
        <w:div w:id="1706058581">
          <w:marLeft w:val="0"/>
          <w:marRight w:val="0"/>
          <w:marTop w:val="0"/>
          <w:marBottom w:val="150"/>
          <w:divBdr>
            <w:top w:val="none" w:sz="0" w:space="0" w:color="auto"/>
            <w:left w:val="none" w:sz="0" w:space="0" w:color="auto"/>
            <w:bottom w:val="none" w:sz="0" w:space="0" w:color="auto"/>
            <w:right w:val="none" w:sz="0" w:space="0" w:color="auto"/>
          </w:divBdr>
          <w:divsChild>
            <w:div w:id="1963146177">
              <w:marLeft w:val="0"/>
              <w:marRight w:val="0"/>
              <w:marTop w:val="0"/>
              <w:marBottom w:val="0"/>
              <w:divBdr>
                <w:top w:val="none" w:sz="0" w:space="0" w:color="auto"/>
                <w:left w:val="none" w:sz="0" w:space="0" w:color="auto"/>
                <w:bottom w:val="none" w:sz="0" w:space="0" w:color="auto"/>
                <w:right w:val="none" w:sz="0" w:space="0" w:color="auto"/>
              </w:divBdr>
              <w:divsChild>
                <w:div w:id="569507926">
                  <w:marLeft w:val="0"/>
                  <w:marRight w:val="0"/>
                  <w:marTop w:val="0"/>
                  <w:marBottom w:val="0"/>
                  <w:divBdr>
                    <w:top w:val="none" w:sz="0" w:space="0" w:color="auto"/>
                    <w:left w:val="none" w:sz="0" w:space="0" w:color="auto"/>
                    <w:bottom w:val="none" w:sz="0" w:space="0" w:color="auto"/>
                    <w:right w:val="none" w:sz="0" w:space="0" w:color="auto"/>
                  </w:divBdr>
                  <w:divsChild>
                    <w:div w:id="424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839972">
      <w:bodyDiv w:val="1"/>
      <w:marLeft w:val="0"/>
      <w:marRight w:val="0"/>
      <w:marTop w:val="0"/>
      <w:marBottom w:val="0"/>
      <w:divBdr>
        <w:top w:val="none" w:sz="0" w:space="0" w:color="auto"/>
        <w:left w:val="none" w:sz="0" w:space="0" w:color="auto"/>
        <w:bottom w:val="none" w:sz="0" w:space="0" w:color="auto"/>
        <w:right w:val="none" w:sz="0" w:space="0" w:color="auto"/>
      </w:divBdr>
    </w:div>
    <w:div w:id="1471245581">
      <w:bodyDiv w:val="1"/>
      <w:marLeft w:val="0"/>
      <w:marRight w:val="0"/>
      <w:marTop w:val="0"/>
      <w:marBottom w:val="0"/>
      <w:divBdr>
        <w:top w:val="none" w:sz="0" w:space="0" w:color="auto"/>
        <w:left w:val="none" w:sz="0" w:space="0" w:color="auto"/>
        <w:bottom w:val="none" w:sz="0" w:space="0" w:color="auto"/>
        <w:right w:val="none" w:sz="0" w:space="0" w:color="auto"/>
      </w:divBdr>
    </w:div>
    <w:div w:id="1487699446">
      <w:bodyDiv w:val="1"/>
      <w:marLeft w:val="0"/>
      <w:marRight w:val="0"/>
      <w:marTop w:val="0"/>
      <w:marBottom w:val="0"/>
      <w:divBdr>
        <w:top w:val="none" w:sz="0" w:space="0" w:color="auto"/>
        <w:left w:val="none" w:sz="0" w:space="0" w:color="auto"/>
        <w:bottom w:val="none" w:sz="0" w:space="0" w:color="auto"/>
        <w:right w:val="none" w:sz="0" w:space="0" w:color="auto"/>
      </w:divBdr>
    </w:div>
    <w:div w:id="1548838646">
      <w:bodyDiv w:val="1"/>
      <w:marLeft w:val="0"/>
      <w:marRight w:val="0"/>
      <w:marTop w:val="0"/>
      <w:marBottom w:val="0"/>
      <w:divBdr>
        <w:top w:val="none" w:sz="0" w:space="0" w:color="auto"/>
        <w:left w:val="none" w:sz="0" w:space="0" w:color="auto"/>
        <w:bottom w:val="none" w:sz="0" w:space="0" w:color="auto"/>
        <w:right w:val="none" w:sz="0" w:space="0" w:color="auto"/>
      </w:divBdr>
    </w:div>
    <w:div w:id="1553732383">
      <w:bodyDiv w:val="1"/>
      <w:marLeft w:val="0"/>
      <w:marRight w:val="0"/>
      <w:marTop w:val="0"/>
      <w:marBottom w:val="0"/>
      <w:divBdr>
        <w:top w:val="none" w:sz="0" w:space="0" w:color="auto"/>
        <w:left w:val="none" w:sz="0" w:space="0" w:color="auto"/>
        <w:bottom w:val="none" w:sz="0" w:space="0" w:color="auto"/>
        <w:right w:val="none" w:sz="0" w:space="0" w:color="auto"/>
      </w:divBdr>
    </w:div>
    <w:div w:id="1554391976">
      <w:bodyDiv w:val="1"/>
      <w:marLeft w:val="0"/>
      <w:marRight w:val="0"/>
      <w:marTop w:val="0"/>
      <w:marBottom w:val="0"/>
      <w:divBdr>
        <w:top w:val="none" w:sz="0" w:space="0" w:color="auto"/>
        <w:left w:val="none" w:sz="0" w:space="0" w:color="auto"/>
        <w:bottom w:val="none" w:sz="0" w:space="0" w:color="auto"/>
        <w:right w:val="none" w:sz="0" w:space="0" w:color="auto"/>
      </w:divBdr>
    </w:div>
    <w:div w:id="1600405069">
      <w:bodyDiv w:val="1"/>
      <w:marLeft w:val="0"/>
      <w:marRight w:val="0"/>
      <w:marTop w:val="0"/>
      <w:marBottom w:val="0"/>
      <w:divBdr>
        <w:top w:val="none" w:sz="0" w:space="0" w:color="auto"/>
        <w:left w:val="none" w:sz="0" w:space="0" w:color="auto"/>
        <w:bottom w:val="none" w:sz="0" w:space="0" w:color="auto"/>
        <w:right w:val="none" w:sz="0" w:space="0" w:color="auto"/>
      </w:divBdr>
      <w:divsChild>
        <w:div w:id="890118839">
          <w:marLeft w:val="0"/>
          <w:marRight w:val="0"/>
          <w:marTop w:val="0"/>
          <w:marBottom w:val="0"/>
          <w:divBdr>
            <w:top w:val="none" w:sz="0" w:space="0" w:color="auto"/>
            <w:left w:val="none" w:sz="0" w:space="0" w:color="auto"/>
            <w:bottom w:val="none" w:sz="0" w:space="0" w:color="auto"/>
            <w:right w:val="none" w:sz="0" w:space="0" w:color="auto"/>
          </w:divBdr>
        </w:div>
      </w:divsChild>
    </w:div>
    <w:div w:id="1608851394">
      <w:bodyDiv w:val="1"/>
      <w:marLeft w:val="0"/>
      <w:marRight w:val="0"/>
      <w:marTop w:val="0"/>
      <w:marBottom w:val="0"/>
      <w:divBdr>
        <w:top w:val="none" w:sz="0" w:space="0" w:color="auto"/>
        <w:left w:val="none" w:sz="0" w:space="0" w:color="auto"/>
        <w:bottom w:val="none" w:sz="0" w:space="0" w:color="auto"/>
        <w:right w:val="none" w:sz="0" w:space="0" w:color="auto"/>
      </w:divBdr>
      <w:divsChild>
        <w:div w:id="1955165188">
          <w:marLeft w:val="547"/>
          <w:marRight w:val="0"/>
          <w:marTop w:val="0"/>
          <w:marBottom w:val="0"/>
          <w:divBdr>
            <w:top w:val="none" w:sz="0" w:space="0" w:color="auto"/>
            <w:left w:val="none" w:sz="0" w:space="0" w:color="auto"/>
            <w:bottom w:val="none" w:sz="0" w:space="0" w:color="auto"/>
            <w:right w:val="none" w:sz="0" w:space="0" w:color="auto"/>
          </w:divBdr>
        </w:div>
      </w:divsChild>
    </w:div>
    <w:div w:id="1611475371">
      <w:bodyDiv w:val="1"/>
      <w:marLeft w:val="0"/>
      <w:marRight w:val="0"/>
      <w:marTop w:val="0"/>
      <w:marBottom w:val="0"/>
      <w:divBdr>
        <w:top w:val="none" w:sz="0" w:space="0" w:color="auto"/>
        <w:left w:val="none" w:sz="0" w:space="0" w:color="auto"/>
        <w:bottom w:val="none" w:sz="0" w:space="0" w:color="auto"/>
        <w:right w:val="none" w:sz="0" w:space="0" w:color="auto"/>
      </w:divBdr>
    </w:div>
    <w:div w:id="1612131704">
      <w:bodyDiv w:val="1"/>
      <w:marLeft w:val="0"/>
      <w:marRight w:val="0"/>
      <w:marTop w:val="0"/>
      <w:marBottom w:val="0"/>
      <w:divBdr>
        <w:top w:val="none" w:sz="0" w:space="0" w:color="auto"/>
        <w:left w:val="none" w:sz="0" w:space="0" w:color="auto"/>
        <w:bottom w:val="none" w:sz="0" w:space="0" w:color="auto"/>
        <w:right w:val="none" w:sz="0" w:space="0" w:color="auto"/>
      </w:divBdr>
    </w:div>
    <w:div w:id="1618216746">
      <w:bodyDiv w:val="1"/>
      <w:marLeft w:val="0"/>
      <w:marRight w:val="0"/>
      <w:marTop w:val="0"/>
      <w:marBottom w:val="0"/>
      <w:divBdr>
        <w:top w:val="none" w:sz="0" w:space="0" w:color="auto"/>
        <w:left w:val="none" w:sz="0" w:space="0" w:color="auto"/>
        <w:bottom w:val="none" w:sz="0" w:space="0" w:color="auto"/>
        <w:right w:val="none" w:sz="0" w:space="0" w:color="auto"/>
      </w:divBdr>
    </w:div>
    <w:div w:id="1630699086">
      <w:bodyDiv w:val="1"/>
      <w:marLeft w:val="0"/>
      <w:marRight w:val="0"/>
      <w:marTop w:val="0"/>
      <w:marBottom w:val="0"/>
      <w:divBdr>
        <w:top w:val="none" w:sz="0" w:space="0" w:color="auto"/>
        <w:left w:val="none" w:sz="0" w:space="0" w:color="auto"/>
        <w:bottom w:val="none" w:sz="0" w:space="0" w:color="auto"/>
        <w:right w:val="none" w:sz="0" w:space="0" w:color="auto"/>
      </w:divBdr>
    </w:div>
    <w:div w:id="1635670481">
      <w:bodyDiv w:val="1"/>
      <w:marLeft w:val="0"/>
      <w:marRight w:val="0"/>
      <w:marTop w:val="0"/>
      <w:marBottom w:val="0"/>
      <w:divBdr>
        <w:top w:val="none" w:sz="0" w:space="0" w:color="auto"/>
        <w:left w:val="none" w:sz="0" w:space="0" w:color="auto"/>
        <w:bottom w:val="none" w:sz="0" w:space="0" w:color="auto"/>
        <w:right w:val="none" w:sz="0" w:space="0" w:color="auto"/>
      </w:divBdr>
      <w:divsChild>
        <w:div w:id="985280911">
          <w:marLeft w:val="0"/>
          <w:marRight w:val="0"/>
          <w:marTop w:val="0"/>
          <w:marBottom w:val="0"/>
          <w:divBdr>
            <w:top w:val="none" w:sz="0" w:space="0" w:color="auto"/>
            <w:left w:val="none" w:sz="0" w:space="0" w:color="auto"/>
            <w:bottom w:val="none" w:sz="0" w:space="0" w:color="auto"/>
            <w:right w:val="none" w:sz="0" w:space="0" w:color="auto"/>
          </w:divBdr>
        </w:div>
      </w:divsChild>
    </w:div>
    <w:div w:id="1689134664">
      <w:bodyDiv w:val="1"/>
      <w:marLeft w:val="0"/>
      <w:marRight w:val="0"/>
      <w:marTop w:val="0"/>
      <w:marBottom w:val="0"/>
      <w:divBdr>
        <w:top w:val="none" w:sz="0" w:space="0" w:color="auto"/>
        <w:left w:val="none" w:sz="0" w:space="0" w:color="auto"/>
        <w:bottom w:val="none" w:sz="0" w:space="0" w:color="auto"/>
        <w:right w:val="none" w:sz="0" w:space="0" w:color="auto"/>
      </w:divBdr>
    </w:div>
    <w:div w:id="1717048234">
      <w:bodyDiv w:val="1"/>
      <w:marLeft w:val="0"/>
      <w:marRight w:val="0"/>
      <w:marTop w:val="0"/>
      <w:marBottom w:val="0"/>
      <w:divBdr>
        <w:top w:val="none" w:sz="0" w:space="0" w:color="auto"/>
        <w:left w:val="none" w:sz="0" w:space="0" w:color="auto"/>
        <w:bottom w:val="none" w:sz="0" w:space="0" w:color="auto"/>
        <w:right w:val="none" w:sz="0" w:space="0" w:color="auto"/>
      </w:divBdr>
    </w:div>
    <w:div w:id="1747915172">
      <w:bodyDiv w:val="1"/>
      <w:marLeft w:val="0"/>
      <w:marRight w:val="0"/>
      <w:marTop w:val="0"/>
      <w:marBottom w:val="0"/>
      <w:divBdr>
        <w:top w:val="none" w:sz="0" w:space="0" w:color="auto"/>
        <w:left w:val="none" w:sz="0" w:space="0" w:color="auto"/>
        <w:bottom w:val="none" w:sz="0" w:space="0" w:color="auto"/>
        <w:right w:val="none" w:sz="0" w:space="0" w:color="auto"/>
      </w:divBdr>
    </w:div>
    <w:div w:id="1797213469">
      <w:bodyDiv w:val="1"/>
      <w:marLeft w:val="0"/>
      <w:marRight w:val="0"/>
      <w:marTop w:val="0"/>
      <w:marBottom w:val="0"/>
      <w:divBdr>
        <w:top w:val="none" w:sz="0" w:space="0" w:color="auto"/>
        <w:left w:val="none" w:sz="0" w:space="0" w:color="auto"/>
        <w:bottom w:val="none" w:sz="0" w:space="0" w:color="auto"/>
        <w:right w:val="none" w:sz="0" w:space="0" w:color="auto"/>
      </w:divBdr>
    </w:div>
    <w:div w:id="1799301192">
      <w:bodyDiv w:val="1"/>
      <w:marLeft w:val="0"/>
      <w:marRight w:val="0"/>
      <w:marTop w:val="0"/>
      <w:marBottom w:val="0"/>
      <w:divBdr>
        <w:top w:val="none" w:sz="0" w:space="0" w:color="auto"/>
        <w:left w:val="none" w:sz="0" w:space="0" w:color="auto"/>
        <w:bottom w:val="none" w:sz="0" w:space="0" w:color="auto"/>
        <w:right w:val="none" w:sz="0" w:space="0" w:color="auto"/>
      </w:divBdr>
      <w:divsChild>
        <w:div w:id="1403061578">
          <w:marLeft w:val="0"/>
          <w:marRight w:val="0"/>
          <w:marTop w:val="0"/>
          <w:marBottom w:val="0"/>
          <w:divBdr>
            <w:top w:val="none" w:sz="0" w:space="0" w:color="auto"/>
            <w:left w:val="none" w:sz="0" w:space="0" w:color="auto"/>
            <w:bottom w:val="none" w:sz="0" w:space="0" w:color="auto"/>
            <w:right w:val="none" w:sz="0" w:space="0" w:color="auto"/>
          </w:divBdr>
        </w:div>
      </w:divsChild>
    </w:div>
    <w:div w:id="1815680388">
      <w:bodyDiv w:val="1"/>
      <w:marLeft w:val="0"/>
      <w:marRight w:val="0"/>
      <w:marTop w:val="0"/>
      <w:marBottom w:val="0"/>
      <w:divBdr>
        <w:top w:val="none" w:sz="0" w:space="0" w:color="auto"/>
        <w:left w:val="none" w:sz="0" w:space="0" w:color="auto"/>
        <w:bottom w:val="none" w:sz="0" w:space="0" w:color="auto"/>
        <w:right w:val="none" w:sz="0" w:space="0" w:color="auto"/>
      </w:divBdr>
    </w:div>
    <w:div w:id="1818718839">
      <w:bodyDiv w:val="1"/>
      <w:marLeft w:val="0"/>
      <w:marRight w:val="0"/>
      <w:marTop w:val="0"/>
      <w:marBottom w:val="0"/>
      <w:divBdr>
        <w:top w:val="none" w:sz="0" w:space="0" w:color="auto"/>
        <w:left w:val="none" w:sz="0" w:space="0" w:color="auto"/>
        <w:bottom w:val="none" w:sz="0" w:space="0" w:color="auto"/>
        <w:right w:val="none" w:sz="0" w:space="0" w:color="auto"/>
      </w:divBdr>
    </w:div>
    <w:div w:id="1845514757">
      <w:bodyDiv w:val="1"/>
      <w:marLeft w:val="0"/>
      <w:marRight w:val="0"/>
      <w:marTop w:val="0"/>
      <w:marBottom w:val="0"/>
      <w:divBdr>
        <w:top w:val="none" w:sz="0" w:space="0" w:color="auto"/>
        <w:left w:val="none" w:sz="0" w:space="0" w:color="auto"/>
        <w:bottom w:val="none" w:sz="0" w:space="0" w:color="auto"/>
        <w:right w:val="none" w:sz="0" w:space="0" w:color="auto"/>
      </w:divBdr>
    </w:div>
    <w:div w:id="1853638559">
      <w:bodyDiv w:val="1"/>
      <w:marLeft w:val="0"/>
      <w:marRight w:val="0"/>
      <w:marTop w:val="0"/>
      <w:marBottom w:val="0"/>
      <w:divBdr>
        <w:top w:val="none" w:sz="0" w:space="0" w:color="auto"/>
        <w:left w:val="none" w:sz="0" w:space="0" w:color="auto"/>
        <w:bottom w:val="none" w:sz="0" w:space="0" w:color="auto"/>
        <w:right w:val="none" w:sz="0" w:space="0" w:color="auto"/>
      </w:divBdr>
    </w:div>
    <w:div w:id="1858425349">
      <w:bodyDiv w:val="1"/>
      <w:marLeft w:val="0"/>
      <w:marRight w:val="0"/>
      <w:marTop w:val="0"/>
      <w:marBottom w:val="0"/>
      <w:divBdr>
        <w:top w:val="none" w:sz="0" w:space="0" w:color="auto"/>
        <w:left w:val="none" w:sz="0" w:space="0" w:color="auto"/>
        <w:bottom w:val="none" w:sz="0" w:space="0" w:color="auto"/>
        <w:right w:val="none" w:sz="0" w:space="0" w:color="auto"/>
      </w:divBdr>
    </w:div>
    <w:div w:id="1871256178">
      <w:bodyDiv w:val="1"/>
      <w:marLeft w:val="0"/>
      <w:marRight w:val="0"/>
      <w:marTop w:val="0"/>
      <w:marBottom w:val="0"/>
      <w:divBdr>
        <w:top w:val="none" w:sz="0" w:space="0" w:color="auto"/>
        <w:left w:val="none" w:sz="0" w:space="0" w:color="auto"/>
        <w:bottom w:val="none" w:sz="0" w:space="0" w:color="auto"/>
        <w:right w:val="none" w:sz="0" w:space="0" w:color="auto"/>
      </w:divBdr>
    </w:div>
    <w:div w:id="1877311346">
      <w:bodyDiv w:val="1"/>
      <w:marLeft w:val="0"/>
      <w:marRight w:val="0"/>
      <w:marTop w:val="0"/>
      <w:marBottom w:val="0"/>
      <w:divBdr>
        <w:top w:val="none" w:sz="0" w:space="0" w:color="auto"/>
        <w:left w:val="none" w:sz="0" w:space="0" w:color="auto"/>
        <w:bottom w:val="none" w:sz="0" w:space="0" w:color="auto"/>
        <w:right w:val="none" w:sz="0" w:space="0" w:color="auto"/>
      </w:divBdr>
    </w:div>
    <w:div w:id="1895696697">
      <w:bodyDiv w:val="1"/>
      <w:marLeft w:val="0"/>
      <w:marRight w:val="0"/>
      <w:marTop w:val="0"/>
      <w:marBottom w:val="0"/>
      <w:divBdr>
        <w:top w:val="none" w:sz="0" w:space="0" w:color="auto"/>
        <w:left w:val="none" w:sz="0" w:space="0" w:color="auto"/>
        <w:bottom w:val="none" w:sz="0" w:space="0" w:color="auto"/>
        <w:right w:val="none" w:sz="0" w:space="0" w:color="auto"/>
      </w:divBdr>
    </w:div>
    <w:div w:id="1905990933">
      <w:bodyDiv w:val="1"/>
      <w:marLeft w:val="0"/>
      <w:marRight w:val="0"/>
      <w:marTop w:val="0"/>
      <w:marBottom w:val="0"/>
      <w:divBdr>
        <w:top w:val="none" w:sz="0" w:space="0" w:color="auto"/>
        <w:left w:val="none" w:sz="0" w:space="0" w:color="auto"/>
        <w:bottom w:val="none" w:sz="0" w:space="0" w:color="auto"/>
        <w:right w:val="none" w:sz="0" w:space="0" w:color="auto"/>
      </w:divBdr>
    </w:div>
    <w:div w:id="1908152453">
      <w:bodyDiv w:val="1"/>
      <w:marLeft w:val="0"/>
      <w:marRight w:val="0"/>
      <w:marTop w:val="0"/>
      <w:marBottom w:val="0"/>
      <w:divBdr>
        <w:top w:val="none" w:sz="0" w:space="0" w:color="auto"/>
        <w:left w:val="none" w:sz="0" w:space="0" w:color="auto"/>
        <w:bottom w:val="none" w:sz="0" w:space="0" w:color="auto"/>
        <w:right w:val="none" w:sz="0" w:space="0" w:color="auto"/>
      </w:divBdr>
    </w:div>
    <w:div w:id="1926987167">
      <w:bodyDiv w:val="1"/>
      <w:marLeft w:val="0"/>
      <w:marRight w:val="0"/>
      <w:marTop w:val="0"/>
      <w:marBottom w:val="0"/>
      <w:divBdr>
        <w:top w:val="none" w:sz="0" w:space="0" w:color="auto"/>
        <w:left w:val="none" w:sz="0" w:space="0" w:color="auto"/>
        <w:bottom w:val="none" w:sz="0" w:space="0" w:color="auto"/>
        <w:right w:val="none" w:sz="0" w:space="0" w:color="auto"/>
      </w:divBdr>
      <w:divsChild>
        <w:div w:id="464351917">
          <w:marLeft w:val="0"/>
          <w:marRight w:val="0"/>
          <w:marTop w:val="0"/>
          <w:marBottom w:val="0"/>
          <w:divBdr>
            <w:top w:val="none" w:sz="0" w:space="0" w:color="auto"/>
            <w:left w:val="none" w:sz="0" w:space="0" w:color="auto"/>
            <w:bottom w:val="none" w:sz="0" w:space="0" w:color="auto"/>
            <w:right w:val="none" w:sz="0" w:space="0" w:color="auto"/>
          </w:divBdr>
        </w:div>
      </w:divsChild>
    </w:div>
    <w:div w:id="1939674430">
      <w:bodyDiv w:val="1"/>
      <w:marLeft w:val="0"/>
      <w:marRight w:val="0"/>
      <w:marTop w:val="0"/>
      <w:marBottom w:val="0"/>
      <w:divBdr>
        <w:top w:val="none" w:sz="0" w:space="0" w:color="auto"/>
        <w:left w:val="none" w:sz="0" w:space="0" w:color="auto"/>
        <w:bottom w:val="none" w:sz="0" w:space="0" w:color="auto"/>
        <w:right w:val="none" w:sz="0" w:space="0" w:color="auto"/>
      </w:divBdr>
    </w:div>
    <w:div w:id="1989090555">
      <w:bodyDiv w:val="1"/>
      <w:marLeft w:val="0"/>
      <w:marRight w:val="0"/>
      <w:marTop w:val="0"/>
      <w:marBottom w:val="0"/>
      <w:divBdr>
        <w:top w:val="none" w:sz="0" w:space="0" w:color="auto"/>
        <w:left w:val="none" w:sz="0" w:space="0" w:color="auto"/>
        <w:bottom w:val="none" w:sz="0" w:space="0" w:color="auto"/>
        <w:right w:val="none" w:sz="0" w:space="0" w:color="auto"/>
      </w:divBdr>
    </w:div>
    <w:div w:id="1997175544">
      <w:bodyDiv w:val="1"/>
      <w:marLeft w:val="0"/>
      <w:marRight w:val="0"/>
      <w:marTop w:val="0"/>
      <w:marBottom w:val="0"/>
      <w:divBdr>
        <w:top w:val="none" w:sz="0" w:space="0" w:color="auto"/>
        <w:left w:val="none" w:sz="0" w:space="0" w:color="auto"/>
        <w:bottom w:val="none" w:sz="0" w:space="0" w:color="auto"/>
        <w:right w:val="none" w:sz="0" w:space="0" w:color="auto"/>
      </w:divBdr>
    </w:div>
    <w:div w:id="2019429004">
      <w:bodyDiv w:val="1"/>
      <w:marLeft w:val="0"/>
      <w:marRight w:val="0"/>
      <w:marTop w:val="0"/>
      <w:marBottom w:val="0"/>
      <w:divBdr>
        <w:top w:val="none" w:sz="0" w:space="0" w:color="auto"/>
        <w:left w:val="none" w:sz="0" w:space="0" w:color="auto"/>
        <w:bottom w:val="none" w:sz="0" w:space="0" w:color="auto"/>
        <w:right w:val="none" w:sz="0" w:space="0" w:color="auto"/>
      </w:divBdr>
    </w:div>
    <w:div w:id="2027171057">
      <w:bodyDiv w:val="1"/>
      <w:marLeft w:val="0"/>
      <w:marRight w:val="0"/>
      <w:marTop w:val="0"/>
      <w:marBottom w:val="0"/>
      <w:divBdr>
        <w:top w:val="none" w:sz="0" w:space="0" w:color="auto"/>
        <w:left w:val="none" w:sz="0" w:space="0" w:color="auto"/>
        <w:bottom w:val="none" w:sz="0" w:space="0" w:color="auto"/>
        <w:right w:val="none" w:sz="0" w:space="0" w:color="auto"/>
      </w:divBdr>
      <w:divsChild>
        <w:div w:id="1695963822">
          <w:marLeft w:val="0"/>
          <w:marRight w:val="0"/>
          <w:marTop w:val="0"/>
          <w:marBottom w:val="0"/>
          <w:divBdr>
            <w:top w:val="none" w:sz="0" w:space="0" w:color="auto"/>
            <w:left w:val="none" w:sz="0" w:space="0" w:color="auto"/>
            <w:bottom w:val="none" w:sz="0" w:space="0" w:color="auto"/>
            <w:right w:val="none" w:sz="0" w:space="0" w:color="auto"/>
          </w:divBdr>
        </w:div>
      </w:divsChild>
    </w:div>
    <w:div w:id="2028166153">
      <w:bodyDiv w:val="1"/>
      <w:marLeft w:val="0"/>
      <w:marRight w:val="0"/>
      <w:marTop w:val="0"/>
      <w:marBottom w:val="0"/>
      <w:divBdr>
        <w:top w:val="none" w:sz="0" w:space="0" w:color="auto"/>
        <w:left w:val="none" w:sz="0" w:space="0" w:color="auto"/>
        <w:bottom w:val="none" w:sz="0" w:space="0" w:color="auto"/>
        <w:right w:val="none" w:sz="0" w:space="0" w:color="auto"/>
      </w:divBdr>
    </w:div>
    <w:div w:id="2036684896">
      <w:bodyDiv w:val="1"/>
      <w:marLeft w:val="0"/>
      <w:marRight w:val="0"/>
      <w:marTop w:val="0"/>
      <w:marBottom w:val="0"/>
      <w:divBdr>
        <w:top w:val="none" w:sz="0" w:space="0" w:color="auto"/>
        <w:left w:val="none" w:sz="0" w:space="0" w:color="auto"/>
        <w:bottom w:val="none" w:sz="0" w:space="0" w:color="auto"/>
        <w:right w:val="none" w:sz="0" w:space="0" w:color="auto"/>
      </w:divBdr>
    </w:div>
    <w:div w:id="2048407331">
      <w:bodyDiv w:val="1"/>
      <w:marLeft w:val="0"/>
      <w:marRight w:val="0"/>
      <w:marTop w:val="0"/>
      <w:marBottom w:val="0"/>
      <w:divBdr>
        <w:top w:val="none" w:sz="0" w:space="0" w:color="auto"/>
        <w:left w:val="none" w:sz="0" w:space="0" w:color="auto"/>
        <w:bottom w:val="none" w:sz="0" w:space="0" w:color="auto"/>
        <w:right w:val="none" w:sz="0" w:space="0" w:color="auto"/>
      </w:divBdr>
      <w:divsChild>
        <w:div w:id="1204368267">
          <w:marLeft w:val="0"/>
          <w:marRight w:val="0"/>
          <w:marTop w:val="0"/>
          <w:marBottom w:val="0"/>
          <w:divBdr>
            <w:top w:val="none" w:sz="0" w:space="0" w:color="auto"/>
            <w:left w:val="none" w:sz="0" w:space="0" w:color="auto"/>
            <w:bottom w:val="none" w:sz="0" w:space="0" w:color="auto"/>
            <w:right w:val="none" w:sz="0" w:space="0" w:color="auto"/>
          </w:divBdr>
        </w:div>
      </w:divsChild>
    </w:div>
    <w:div w:id="2051299480">
      <w:bodyDiv w:val="1"/>
      <w:marLeft w:val="0"/>
      <w:marRight w:val="0"/>
      <w:marTop w:val="0"/>
      <w:marBottom w:val="0"/>
      <w:divBdr>
        <w:top w:val="none" w:sz="0" w:space="0" w:color="auto"/>
        <w:left w:val="none" w:sz="0" w:space="0" w:color="auto"/>
        <w:bottom w:val="none" w:sz="0" w:space="0" w:color="auto"/>
        <w:right w:val="none" w:sz="0" w:space="0" w:color="auto"/>
      </w:divBdr>
    </w:div>
    <w:div w:id="2094163037">
      <w:bodyDiv w:val="1"/>
      <w:marLeft w:val="0"/>
      <w:marRight w:val="0"/>
      <w:marTop w:val="0"/>
      <w:marBottom w:val="0"/>
      <w:divBdr>
        <w:top w:val="none" w:sz="0" w:space="0" w:color="auto"/>
        <w:left w:val="none" w:sz="0" w:space="0" w:color="auto"/>
        <w:bottom w:val="none" w:sz="0" w:space="0" w:color="auto"/>
        <w:right w:val="none" w:sz="0" w:space="0" w:color="auto"/>
      </w:divBdr>
    </w:div>
    <w:div w:id="2122451984">
      <w:bodyDiv w:val="1"/>
      <w:marLeft w:val="0"/>
      <w:marRight w:val="0"/>
      <w:marTop w:val="0"/>
      <w:marBottom w:val="0"/>
      <w:divBdr>
        <w:top w:val="none" w:sz="0" w:space="0" w:color="auto"/>
        <w:left w:val="none" w:sz="0" w:space="0" w:color="auto"/>
        <w:bottom w:val="none" w:sz="0" w:space="0" w:color="auto"/>
        <w:right w:val="none" w:sz="0" w:space="0" w:color="auto"/>
      </w:divBdr>
      <w:divsChild>
        <w:div w:id="632907920">
          <w:marLeft w:val="0"/>
          <w:marRight w:val="0"/>
          <w:marTop w:val="0"/>
          <w:marBottom w:val="0"/>
          <w:divBdr>
            <w:top w:val="none" w:sz="0" w:space="0" w:color="auto"/>
            <w:left w:val="none" w:sz="0" w:space="0" w:color="auto"/>
            <w:bottom w:val="none" w:sz="0" w:space="0" w:color="auto"/>
            <w:right w:val="none" w:sz="0" w:space="0" w:color="auto"/>
          </w:divBdr>
          <w:divsChild>
            <w:div w:id="956637861">
              <w:marLeft w:val="0"/>
              <w:marRight w:val="0"/>
              <w:marTop w:val="0"/>
              <w:marBottom w:val="0"/>
              <w:divBdr>
                <w:top w:val="none" w:sz="0" w:space="0" w:color="auto"/>
                <w:left w:val="none" w:sz="0" w:space="0" w:color="auto"/>
                <w:bottom w:val="none" w:sz="0" w:space="0" w:color="auto"/>
                <w:right w:val="none" w:sz="0" w:space="0" w:color="auto"/>
              </w:divBdr>
              <w:divsChild>
                <w:div w:id="16591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7252">
      <w:bodyDiv w:val="1"/>
      <w:marLeft w:val="0"/>
      <w:marRight w:val="0"/>
      <w:marTop w:val="0"/>
      <w:marBottom w:val="0"/>
      <w:divBdr>
        <w:top w:val="none" w:sz="0" w:space="0" w:color="auto"/>
        <w:left w:val="none" w:sz="0" w:space="0" w:color="auto"/>
        <w:bottom w:val="none" w:sz="0" w:space="0" w:color="auto"/>
        <w:right w:val="none" w:sz="0" w:space="0" w:color="auto"/>
      </w:divBdr>
      <w:divsChild>
        <w:div w:id="1616910081">
          <w:marLeft w:val="0"/>
          <w:marRight w:val="0"/>
          <w:marTop w:val="0"/>
          <w:marBottom w:val="0"/>
          <w:divBdr>
            <w:top w:val="none" w:sz="0" w:space="0" w:color="auto"/>
            <w:left w:val="none" w:sz="0" w:space="0" w:color="auto"/>
            <w:bottom w:val="none" w:sz="0" w:space="0" w:color="auto"/>
            <w:right w:val="none" w:sz="0" w:space="0" w:color="auto"/>
          </w:divBdr>
          <w:divsChild>
            <w:div w:id="952247691">
              <w:marLeft w:val="0"/>
              <w:marRight w:val="0"/>
              <w:marTop w:val="0"/>
              <w:marBottom w:val="0"/>
              <w:divBdr>
                <w:top w:val="none" w:sz="0" w:space="0" w:color="auto"/>
                <w:left w:val="none" w:sz="0" w:space="0" w:color="auto"/>
                <w:bottom w:val="none" w:sz="0" w:space="0" w:color="auto"/>
                <w:right w:val="none" w:sz="0" w:space="0" w:color="auto"/>
              </w:divBdr>
              <w:divsChild>
                <w:div w:id="19180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36/thx.2005.057950" TargetMode="External"/><Relationship Id="rId299" Type="http://schemas.openxmlformats.org/officeDocument/2006/relationships/hyperlink" Target="https://doi.org/10.1093/jac/dky068" TargetMode="External"/><Relationship Id="rId303" Type="http://schemas.openxmlformats.org/officeDocument/2006/relationships/hyperlink" Target="https://doi.org/DOI" TargetMode="External"/><Relationship Id="rId21" Type="http://schemas.openxmlformats.org/officeDocument/2006/relationships/hyperlink" Target="http://www.strobe-statement.org" TargetMode="External"/><Relationship Id="rId42" Type="http://schemas.openxmlformats.org/officeDocument/2006/relationships/chart" Target="charts/chart10.xml"/><Relationship Id="rId63" Type="http://schemas.openxmlformats.org/officeDocument/2006/relationships/diagramQuickStyle" Target="diagrams/quickStyle2.xml"/><Relationship Id="rId84" Type="http://schemas.openxmlformats.org/officeDocument/2006/relationships/hyperlink" Target="https://doi.org/10.1186/s12866-021-02159-5" TargetMode="External"/><Relationship Id="rId138" Type="http://schemas.openxmlformats.org/officeDocument/2006/relationships/hyperlink" Target="https://www.ecdc.europa.eu/en/publications-data/surveillance-antimicrobial-consumption-europe-2020" TargetMode="External"/><Relationship Id="rId159" Type="http://schemas.openxmlformats.org/officeDocument/2006/relationships/hyperlink" Target="https://doi.org/10.1177/1525822X05279903" TargetMode="External"/><Relationship Id="rId324" Type="http://schemas.openxmlformats.org/officeDocument/2006/relationships/hyperlink" Target="https://doi.org/10.3389/fmicb.2019.02407" TargetMode="External"/><Relationship Id="rId345" Type="http://schemas.openxmlformats.org/officeDocument/2006/relationships/image" Target="media/image30.png"/><Relationship Id="rId170" Type="http://schemas.openxmlformats.org/officeDocument/2006/relationships/hyperlink" Target="https://doi.org/10.1136/thoraxjnl-2018-212463" TargetMode="External"/><Relationship Id="rId191" Type="http://schemas.openxmlformats.org/officeDocument/2006/relationships/hyperlink" Target="https://doi.org/10.1016/s2213-2600(20)30058-8" TargetMode="External"/><Relationship Id="rId205" Type="http://schemas.openxmlformats.org/officeDocument/2006/relationships/hyperlink" Target="https://doi.org/10.1016/s0140-6736(21)01431-8" TargetMode="External"/><Relationship Id="rId226" Type="http://schemas.openxmlformats.org/officeDocument/2006/relationships/hyperlink" Target="https://doi.org/10.1016/j.jaci.2019.01.051" TargetMode="External"/><Relationship Id="rId247" Type="http://schemas.openxmlformats.org/officeDocument/2006/relationships/hyperlink" Target="https://doi.org/10.1038/nmeth.2658" TargetMode="External"/><Relationship Id="rId107" Type="http://schemas.openxmlformats.org/officeDocument/2006/relationships/hyperlink" Target="https://doi.org/10.1038/nmeth.3869" TargetMode="External"/><Relationship Id="rId268" Type="http://schemas.openxmlformats.org/officeDocument/2006/relationships/hyperlink" Target="https://doi.org/10.1001/jama.2010.563" TargetMode="External"/><Relationship Id="rId289" Type="http://schemas.openxmlformats.org/officeDocument/2006/relationships/hyperlink" Target="https://doi.org/10.1136/thoraxjnl-2018-212463" TargetMode="External"/><Relationship Id="rId11" Type="http://schemas.openxmlformats.org/officeDocument/2006/relationships/image" Target="media/image1.png"/><Relationship Id="rId32" Type="http://schemas.microsoft.com/office/2007/relationships/diagramDrawing" Target="diagrams/drawing1.xml"/><Relationship Id="rId74" Type="http://schemas.openxmlformats.org/officeDocument/2006/relationships/image" Target="media/image23.png"/><Relationship Id="rId128" Type="http://schemas.openxmlformats.org/officeDocument/2006/relationships/hyperlink" Target="https://www.hra.nhs.uk/planning-and-improving-research/policies-standards-legislation/uk-policy-framework-health-social-care-research/uk-policy-framework-health-and-social-care-research/" TargetMode="External"/><Relationship Id="rId149" Type="http://schemas.openxmlformats.org/officeDocument/2006/relationships/hyperlink" Target="https://doi.org/10.1080/08870440903194015" TargetMode="External"/><Relationship Id="rId314" Type="http://schemas.openxmlformats.org/officeDocument/2006/relationships/hyperlink" Target="https://doi.org/10.1097/md.0000000000015942" TargetMode="External"/><Relationship Id="rId335" Type="http://schemas.openxmlformats.org/officeDocument/2006/relationships/hyperlink" Target="https://doi.org/10.1016/j.jaci.2016.03.054" TargetMode="External"/><Relationship Id="rId356" Type="http://schemas.openxmlformats.org/officeDocument/2006/relationships/image" Target="media/image39.png"/><Relationship Id="rId5" Type="http://schemas.openxmlformats.org/officeDocument/2006/relationships/numbering" Target="numbering.xml"/><Relationship Id="rId95" Type="http://schemas.openxmlformats.org/officeDocument/2006/relationships/hyperlink" Target="https://doi.org/10.1016/j.eclinm.2020.100642" TargetMode="External"/><Relationship Id="rId160" Type="http://schemas.openxmlformats.org/officeDocument/2006/relationships/hyperlink" Target="https://doi.org/10.4103/2229-3485.83221" TargetMode="External"/><Relationship Id="rId181" Type="http://schemas.openxmlformats.org/officeDocument/2006/relationships/hyperlink" Target="https://doi.org/10.3389/fped.2017.00019" TargetMode="External"/><Relationship Id="rId216" Type="http://schemas.openxmlformats.org/officeDocument/2006/relationships/hyperlink" Target="https://doi.org/10.1111/resp.13483" TargetMode="External"/><Relationship Id="rId237" Type="http://schemas.openxmlformats.org/officeDocument/2006/relationships/hyperlink" Target="https://amr-review.org/" TargetMode="External"/><Relationship Id="rId258" Type="http://schemas.openxmlformats.org/officeDocument/2006/relationships/hyperlink" Target="https://doi.org/10.1002/14651858.CD003427.pub4" TargetMode="External"/><Relationship Id="rId279" Type="http://schemas.openxmlformats.org/officeDocument/2006/relationships/hyperlink" Target="https://doi.org/10.1128/aac.45.8.2393-2396.2001" TargetMode="External"/><Relationship Id="rId22" Type="http://schemas.openxmlformats.org/officeDocument/2006/relationships/hyperlink" Target="http://www.strobe-statement.org" TargetMode="External"/><Relationship Id="rId43" Type="http://schemas.openxmlformats.org/officeDocument/2006/relationships/chart" Target="charts/chart11.xml"/><Relationship Id="rId64" Type="http://schemas.openxmlformats.org/officeDocument/2006/relationships/diagramColors" Target="diagrams/colors2.xml"/><Relationship Id="rId118" Type="http://schemas.openxmlformats.org/officeDocument/2006/relationships/hyperlink" Target="https://doi.org/https://doi.org/10.1367/A05-004R1.1" TargetMode="External"/><Relationship Id="rId139" Type="http://schemas.openxmlformats.org/officeDocument/2006/relationships/hyperlink" Target="https://doi.org/10.1097/00043426-200102000-00009" TargetMode="External"/><Relationship Id="rId290" Type="http://schemas.openxmlformats.org/officeDocument/2006/relationships/hyperlink" Target="https://doi.org/10.1136/bmj.n2845" TargetMode="External"/><Relationship Id="rId304" Type="http://schemas.openxmlformats.org/officeDocument/2006/relationships/hyperlink" Target="https://doi.org/10.4172/2472-1654.100093" TargetMode="External"/><Relationship Id="rId325" Type="http://schemas.openxmlformats.org/officeDocument/2006/relationships/hyperlink" Target="https://doi.org/10.3389/fmicb.2019.02407" TargetMode="External"/><Relationship Id="rId346" Type="http://schemas.openxmlformats.org/officeDocument/2006/relationships/image" Target="media/image31.emf"/><Relationship Id="rId85" Type="http://schemas.openxmlformats.org/officeDocument/2006/relationships/hyperlink" Target="https://doi.org/10.2147/PPA.S200058" TargetMode="External"/><Relationship Id="rId150" Type="http://schemas.openxmlformats.org/officeDocument/2006/relationships/hyperlink" Target="https://doi.org/10.3390/genes11050536" TargetMode="External"/><Relationship Id="rId171" Type="http://schemas.openxmlformats.org/officeDocument/2006/relationships/hyperlink" Target="https://doi.org/10.1136/thoraxjnl-2018-212463" TargetMode="External"/><Relationship Id="rId192" Type="http://schemas.openxmlformats.org/officeDocument/2006/relationships/hyperlink" Target="https://doi.org/10.1016/s1569-1993(09)60006-0" TargetMode="External"/><Relationship Id="rId206" Type="http://schemas.openxmlformats.org/officeDocument/2006/relationships/hyperlink" Target="https://doi.org/10.1038/s41586-019-1237-9" TargetMode="External"/><Relationship Id="rId227" Type="http://schemas.openxmlformats.org/officeDocument/2006/relationships/hyperlink" Target="https://doi.org/10.1016/s1473-3099(11)70090-1" TargetMode="External"/><Relationship Id="rId248" Type="http://schemas.openxmlformats.org/officeDocument/2006/relationships/hyperlink" Target="https://doi.org/10.1136/thoraxjnl-2019-213725" TargetMode="External"/><Relationship Id="rId269" Type="http://schemas.openxmlformats.org/officeDocument/2006/relationships/hyperlink" Target="https://doi.org/10.1128/JCM.03280-13" TargetMode="External"/><Relationship Id="rId12" Type="http://schemas.openxmlformats.org/officeDocument/2006/relationships/oleObject" Target="embeddings/oleObject1.bin"/><Relationship Id="rId33" Type="http://schemas.openxmlformats.org/officeDocument/2006/relationships/chart" Target="charts/chart1.xml"/><Relationship Id="rId108" Type="http://schemas.openxmlformats.org/officeDocument/2006/relationships/hyperlink" Target="https://doi.org/10.3389/fmicb.2019.00011" TargetMode="External"/><Relationship Id="rId129" Type="http://schemas.openxmlformats.org/officeDocument/2006/relationships/hyperlink" Target="https://doi.org/https://doi.org/10.1016/j.micpath.2020.104698" TargetMode="External"/><Relationship Id="rId280" Type="http://schemas.openxmlformats.org/officeDocument/2006/relationships/hyperlink" Target="https://doi.org/10.1136/thoraxjnl-2019-213929" TargetMode="External"/><Relationship Id="rId315" Type="http://schemas.openxmlformats.org/officeDocument/2006/relationships/hyperlink" Target="https://doi.org/10.1097/md.0000000000015285" TargetMode="External"/><Relationship Id="rId336" Type="http://schemas.openxmlformats.org/officeDocument/2006/relationships/hyperlink" Target="https://doi.org/10.1038/s41467-019-13698-x" TargetMode="External"/><Relationship Id="rId357" Type="http://schemas.openxmlformats.org/officeDocument/2006/relationships/image" Target="media/image40.png"/><Relationship Id="rId75" Type="http://schemas.openxmlformats.org/officeDocument/2006/relationships/image" Target="media/image24.png"/><Relationship Id="rId96" Type="http://schemas.openxmlformats.org/officeDocument/2006/relationships/hyperlink" Target="https://doi.org/10.3928/00904481-20150812-11" TargetMode="External"/><Relationship Id="rId140" Type="http://schemas.openxmlformats.org/officeDocument/2006/relationships/hyperlink" Target="https://doi.org/10.1128/aac.04447-14" TargetMode="External"/><Relationship Id="rId161" Type="http://schemas.openxmlformats.org/officeDocument/2006/relationships/hyperlink" Target="https://doi.org/10.1093/ofid/ofab063" TargetMode="External"/><Relationship Id="rId182" Type="http://schemas.openxmlformats.org/officeDocument/2006/relationships/hyperlink" Target="https://doi.org/10.1128/aac.00768-19" TargetMode="External"/><Relationship Id="rId217" Type="http://schemas.openxmlformats.org/officeDocument/2006/relationships/hyperlink" Target="https://doi.org/DOI:10.4172/jaa.1000062" TargetMode="External"/><Relationship Id="rId6" Type="http://schemas.openxmlformats.org/officeDocument/2006/relationships/styles" Target="styles.xml"/><Relationship Id="rId238" Type="http://schemas.openxmlformats.org/officeDocument/2006/relationships/hyperlink" Target="https://doi.org/10.1001/jama.2021.11517" TargetMode="External"/><Relationship Id="rId259" Type="http://schemas.openxmlformats.org/officeDocument/2006/relationships/hyperlink" Target="https://doi.org/10.1086/430783" TargetMode="External"/><Relationship Id="rId23" Type="http://schemas.openxmlformats.org/officeDocument/2006/relationships/image" Target="media/image8.png"/><Relationship Id="rId119" Type="http://schemas.openxmlformats.org/officeDocument/2006/relationships/hyperlink" Target="https://doi.org/10.1371/journal.pone.0011044" TargetMode="External"/><Relationship Id="rId270" Type="http://schemas.openxmlformats.org/officeDocument/2006/relationships/hyperlink" Target="https://doi.org/10.1186/s12915-014-0087-z" TargetMode="External"/><Relationship Id="rId291" Type="http://schemas.openxmlformats.org/officeDocument/2006/relationships/hyperlink" Target="https://doi.org/10.1164/rccm.201809-1739OC" TargetMode="External"/><Relationship Id="rId305" Type="http://schemas.openxmlformats.org/officeDocument/2006/relationships/hyperlink" Target="https://www.quirkos.com/blog/post/intro-interpretative-phenomenological-analysis-summary/" TargetMode="External"/><Relationship Id="rId326" Type="http://schemas.openxmlformats.org/officeDocument/2006/relationships/hyperlink" Target="https://doi.org/doi:10.1161/CIRCULATIONAHA.106.183095" TargetMode="External"/><Relationship Id="rId347" Type="http://schemas.openxmlformats.org/officeDocument/2006/relationships/image" Target="media/image32.png"/><Relationship Id="rId44" Type="http://schemas.openxmlformats.org/officeDocument/2006/relationships/chart" Target="charts/chart12.xml"/><Relationship Id="rId65" Type="http://schemas.microsoft.com/office/2007/relationships/diagramDrawing" Target="diagrams/drawing2.xml"/><Relationship Id="rId86" Type="http://schemas.openxmlformats.org/officeDocument/2006/relationships/hyperlink" Target="https://doi.org/10.1056/NEJMoa1104623" TargetMode="External"/><Relationship Id="rId130" Type="http://schemas.openxmlformats.org/officeDocument/2006/relationships/hyperlink" Target="https://doi.org/10.1016/s2213-2600(20)30557-9" TargetMode="External"/><Relationship Id="rId151" Type="http://schemas.openxmlformats.org/officeDocument/2006/relationships/hyperlink" Target="https://doi.org/10.7326/0003-4819-99-5-657" TargetMode="External"/><Relationship Id="rId172" Type="http://schemas.openxmlformats.org/officeDocument/2006/relationships/hyperlink" Target="https://doi.org/10.1016/s2213-2600(21)00263-0" TargetMode="External"/><Relationship Id="rId193" Type="http://schemas.openxmlformats.org/officeDocument/2006/relationships/hyperlink" Target="https://doi.org/10.1038/ncomms10410" TargetMode="External"/><Relationship Id="rId207" Type="http://schemas.openxmlformats.org/officeDocument/2006/relationships/hyperlink" Target="https://doi.org/10.1128/JCM.02416-16" TargetMode="External"/><Relationship Id="rId228" Type="http://schemas.openxmlformats.org/officeDocument/2006/relationships/hyperlink" Target="https://doi.org/10.1183/13993003.01136-2019" TargetMode="External"/><Relationship Id="rId249" Type="http://schemas.openxmlformats.org/officeDocument/2006/relationships/hyperlink" Target="https://doi.org/10.1513/AnnalsATS.201702-121OC" TargetMode="External"/><Relationship Id="rId13" Type="http://schemas.openxmlformats.org/officeDocument/2006/relationships/image" Target="media/image2.png"/><Relationship Id="rId109" Type="http://schemas.openxmlformats.org/officeDocument/2006/relationships/hyperlink" Target="https://doi.org/10.1093/pch/4.7.490" TargetMode="External"/><Relationship Id="rId260" Type="http://schemas.openxmlformats.org/officeDocument/2006/relationships/hyperlink" Target="https://doi.org/10.1038/s41467-019-13014-7" TargetMode="External"/><Relationship Id="rId281" Type="http://schemas.openxmlformats.org/officeDocument/2006/relationships/hyperlink" Target="https://doi.org/10.1136/adc.80.4.388" TargetMode="External"/><Relationship Id="rId316" Type="http://schemas.openxmlformats.org/officeDocument/2006/relationships/hyperlink" Target="https://doi.org/10.1128/aem.00062-07" TargetMode="External"/><Relationship Id="rId337" Type="http://schemas.openxmlformats.org/officeDocument/2006/relationships/footer" Target="footer2.xml"/><Relationship Id="rId34" Type="http://schemas.openxmlformats.org/officeDocument/2006/relationships/chart" Target="charts/chart2.xml"/><Relationship Id="rId55" Type="http://schemas.openxmlformats.org/officeDocument/2006/relationships/image" Target="media/image14.png"/><Relationship Id="rId76" Type="http://schemas.openxmlformats.org/officeDocument/2006/relationships/image" Target="media/image25.png"/><Relationship Id="rId97" Type="http://schemas.openxmlformats.org/officeDocument/2006/relationships/hyperlink" Target="https://doi.org/10.1164/rccm.201401-0073OC" TargetMode="External"/><Relationship Id="rId120" Type="http://schemas.openxmlformats.org/officeDocument/2006/relationships/hyperlink" Target="https://doi.org/10.1370/afm.2040" TargetMode="External"/><Relationship Id="rId141" Type="http://schemas.openxmlformats.org/officeDocument/2006/relationships/hyperlink" Target="https://www.eucast.org/newsiandr/" TargetMode="External"/><Relationship Id="rId358" Type="http://schemas.openxmlformats.org/officeDocument/2006/relationships/image" Target="media/image41.png"/><Relationship Id="rId7" Type="http://schemas.openxmlformats.org/officeDocument/2006/relationships/settings" Target="settings.xml"/><Relationship Id="rId162" Type="http://schemas.openxmlformats.org/officeDocument/2006/relationships/hyperlink" Target="https://doi.org/10.1046/j.1365-2958.1999.01521.x" TargetMode="External"/><Relationship Id="rId183" Type="http://schemas.openxmlformats.org/officeDocument/2006/relationships/hyperlink" Target="https://doi.org/10.1111/j.1469-0691.1999.tb00151.x" TargetMode="External"/><Relationship Id="rId218" Type="http://schemas.openxmlformats.org/officeDocument/2006/relationships/hyperlink" Target="https://doi.org/10.1093/jac/dkw594" TargetMode="External"/><Relationship Id="rId239" Type="http://schemas.openxmlformats.org/officeDocument/2006/relationships/hyperlink" Target="https://doi.org/10.1007/s10488-013-0528-y" TargetMode="External"/><Relationship Id="rId250" Type="http://schemas.openxmlformats.org/officeDocument/2006/relationships/hyperlink" Target="http://globalkidsonline.net/wp-content/uploads/2016/05/Guide-5-Research-with-children-of-different-ages-Platt.pdf" TargetMode="External"/><Relationship Id="rId271" Type="http://schemas.openxmlformats.org/officeDocument/2006/relationships/hyperlink" Target="https://doi.org/10.1016/j.rmed.2016.05.025" TargetMode="External"/><Relationship Id="rId292" Type="http://schemas.openxmlformats.org/officeDocument/2006/relationships/hyperlink" Target="https://doi.org/https://doi.org/10.1016/j.chom.2015.03.008" TargetMode="External"/><Relationship Id="rId306" Type="http://schemas.openxmlformats.org/officeDocument/2006/relationships/hyperlink" Target="https://doi.org/10.1007/s42399-021-00966-5" TargetMode="External"/><Relationship Id="rId24" Type="http://schemas.openxmlformats.org/officeDocument/2006/relationships/image" Target="media/image9.png"/><Relationship Id="rId45" Type="http://schemas.openxmlformats.org/officeDocument/2006/relationships/chart" Target="charts/chart13.xml"/><Relationship Id="rId66" Type="http://schemas.openxmlformats.org/officeDocument/2006/relationships/image" Target="media/image15.jpeg"/><Relationship Id="rId87" Type="http://schemas.openxmlformats.org/officeDocument/2006/relationships/hyperlink" Target="https://doi.org/10.1001/jama.2013.1937" TargetMode="External"/><Relationship Id="rId110" Type="http://schemas.openxmlformats.org/officeDocument/2006/relationships/hyperlink" Target="https://doi.org/10.3389/fmicb.2020.607325" TargetMode="External"/><Relationship Id="rId131" Type="http://schemas.openxmlformats.org/officeDocument/2006/relationships/hyperlink" Target="https://doi.org/10.1371/journal.ppat.1004923" TargetMode="External"/><Relationship Id="rId327" Type="http://schemas.openxmlformats.org/officeDocument/2006/relationships/hyperlink" Target="https://doi.org/10.1016/s0140-6736(12)60953-2" TargetMode="External"/><Relationship Id="rId348" Type="http://schemas.openxmlformats.org/officeDocument/2006/relationships/chart" Target="charts/chart15.xml"/><Relationship Id="rId152" Type="http://schemas.openxmlformats.org/officeDocument/2006/relationships/hyperlink" Target="https://doi.org/doi:10.1161/CIRCULATIONAHA.109.191959" TargetMode="External"/><Relationship Id="rId173" Type="http://schemas.openxmlformats.org/officeDocument/2006/relationships/hyperlink" Target="https://doi.org/10.1056/NEJMoa1401811" TargetMode="External"/><Relationship Id="rId194" Type="http://schemas.openxmlformats.org/officeDocument/2006/relationships/hyperlink" Target="https://doi.org/10.1016/j.jaip.2013.09.013" TargetMode="External"/><Relationship Id="rId208" Type="http://schemas.openxmlformats.org/officeDocument/2006/relationships/hyperlink" Target="https://doi.org/10.1183/09031936.00003709" TargetMode="External"/><Relationship Id="rId229" Type="http://schemas.openxmlformats.org/officeDocument/2006/relationships/hyperlink" Target="https://pubmed.ncbi.nlm.nih.gov/25422753" TargetMode="External"/><Relationship Id="rId240" Type="http://schemas.openxmlformats.org/officeDocument/2006/relationships/hyperlink" Target="https://doi.org/10.1038/s41598-017-06862-0" TargetMode="External"/><Relationship Id="rId261" Type="http://schemas.openxmlformats.org/officeDocument/2006/relationships/hyperlink" Target="https://doi.org/10.1183/16000617.0048-2019" TargetMode="External"/><Relationship Id="rId14" Type="http://schemas.openxmlformats.org/officeDocument/2006/relationships/image" Target="media/image3.png"/><Relationship Id="rId35" Type="http://schemas.openxmlformats.org/officeDocument/2006/relationships/chart" Target="charts/chart3.xml"/><Relationship Id="rId56" Type="http://schemas.microsoft.com/office/2014/relationships/chartEx" Target="charts/chartEx2.xml"/><Relationship Id="rId77" Type="http://schemas.openxmlformats.org/officeDocument/2006/relationships/image" Target="media/image26.png"/><Relationship Id="rId100" Type="http://schemas.openxmlformats.org/officeDocument/2006/relationships/hyperlink" Target="https://doi.org/10.1093/nar/gkr735" TargetMode="External"/><Relationship Id="rId282" Type="http://schemas.openxmlformats.org/officeDocument/2006/relationships/hyperlink" Target="https://doi.org/10.1371/journal.pone.0195799" TargetMode="External"/><Relationship Id="rId317" Type="http://schemas.openxmlformats.org/officeDocument/2006/relationships/hyperlink" Target="https://doi.org/10.1038/srep13731" TargetMode="External"/><Relationship Id="rId338" Type="http://schemas.openxmlformats.org/officeDocument/2006/relationships/header" Target="header1.xml"/><Relationship Id="rId359"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resourcecenter.biomerieux.com/login" TargetMode="External"/><Relationship Id="rId121" Type="http://schemas.openxmlformats.org/officeDocument/2006/relationships/hyperlink" Target="https://doi.org/10.1128/JB.01343-08" TargetMode="External"/><Relationship Id="rId142" Type="http://schemas.openxmlformats.org/officeDocument/2006/relationships/hyperlink" Target="https://www.eucast.org/clinical_breakpoints/" TargetMode="External"/><Relationship Id="rId163" Type="http://schemas.openxmlformats.org/officeDocument/2006/relationships/hyperlink" Target="https://doi.org/10.1136/bmjopen-2016-015701" TargetMode="External"/><Relationship Id="rId184" Type="http://schemas.openxmlformats.org/officeDocument/2006/relationships/hyperlink" Target="https://doi.org/10.1128/jcm.29.1.109-114.1991" TargetMode="External"/><Relationship Id="rId219" Type="http://schemas.openxmlformats.org/officeDocument/2006/relationships/hyperlink" Target="https://doi.org/10.1146/annurev-med-042320-014032" TargetMode="External"/><Relationship Id="rId230" Type="http://schemas.openxmlformats.org/officeDocument/2006/relationships/hyperlink" Target="https://doi.org/10.1128/microbiolspec.VMBF-0016-2015" TargetMode="External"/><Relationship Id="rId251" Type="http://schemas.openxmlformats.org/officeDocument/2006/relationships/hyperlink" Target="https://doi.org/10.1016/j.vaccine.2016.03.052" TargetMode="External"/><Relationship Id="rId25" Type="http://schemas.openxmlformats.org/officeDocument/2006/relationships/image" Target="media/image10.png"/><Relationship Id="rId46" Type="http://schemas.openxmlformats.org/officeDocument/2006/relationships/chart" Target="charts/chart14.xml"/><Relationship Id="rId67" Type="http://schemas.openxmlformats.org/officeDocument/2006/relationships/image" Target="media/image16.jpeg"/><Relationship Id="rId272" Type="http://schemas.openxmlformats.org/officeDocument/2006/relationships/hyperlink" Target="https://doi.org/10.1186/1471-2431-14-63" TargetMode="External"/><Relationship Id="rId293" Type="http://schemas.openxmlformats.org/officeDocument/2006/relationships/hyperlink" Target="https://doi.org/10.1016/j.rmed.2021.106718" TargetMode="External"/><Relationship Id="rId307" Type="http://schemas.openxmlformats.org/officeDocument/2006/relationships/hyperlink" Target="https://doi.org/10.3389/fmicb.2021.717809" TargetMode="External"/><Relationship Id="rId328" Type="http://schemas.openxmlformats.org/officeDocument/2006/relationships/hyperlink" Target="https://doi.org/10.1038/s41598-019-42862-y" TargetMode="External"/><Relationship Id="rId349" Type="http://schemas.openxmlformats.org/officeDocument/2006/relationships/chart" Target="charts/chart16.xml"/><Relationship Id="rId20" Type="http://schemas.openxmlformats.org/officeDocument/2006/relationships/image" Target="media/image7.png"/><Relationship Id="rId41" Type="http://schemas.openxmlformats.org/officeDocument/2006/relationships/chart" Target="charts/chart9.xml"/><Relationship Id="rId62" Type="http://schemas.openxmlformats.org/officeDocument/2006/relationships/diagramLayout" Target="diagrams/layout2.xml"/><Relationship Id="rId83" Type="http://schemas.openxmlformats.org/officeDocument/2006/relationships/hyperlink" Target="https://doi.org/10.1183/23120541.00491-2021" TargetMode="External"/><Relationship Id="rId88" Type="http://schemas.openxmlformats.org/officeDocument/2006/relationships/hyperlink" Target="https://doi.org/https://doi.org/10.1016/j.drup.2012.03.005" TargetMode="External"/><Relationship Id="rId111" Type="http://schemas.openxmlformats.org/officeDocument/2006/relationships/hyperlink" Target="https://doi.org/10.1017/s0022029909004063" TargetMode="External"/><Relationship Id="rId132" Type="http://schemas.openxmlformats.org/officeDocument/2006/relationships/hyperlink" Target="https://doi.org/10.1111/bph.13936" TargetMode="External"/><Relationship Id="rId153" Type="http://schemas.openxmlformats.org/officeDocument/2006/relationships/hyperlink" Target="https://doi.org/10.1001/jama.284.3.357" TargetMode="External"/><Relationship Id="rId174" Type="http://schemas.openxmlformats.org/officeDocument/2006/relationships/hyperlink" Target="https://doi.org/10.1016/j.chest.2015.12.036" TargetMode="External"/><Relationship Id="rId179" Type="http://schemas.openxmlformats.org/officeDocument/2006/relationships/hyperlink" Target="https://doi.org/10.1016/j.jpeds.2011.05.018" TargetMode="External"/><Relationship Id="rId195" Type="http://schemas.openxmlformats.org/officeDocument/2006/relationships/hyperlink" Target="https://doi.org/10.1016/s1473-3099(18)30052-5" TargetMode="External"/><Relationship Id="rId209" Type="http://schemas.openxmlformats.org/officeDocument/2006/relationships/hyperlink" Target="https://doi.org/10.1016/s0140-6736(07)60235-9" TargetMode="External"/><Relationship Id="rId360" Type="http://schemas.openxmlformats.org/officeDocument/2006/relationships/theme" Target="theme/theme1.xml"/><Relationship Id="rId190" Type="http://schemas.openxmlformats.org/officeDocument/2006/relationships/hyperlink" Target="https://doi.org/10.1002/nur.20367" TargetMode="External"/><Relationship Id="rId204" Type="http://schemas.openxmlformats.org/officeDocument/2006/relationships/hyperlink" Target="https://doi.org/10.1038/s41522-020-00160-w" TargetMode="External"/><Relationship Id="rId220" Type="http://schemas.openxmlformats.org/officeDocument/2006/relationships/hyperlink" Target="https://doi.org/10.1002/pbc.24395" TargetMode="External"/><Relationship Id="rId225" Type="http://schemas.openxmlformats.org/officeDocument/2006/relationships/hyperlink" Target="https://doi.org/10.3389/fcimb.2021.763121" TargetMode="External"/><Relationship Id="rId241" Type="http://schemas.openxmlformats.org/officeDocument/2006/relationships/hyperlink" Target="https://doi.org/10.1126/sciadv.aau9124" TargetMode="External"/><Relationship Id="rId246" Type="http://schemas.openxmlformats.org/officeDocument/2006/relationships/hyperlink" Target="https://doi.org/10.1136/tc.2005.015065" TargetMode="External"/><Relationship Id="rId267" Type="http://schemas.openxmlformats.org/officeDocument/2006/relationships/hyperlink" Target="https://doi.org/10.1111/resp.13950" TargetMode="External"/><Relationship Id="rId288" Type="http://schemas.openxmlformats.org/officeDocument/2006/relationships/hyperlink" Target="https://doi.org/10.1093/jpids/pix073" TargetMode="External"/><Relationship Id="rId15" Type="http://schemas.openxmlformats.org/officeDocument/2006/relationships/hyperlink" Target="http://clipart-library.com/mucus-cliparts.html" TargetMode="External"/><Relationship Id="rId36" Type="http://schemas.openxmlformats.org/officeDocument/2006/relationships/chart" Target="charts/chart4.xml"/><Relationship Id="rId57" Type="http://schemas.openxmlformats.org/officeDocument/2006/relationships/image" Target="media/image15.png"/><Relationship Id="rId106" Type="http://schemas.openxmlformats.org/officeDocument/2006/relationships/hyperlink" Target="https://doi.org/10.1370/afm.1892" TargetMode="External"/><Relationship Id="rId127" Type="http://schemas.openxmlformats.org/officeDocument/2006/relationships/hyperlink" Target="https://doi.org/10.1194/jlr.R036012" TargetMode="External"/><Relationship Id="rId262" Type="http://schemas.openxmlformats.org/officeDocument/2006/relationships/hyperlink" Target="https://doi.org/10.1002/ece3.2980" TargetMode="External"/><Relationship Id="rId283" Type="http://schemas.openxmlformats.org/officeDocument/2006/relationships/hyperlink" Target="https://doi.org/10.1002/14651858.CD002203.pub4" TargetMode="External"/><Relationship Id="rId313" Type="http://schemas.openxmlformats.org/officeDocument/2006/relationships/hyperlink" Target="https://doi.org/10.4155/cli.11.174" TargetMode="External"/><Relationship Id="rId318" Type="http://schemas.openxmlformats.org/officeDocument/2006/relationships/hyperlink" Target="https://doi.org/10.1016/j.rmed.2019.04.003" TargetMode="External"/><Relationship Id="rId339"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diagramColors" Target="diagrams/colors1.xml"/><Relationship Id="rId73" Type="http://schemas.openxmlformats.org/officeDocument/2006/relationships/image" Target="media/image22.png"/><Relationship Id="rId78" Type="http://schemas.openxmlformats.org/officeDocument/2006/relationships/image" Target="media/image27.png"/><Relationship Id="rId94" Type="http://schemas.openxmlformats.org/officeDocument/2006/relationships/hyperlink" Target="https://doi.org/10.1002/hep.29306" TargetMode="External"/><Relationship Id="rId99" Type="http://schemas.openxmlformats.org/officeDocument/2006/relationships/hyperlink" Target="https://www-users.york.ac.uk/~mb55/yh_stats/sigtst.htm" TargetMode="External"/><Relationship Id="rId101" Type="http://schemas.openxmlformats.org/officeDocument/2006/relationships/hyperlink" Target="https://doi.org/10.1016/s1473-3099(04)00938-7" TargetMode="External"/><Relationship Id="rId122" Type="http://schemas.openxmlformats.org/officeDocument/2006/relationships/hyperlink" Target="https://doi.org/10.1371/journal.pone.0190075" TargetMode="External"/><Relationship Id="rId143" Type="http://schemas.openxmlformats.org/officeDocument/2006/relationships/hyperlink" Target="https://doi.org/10.1111/j.1096-0031.1992.tb00078.x" TargetMode="External"/><Relationship Id="rId148" Type="http://schemas.openxmlformats.org/officeDocument/2006/relationships/hyperlink" Target="https://doi.org/10.1186/s12955-021-01889-4" TargetMode="External"/><Relationship Id="rId164" Type="http://schemas.openxmlformats.org/officeDocument/2006/relationships/hyperlink" Target="https://doi.org/10.1136/archdischild-2020-319191" TargetMode="External"/><Relationship Id="rId169" Type="http://schemas.openxmlformats.org/officeDocument/2006/relationships/hyperlink" Target="https://doi.org/10.1177/1049732316665344" TargetMode="External"/><Relationship Id="rId185" Type="http://schemas.openxmlformats.org/officeDocument/2006/relationships/hyperlink" Target="https://doi.org/10.1016/j.jcf.2009.09.001" TargetMode="External"/><Relationship Id="rId334" Type="http://schemas.openxmlformats.org/officeDocument/2006/relationships/hyperlink" Target="https://doi.org/10.1093/jac/dkw076" TargetMode="External"/><Relationship Id="rId350" Type="http://schemas.openxmlformats.org/officeDocument/2006/relationships/image" Target="media/image33.jpeg"/><Relationship Id="rId35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186/1471-2296-14-106" TargetMode="External"/><Relationship Id="rId210" Type="http://schemas.openxmlformats.org/officeDocument/2006/relationships/hyperlink" Target="https://doi.org/10.1038/nrmicro.2017.14" TargetMode="External"/><Relationship Id="rId215" Type="http://schemas.openxmlformats.org/officeDocument/2006/relationships/hyperlink" Target="https://doi.org/10.1016/j.chest.2019.01.002" TargetMode="External"/><Relationship Id="rId236" Type="http://schemas.openxmlformats.org/officeDocument/2006/relationships/hyperlink" Target="https://doi.org/10.1086/521833" TargetMode="External"/><Relationship Id="rId257" Type="http://schemas.openxmlformats.org/officeDocument/2006/relationships/hyperlink" Target="https://doi.org/10.1002/14651858.CD003427.pub4" TargetMode="External"/><Relationship Id="rId278" Type="http://schemas.openxmlformats.org/officeDocument/2006/relationships/hyperlink" Target="https://doi.org/10.1136/thoraxjnl-2013-204517" TargetMode="External"/><Relationship Id="rId26" Type="http://schemas.openxmlformats.org/officeDocument/2006/relationships/image" Target="media/image11.png"/><Relationship Id="rId231" Type="http://schemas.openxmlformats.org/officeDocument/2006/relationships/hyperlink" Target="https://doi.org/10.1177/1098214016630406" TargetMode="External"/><Relationship Id="rId252" Type="http://schemas.openxmlformats.org/officeDocument/2006/relationships/hyperlink" Target="https://doi.org/10.1016/j.pupt.2021.102095" TargetMode="External"/><Relationship Id="rId273" Type="http://schemas.openxmlformats.org/officeDocument/2006/relationships/hyperlink" Target="https://doi.org/10.1007/s00467-019-04251-5" TargetMode="External"/><Relationship Id="rId294" Type="http://schemas.openxmlformats.org/officeDocument/2006/relationships/hyperlink" Target="https://doi.org/10.1126/science.1061217" TargetMode="External"/><Relationship Id="rId308" Type="http://schemas.openxmlformats.org/officeDocument/2006/relationships/hyperlink" Target="https://doi.org/10.1016/s2213-2600(14)70019-0" TargetMode="External"/><Relationship Id="rId329" Type="http://schemas.openxmlformats.org/officeDocument/2006/relationships/hyperlink" Target="https://doi.org/https://doi.org/10.1016/j.vaccine.2017.11.052" TargetMode="External"/><Relationship Id="rId47" Type="http://schemas.microsoft.com/office/2014/relationships/chartEx" Target="charts/chartEx1.xml"/><Relationship Id="rId68" Type="http://schemas.openxmlformats.org/officeDocument/2006/relationships/image" Target="media/image17.png"/><Relationship Id="rId89" Type="http://schemas.openxmlformats.org/officeDocument/2006/relationships/hyperlink" Target="https://doi.org/10.1016/s2666-5247(21)00064-1" TargetMode="External"/><Relationship Id="rId112" Type="http://schemas.openxmlformats.org/officeDocument/2006/relationships/hyperlink" Target="https://doi.org/10.1086/513854" TargetMode="External"/><Relationship Id="rId133" Type="http://schemas.openxmlformats.org/officeDocument/2006/relationships/hyperlink" Target="https://doi.org/10.1371/journal.pone.0047815" TargetMode="External"/><Relationship Id="rId154" Type="http://schemas.openxmlformats.org/officeDocument/2006/relationships/hyperlink" Target="https://doi.org/10.1183/23120541.00056-2019" TargetMode="External"/><Relationship Id="rId175" Type="http://schemas.openxmlformats.org/officeDocument/2006/relationships/hyperlink" Target="https://doi.org/10.1016/j.humimm.2021.02.012" TargetMode="External"/><Relationship Id="rId340" Type="http://schemas.openxmlformats.org/officeDocument/2006/relationships/image" Target="media/image29.png"/><Relationship Id="rId196" Type="http://schemas.openxmlformats.org/officeDocument/2006/relationships/hyperlink" Target="https://doi.org/10.2307/3545743" TargetMode="External"/><Relationship Id="rId200" Type="http://schemas.openxmlformats.org/officeDocument/2006/relationships/hyperlink" Target="https://doi.org/10.1183/09031936.02.00260802" TargetMode="External"/><Relationship Id="rId16" Type="http://schemas.openxmlformats.org/officeDocument/2006/relationships/image" Target="media/image4.png"/><Relationship Id="rId221" Type="http://schemas.openxmlformats.org/officeDocument/2006/relationships/hyperlink" Target="https://doi.org/10.1183/09031936.00163306" TargetMode="External"/><Relationship Id="rId242" Type="http://schemas.openxmlformats.org/officeDocument/2006/relationships/hyperlink" Target="https://doi.org/10.3389/fimmu.2018.01584" TargetMode="External"/><Relationship Id="rId263" Type="http://schemas.openxmlformats.org/officeDocument/2006/relationships/hyperlink" Target="https://doi.org/10.1016/j.scitotenv.2013.01.032" TargetMode="External"/><Relationship Id="rId284" Type="http://schemas.openxmlformats.org/officeDocument/2006/relationships/hyperlink" Target="https://doi.org/10.1002/14651858.CD002203.pub4" TargetMode="External"/><Relationship Id="rId319" Type="http://schemas.openxmlformats.org/officeDocument/2006/relationships/hyperlink" Target="https://doi.org/10.1016/j.ebiom.2018.11.035" TargetMode="External"/><Relationship Id="rId37" Type="http://schemas.openxmlformats.org/officeDocument/2006/relationships/chart" Target="charts/chart5.xml"/><Relationship Id="rId58" Type="http://schemas.microsoft.com/office/2014/relationships/chartEx" Target="charts/chartEx3.xml"/><Relationship Id="rId79" Type="http://schemas.openxmlformats.org/officeDocument/2006/relationships/hyperlink" Target="https://doi.org/10.1111/j.1365-2834.2012.01457.x" TargetMode="External"/><Relationship Id="rId102" Type="http://schemas.openxmlformats.org/officeDocument/2006/relationships/hyperlink" Target="https://doi.org/10.1186/s12887-017-0899-4" TargetMode="External"/><Relationship Id="rId123" Type="http://schemas.openxmlformats.org/officeDocument/2006/relationships/hyperlink" Target="https://doi.org/10.1016/j.ijmm.2013.02.008" TargetMode="External"/><Relationship Id="rId144" Type="http://schemas.openxmlformats.org/officeDocument/2006/relationships/hyperlink" Target="https://doi.org/10.1183/13993003.02086-2016" TargetMode="External"/><Relationship Id="rId330" Type="http://schemas.openxmlformats.org/officeDocument/2006/relationships/hyperlink" Target="https://doi.org/10.1016/j.chest.2016.06.030" TargetMode="External"/><Relationship Id="rId90" Type="http://schemas.openxmlformats.org/officeDocument/2006/relationships/hyperlink" Target="https://doi.org/10.1371/journal.pone.0030334" TargetMode="External"/><Relationship Id="rId165" Type="http://schemas.openxmlformats.org/officeDocument/2006/relationships/hyperlink" Target="https://doi.org/10.1007/s10096-015-2480-0" TargetMode="External"/><Relationship Id="rId186" Type="http://schemas.openxmlformats.org/officeDocument/2006/relationships/hyperlink" Target="https://doi.org/10.1136/bmj-2021-067519" TargetMode="External"/><Relationship Id="rId351" Type="http://schemas.openxmlformats.org/officeDocument/2006/relationships/image" Target="media/image34.jpeg"/><Relationship Id="rId211" Type="http://schemas.openxmlformats.org/officeDocument/2006/relationships/hyperlink" Target="https://doi.org/10.1016/s2213-2600(18)30449-1" TargetMode="External"/><Relationship Id="rId232" Type="http://schemas.openxmlformats.org/officeDocument/2006/relationships/hyperlink" Target="https://doi.org/10.1136/thx.2009.133868" TargetMode="External"/><Relationship Id="rId253" Type="http://schemas.openxmlformats.org/officeDocument/2006/relationships/hyperlink" Target="https://doi.org/10.1136/adc.87.5.376" TargetMode="External"/><Relationship Id="rId274" Type="http://schemas.openxmlformats.org/officeDocument/2006/relationships/hyperlink" Target="https://doi.org/10.3389/fcimb.2016.00098" TargetMode="External"/><Relationship Id="rId295" Type="http://schemas.openxmlformats.org/officeDocument/2006/relationships/hyperlink" Target="https://doi.org/10.1164/rccm.202008-3226OC" TargetMode="External"/><Relationship Id="rId309" Type="http://schemas.openxmlformats.org/officeDocument/2006/relationships/hyperlink" Target="https://doi.org/10.1016/s2213-2600(13)70185-1" TargetMode="External"/><Relationship Id="rId27" Type="http://schemas.openxmlformats.org/officeDocument/2006/relationships/image" Target="media/image12.svg"/><Relationship Id="rId69" Type="http://schemas.openxmlformats.org/officeDocument/2006/relationships/image" Target="media/image18.png"/><Relationship Id="rId113" Type="http://schemas.openxmlformats.org/officeDocument/2006/relationships/hyperlink" Target="https://doi.org/10.1002/ppul.23351" TargetMode="External"/><Relationship Id="rId134" Type="http://schemas.openxmlformats.org/officeDocument/2006/relationships/hyperlink" Target="https://doi.org/10.1093/cid/cix141" TargetMode="External"/><Relationship Id="rId320" Type="http://schemas.openxmlformats.org/officeDocument/2006/relationships/hyperlink" Target="https://doi.org/10.1038/nature11553" TargetMode="External"/><Relationship Id="rId80" Type="http://schemas.openxmlformats.org/officeDocument/2006/relationships/hyperlink" Target="https://doi.org/10.1002/nop2.180" TargetMode="External"/><Relationship Id="rId155" Type="http://schemas.openxmlformats.org/officeDocument/2006/relationships/hyperlink" Target="https://doi.org/10.1016/s0140-6736(17)31281-3" TargetMode="External"/><Relationship Id="rId176" Type="http://schemas.openxmlformats.org/officeDocument/2006/relationships/hyperlink" Target="https://doi.org/10.1016/j.ccm.2015.10.003" TargetMode="External"/><Relationship Id="rId197" Type="http://schemas.openxmlformats.org/officeDocument/2006/relationships/hyperlink" Target="https://doi.org/10.1186/s13073-016-0294-z" TargetMode="External"/><Relationship Id="rId341" Type="http://schemas.openxmlformats.org/officeDocument/2006/relationships/hyperlink" Target="http://www.sheffieldchildrens.nhs.uk/research-and-innovation.htm" TargetMode="External"/><Relationship Id="rId201" Type="http://schemas.openxmlformats.org/officeDocument/2006/relationships/hyperlink" Target="https://doi.org/10.1136/gutjnl-2017-315199" TargetMode="External"/><Relationship Id="rId222" Type="http://schemas.openxmlformats.org/officeDocument/2006/relationships/hyperlink" Target="https://doi.org/10.1542/peds.2013-1451" TargetMode="External"/><Relationship Id="rId243" Type="http://schemas.openxmlformats.org/officeDocument/2006/relationships/hyperlink" Target="https://doi.org/10.1136/thx.2010.136119" TargetMode="External"/><Relationship Id="rId264" Type="http://schemas.openxmlformats.org/officeDocument/2006/relationships/hyperlink" Target="https://doi.org/10.1002/ppul.21613" TargetMode="External"/><Relationship Id="rId285" Type="http://schemas.openxmlformats.org/officeDocument/2006/relationships/hyperlink" Target="https://doi.org/10.1101/2020.06.16.154153" TargetMode="External"/><Relationship Id="rId17" Type="http://schemas.openxmlformats.org/officeDocument/2006/relationships/footer" Target="footer1.xml"/><Relationship Id="rId38" Type="http://schemas.openxmlformats.org/officeDocument/2006/relationships/chart" Target="charts/chart6.xml"/><Relationship Id="rId59" Type="http://schemas.openxmlformats.org/officeDocument/2006/relationships/image" Target="media/image16.png"/><Relationship Id="rId103" Type="http://schemas.openxmlformats.org/officeDocument/2006/relationships/hyperlink" Target="https://doi.org/10.1164/rccm.201703-0554OC" TargetMode="External"/><Relationship Id="rId124" Type="http://schemas.openxmlformats.org/officeDocument/2006/relationships/hyperlink" Target="https://doi.org/https://doi.org/10.1002/cpt.1857" TargetMode="External"/><Relationship Id="rId310" Type="http://schemas.openxmlformats.org/officeDocument/2006/relationships/hyperlink" Target="https://doi.org/10.1513/AnnalsATS.201312-456OC" TargetMode="External"/><Relationship Id="rId70" Type="http://schemas.openxmlformats.org/officeDocument/2006/relationships/image" Target="media/image19.jpeg"/><Relationship Id="rId91" Type="http://schemas.openxmlformats.org/officeDocument/2006/relationships/hyperlink" Target="https://doi.org/10.1371/journal.pone.0206907" TargetMode="External"/><Relationship Id="rId145" Type="http://schemas.openxmlformats.org/officeDocument/2006/relationships/hyperlink" Target="https://doi.org/10.1001/jamanetworkopen.2020.28484" TargetMode="External"/><Relationship Id="rId166" Type="http://schemas.openxmlformats.org/officeDocument/2006/relationships/hyperlink" Target="https://doi.org/10.1007/s10096-015-2480-0" TargetMode="External"/><Relationship Id="rId187" Type="http://schemas.openxmlformats.org/officeDocument/2006/relationships/hyperlink" Target="https://doi.org/10.1183/13993003.02139-2016" TargetMode="External"/><Relationship Id="rId331" Type="http://schemas.openxmlformats.org/officeDocument/2006/relationships/hyperlink" Target="https://doi.org/http://dx.doi.org/10.2217/fmb-2015-0011" TargetMode="External"/><Relationship Id="rId352" Type="http://schemas.openxmlformats.org/officeDocument/2006/relationships/image" Target="media/image35.jpeg"/><Relationship Id="rId1" Type="http://schemas.openxmlformats.org/officeDocument/2006/relationships/customXml" Target="../customXml/item1.xml"/><Relationship Id="rId212" Type="http://schemas.openxmlformats.org/officeDocument/2006/relationships/hyperlink" Target="https://doi.org/10.1378/chest.129.5.1132" TargetMode="External"/><Relationship Id="rId233" Type="http://schemas.openxmlformats.org/officeDocument/2006/relationships/hyperlink" Target="https://www.nice.org.uk/guidance/ng138/chapter/Recommendations" TargetMode="External"/><Relationship Id="rId254" Type="http://schemas.openxmlformats.org/officeDocument/2006/relationships/hyperlink" Target="https://www.qiagen.com/gb/resources/resourcedetail?id=63e22fd7-6eed-4bcb-8097-7ec77bcd4de6&amp;lang=en" TargetMode="External"/><Relationship Id="rId28" Type="http://schemas.openxmlformats.org/officeDocument/2006/relationships/diagramData" Target="diagrams/data1.xml"/><Relationship Id="rId114" Type="http://schemas.openxmlformats.org/officeDocument/2006/relationships/hyperlink" Target="https://doi.org/10.1007/978-3-319-78538-7_2" TargetMode="External"/><Relationship Id="rId275" Type="http://schemas.openxmlformats.org/officeDocument/2006/relationships/hyperlink" Target="https://doi.org/10.1136/thoraxjnl-2016-208599" TargetMode="External"/><Relationship Id="rId296" Type="http://schemas.openxmlformats.org/officeDocument/2006/relationships/hyperlink" Target="https://doi.org/10.1542/peds.2020-0421" TargetMode="External"/><Relationship Id="rId300" Type="http://schemas.openxmlformats.org/officeDocument/2006/relationships/hyperlink" Target="https://doi.org/10.1016/j.jclinepi.2016.10.001" TargetMode="External"/><Relationship Id="rId60" Type="http://schemas.openxmlformats.org/officeDocument/2006/relationships/image" Target="media/image14.jpg"/><Relationship Id="rId81" Type="http://schemas.openxmlformats.org/officeDocument/2006/relationships/hyperlink" Target="https://doi.org/10.2147/idr.S351827" TargetMode="External"/><Relationship Id="rId135" Type="http://schemas.openxmlformats.org/officeDocument/2006/relationships/hyperlink" Target="https://doi.org/10.1016/j.lanwpc.2021.100162" TargetMode="External"/><Relationship Id="rId156" Type="http://schemas.openxmlformats.org/officeDocument/2006/relationships/hyperlink" Target="https://doi.org/10.1016/j.paed.2019.01.012" TargetMode="External"/><Relationship Id="rId177" Type="http://schemas.openxmlformats.org/officeDocument/2006/relationships/hyperlink" Target="https://doi.org/10.1159/000239440" TargetMode="External"/><Relationship Id="rId198" Type="http://schemas.openxmlformats.org/officeDocument/2006/relationships/hyperlink" Target="https://doi.org/10.1371/journal.pone.0086136" TargetMode="External"/><Relationship Id="rId321" Type="http://schemas.openxmlformats.org/officeDocument/2006/relationships/hyperlink" Target="https://doi.org/10.3390/antibiotics7030060" TargetMode="External"/><Relationship Id="rId342" Type="http://schemas.openxmlformats.org/officeDocument/2006/relationships/hyperlink" Target="https://www.sheffieldchildrens.nhs.uk/research/" TargetMode="External"/><Relationship Id="rId202" Type="http://schemas.openxmlformats.org/officeDocument/2006/relationships/hyperlink" Target="https://doi.org/10.1038/nri.2017.7" TargetMode="External"/><Relationship Id="rId223" Type="http://schemas.openxmlformats.org/officeDocument/2006/relationships/hyperlink" Target="https://doi.org/10.1136/bmjopen-2019-030845" TargetMode="External"/><Relationship Id="rId244" Type="http://schemas.openxmlformats.org/officeDocument/2006/relationships/hyperlink" Target="https://doi.org/10.1164/ajrccm.162.4.9906120" TargetMode="External"/><Relationship Id="rId18" Type="http://schemas.openxmlformats.org/officeDocument/2006/relationships/image" Target="media/image5.png"/><Relationship Id="rId39" Type="http://schemas.openxmlformats.org/officeDocument/2006/relationships/chart" Target="charts/chart7.xml"/><Relationship Id="rId265" Type="http://schemas.openxmlformats.org/officeDocument/2006/relationships/hyperlink" Target="https://doi.org/10.1016/s2213-2600(14)70213-9" TargetMode="External"/><Relationship Id="rId286" Type="http://schemas.openxmlformats.org/officeDocument/2006/relationships/hyperlink" Target="https://doi.org/10.1016/s2213-2600(22)00165-5" TargetMode="External"/><Relationship Id="rId104" Type="http://schemas.openxmlformats.org/officeDocument/2006/relationships/hyperlink" Target="https://doi.org/10.1136/thoraxjnl-2012-202698" TargetMode="External"/><Relationship Id="rId125" Type="http://schemas.openxmlformats.org/officeDocument/2006/relationships/hyperlink" Target="https://doi.org/10.1016/s2214-109x(19)30422-x" TargetMode="External"/><Relationship Id="rId146" Type="http://schemas.openxmlformats.org/officeDocument/2006/relationships/hyperlink" Target="https://doi.org/10.1016/j.plasmid.2018.05.001" TargetMode="External"/><Relationship Id="rId167" Type="http://schemas.openxmlformats.org/officeDocument/2006/relationships/hyperlink" Target="https://doi.org/10.1177/2333794X16654067" TargetMode="External"/><Relationship Id="rId188" Type="http://schemas.openxmlformats.org/officeDocument/2006/relationships/hyperlink" Target="https://doi.org/10.1056/NEJMoa1715474" TargetMode="External"/><Relationship Id="rId311" Type="http://schemas.openxmlformats.org/officeDocument/2006/relationships/hyperlink" Target="https://doi.org/10.1038/ismej.2010.175" TargetMode="External"/><Relationship Id="rId332" Type="http://schemas.openxmlformats.org/officeDocument/2006/relationships/hyperlink" Target="https://doi.org/10.1001/jama.2014.10517" TargetMode="External"/><Relationship Id="rId353" Type="http://schemas.openxmlformats.org/officeDocument/2006/relationships/image" Target="media/image36.jpeg"/><Relationship Id="rId71" Type="http://schemas.openxmlformats.org/officeDocument/2006/relationships/image" Target="media/image20.jpeg"/><Relationship Id="rId92" Type="http://schemas.openxmlformats.org/officeDocument/2006/relationships/hyperlink" Target="https://doi.org/10.1016/s1473-3099(20)30917-8" TargetMode="External"/><Relationship Id="rId213" Type="http://schemas.openxmlformats.org/officeDocument/2006/relationships/hyperlink" Target="https://doi.org/10.1378/chest.07-2236" TargetMode="External"/><Relationship Id="rId234" Type="http://schemas.openxmlformats.org/officeDocument/2006/relationships/hyperlink" Target="https://doi.org/10.1007/s12519-019-00315-6" TargetMode="External"/><Relationship Id="rId2" Type="http://schemas.openxmlformats.org/officeDocument/2006/relationships/customXml" Target="../customXml/item2.xml"/><Relationship Id="rId29" Type="http://schemas.openxmlformats.org/officeDocument/2006/relationships/diagramLayout" Target="diagrams/layout1.xml"/><Relationship Id="rId255" Type="http://schemas.openxmlformats.org/officeDocument/2006/relationships/hyperlink" Target="https://doi.org/10.1183/13993003.01033-2015" TargetMode="External"/><Relationship Id="rId276" Type="http://schemas.openxmlformats.org/officeDocument/2006/relationships/hyperlink" Target="https://doi.org/10.1001/jama.2013.2290" TargetMode="External"/><Relationship Id="rId297" Type="http://schemas.openxmlformats.org/officeDocument/2006/relationships/hyperlink" Target="https://doi.org/10.1093/cid/ciaa262" TargetMode="External"/><Relationship Id="rId40" Type="http://schemas.openxmlformats.org/officeDocument/2006/relationships/chart" Target="charts/chart8.xml"/><Relationship Id="rId115" Type="http://schemas.openxmlformats.org/officeDocument/2006/relationships/hyperlink" Target="https://doi.org/10.1016/j.jgar.2019.03.010" TargetMode="External"/><Relationship Id="rId136" Type="http://schemas.openxmlformats.org/officeDocument/2006/relationships/hyperlink" Target="https://archetypalecology.wordpress.com/2018/02/21/permutational-multivariate-analysis-of-variance-permanova-in-r-preliminary/" TargetMode="External"/><Relationship Id="rId157" Type="http://schemas.openxmlformats.org/officeDocument/2006/relationships/hyperlink" Target="https://doi.org/10.1016/j.vaccine.2015.03.012" TargetMode="External"/><Relationship Id="rId178" Type="http://schemas.openxmlformats.org/officeDocument/2006/relationships/hyperlink" Target="https://doi.org/10.3389/fmicb.2014.00178" TargetMode="External"/><Relationship Id="rId301" Type="http://schemas.openxmlformats.org/officeDocument/2006/relationships/hyperlink" Target="https://doi.org/10.1183/09031936.00070311" TargetMode="External"/><Relationship Id="rId322" Type="http://schemas.openxmlformats.org/officeDocument/2006/relationships/hyperlink" Target="https://www.who.int/news-room/fact-sheets/detail/antibiotic-resistance" TargetMode="External"/><Relationship Id="rId343" Type="http://schemas.openxmlformats.org/officeDocument/2006/relationships/hyperlink" Target="http://www.sheffieldchildrens.nhs.uk/research-and-innovation.htm" TargetMode="External"/><Relationship Id="rId61" Type="http://schemas.openxmlformats.org/officeDocument/2006/relationships/diagramData" Target="diagrams/data2.xml"/><Relationship Id="rId82" Type="http://schemas.openxmlformats.org/officeDocument/2006/relationships/hyperlink" Target="https://doi.org/10.1371/journal.pone.0030787" TargetMode="External"/><Relationship Id="rId199" Type="http://schemas.openxmlformats.org/officeDocument/2006/relationships/hyperlink" Target="https://doi.org/10.1086/324626" TargetMode="External"/><Relationship Id="rId203" Type="http://schemas.openxmlformats.org/officeDocument/2006/relationships/hyperlink" Target="https://doi.org/10.1128/AAC.02067-13" TargetMode="External"/><Relationship Id="rId19" Type="http://schemas.openxmlformats.org/officeDocument/2006/relationships/image" Target="media/image6.svg"/><Relationship Id="rId224" Type="http://schemas.openxmlformats.org/officeDocument/2006/relationships/hyperlink" Target="https://doi.org/10.1136/archdischild-2019-rcpch.492" TargetMode="External"/><Relationship Id="rId245" Type="http://schemas.openxmlformats.org/officeDocument/2006/relationships/hyperlink" Target="https://doi.org/10.1183/16000617.0068-2019" TargetMode="External"/><Relationship Id="rId266" Type="http://schemas.openxmlformats.org/officeDocument/2006/relationships/hyperlink" Target="https://doi.org/10.3389/fmed.2021.719481" TargetMode="External"/><Relationship Id="rId287" Type="http://schemas.openxmlformats.org/officeDocument/2006/relationships/hyperlink" Target="https://doi.org/10.1038/nature13421" TargetMode="External"/><Relationship Id="rId30" Type="http://schemas.openxmlformats.org/officeDocument/2006/relationships/diagramQuickStyle" Target="diagrams/quickStyle1.xml"/><Relationship Id="rId105" Type="http://schemas.openxmlformats.org/officeDocument/2006/relationships/hyperlink" Target="https://doi.org/https://doi.org/10.1016/j.prrv.2019.07.002" TargetMode="External"/><Relationship Id="rId126" Type="http://schemas.openxmlformats.org/officeDocument/2006/relationships/hyperlink" Target="https://doi.org/10.1136/bmjopen-2016-015245" TargetMode="External"/><Relationship Id="rId147" Type="http://schemas.openxmlformats.org/officeDocument/2006/relationships/hyperlink" Target="https://doi.org/10.1073/pnas.080067697" TargetMode="External"/><Relationship Id="rId168" Type="http://schemas.openxmlformats.org/officeDocument/2006/relationships/hyperlink" Target="https://doi.org/10.1016/s0140-6736(19)32597-8" TargetMode="External"/><Relationship Id="rId312" Type="http://schemas.openxmlformats.org/officeDocument/2006/relationships/hyperlink" Target="https://doi.org/10.1093/jac/dkz091" TargetMode="External"/><Relationship Id="rId333" Type="http://schemas.openxmlformats.org/officeDocument/2006/relationships/hyperlink" Target="https://doi.org/10.1136/thx.2010.142711" TargetMode="External"/><Relationship Id="rId354" Type="http://schemas.openxmlformats.org/officeDocument/2006/relationships/image" Target="media/image37.jpeg"/><Relationship Id="rId72" Type="http://schemas.openxmlformats.org/officeDocument/2006/relationships/image" Target="media/image21.png"/><Relationship Id="rId93" Type="http://schemas.openxmlformats.org/officeDocument/2006/relationships/hyperlink" Target="https://doi.org/10.1007/s11096-018-0756-z" TargetMode="External"/><Relationship Id="rId189" Type="http://schemas.openxmlformats.org/officeDocument/2006/relationships/hyperlink" Target="https://doi.org/10.1177/0300060517738681" TargetMode="External"/><Relationship Id="rId3" Type="http://schemas.openxmlformats.org/officeDocument/2006/relationships/customXml" Target="../customXml/item3.xml"/><Relationship Id="rId214" Type="http://schemas.openxmlformats.org/officeDocument/2006/relationships/hyperlink" Target="https://doi.org/10.1186/s40168-016-0182-1" TargetMode="External"/><Relationship Id="rId235" Type="http://schemas.openxmlformats.org/officeDocument/2006/relationships/hyperlink" Target="https://doi.org/10.1186/s12864-020-07316-0" TargetMode="External"/><Relationship Id="rId256" Type="http://schemas.openxmlformats.org/officeDocument/2006/relationships/hyperlink" Target="https://doi.org/10.1016/j.cmi.2020.05.033" TargetMode="External"/><Relationship Id="rId277" Type="http://schemas.openxmlformats.org/officeDocument/2006/relationships/hyperlink" Target="https://doi.org/10.3390/ijms222112050" TargetMode="External"/><Relationship Id="rId298" Type="http://schemas.openxmlformats.org/officeDocument/2006/relationships/hyperlink" Target="https://doi.org/10.1093/jac/dkaa084" TargetMode="External"/><Relationship Id="rId116" Type="http://schemas.openxmlformats.org/officeDocument/2006/relationships/hyperlink" Target="https://doi.org/10.1101/228791" TargetMode="External"/><Relationship Id="rId137" Type="http://schemas.openxmlformats.org/officeDocument/2006/relationships/hyperlink" Target="https://www.ecdc.europa.eu/en/publications-data/surveillance-antimicrobial-resistance-europe-2019" TargetMode="External"/><Relationship Id="rId158" Type="http://schemas.openxmlformats.org/officeDocument/2006/relationships/hyperlink" Target="https://doi.org/10.1136/archdischild-2013-304793" TargetMode="External"/><Relationship Id="rId302" Type="http://schemas.openxmlformats.org/officeDocument/2006/relationships/hyperlink" Target="https://doi.org/10.1128/CMR.00040-06" TargetMode="External"/><Relationship Id="rId323" Type="http://schemas.openxmlformats.org/officeDocument/2006/relationships/hyperlink" Target="https://www.who.int/news-room/fact-sheets/detail/pneumonia" TargetMode="External"/><Relationship Id="rId344" Type="http://schemas.openxmlformats.org/officeDocument/2006/relationships/hyperlink" Target="https://www.sheffieldchildrens.nhs.uk/re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Hardmans\Documents\MD\Thesis\Final%20MIC%20PBB%201%20and%20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8.xml"/><Relationship Id="rId4"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Hardmans\Documents\MD\Thesis\Final%20MIC%20PBB%201%20and%202.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ardmans\Documents\MD\Thesis\Final%20MIC%20PBB%201%20and%202.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Hardmans\Documents\MD\Thesis\Final%20MIC%20PBB%201%20and%20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9.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0.xml"/><Relationship Id="rId4" Type="http://schemas.openxmlformats.org/officeDocument/2006/relationships/oleObject" Target="file:///C:\Users\Hardmans\Documents\MD\Thesis\Final%20MIC%20PBB%201%20and%202.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Hardmans\Documents\MD\Thesis\Final%20MIC%20PBB%201%20and%20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5.xml"/><Relationship Id="rId4" Type="http://schemas.openxmlformats.org/officeDocument/2006/relationships/oleObject" Target="file:///C:\Users\Hardmans\Documents\MD\Thesis\Final%20MIC%20PBB%201%20and%20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rdmans\Documents\MD\SHS\SHS%20graphs%20thesi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rdmans\Documents\MD\SHS\SHS%20graphs%20thesi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rdmans\Documents\MD\SHS\SHS%20graphs%20thesis.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ardmans\Documents\MD\Thesis\Final%20MIC%20PBB%201%20and%202.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Hardmans\Documents\MD\Thesis\Nanodrop.xlsx" TargetMode="External"/><Relationship Id="rId4" Type="http://schemas.openxmlformats.org/officeDocument/2006/relationships/themeOverride" Target="../theme/themeOverride7.xml"/></Relationships>
</file>

<file path=word/charts/_rels/chartEx2.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C:\Users\Hardmans\Documents\MD\Thesis\Nanodrop.xlsx" TargetMode="External"/><Relationship Id="rId4" Type="http://schemas.openxmlformats.org/officeDocument/2006/relationships/themeOverride" Target="../theme/themeOverride8.xml"/></Relationships>
</file>

<file path=word/charts/_rels/chartEx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Hardmans\Documents\MD\Thesis\Nanodrop.xlsx" TargetMode="External"/><Relationship Id="rId4"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Sheet1!$A$2</c:f>
              <c:strCache>
                <c:ptCount val="1"/>
                <c:pt idx="0">
                  <c:v>swab 1</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0C9E-425A-8F7D-B44EC61C54CD}"/>
              </c:ext>
            </c:extLst>
          </c:dPt>
          <c:dPt>
            <c:idx val="1"/>
            <c:invertIfNegative val="0"/>
            <c:bubble3D val="0"/>
            <c:spPr>
              <a:solidFill>
                <a:schemeClr val="bg1">
                  <a:lumMod val="75000"/>
                </a:schemeClr>
              </a:solidFill>
            </c:spPr>
            <c:extLst>
              <c:ext xmlns:c16="http://schemas.microsoft.com/office/drawing/2014/chart" uri="{C3380CC4-5D6E-409C-BE32-E72D297353CC}">
                <c16:uniqueId val="{00000003-0C9E-425A-8F7D-B44EC61C54CD}"/>
              </c:ext>
            </c:extLst>
          </c:dPt>
          <c:dPt>
            <c:idx val="2"/>
            <c:invertIfNegative val="0"/>
            <c:bubble3D val="0"/>
            <c:spPr>
              <a:solidFill>
                <a:srgbClr val="7030A0"/>
              </a:solidFill>
            </c:spPr>
            <c:extLst>
              <c:ext xmlns:c16="http://schemas.microsoft.com/office/drawing/2014/chart" uri="{C3380CC4-5D6E-409C-BE32-E72D297353CC}">
                <c16:uniqueId val="{00000005-0C9E-425A-8F7D-B44EC61C54CD}"/>
              </c:ext>
            </c:extLst>
          </c:dPt>
          <c:dPt>
            <c:idx val="3"/>
            <c:invertIfNegative val="0"/>
            <c:bubble3D val="0"/>
            <c:spPr>
              <a:solidFill>
                <a:srgbClr val="FF0000"/>
              </a:solidFill>
            </c:spPr>
            <c:extLst>
              <c:ext xmlns:c16="http://schemas.microsoft.com/office/drawing/2014/chart" uri="{C3380CC4-5D6E-409C-BE32-E72D297353CC}">
                <c16:uniqueId val="{00000007-0C9E-425A-8F7D-B44EC61C54CD}"/>
              </c:ext>
            </c:extLst>
          </c:dPt>
          <c:dPt>
            <c:idx val="4"/>
            <c:invertIfNegative val="0"/>
            <c:bubble3D val="0"/>
            <c:spPr>
              <a:solidFill>
                <a:schemeClr val="bg1">
                  <a:lumMod val="75000"/>
                </a:schemeClr>
              </a:solidFill>
            </c:spPr>
            <c:extLst>
              <c:ext xmlns:c16="http://schemas.microsoft.com/office/drawing/2014/chart" uri="{C3380CC4-5D6E-409C-BE32-E72D297353CC}">
                <c16:uniqueId val="{00000009-0C9E-425A-8F7D-B44EC61C54CD}"/>
              </c:ext>
            </c:extLst>
          </c:dPt>
          <c:dPt>
            <c:idx val="5"/>
            <c:invertIfNegative val="0"/>
            <c:bubble3D val="0"/>
            <c:spPr>
              <a:solidFill>
                <a:srgbClr val="FF0000"/>
              </a:solidFill>
            </c:spPr>
            <c:extLst>
              <c:ext xmlns:c16="http://schemas.microsoft.com/office/drawing/2014/chart" uri="{C3380CC4-5D6E-409C-BE32-E72D297353CC}">
                <c16:uniqueId val="{0000000B-0C9E-425A-8F7D-B44EC61C54CD}"/>
              </c:ext>
            </c:extLst>
          </c:dPt>
          <c:dPt>
            <c:idx val="6"/>
            <c:invertIfNegative val="0"/>
            <c:bubble3D val="0"/>
            <c:spPr>
              <a:solidFill>
                <a:schemeClr val="bg1">
                  <a:lumMod val="75000"/>
                </a:schemeClr>
              </a:solidFill>
            </c:spPr>
            <c:extLst>
              <c:ext xmlns:c16="http://schemas.microsoft.com/office/drawing/2014/chart" uri="{C3380CC4-5D6E-409C-BE32-E72D297353CC}">
                <c16:uniqueId val="{0000000D-0C9E-425A-8F7D-B44EC61C54CD}"/>
              </c:ext>
            </c:extLst>
          </c:dPt>
          <c:dPt>
            <c:idx val="7"/>
            <c:invertIfNegative val="0"/>
            <c:bubble3D val="0"/>
            <c:spPr>
              <a:solidFill>
                <a:schemeClr val="bg1">
                  <a:lumMod val="75000"/>
                </a:schemeClr>
              </a:solidFill>
            </c:spPr>
            <c:extLst>
              <c:ext xmlns:c16="http://schemas.microsoft.com/office/drawing/2014/chart" uri="{C3380CC4-5D6E-409C-BE32-E72D297353CC}">
                <c16:uniqueId val="{0000000F-0C9E-425A-8F7D-B44EC61C54CD}"/>
              </c:ext>
            </c:extLst>
          </c:dPt>
          <c:dPt>
            <c:idx val="8"/>
            <c:invertIfNegative val="0"/>
            <c:bubble3D val="0"/>
            <c:spPr>
              <a:solidFill>
                <a:srgbClr val="FF0000"/>
              </a:solidFill>
            </c:spPr>
            <c:extLst>
              <c:ext xmlns:c16="http://schemas.microsoft.com/office/drawing/2014/chart" uri="{C3380CC4-5D6E-409C-BE32-E72D297353CC}">
                <c16:uniqueId val="{00000011-0C9E-425A-8F7D-B44EC61C54CD}"/>
              </c:ext>
            </c:extLst>
          </c:dPt>
          <c:dPt>
            <c:idx val="9"/>
            <c:invertIfNegative val="0"/>
            <c:bubble3D val="0"/>
            <c:spPr>
              <a:solidFill>
                <a:srgbClr val="00B0F0"/>
              </a:solidFill>
              <a:ln>
                <a:solidFill>
                  <a:srgbClr val="00B0F0"/>
                </a:solidFill>
              </a:ln>
            </c:spPr>
            <c:extLst>
              <c:ext xmlns:c16="http://schemas.microsoft.com/office/drawing/2014/chart" uri="{C3380CC4-5D6E-409C-BE32-E72D297353CC}">
                <c16:uniqueId val="{00000013-0C9E-425A-8F7D-B44EC61C54CD}"/>
              </c:ext>
            </c:extLst>
          </c:dPt>
          <c:dPt>
            <c:idx val="10"/>
            <c:invertIfNegative val="0"/>
            <c:bubble3D val="0"/>
            <c:spPr>
              <a:solidFill>
                <a:srgbClr val="00B0F0"/>
              </a:solidFill>
            </c:spPr>
            <c:extLst>
              <c:ext xmlns:c16="http://schemas.microsoft.com/office/drawing/2014/chart" uri="{C3380CC4-5D6E-409C-BE32-E72D297353CC}">
                <c16:uniqueId val="{00000015-0C9E-425A-8F7D-B44EC61C54CD}"/>
              </c:ext>
            </c:extLst>
          </c:dPt>
          <c:dPt>
            <c:idx val="11"/>
            <c:invertIfNegative val="0"/>
            <c:bubble3D val="0"/>
            <c:spPr>
              <a:solidFill>
                <a:srgbClr val="00B0F0"/>
              </a:solidFill>
            </c:spPr>
            <c:extLst>
              <c:ext xmlns:c16="http://schemas.microsoft.com/office/drawing/2014/chart" uri="{C3380CC4-5D6E-409C-BE32-E72D297353CC}">
                <c16:uniqueId val="{00000017-0C9E-425A-8F7D-B44EC61C54CD}"/>
              </c:ext>
            </c:extLst>
          </c:dPt>
          <c:dPt>
            <c:idx val="12"/>
            <c:invertIfNegative val="0"/>
            <c:bubble3D val="0"/>
            <c:spPr>
              <a:solidFill>
                <a:srgbClr val="FF0000"/>
              </a:solidFill>
            </c:spPr>
            <c:extLst>
              <c:ext xmlns:c16="http://schemas.microsoft.com/office/drawing/2014/chart" uri="{C3380CC4-5D6E-409C-BE32-E72D297353CC}">
                <c16:uniqueId val="{00000019-0C9E-425A-8F7D-B44EC61C54CD}"/>
              </c:ext>
            </c:extLst>
          </c:dPt>
          <c:dPt>
            <c:idx val="13"/>
            <c:invertIfNegative val="0"/>
            <c:bubble3D val="0"/>
            <c:spPr>
              <a:solidFill>
                <a:schemeClr val="bg1">
                  <a:lumMod val="75000"/>
                </a:schemeClr>
              </a:solidFill>
            </c:spPr>
            <c:extLst>
              <c:ext xmlns:c16="http://schemas.microsoft.com/office/drawing/2014/chart" uri="{C3380CC4-5D6E-409C-BE32-E72D297353CC}">
                <c16:uniqueId val="{0000001B-0C9E-425A-8F7D-B44EC61C54CD}"/>
              </c:ext>
            </c:extLst>
          </c:dPt>
          <c:dPt>
            <c:idx val="14"/>
            <c:invertIfNegative val="0"/>
            <c:bubble3D val="0"/>
            <c:spPr>
              <a:solidFill>
                <a:srgbClr val="FF0000"/>
              </a:solidFill>
            </c:spPr>
            <c:extLst>
              <c:ext xmlns:c16="http://schemas.microsoft.com/office/drawing/2014/chart" uri="{C3380CC4-5D6E-409C-BE32-E72D297353CC}">
                <c16:uniqueId val="{0000001D-0C9E-425A-8F7D-B44EC61C54CD}"/>
              </c:ext>
            </c:extLst>
          </c:dPt>
          <c:dPt>
            <c:idx val="15"/>
            <c:invertIfNegative val="0"/>
            <c:bubble3D val="0"/>
            <c:spPr>
              <a:solidFill>
                <a:srgbClr val="00B0F0"/>
              </a:solidFill>
            </c:spPr>
            <c:extLst>
              <c:ext xmlns:c16="http://schemas.microsoft.com/office/drawing/2014/chart" uri="{C3380CC4-5D6E-409C-BE32-E72D297353CC}">
                <c16:uniqueId val="{0000001F-0C9E-425A-8F7D-B44EC61C54CD}"/>
              </c:ext>
            </c:extLst>
          </c:dPt>
          <c:dPt>
            <c:idx val="16"/>
            <c:invertIfNegative val="0"/>
            <c:bubble3D val="0"/>
            <c:spPr>
              <a:solidFill>
                <a:schemeClr val="bg1">
                  <a:lumMod val="75000"/>
                </a:schemeClr>
              </a:solidFill>
            </c:spPr>
            <c:extLst>
              <c:ext xmlns:c16="http://schemas.microsoft.com/office/drawing/2014/chart" uri="{C3380CC4-5D6E-409C-BE32-E72D297353CC}">
                <c16:uniqueId val="{00000021-0C9E-425A-8F7D-B44EC61C54CD}"/>
              </c:ext>
            </c:extLst>
          </c:dPt>
          <c:dPt>
            <c:idx val="17"/>
            <c:invertIfNegative val="0"/>
            <c:bubble3D val="0"/>
            <c:spPr>
              <a:solidFill>
                <a:schemeClr val="bg1">
                  <a:lumMod val="75000"/>
                </a:schemeClr>
              </a:solidFill>
            </c:spPr>
            <c:extLst>
              <c:ext xmlns:c16="http://schemas.microsoft.com/office/drawing/2014/chart" uri="{C3380CC4-5D6E-409C-BE32-E72D297353CC}">
                <c16:uniqueId val="{00000023-0C9E-425A-8F7D-B44EC61C54CD}"/>
              </c:ext>
            </c:extLst>
          </c:dPt>
          <c:dPt>
            <c:idx val="18"/>
            <c:invertIfNegative val="0"/>
            <c:bubble3D val="0"/>
            <c:spPr>
              <a:solidFill>
                <a:schemeClr val="bg1">
                  <a:lumMod val="75000"/>
                </a:schemeClr>
              </a:solidFill>
            </c:spPr>
            <c:extLst>
              <c:ext xmlns:c16="http://schemas.microsoft.com/office/drawing/2014/chart" uri="{C3380CC4-5D6E-409C-BE32-E72D297353CC}">
                <c16:uniqueId val="{00000025-0C9E-425A-8F7D-B44EC61C54CD}"/>
              </c:ext>
            </c:extLst>
          </c:dPt>
          <c:dPt>
            <c:idx val="19"/>
            <c:invertIfNegative val="0"/>
            <c:bubble3D val="0"/>
            <c:spPr>
              <a:solidFill>
                <a:srgbClr val="00B0F0"/>
              </a:solidFill>
            </c:spPr>
            <c:extLst>
              <c:ext xmlns:c16="http://schemas.microsoft.com/office/drawing/2014/chart" uri="{C3380CC4-5D6E-409C-BE32-E72D297353CC}">
                <c16:uniqueId val="{00000027-0C9E-425A-8F7D-B44EC61C54CD}"/>
              </c:ext>
            </c:extLst>
          </c:dPt>
          <c:cat>
            <c:strRef>
              <c:f>Sheet1!$B$1:$U$1</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Sheet1!$B$2:$U$2</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28-0C9E-425A-8F7D-B44EC61C54CD}"/>
            </c:ext>
          </c:extLst>
        </c:ser>
        <c:ser>
          <c:idx val="1"/>
          <c:order val="1"/>
          <c:tx>
            <c:strRef>
              <c:f>Sheet1!$A$3</c:f>
              <c:strCache>
                <c:ptCount val="1"/>
                <c:pt idx="0">
                  <c:v>swab 2</c:v>
                </c:pt>
              </c:strCache>
            </c:strRef>
          </c:tx>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2A-0C9E-425A-8F7D-B44EC61C54CD}"/>
              </c:ext>
            </c:extLst>
          </c:dPt>
          <c:dPt>
            <c:idx val="1"/>
            <c:invertIfNegative val="0"/>
            <c:bubble3D val="0"/>
            <c:spPr>
              <a:solidFill>
                <a:schemeClr val="bg1">
                  <a:lumMod val="75000"/>
                </a:schemeClr>
              </a:solidFill>
            </c:spPr>
            <c:extLst>
              <c:ext xmlns:c16="http://schemas.microsoft.com/office/drawing/2014/chart" uri="{C3380CC4-5D6E-409C-BE32-E72D297353CC}">
                <c16:uniqueId val="{0000002C-0C9E-425A-8F7D-B44EC61C54CD}"/>
              </c:ext>
            </c:extLst>
          </c:dPt>
          <c:dPt>
            <c:idx val="2"/>
            <c:invertIfNegative val="0"/>
            <c:bubble3D val="0"/>
            <c:spPr>
              <a:solidFill>
                <a:srgbClr val="FF0000"/>
              </a:solidFill>
            </c:spPr>
            <c:extLst>
              <c:ext xmlns:c16="http://schemas.microsoft.com/office/drawing/2014/chart" uri="{C3380CC4-5D6E-409C-BE32-E72D297353CC}">
                <c16:uniqueId val="{0000002E-0C9E-425A-8F7D-B44EC61C54CD}"/>
              </c:ext>
            </c:extLst>
          </c:dPt>
          <c:dPt>
            <c:idx val="3"/>
            <c:invertIfNegative val="0"/>
            <c:bubble3D val="0"/>
            <c:spPr>
              <a:solidFill>
                <a:srgbClr val="FF0000"/>
              </a:solidFill>
            </c:spPr>
            <c:extLst>
              <c:ext xmlns:c16="http://schemas.microsoft.com/office/drawing/2014/chart" uri="{C3380CC4-5D6E-409C-BE32-E72D297353CC}">
                <c16:uniqueId val="{00000030-0C9E-425A-8F7D-B44EC61C54CD}"/>
              </c:ext>
            </c:extLst>
          </c:dPt>
          <c:dPt>
            <c:idx val="4"/>
            <c:invertIfNegative val="0"/>
            <c:bubble3D val="0"/>
            <c:spPr>
              <a:solidFill>
                <a:schemeClr val="bg1">
                  <a:lumMod val="75000"/>
                </a:schemeClr>
              </a:solidFill>
            </c:spPr>
            <c:extLst>
              <c:ext xmlns:c16="http://schemas.microsoft.com/office/drawing/2014/chart" uri="{C3380CC4-5D6E-409C-BE32-E72D297353CC}">
                <c16:uniqueId val="{00000032-0C9E-425A-8F7D-B44EC61C54CD}"/>
              </c:ext>
            </c:extLst>
          </c:dPt>
          <c:dPt>
            <c:idx val="5"/>
            <c:invertIfNegative val="0"/>
            <c:bubble3D val="0"/>
            <c:spPr>
              <a:solidFill>
                <a:schemeClr val="bg1">
                  <a:lumMod val="75000"/>
                </a:schemeClr>
              </a:solidFill>
            </c:spPr>
            <c:extLst>
              <c:ext xmlns:c16="http://schemas.microsoft.com/office/drawing/2014/chart" uri="{C3380CC4-5D6E-409C-BE32-E72D297353CC}">
                <c16:uniqueId val="{00000034-0C9E-425A-8F7D-B44EC61C54CD}"/>
              </c:ext>
            </c:extLst>
          </c:dPt>
          <c:dPt>
            <c:idx val="6"/>
            <c:invertIfNegative val="0"/>
            <c:bubble3D val="0"/>
            <c:spPr>
              <a:solidFill>
                <a:srgbClr val="FF0000"/>
              </a:solidFill>
            </c:spPr>
            <c:extLst>
              <c:ext xmlns:c16="http://schemas.microsoft.com/office/drawing/2014/chart" uri="{C3380CC4-5D6E-409C-BE32-E72D297353CC}">
                <c16:uniqueId val="{00000036-0C9E-425A-8F7D-B44EC61C54CD}"/>
              </c:ext>
            </c:extLst>
          </c:dPt>
          <c:dPt>
            <c:idx val="7"/>
            <c:invertIfNegative val="0"/>
            <c:bubble3D val="0"/>
            <c:spPr>
              <a:solidFill>
                <a:schemeClr val="bg1">
                  <a:lumMod val="75000"/>
                </a:schemeClr>
              </a:solidFill>
            </c:spPr>
            <c:extLst>
              <c:ext xmlns:c16="http://schemas.microsoft.com/office/drawing/2014/chart" uri="{C3380CC4-5D6E-409C-BE32-E72D297353CC}">
                <c16:uniqueId val="{00000038-0C9E-425A-8F7D-B44EC61C54CD}"/>
              </c:ext>
            </c:extLst>
          </c:dPt>
          <c:dPt>
            <c:idx val="8"/>
            <c:invertIfNegative val="0"/>
            <c:bubble3D val="0"/>
            <c:spPr>
              <a:solidFill>
                <a:srgbClr val="FF0000"/>
              </a:solidFill>
            </c:spPr>
            <c:extLst>
              <c:ext xmlns:c16="http://schemas.microsoft.com/office/drawing/2014/chart" uri="{C3380CC4-5D6E-409C-BE32-E72D297353CC}">
                <c16:uniqueId val="{0000003A-0C9E-425A-8F7D-B44EC61C54CD}"/>
              </c:ext>
            </c:extLst>
          </c:dPt>
          <c:dPt>
            <c:idx val="9"/>
            <c:invertIfNegative val="0"/>
            <c:bubble3D val="0"/>
            <c:spPr>
              <a:solidFill>
                <a:srgbClr val="00B0F0"/>
              </a:solidFill>
              <a:ln>
                <a:solidFill>
                  <a:srgbClr val="00B0F0"/>
                </a:solidFill>
              </a:ln>
            </c:spPr>
            <c:extLst>
              <c:ext xmlns:c16="http://schemas.microsoft.com/office/drawing/2014/chart" uri="{C3380CC4-5D6E-409C-BE32-E72D297353CC}">
                <c16:uniqueId val="{0000003C-0C9E-425A-8F7D-B44EC61C54CD}"/>
              </c:ext>
            </c:extLst>
          </c:dPt>
          <c:dPt>
            <c:idx val="10"/>
            <c:invertIfNegative val="0"/>
            <c:bubble3D val="0"/>
            <c:spPr>
              <a:solidFill>
                <a:srgbClr val="FF0000"/>
              </a:solidFill>
            </c:spPr>
            <c:extLst>
              <c:ext xmlns:c16="http://schemas.microsoft.com/office/drawing/2014/chart" uri="{C3380CC4-5D6E-409C-BE32-E72D297353CC}">
                <c16:uniqueId val="{0000003E-0C9E-425A-8F7D-B44EC61C54CD}"/>
              </c:ext>
            </c:extLst>
          </c:dPt>
          <c:dPt>
            <c:idx val="11"/>
            <c:invertIfNegative val="0"/>
            <c:bubble3D val="0"/>
            <c:spPr>
              <a:solidFill>
                <a:schemeClr val="bg1">
                  <a:lumMod val="75000"/>
                </a:schemeClr>
              </a:solidFill>
            </c:spPr>
            <c:extLst>
              <c:ext xmlns:c16="http://schemas.microsoft.com/office/drawing/2014/chart" uri="{C3380CC4-5D6E-409C-BE32-E72D297353CC}">
                <c16:uniqueId val="{00000040-0C9E-425A-8F7D-B44EC61C54CD}"/>
              </c:ext>
            </c:extLst>
          </c:dPt>
          <c:dPt>
            <c:idx val="12"/>
            <c:invertIfNegative val="0"/>
            <c:bubble3D val="0"/>
            <c:spPr>
              <a:solidFill>
                <a:schemeClr val="bg1">
                  <a:lumMod val="75000"/>
                </a:schemeClr>
              </a:solidFill>
            </c:spPr>
            <c:extLst>
              <c:ext xmlns:c16="http://schemas.microsoft.com/office/drawing/2014/chart" uri="{C3380CC4-5D6E-409C-BE32-E72D297353CC}">
                <c16:uniqueId val="{00000042-0C9E-425A-8F7D-B44EC61C54CD}"/>
              </c:ext>
            </c:extLst>
          </c:dPt>
          <c:dPt>
            <c:idx val="13"/>
            <c:invertIfNegative val="0"/>
            <c:bubble3D val="0"/>
            <c:spPr>
              <a:solidFill>
                <a:srgbClr val="FF0000"/>
              </a:solidFill>
            </c:spPr>
            <c:extLst>
              <c:ext xmlns:c16="http://schemas.microsoft.com/office/drawing/2014/chart" uri="{C3380CC4-5D6E-409C-BE32-E72D297353CC}">
                <c16:uniqueId val="{00000044-0C9E-425A-8F7D-B44EC61C54CD}"/>
              </c:ext>
            </c:extLst>
          </c:dPt>
          <c:dPt>
            <c:idx val="14"/>
            <c:invertIfNegative val="0"/>
            <c:bubble3D val="0"/>
            <c:spPr>
              <a:solidFill>
                <a:schemeClr val="bg1">
                  <a:lumMod val="75000"/>
                </a:schemeClr>
              </a:solidFill>
            </c:spPr>
            <c:extLst>
              <c:ext xmlns:c16="http://schemas.microsoft.com/office/drawing/2014/chart" uri="{C3380CC4-5D6E-409C-BE32-E72D297353CC}">
                <c16:uniqueId val="{00000046-0C9E-425A-8F7D-B44EC61C54CD}"/>
              </c:ext>
            </c:extLst>
          </c:dPt>
          <c:dPt>
            <c:idx val="15"/>
            <c:invertIfNegative val="0"/>
            <c:bubble3D val="0"/>
            <c:spPr>
              <a:solidFill>
                <a:srgbClr val="00B0F0"/>
              </a:solidFill>
            </c:spPr>
            <c:extLst>
              <c:ext xmlns:c16="http://schemas.microsoft.com/office/drawing/2014/chart" uri="{C3380CC4-5D6E-409C-BE32-E72D297353CC}">
                <c16:uniqueId val="{00000048-0C9E-425A-8F7D-B44EC61C54CD}"/>
              </c:ext>
            </c:extLst>
          </c:dPt>
          <c:dPt>
            <c:idx val="16"/>
            <c:invertIfNegative val="0"/>
            <c:bubble3D val="0"/>
            <c:spPr>
              <a:noFill/>
            </c:spPr>
            <c:extLst>
              <c:ext xmlns:c16="http://schemas.microsoft.com/office/drawing/2014/chart" uri="{C3380CC4-5D6E-409C-BE32-E72D297353CC}">
                <c16:uniqueId val="{0000004A-0C9E-425A-8F7D-B44EC61C54CD}"/>
              </c:ext>
            </c:extLst>
          </c:dPt>
          <c:dPt>
            <c:idx val="17"/>
            <c:invertIfNegative val="0"/>
            <c:bubble3D val="0"/>
            <c:spPr>
              <a:solidFill>
                <a:schemeClr val="bg1">
                  <a:lumMod val="75000"/>
                </a:schemeClr>
              </a:solidFill>
            </c:spPr>
            <c:extLst>
              <c:ext xmlns:c16="http://schemas.microsoft.com/office/drawing/2014/chart" uri="{C3380CC4-5D6E-409C-BE32-E72D297353CC}">
                <c16:uniqueId val="{0000004C-0C9E-425A-8F7D-B44EC61C54CD}"/>
              </c:ext>
            </c:extLst>
          </c:dPt>
          <c:dPt>
            <c:idx val="18"/>
            <c:invertIfNegative val="0"/>
            <c:bubble3D val="0"/>
            <c:spPr>
              <a:solidFill>
                <a:schemeClr val="bg1">
                  <a:lumMod val="75000"/>
                </a:schemeClr>
              </a:solidFill>
            </c:spPr>
            <c:extLst>
              <c:ext xmlns:c16="http://schemas.microsoft.com/office/drawing/2014/chart" uri="{C3380CC4-5D6E-409C-BE32-E72D297353CC}">
                <c16:uniqueId val="{0000004E-0C9E-425A-8F7D-B44EC61C54CD}"/>
              </c:ext>
            </c:extLst>
          </c:dPt>
          <c:dPt>
            <c:idx val="19"/>
            <c:invertIfNegative val="0"/>
            <c:bubble3D val="0"/>
            <c:spPr>
              <a:solidFill>
                <a:schemeClr val="bg1">
                  <a:lumMod val="75000"/>
                </a:schemeClr>
              </a:solidFill>
            </c:spPr>
            <c:extLst>
              <c:ext xmlns:c16="http://schemas.microsoft.com/office/drawing/2014/chart" uri="{C3380CC4-5D6E-409C-BE32-E72D297353CC}">
                <c16:uniqueId val="{00000050-0C9E-425A-8F7D-B44EC61C54CD}"/>
              </c:ext>
            </c:extLst>
          </c:dPt>
          <c:cat>
            <c:strRef>
              <c:f>Sheet1!$B$1:$U$1</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Sheet1!$B$3:$U$3</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51-0C9E-425A-8F7D-B44EC61C54CD}"/>
            </c:ext>
          </c:extLst>
        </c:ser>
        <c:ser>
          <c:idx val="2"/>
          <c:order val="2"/>
          <c:tx>
            <c:strRef>
              <c:f>Sheet1!$A$4</c:f>
              <c:strCache>
                <c:ptCount val="1"/>
                <c:pt idx="0">
                  <c:v>swab 3</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53-0C9E-425A-8F7D-B44EC61C54CD}"/>
              </c:ext>
            </c:extLst>
          </c:dPt>
          <c:dPt>
            <c:idx val="1"/>
            <c:invertIfNegative val="0"/>
            <c:bubble3D val="0"/>
            <c:spPr>
              <a:solidFill>
                <a:srgbClr val="FF0000"/>
              </a:solidFill>
            </c:spPr>
            <c:extLst>
              <c:ext xmlns:c16="http://schemas.microsoft.com/office/drawing/2014/chart" uri="{C3380CC4-5D6E-409C-BE32-E72D297353CC}">
                <c16:uniqueId val="{00000055-0C9E-425A-8F7D-B44EC61C54CD}"/>
              </c:ext>
            </c:extLst>
          </c:dPt>
          <c:dPt>
            <c:idx val="2"/>
            <c:invertIfNegative val="0"/>
            <c:bubble3D val="0"/>
            <c:spPr>
              <a:solidFill>
                <a:srgbClr val="00B0F0"/>
              </a:solidFill>
              <a:ln>
                <a:solidFill>
                  <a:srgbClr val="00B0F0"/>
                </a:solidFill>
              </a:ln>
            </c:spPr>
            <c:extLst>
              <c:ext xmlns:c16="http://schemas.microsoft.com/office/drawing/2014/chart" uri="{C3380CC4-5D6E-409C-BE32-E72D297353CC}">
                <c16:uniqueId val="{00000057-0C9E-425A-8F7D-B44EC61C54CD}"/>
              </c:ext>
            </c:extLst>
          </c:dPt>
          <c:dPt>
            <c:idx val="3"/>
            <c:invertIfNegative val="0"/>
            <c:bubble3D val="0"/>
            <c:spPr>
              <a:solidFill>
                <a:schemeClr val="bg1">
                  <a:lumMod val="75000"/>
                </a:schemeClr>
              </a:solidFill>
            </c:spPr>
            <c:extLst>
              <c:ext xmlns:c16="http://schemas.microsoft.com/office/drawing/2014/chart" uri="{C3380CC4-5D6E-409C-BE32-E72D297353CC}">
                <c16:uniqueId val="{00000059-0C9E-425A-8F7D-B44EC61C54CD}"/>
              </c:ext>
            </c:extLst>
          </c:dPt>
          <c:dPt>
            <c:idx val="4"/>
            <c:invertIfNegative val="0"/>
            <c:bubble3D val="0"/>
            <c:spPr>
              <a:solidFill>
                <a:srgbClr val="00B0F0"/>
              </a:solidFill>
            </c:spPr>
            <c:extLst>
              <c:ext xmlns:c16="http://schemas.microsoft.com/office/drawing/2014/chart" uri="{C3380CC4-5D6E-409C-BE32-E72D297353CC}">
                <c16:uniqueId val="{0000005B-0C9E-425A-8F7D-B44EC61C54CD}"/>
              </c:ext>
            </c:extLst>
          </c:dPt>
          <c:dPt>
            <c:idx val="5"/>
            <c:invertIfNegative val="0"/>
            <c:bubble3D val="0"/>
            <c:spPr>
              <a:solidFill>
                <a:srgbClr val="00B0F0"/>
              </a:solidFill>
            </c:spPr>
            <c:extLst>
              <c:ext xmlns:c16="http://schemas.microsoft.com/office/drawing/2014/chart" uri="{C3380CC4-5D6E-409C-BE32-E72D297353CC}">
                <c16:uniqueId val="{0000005D-0C9E-425A-8F7D-B44EC61C54CD}"/>
              </c:ext>
            </c:extLst>
          </c:dPt>
          <c:dPt>
            <c:idx val="6"/>
            <c:invertIfNegative val="0"/>
            <c:bubble3D val="0"/>
            <c:spPr>
              <a:solidFill>
                <a:srgbClr val="FF0000"/>
              </a:solidFill>
            </c:spPr>
            <c:extLst>
              <c:ext xmlns:c16="http://schemas.microsoft.com/office/drawing/2014/chart" uri="{C3380CC4-5D6E-409C-BE32-E72D297353CC}">
                <c16:uniqueId val="{0000005F-0C9E-425A-8F7D-B44EC61C54CD}"/>
              </c:ext>
            </c:extLst>
          </c:dPt>
          <c:dPt>
            <c:idx val="7"/>
            <c:invertIfNegative val="0"/>
            <c:bubble3D val="0"/>
            <c:spPr>
              <a:solidFill>
                <a:srgbClr val="FF0000"/>
              </a:solidFill>
            </c:spPr>
            <c:extLst>
              <c:ext xmlns:c16="http://schemas.microsoft.com/office/drawing/2014/chart" uri="{C3380CC4-5D6E-409C-BE32-E72D297353CC}">
                <c16:uniqueId val="{00000061-0C9E-425A-8F7D-B44EC61C54CD}"/>
              </c:ext>
            </c:extLst>
          </c:dPt>
          <c:dPt>
            <c:idx val="8"/>
            <c:invertIfNegative val="0"/>
            <c:bubble3D val="0"/>
            <c:spPr>
              <a:solidFill>
                <a:srgbClr val="00B0F0"/>
              </a:solidFill>
            </c:spPr>
            <c:extLst>
              <c:ext xmlns:c16="http://schemas.microsoft.com/office/drawing/2014/chart" uri="{C3380CC4-5D6E-409C-BE32-E72D297353CC}">
                <c16:uniqueId val="{00000063-0C9E-425A-8F7D-B44EC61C54CD}"/>
              </c:ext>
            </c:extLst>
          </c:dPt>
          <c:dPt>
            <c:idx val="9"/>
            <c:invertIfNegative val="0"/>
            <c:bubble3D val="0"/>
            <c:spPr>
              <a:solidFill>
                <a:srgbClr val="FF0000"/>
              </a:solidFill>
            </c:spPr>
            <c:extLst>
              <c:ext xmlns:c16="http://schemas.microsoft.com/office/drawing/2014/chart" uri="{C3380CC4-5D6E-409C-BE32-E72D297353CC}">
                <c16:uniqueId val="{00000065-0C9E-425A-8F7D-B44EC61C54CD}"/>
              </c:ext>
            </c:extLst>
          </c:dPt>
          <c:dPt>
            <c:idx val="10"/>
            <c:invertIfNegative val="0"/>
            <c:bubble3D val="0"/>
            <c:spPr>
              <a:solidFill>
                <a:srgbClr val="00B0F0"/>
              </a:solidFill>
            </c:spPr>
            <c:extLst>
              <c:ext xmlns:c16="http://schemas.microsoft.com/office/drawing/2014/chart" uri="{C3380CC4-5D6E-409C-BE32-E72D297353CC}">
                <c16:uniqueId val="{00000067-0C9E-425A-8F7D-B44EC61C54CD}"/>
              </c:ext>
            </c:extLst>
          </c:dPt>
          <c:dPt>
            <c:idx val="11"/>
            <c:invertIfNegative val="0"/>
            <c:bubble3D val="0"/>
            <c:spPr>
              <a:solidFill>
                <a:srgbClr val="00B0F0"/>
              </a:solidFill>
            </c:spPr>
            <c:extLst>
              <c:ext xmlns:c16="http://schemas.microsoft.com/office/drawing/2014/chart" uri="{C3380CC4-5D6E-409C-BE32-E72D297353CC}">
                <c16:uniqueId val="{00000069-0C9E-425A-8F7D-B44EC61C54CD}"/>
              </c:ext>
            </c:extLst>
          </c:dPt>
          <c:dPt>
            <c:idx val="12"/>
            <c:invertIfNegative val="0"/>
            <c:bubble3D val="0"/>
            <c:spPr>
              <a:solidFill>
                <a:schemeClr val="bg1">
                  <a:lumMod val="75000"/>
                </a:schemeClr>
              </a:solidFill>
            </c:spPr>
            <c:extLst>
              <c:ext xmlns:c16="http://schemas.microsoft.com/office/drawing/2014/chart" uri="{C3380CC4-5D6E-409C-BE32-E72D297353CC}">
                <c16:uniqueId val="{0000006B-0C9E-425A-8F7D-B44EC61C54CD}"/>
              </c:ext>
            </c:extLst>
          </c:dPt>
          <c:dPt>
            <c:idx val="13"/>
            <c:invertIfNegative val="0"/>
            <c:bubble3D val="0"/>
            <c:spPr>
              <a:solidFill>
                <a:schemeClr val="bg1">
                  <a:lumMod val="75000"/>
                </a:schemeClr>
              </a:solidFill>
            </c:spPr>
            <c:extLst>
              <c:ext xmlns:c16="http://schemas.microsoft.com/office/drawing/2014/chart" uri="{C3380CC4-5D6E-409C-BE32-E72D297353CC}">
                <c16:uniqueId val="{0000006D-0C9E-425A-8F7D-B44EC61C54CD}"/>
              </c:ext>
            </c:extLst>
          </c:dPt>
          <c:dPt>
            <c:idx val="14"/>
            <c:invertIfNegative val="0"/>
            <c:bubble3D val="0"/>
            <c:spPr>
              <a:solidFill>
                <a:srgbClr val="FF0000"/>
              </a:solidFill>
            </c:spPr>
            <c:extLst>
              <c:ext xmlns:c16="http://schemas.microsoft.com/office/drawing/2014/chart" uri="{C3380CC4-5D6E-409C-BE32-E72D297353CC}">
                <c16:uniqueId val="{0000006F-0C9E-425A-8F7D-B44EC61C54CD}"/>
              </c:ext>
            </c:extLst>
          </c:dPt>
          <c:dPt>
            <c:idx val="15"/>
            <c:invertIfNegative val="0"/>
            <c:bubble3D val="0"/>
            <c:spPr>
              <a:solidFill>
                <a:srgbClr val="FF0000"/>
              </a:solidFill>
            </c:spPr>
            <c:extLst>
              <c:ext xmlns:c16="http://schemas.microsoft.com/office/drawing/2014/chart" uri="{C3380CC4-5D6E-409C-BE32-E72D297353CC}">
                <c16:uniqueId val="{00000071-0C9E-425A-8F7D-B44EC61C54CD}"/>
              </c:ext>
            </c:extLst>
          </c:dPt>
          <c:dPt>
            <c:idx val="16"/>
            <c:invertIfNegative val="0"/>
            <c:bubble3D val="0"/>
            <c:spPr>
              <a:noFill/>
            </c:spPr>
            <c:extLst>
              <c:ext xmlns:c16="http://schemas.microsoft.com/office/drawing/2014/chart" uri="{C3380CC4-5D6E-409C-BE32-E72D297353CC}">
                <c16:uniqueId val="{00000073-0C9E-425A-8F7D-B44EC61C54CD}"/>
              </c:ext>
            </c:extLst>
          </c:dPt>
          <c:dPt>
            <c:idx val="17"/>
            <c:invertIfNegative val="0"/>
            <c:bubble3D val="0"/>
            <c:spPr>
              <a:solidFill>
                <a:schemeClr val="bg1">
                  <a:lumMod val="75000"/>
                </a:schemeClr>
              </a:solidFill>
            </c:spPr>
            <c:extLst>
              <c:ext xmlns:c16="http://schemas.microsoft.com/office/drawing/2014/chart" uri="{C3380CC4-5D6E-409C-BE32-E72D297353CC}">
                <c16:uniqueId val="{00000075-0C9E-425A-8F7D-B44EC61C54CD}"/>
              </c:ext>
            </c:extLst>
          </c:dPt>
          <c:dPt>
            <c:idx val="18"/>
            <c:invertIfNegative val="0"/>
            <c:bubble3D val="0"/>
            <c:spPr>
              <a:solidFill>
                <a:schemeClr val="bg1">
                  <a:lumMod val="75000"/>
                </a:schemeClr>
              </a:solidFill>
            </c:spPr>
            <c:extLst>
              <c:ext xmlns:c16="http://schemas.microsoft.com/office/drawing/2014/chart" uri="{C3380CC4-5D6E-409C-BE32-E72D297353CC}">
                <c16:uniqueId val="{00000077-0C9E-425A-8F7D-B44EC61C54CD}"/>
              </c:ext>
            </c:extLst>
          </c:dPt>
          <c:dPt>
            <c:idx val="19"/>
            <c:invertIfNegative val="0"/>
            <c:bubble3D val="0"/>
            <c:spPr>
              <a:solidFill>
                <a:schemeClr val="bg1">
                  <a:lumMod val="75000"/>
                </a:schemeClr>
              </a:solidFill>
            </c:spPr>
            <c:extLst>
              <c:ext xmlns:c16="http://schemas.microsoft.com/office/drawing/2014/chart" uri="{C3380CC4-5D6E-409C-BE32-E72D297353CC}">
                <c16:uniqueId val="{00000079-0C9E-425A-8F7D-B44EC61C54CD}"/>
              </c:ext>
            </c:extLst>
          </c:dPt>
          <c:cat>
            <c:strRef>
              <c:f>Sheet1!$B$1:$U$1</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Sheet1!$B$4:$U$4</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7A-0C9E-425A-8F7D-B44EC61C54CD}"/>
            </c:ext>
          </c:extLst>
        </c:ser>
        <c:ser>
          <c:idx val="3"/>
          <c:order val="3"/>
          <c:tx>
            <c:strRef>
              <c:f>Sheet1!$A$5</c:f>
              <c:strCache>
                <c:ptCount val="1"/>
                <c:pt idx="0">
                  <c:v>Swab 4</c:v>
                </c:pt>
              </c:strCache>
            </c:strRef>
          </c:tx>
          <c:spPr>
            <a:solidFill>
              <a:srgbClr val="FF0000"/>
            </a:solidFill>
          </c:spPr>
          <c:invertIfNegative val="0"/>
          <c:dPt>
            <c:idx val="0"/>
            <c:invertIfNegative val="0"/>
            <c:bubble3D val="0"/>
            <c:spPr>
              <a:solidFill>
                <a:schemeClr val="bg1">
                  <a:lumMod val="75000"/>
                </a:schemeClr>
              </a:solidFill>
            </c:spPr>
            <c:extLst>
              <c:ext xmlns:c16="http://schemas.microsoft.com/office/drawing/2014/chart" uri="{C3380CC4-5D6E-409C-BE32-E72D297353CC}">
                <c16:uniqueId val="{0000007C-0C9E-425A-8F7D-B44EC61C54CD}"/>
              </c:ext>
            </c:extLst>
          </c:dPt>
          <c:dPt>
            <c:idx val="1"/>
            <c:invertIfNegative val="0"/>
            <c:bubble3D val="0"/>
            <c:spPr>
              <a:solidFill>
                <a:schemeClr val="bg1">
                  <a:lumMod val="75000"/>
                </a:schemeClr>
              </a:solidFill>
            </c:spPr>
            <c:extLst>
              <c:ext xmlns:c16="http://schemas.microsoft.com/office/drawing/2014/chart" uri="{C3380CC4-5D6E-409C-BE32-E72D297353CC}">
                <c16:uniqueId val="{0000007E-0C9E-425A-8F7D-B44EC61C54CD}"/>
              </c:ext>
            </c:extLst>
          </c:dPt>
          <c:dPt>
            <c:idx val="6"/>
            <c:invertIfNegative val="0"/>
            <c:bubble3D val="0"/>
            <c:spPr>
              <a:solidFill>
                <a:srgbClr val="00B0F0"/>
              </a:solidFill>
            </c:spPr>
            <c:extLst>
              <c:ext xmlns:c16="http://schemas.microsoft.com/office/drawing/2014/chart" uri="{C3380CC4-5D6E-409C-BE32-E72D297353CC}">
                <c16:uniqueId val="{00000080-0C9E-425A-8F7D-B44EC61C54CD}"/>
              </c:ext>
            </c:extLst>
          </c:dPt>
          <c:dPt>
            <c:idx val="7"/>
            <c:invertIfNegative val="0"/>
            <c:bubble3D val="0"/>
            <c:spPr>
              <a:solidFill>
                <a:schemeClr val="bg1">
                  <a:lumMod val="75000"/>
                </a:schemeClr>
              </a:solidFill>
            </c:spPr>
            <c:extLst>
              <c:ext xmlns:c16="http://schemas.microsoft.com/office/drawing/2014/chart" uri="{C3380CC4-5D6E-409C-BE32-E72D297353CC}">
                <c16:uniqueId val="{00000082-0C9E-425A-8F7D-B44EC61C54CD}"/>
              </c:ext>
            </c:extLst>
          </c:dPt>
          <c:dPt>
            <c:idx val="8"/>
            <c:invertIfNegative val="0"/>
            <c:bubble3D val="0"/>
            <c:extLst>
              <c:ext xmlns:c16="http://schemas.microsoft.com/office/drawing/2014/chart" uri="{C3380CC4-5D6E-409C-BE32-E72D297353CC}">
                <c16:uniqueId val="{00000083-0C9E-425A-8F7D-B44EC61C54CD}"/>
              </c:ext>
            </c:extLst>
          </c:dPt>
          <c:dPt>
            <c:idx val="9"/>
            <c:invertIfNegative val="0"/>
            <c:bubble3D val="0"/>
            <c:extLst>
              <c:ext xmlns:c16="http://schemas.microsoft.com/office/drawing/2014/chart" uri="{C3380CC4-5D6E-409C-BE32-E72D297353CC}">
                <c16:uniqueId val="{00000084-0C9E-425A-8F7D-B44EC61C54CD}"/>
              </c:ext>
            </c:extLst>
          </c:dPt>
          <c:dPt>
            <c:idx val="11"/>
            <c:invertIfNegative val="0"/>
            <c:bubble3D val="0"/>
            <c:spPr>
              <a:solidFill>
                <a:schemeClr val="bg1">
                  <a:lumMod val="75000"/>
                </a:schemeClr>
              </a:solidFill>
            </c:spPr>
            <c:extLst>
              <c:ext xmlns:c16="http://schemas.microsoft.com/office/drawing/2014/chart" uri="{C3380CC4-5D6E-409C-BE32-E72D297353CC}">
                <c16:uniqueId val="{00000086-0C9E-425A-8F7D-B44EC61C54CD}"/>
              </c:ext>
            </c:extLst>
          </c:dPt>
          <c:dPt>
            <c:idx val="12"/>
            <c:invertIfNegative val="0"/>
            <c:bubble3D val="0"/>
            <c:spPr>
              <a:solidFill>
                <a:schemeClr val="bg1">
                  <a:lumMod val="75000"/>
                </a:schemeClr>
              </a:solidFill>
            </c:spPr>
            <c:extLst>
              <c:ext xmlns:c16="http://schemas.microsoft.com/office/drawing/2014/chart" uri="{C3380CC4-5D6E-409C-BE32-E72D297353CC}">
                <c16:uniqueId val="{00000088-0C9E-425A-8F7D-B44EC61C54CD}"/>
              </c:ext>
            </c:extLst>
          </c:dPt>
          <c:dPt>
            <c:idx val="15"/>
            <c:invertIfNegative val="0"/>
            <c:bubble3D val="0"/>
            <c:spPr>
              <a:solidFill>
                <a:schemeClr val="bg1">
                  <a:lumMod val="75000"/>
                </a:schemeClr>
              </a:solidFill>
            </c:spPr>
            <c:extLst>
              <c:ext xmlns:c16="http://schemas.microsoft.com/office/drawing/2014/chart" uri="{C3380CC4-5D6E-409C-BE32-E72D297353CC}">
                <c16:uniqueId val="{0000008A-0C9E-425A-8F7D-B44EC61C54CD}"/>
              </c:ext>
            </c:extLst>
          </c:dPt>
          <c:dPt>
            <c:idx val="16"/>
            <c:invertIfNegative val="0"/>
            <c:bubble3D val="0"/>
            <c:spPr>
              <a:noFill/>
            </c:spPr>
            <c:extLst>
              <c:ext xmlns:c16="http://schemas.microsoft.com/office/drawing/2014/chart" uri="{C3380CC4-5D6E-409C-BE32-E72D297353CC}">
                <c16:uniqueId val="{0000008C-0C9E-425A-8F7D-B44EC61C54CD}"/>
              </c:ext>
            </c:extLst>
          </c:dPt>
          <c:dPt>
            <c:idx val="18"/>
            <c:invertIfNegative val="0"/>
            <c:bubble3D val="0"/>
            <c:spPr>
              <a:solidFill>
                <a:schemeClr val="bg1"/>
              </a:solidFill>
              <a:ln>
                <a:noFill/>
              </a:ln>
            </c:spPr>
            <c:extLst>
              <c:ext xmlns:c16="http://schemas.microsoft.com/office/drawing/2014/chart" uri="{C3380CC4-5D6E-409C-BE32-E72D297353CC}">
                <c16:uniqueId val="{0000008E-0C9E-425A-8F7D-B44EC61C54CD}"/>
              </c:ext>
            </c:extLst>
          </c:dPt>
          <c:dPt>
            <c:idx val="19"/>
            <c:invertIfNegative val="0"/>
            <c:bubble3D val="0"/>
            <c:spPr>
              <a:solidFill>
                <a:srgbClr val="7030A0"/>
              </a:solidFill>
            </c:spPr>
            <c:extLst>
              <c:ext xmlns:c16="http://schemas.microsoft.com/office/drawing/2014/chart" uri="{C3380CC4-5D6E-409C-BE32-E72D297353CC}">
                <c16:uniqueId val="{00000090-0C9E-425A-8F7D-B44EC61C54CD}"/>
              </c:ext>
            </c:extLst>
          </c:dPt>
          <c:cat>
            <c:strRef>
              <c:f>Sheet1!$B$1:$U$1</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Sheet1!$B$5:$U$5</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91-0C9E-425A-8F7D-B44EC61C54CD}"/>
            </c:ext>
          </c:extLst>
        </c:ser>
        <c:ser>
          <c:idx val="4"/>
          <c:order val="4"/>
          <c:tx>
            <c:strRef>
              <c:f>Sheet1!$A$6</c:f>
              <c:strCache>
                <c:ptCount val="1"/>
                <c:pt idx="0">
                  <c:v>Swab 5</c:v>
                </c:pt>
              </c:strCache>
            </c:strRef>
          </c:tx>
          <c:spPr>
            <a:solidFill>
              <a:schemeClr val="bg1">
                <a:lumMod val="75000"/>
              </a:schemeClr>
            </a:solidFill>
          </c:spPr>
          <c:invertIfNegative val="0"/>
          <c:dPt>
            <c:idx val="1"/>
            <c:invertIfNegative val="0"/>
            <c:bubble3D val="0"/>
            <c:spPr>
              <a:solidFill>
                <a:srgbClr val="FF0000"/>
              </a:solidFill>
            </c:spPr>
            <c:extLst>
              <c:ext xmlns:c16="http://schemas.microsoft.com/office/drawing/2014/chart" uri="{C3380CC4-5D6E-409C-BE32-E72D297353CC}">
                <c16:uniqueId val="{00000093-0C9E-425A-8F7D-B44EC61C54CD}"/>
              </c:ext>
            </c:extLst>
          </c:dPt>
          <c:dPt>
            <c:idx val="3"/>
            <c:invertIfNegative val="0"/>
            <c:bubble3D val="0"/>
            <c:spPr>
              <a:solidFill>
                <a:srgbClr val="00B0F0"/>
              </a:solidFill>
            </c:spPr>
            <c:extLst>
              <c:ext xmlns:c16="http://schemas.microsoft.com/office/drawing/2014/chart" uri="{C3380CC4-5D6E-409C-BE32-E72D297353CC}">
                <c16:uniqueId val="{00000095-0C9E-425A-8F7D-B44EC61C54CD}"/>
              </c:ext>
            </c:extLst>
          </c:dPt>
          <c:dPt>
            <c:idx val="4"/>
            <c:invertIfNegative val="0"/>
            <c:bubble3D val="0"/>
            <c:spPr>
              <a:solidFill>
                <a:srgbClr val="FF0000"/>
              </a:solidFill>
            </c:spPr>
            <c:extLst>
              <c:ext xmlns:c16="http://schemas.microsoft.com/office/drawing/2014/chart" uri="{C3380CC4-5D6E-409C-BE32-E72D297353CC}">
                <c16:uniqueId val="{00000097-0C9E-425A-8F7D-B44EC61C54CD}"/>
              </c:ext>
            </c:extLst>
          </c:dPt>
          <c:dPt>
            <c:idx val="6"/>
            <c:invertIfNegative val="0"/>
            <c:bubble3D val="0"/>
            <c:spPr>
              <a:solidFill>
                <a:srgbClr val="FF0000"/>
              </a:solidFill>
            </c:spPr>
            <c:extLst>
              <c:ext xmlns:c16="http://schemas.microsoft.com/office/drawing/2014/chart" uri="{C3380CC4-5D6E-409C-BE32-E72D297353CC}">
                <c16:uniqueId val="{00000099-0C9E-425A-8F7D-B44EC61C54CD}"/>
              </c:ext>
            </c:extLst>
          </c:dPt>
          <c:dPt>
            <c:idx val="7"/>
            <c:invertIfNegative val="0"/>
            <c:bubble3D val="0"/>
            <c:spPr>
              <a:solidFill>
                <a:srgbClr val="00B0F0"/>
              </a:solidFill>
            </c:spPr>
            <c:extLst>
              <c:ext xmlns:c16="http://schemas.microsoft.com/office/drawing/2014/chart" uri="{C3380CC4-5D6E-409C-BE32-E72D297353CC}">
                <c16:uniqueId val="{0000009B-0C9E-425A-8F7D-B44EC61C54CD}"/>
              </c:ext>
            </c:extLst>
          </c:dPt>
          <c:dPt>
            <c:idx val="8"/>
            <c:invertIfNegative val="0"/>
            <c:bubble3D val="0"/>
            <c:spPr>
              <a:solidFill>
                <a:srgbClr val="00B0F0"/>
              </a:solidFill>
            </c:spPr>
            <c:extLst>
              <c:ext xmlns:c16="http://schemas.microsoft.com/office/drawing/2014/chart" uri="{C3380CC4-5D6E-409C-BE32-E72D297353CC}">
                <c16:uniqueId val="{0000009D-0C9E-425A-8F7D-B44EC61C54CD}"/>
              </c:ext>
            </c:extLst>
          </c:dPt>
          <c:dPt>
            <c:idx val="9"/>
            <c:invertIfNegative val="0"/>
            <c:bubble3D val="0"/>
            <c:spPr>
              <a:solidFill>
                <a:srgbClr val="FF0000"/>
              </a:solidFill>
            </c:spPr>
            <c:extLst>
              <c:ext xmlns:c16="http://schemas.microsoft.com/office/drawing/2014/chart" uri="{C3380CC4-5D6E-409C-BE32-E72D297353CC}">
                <c16:uniqueId val="{0000009F-0C9E-425A-8F7D-B44EC61C54CD}"/>
              </c:ext>
            </c:extLst>
          </c:dPt>
          <c:dPt>
            <c:idx val="10"/>
            <c:invertIfNegative val="0"/>
            <c:bubble3D val="0"/>
            <c:spPr>
              <a:solidFill>
                <a:srgbClr val="FF0000"/>
              </a:solidFill>
            </c:spPr>
            <c:extLst>
              <c:ext xmlns:c16="http://schemas.microsoft.com/office/drawing/2014/chart" uri="{C3380CC4-5D6E-409C-BE32-E72D297353CC}">
                <c16:uniqueId val="{000000A1-0C9E-425A-8F7D-B44EC61C54CD}"/>
              </c:ext>
            </c:extLst>
          </c:dPt>
          <c:dPt>
            <c:idx val="13"/>
            <c:invertIfNegative val="0"/>
            <c:bubble3D val="0"/>
            <c:spPr>
              <a:solidFill>
                <a:srgbClr val="00B0F0"/>
              </a:solidFill>
            </c:spPr>
            <c:extLst>
              <c:ext xmlns:c16="http://schemas.microsoft.com/office/drawing/2014/chart" uri="{C3380CC4-5D6E-409C-BE32-E72D297353CC}">
                <c16:uniqueId val="{000000A3-0C9E-425A-8F7D-B44EC61C54CD}"/>
              </c:ext>
            </c:extLst>
          </c:dPt>
          <c:dPt>
            <c:idx val="15"/>
            <c:invertIfNegative val="0"/>
            <c:bubble3D val="0"/>
            <c:spPr>
              <a:solidFill>
                <a:srgbClr val="FF0000"/>
              </a:solidFill>
            </c:spPr>
            <c:extLst>
              <c:ext xmlns:c16="http://schemas.microsoft.com/office/drawing/2014/chart" uri="{C3380CC4-5D6E-409C-BE32-E72D297353CC}">
                <c16:uniqueId val="{000000A5-0C9E-425A-8F7D-B44EC61C54CD}"/>
              </c:ext>
            </c:extLst>
          </c:dPt>
          <c:dPt>
            <c:idx val="16"/>
            <c:invertIfNegative val="0"/>
            <c:bubble3D val="0"/>
            <c:spPr>
              <a:noFill/>
            </c:spPr>
            <c:extLst>
              <c:ext xmlns:c16="http://schemas.microsoft.com/office/drawing/2014/chart" uri="{C3380CC4-5D6E-409C-BE32-E72D297353CC}">
                <c16:uniqueId val="{000000A7-0C9E-425A-8F7D-B44EC61C54CD}"/>
              </c:ext>
            </c:extLst>
          </c:dPt>
          <c:dPt>
            <c:idx val="18"/>
            <c:invertIfNegative val="0"/>
            <c:bubble3D val="0"/>
            <c:spPr>
              <a:noFill/>
              <a:ln>
                <a:noFill/>
              </a:ln>
            </c:spPr>
            <c:extLst>
              <c:ext xmlns:c16="http://schemas.microsoft.com/office/drawing/2014/chart" uri="{C3380CC4-5D6E-409C-BE32-E72D297353CC}">
                <c16:uniqueId val="{000000A9-0C9E-425A-8F7D-B44EC61C54CD}"/>
              </c:ext>
            </c:extLst>
          </c:dPt>
          <c:dPt>
            <c:idx val="19"/>
            <c:invertIfNegative val="0"/>
            <c:bubble3D val="0"/>
            <c:spPr>
              <a:solidFill>
                <a:srgbClr val="FFC000">
                  <a:lumMod val="60000"/>
                  <a:lumOff val="40000"/>
                </a:srgbClr>
              </a:solidFill>
              <a:ln>
                <a:noFill/>
              </a:ln>
            </c:spPr>
            <c:extLst>
              <c:ext xmlns:c16="http://schemas.microsoft.com/office/drawing/2014/chart" uri="{C3380CC4-5D6E-409C-BE32-E72D297353CC}">
                <c16:uniqueId val="{000000AB-0C9E-425A-8F7D-B44EC61C54CD}"/>
              </c:ext>
            </c:extLst>
          </c:dPt>
          <c:dLbls>
            <c:dLbl>
              <c:idx val="2"/>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C-0C9E-425A-8F7D-B44EC61C54CD}"/>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5-0C9E-425A-8F7D-B44EC61C54CD}"/>
                </c:ext>
              </c:extLst>
            </c:dLbl>
            <c:dLbl>
              <c:idx val="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7-0C9E-425A-8F7D-B44EC61C54CD}"/>
                </c:ext>
              </c:extLst>
            </c:dLbl>
            <c:dLbl>
              <c:idx val="6"/>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9-0C9E-425A-8F7D-B44EC61C54CD}"/>
                </c:ext>
              </c:extLst>
            </c:dLbl>
            <c:dLbl>
              <c:idx val="8"/>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D-0C9E-425A-8F7D-B44EC61C54CD}"/>
                </c:ext>
              </c:extLst>
            </c:dLbl>
            <c:dLbl>
              <c:idx val="9"/>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9F-0C9E-425A-8F7D-B44EC61C54CD}"/>
                </c:ext>
              </c:extLst>
            </c:dLbl>
            <c:dLbl>
              <c:idx val="1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D-0C9E-425A-8F7D-B44EC61C54CD}"/>
                </c:ext>
              </c:extLst>
            </c:dLbl>
            <c:dLbl>
              <c:idx val="15"/>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5-0C9E-425A-8F7D-B44EC61C54CD}"/>
                </c:ext>
              </c:extLst>
            </c:dLbl>
            <c:dLbl>
              <c:idx val="16"/>
              <c:delete val="1"/>
              <c:extLst>
                <c:ext xmlns:c15="http://schemas.microsoft.com/office/drawing/2012/chart" uri="{CE6537A1-D6FC-4f65-9D91-7224C49458BB}"/>
                <c:ext xmlns:c16="http://schemas.microsoft.com/office/drawing/2014/chart" uri="{C3380CC4-5D6E-409C-BE32-E72D297353CC}">
                  <c16:uniqueId val="{000000A7-0C9E-425A-8F7D-B44EC61C54CD}"/>
                </c:ext>
              </c:extLst>
            </c:dLbl>
            <c:dLbl>
              <c:idx val="18"/>
              <c:delete val="1"/>
              <c:extLst>
                <c:ext xmlns:c15="http://schemas.microsoft.com/office/drawing/2012/chart" uri="{CE6537A1-D6FC-4f65-9D91-7224C49458BB}"/>
                <c:ext xmlns:c16="http://schemas.microsoft.com/office/drawing/2014/chart" uri="{C3380CC4-5D6E-409C-BE32-E72D297353CC}">
                  <c16:uniqueId val="{000000A9-0C9E-425A-8F7D-B44EC61C54CD}"/>
                </c:ext>
              </c:extLst>
            </c:dLbl>
            <c:dLbl>
              <c:idx val="19"/>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AB-0C9E-425A-8F7D-B44EC61C54CD}"/>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Sheet1!$B$1:$U$1</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Sheet1!$B$6:$U$6</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AE-0C9E-425A-8F7D-B44EC61C54CD}"/>
            </c:ext>
          </c:extLst>
        </c:ser>
        <c:dLbls>
          <c:showLegendKey val="0"/>
          <c:showVal val="0"/>
          <c:showCatName val="0"/>
          <c:showSerName val="0"/>
          <c:showPercent val="0"/>
          <c:showBubbleSize val="0"/>
        </c:dLbls>
        <c:gapWidth val="150"/>
        <c:overlap val="100"/>
        <c:axId val="126521344"/>
        <c:axId val="126523264"/>
      </c:barChart>
      <c:catAx>
        <c:axId val="126521344"/>
        <c:scaling>
          <c:orientation val="minMax"/>
        </c:scaling>
        <c:delete val="0"/>
        <c:axPos val="b"/>
        <c:title>
          <c:tx>
            <c:rich>
              <a:bodyPr/>
              <a:lstStyle/>
              <a:p>
                <a:pPr>
                  <a:defRPr/>
                </a:pPr>
                <a:r>
                  <a:rPr lang="en-US"/>
                  <a:t>Participant numbers:       C = comparison     A = Azithromycin</a:t>
                </a:r>
              </a:p>
            </c:rich>
          </c:tx>
          <c:layout>
            <c:manualLayout>
              <c:xMode val="edge"/>
              <c:yMode val="edge"/>
              <c:x val="0.28477679138875694"/>
              <c:y val="0.92242257872882039"/>
            </c:manualLayout>
          </c:layout>
          <c:overlay val="0"/>
        </c:title>
        <c:numFmt formatCode="General" sourceLinked="0"/>
        <c:majorTickMark val="out"/>
        <c:minorTickMark val="none"/>
        <c:tickLblPos val="nextTo"/>
        <c:crossAx val="126523264"/>
        <c:crosses val="autoZero"/>
        <c:auto val="1"/>
        <c:lblAlgn val="ctr"/>
        <c:lblOffset val="100"/>
        <c:noMultiLvlLbl val="0"/>
      </c:catAx>
      <c:valAx>
        <c:axId val="126523264"/>
        <c:scaling>
          <c:orientation val="minMax"/>
          <c:max val="5"/>
        </c:scaling>
        <c:delete val="0"/>
        <c:axPos val="l"/>
        <c:majorGridlines/>
        <c:title>
          <c:tx>
            <c:rich>
              <a:bodyPr/>
              <a:lstStyle/>
              <a:p>
                <a:pPr>
                  <a:defRPr/>
                </a:pPr>
                <a:r>
                  <a:rPr lang="en-GB"/>
                  <a:t>Swab</a:t>
                </a:r>
                <a:r>
                  <a:rPr lang="en-GB" baseline="0"/>
                  <a:t> Number</a:t>
                </a:r>
                <a:endParaRPr lang="en-GB"/>
              </a:p>
            </c:rich>
          </c:tx>
          <c:overlay val="0"/>
        </c:title>
        <c:numFmt formatCode="General" sourceLinked="1"/>
        <c:majorTickMark val="out"/>
        <c:minorTickMark val="none"/>
        <c:tickLblPos val="nextTo"/>
        <c:crossAx val="126521344"/>
        <c:crosses val="autoZero"/>
        <c:crossBetween val="between"/>
        <c:majorUnit val="1"/>
        <c:minorUnit val="0.1"/>
      </c:valAx>
      <c:spPr>
        <a:noFill/>
      </c:spPr>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003913984436167E-2"/>
          <c:y val="6.4814814814814811E-2"/>
          <c:w val="0.87926509186351709"/>
          <c:h val="0.73577136191309422"/>
        </c:manualLayout>
      </c:layout>
      <c:barChart>
        <c:barDir val="col"/>
        <c:grouping val="stacked"/>
        <c:varyColors val="0"/>
        <c:ser>
          <c:idx val="0"/>
          <c:order val="0"/>
          <c:tx>
            <c:strRef>
              <c:f>Combined_HI!$A$32:$C$32</c:f>
              <c:strCache>
                <c:ptCount val="3"/>
                <c:pt idx="0">
                  <c:v>Comparison Group_PBB2</c:v>
                </c:pt>
              </c:strCache>
            </c:strRef>
          </c:tx>
          <c:spPr>
            <a:solidFill>
              <a:schemeClr val="accent1">
                <a:lumMod val="50000"/>
              </a:schemeClr>
            </a:solidFill>
            <a:ln>
              <a:noFill/>
            </a:ln>
            <a:effectLst/>
          </c:spPr>
          <c:invertIfNegative val="0"/>
          <c:cat>
            <c:numRef>
              <c:f>Combined_HI!$D$31:$V$31</c:f>
              <c:numCache>
                <c:formatCode>General</c:formatCode>
                <c:ptCount val="19"/>
                <c:pt idx="0">
                  <c:v>0.75</c:v>
                </c:pt>
                <c:pt idx="1">
                  <c:v>1</c:v>
                </c:pt>
                <c:pt idx="2">
                  <c:v>1.5</c:v>
                </c:pt>
                <c:pt idx="3">
                  <c:v>2</c:v>
                </c:pt>
                <c:pt idx="4">
                  <c:v>3</c:v>
                </c:pt>
                <c:pt idx="5">
                  <c:v>4</c:v>
                </c:pt>
                <c:pt idx="6">
                  <c:v>6</c:v>
                </c:pt>
                <c:pt idx="7">
                  <c:v>8</c:v>
                </c:pt>
                <c:pt idx="9">
                  <c:v>12</c:v>
                </c:pt>
                <c:pt idx="11">
                  <c:v>16</c:v>
                </c:pt>
                <c:pt idx="14">
                  <c:v>24</c:v>
                </c:pt>
                <c:pt idx="18">
                  <c:v>48</c:v>
                </c:pt>
              </c:numCache>
            </c:numRef>
          </c:cat>
          <c:val>
            <c:numRef>
              <c:f>Combined_HI!$D$32:$V$32</c:f>
              <c:numCache>
                <c:formatCode>General</c:formatCode>
                <c:ptCount val="19"/>
                <c:pt idx="0">
                  <c:v>0</c:v>
                </c:pt>
                <c:pt idx="1">
                  <c:v>1</c:v>
                </c:pt>
                <c:pt idx="2">
                  <c:v>0</c:v>
                </c:pt>
                <c:pt idx="3">
                  <c:v>2</c:v>
                </c:pt>
                <c:pt idx="4">
                  <c:v>3</c:v>
                </c:pt>
                <c:pt idx="5">
                  <c:v>3</c:v>
                </c:pt>
                <c:pt idx="6">
                  <c:v>2</c:v>
                </c:pt>
                <c:pt idx="7">
                  <c:v>0</c:v>
                </c:pt>
                <c:pt idx="9">
                  <c:v>3</c:v>
                </c:pt>
                <c:pt idx="11">
                  <c:v>1</c:v>
                </c:pt>
                <c:pt idx="14">
                  <c:v>1</c:v>
                </c:pt>
                <c:pt idx="18">
                  <c:v>0</c:v>
                </c:pt>
              </c:numCache>
            </c:numRef>
          </c:val>
          <c:extLst>
            <c:ext xmlns:c16="http://schemas.microsoft.com/office/drawing/2014/chart" uri="{C3380CC4-5D6E-409C-BE32-E72D297353CC}">
              <c16:uniqueId val="{00000000-C96D-4720-B86A-A04449E0234D}"/>
            </c:ext>
          </c:extLst>
        </c:ser>
        <c:ser>
          <c:idx val="1"/>
          <c:order val="1"/>
          <c:tx>
            <c:strRef>
              <c:f>Combined_HI!$A$33:$C$33</c:f>
              <c:strCache>
                <c:ptCount val="3"/>
                <c:pt idx="0">
                  <c:v>Azithromycin Group_PBB2</c:v>
                </c:pt>
              </c:strCache>
            </c:strRef>
          </c:tx>
          <c:spPr>
            <a:solidFill>
              <a:schemeClr val="accent6">
                <a:lumMod val="75000"/>
              </a:schemeClr>
            </a:solidFill>
            <a:ln>
              <a:noFill/>
            </a:ln>
            <a:effectLst/>
          </c:spPr>
          <c:invertIfNegative val="0"/>
          <c:cat>
            <c:numRef>
              <c:f>Combined_HI!$D$31:$V$31</c:f>
              <c:numCache>
                <c:formatCode>General</c:formatCode>
                <c:ptCount val="19"/>
                <c:pt idx="0">
                  <c:v>0.75</c:v>
                </c:pt>
                <c:pt idx="1">
                  <c:v>1</c:v>
                </c:pt>
                <c:pt idx="2">
                  <c:v>1.5</c:v>
                </c:pt>
                <c:pt idx="3">
                  <c:v>2</c:v>
                </c:pt>
                <c:pt idx="4">
                  <c:v>3</c:v>
                </c:pt>
                <c:pt idx="5">
                  <c:v>4</c:v>
                </c:pt>
                <c:pt idx="6">
                  <c:v>6</c:v>
                </c:pt>
                <c:pt idx="7">
                  <c:v>8</c:v>
                </c:pt>
                <c:pt idx="9">
                  <c:v>12</c:v>
                </c:pt>
                <c:pt idx="11">
                  <c:v>16</c:v>
                </c:pt>
                <c:pt idx="14">
                  <c:v>24</c:v>
                </c:pt>
                <c:pt idx="18">
                  <c:v>48</c:v>
                </c:pt>
              </c:numCache>
            </c:numRef>
          </c:cat>
          <c:val>
            <c:numRef>
              <c:f>Combined_HI!$D$33:$V$33</c:f>
              <c:numCache>
                <c:formatCode>General</c:formatCode>
                <c:ptCount val="19"/>
                <c:pt idx="0">
                  <c:v>1</c:v>
                </c:pt>
                <c:pt idx="1">
                  <c:v>0</c:v>
                </c:pt>
                <c:pt idx="2">
                  <c:v>0</c:v>
                </c:pt>
                <c:pt idx="3">
                  <c:v>0</c:v>
                </c:pt>
                <c:pt idx="4">
                  <c:v>2</c:v>
                </c:pt>
                <c:pt idx="5">
                  <c:v>1</c:v>
                </c:pt>
                <c:pt idx="6">
                  <c:v>2</c:v>
                </c:pt>
                <c:pt idx="7">
                  <c:v>2</c:v>
                </c:pt>
                <c:pt idx="9">
                  <c:v>0</c:v>
                </c:pt>
                <c:pt idx="11">
                  <c:v>1</c:v>
                </c:pt>
                <c:pt idx="14">
                  <c:v>0</c:v>
                </c:pt>
                <c:pt idx="18">
                  <c:v>0</c:v>
                </c:pt>
              </c:numCache>
            </c:numRef>
          </c:val>
          <c:extLst>
            <c:ext xmlns:c16="http://schemas.microsoft.com/office/drawing/2014/chart" uri="{C3380CC4-5D6E-409C-BE32-E72D297353CC}">
              <c16:uniqueId val="{00000001-C96D-4720-B86A-A04449E0234D}"/>
            </c:ext>
          </c:extLst>
        </c:ser>
        <c:dLbls>
          <c:showLegendKey val="0"/>
          <c:showVal val="0"/>
          <c:showCatName val="0"/>
          <c:showSerName val="0"/>
          <c:showPercent val="0"/>
          <c:showBubbleSize val="0"/>
        </c:dLbls>
        <c:gapWidth val="150"/>
        <c:overlap val="100"/>
        <c:axId val="717239496"/>
        <c:axId val="717237528"/>
      </c:barChart>
      <c:catAx>
        <c:axId val="71723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37528"/>
        <c:crosses val="autoZero"/>
        <c:auto val="1"/>
        <c:lblAlgn val="ctr"/>
        <c:lblOffset val="100"/>
        <c:noMultiLvlLbl val="0"/>
      </c:catAx>
      <c:valAx>
        <c:axId val="717237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7239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Combined_SP!$A$2</c:f>
              <c:strCache>
                <c:ptCount val="1"/>
                <c:pt idx="0">
                  <c:v>Comparison group_PBB1</c:v>
                </c:pt>
              </c:strCache>
            </c:strRef>
          </c:tx>
          <c:spPr>
            <a:solidFill>
              <a:srgbClr val="00B0F0"/>
            </a:solidFill>
            <a:ln>
              <a:noFill/>
            </a:ln>
            <a:effectLst/>
          </c:spPr>
          <c:invertIfNegative val="0"/>
          <c:cat>
            <c:numRef>
              <c:f>Combined_SP!$B$1:$S$1</c:f>
              <c:numCache>
                <c:formatCode>General</c:formatCode>
                <c:ptCount val="18"/>
                <c:pt idx="0">
                  <c:v>0</c:v>
                </c:pt>
                <c:pt idx="1">
                  <c:v>0.25</c:v>
                </c:pt>
                <c:pt idx="2">
                  <c:v>0.5</c:v>
                </c:pt>
                <c:pt idx="3">
                  <c:v>0.75</c:v>
                </c:pt>
                <c:pt idx="4">
                  <c:v>1</c:v>
                </c:pt>
                <c:pt idx="5">
                  <c:v>1.5</c:v>
                </c:pt>
                <c:pt idx="6">
                  <c:v>2</c:v>
                </c:pt>
                <c:pt idx="7">
                  <c:v>3</c:v>
                </c:pt>
                <c:pt idx="8">
                  <c:v>4</c:v>
                </c:pt>
                <c:pt idx="15">
                  <c:v>256</c:v>
                </c:pt>
              </c:numCache>
            </c:numRef>
          </c:cat>
          <c:val>
            <c:numRef>
              <c:f>Combined_SP!$B$2:$S$2</c:f>
              <c:numCache>
                <c:formatCode>General</c:formatCode>
                <c:ptCount val="18"/>
                <c:pt idx="0">
                  <c:v>0</c:v>
                </c:pt>
                <c:pt idx="1">
                  <c:v>1</c:v>
                </c:pt>
                <c:pt idx="2">
                  <c:v>0</c:v>
                </c:pt>
                <c:pt idx="3">
                  <c:v>2</c:v>
                </c:pt>
                <c:pt idx="4">
                  <c:v>3</c:v>
                </c:pt>
                <c:pt idx="5">
                  <c:v>4</c:v>
                </c:pt>
                <c:pt idx="6">
                  <c:v>4</c:v>
                </c:pt>
                <c:pt idx="7">
                  <c:v>0</c:v>
                </c:pt>
                <c:pt idx="8">
                  <c:v>2</c:v>
                </c:pt>
                <c:pt idx="15">
                  <c:v>0</c:v>
                </c:pt>
              </c:numCache>
            </c:numRef>
          </c:val>
          <c:extLst>
            <c:ext xmlns:c16="http://schemas.microsoft.com/office/drawing/2014/chart" uri="{C3380CC4-5D6E-409C-BE32-E72D297353CC}">
              <c16:uniqueId val="{00000000-1294-47F3-8E7D-9FE6E419FBC3}"/>
            </c:ext>
          </c:extLst>
        </c:ser>
        <c:ser>
          <c:idx val="1"/>
          <c:order val="1"/>
          <c:tx>
            <c:strRef>
              <c:f>Combined_SP!$A$3</c:f>
              <c:strCache>
                <c:ptCount val="1"/>
                <c:pt idx="0">
                  <c:v>Comparison group_PBB2</c:v>
                </c:pt>
              </c:strCache>
            </c:strRef>
          </c:tx>
          <c:spPr>
            <a:solidFill>
              <a:schemeClr val="accent5">
                <a:lumMod val="50000"/>
              </a:schemeClr>
            </a:solidFill>
            <a:ln>
              <a:noFill/>
            </a:ln>
            <a:effectLst/>
          </c:spPr>
          <c:invertIfNegative val="0"/>
          <c:cat>
            <c:numRef>
              <c:f>Combined_SP!$B$1:$S$1</c:f>
              <c:numCache>
                <c:formatCode>General</c:formatCode>
                <c:ptCount val="18"/>
                <c:pt idx="0">
                  <c:v>0</c:v>
                </c:pt>
                <c:pt idx="1">
                  <c:v>0.25</c:v>
                </c:pt>
                <c:pt idx="2">
                  <c:v>0.5</c:v>
                </c:pt>
                <c:pt idx="3">
                  <c:v>0.75</c:v>
                </c:pt>
                <c:pt idx="4">
                  <c:v>1</c:v>
                </c:pt>
                <c:pt idx="5">
                  <c:v>1.5</c:v>
                </c:pt>
                <c:pt idx="6">
                  <c:v>2</c:v>
                </c:pt>
                <c:pt idx="7">
                  <c:v>3</c:v>
                </c:pt>
                <c:pt idx="8">
                  <c:v>4</c:v>
                </c:pt>
                <c:pt idx="15">
                  <c:v>256</c:v>
                </c:pt>
              </c:numCache>
            </c:numRef>
          </c:cat>
          <c:val>
            <c:numRef>
              <c:f>Combined_SP!$B$3:$S$3</c:f>
              <c:numCache>
                <c:formatCode>General</c:formatCode>
                <c:ptCount val="18"/>
                <c:pt idx="0">
                  <c:v>0</c:v>
                </c:pt>
                <c:pt idx="1">
                  <c:v>1</c:v>
                </c:pt>
                <c:pt idx="2">
                  <c:v>0</c:v>
                </c:pt>
                <c:pt idx="3">
                  <c:v>1</c:v>
                </c:pt>
                <c:pt idx="4">
                  <c:v>2</c:v>
                </c:pt>
                <c:pt idx="5">
                  <c:v>11</c:v>
                </c:pt>
                <c:pt idx="6">
                  <c:v>2</c:v>
                </c:pt>
                <c:pt idx="7">
                  <c:v>0</c:v>
                </c:pt>
                <c:pt idx="8">
                  <c:v>0</c:v>
                </c:pt>
                <c:pt idx="15">
                  <c:v>2</c:v>
                </c:pt>
              </c:numCache>
            </c:numRef>
          </c:val>
          <c:extLst>
            <c:ext xmlns:c16="http://schemas.microsoft.com/office/drawing/2014/chart" uri="{C3380CC4-5D6E-409C-BE32-E72D297353CC}">
              <c16:uniqueId val="{00000001-1294-47F3-8E7D-9FE6E419FBC3}"/>
            </c:ext>
          </c:extLst>
        </c:ser>
        <c:ser>
          <c:idx val="2"/>
          <c:order val="2"/>
          <c:tx>
            <c:strRef>
              <c:f>Combined_SP!$A$4</c:f>
              <c:strCache>
                <c:ptCount val="1"/>
                <c:pt idx="0">
                  <c:v>Azithromycin group_PBB1</c:v>
                </c:pt>
              </c:strCache>
            </c:strRef>
          </c:tx>
          <c:spPr>
            <a:solidFill>
              <a:srgbClr val="92D050"/>
            </a:solidFill>
            <a:ln>
              <a:noFill/>
            </a:ln>
            <a:effectLst/>
          </c:spPr>
          <c:invertIfNegative val="0"/>
          <c:cat>
            <c:numRef>
              <c:f>Combined_SP!$B$1:$S$1</c:f>
              <c:numCache>
                <c:formatCode>General</c:formatCode>
                <c:ptCount val="18"/>
                <c:pt idx="0">
                  <c:v>0</c:v>
                </c:pt>
                <c:pt idx="1">
                  <c:v>0.25</c:v>
                </c:pt>
                <c:pt idx="2">
                  <c:v>0.5</c:v>
                </c:pt>
                <c:pt idx="3">
                  <c:v>0.75</c:v>
                </c:pt>
                <c:pt idx="4">
                  <c:v>1</c:v>
                </c:pt>
                <c:pt idx="5">
                  <c:v>1.5</c:v>
                </c:pt>
                <c:pt idx="6">
                  <c:v>2</c:v>
                </c:pt>
                <c:pt idx="7">
                  <c:v>3</c:v>
                </c:pt>
                <c:pt idx="8">
                  <c:v>4</c:v>
                </c:pt>
                <c:pt idx="15">
                  <c:v>256</c:v>
                </c:pt>
              </c:numCache>
            </c:numRef>
          </c:cat>
          <c:val>
            <c:numRef>
              <c:f>Combined_SP!$B$4:$S$4</c:f>
              <c:numCache>
                <c:formatCode>General</c:formatCode>
                <c:ptCount val="18"/>
                <c:pt idx="0">
                  <c:v>0</c:v>
                </c:pt>
                <c:pt idx="1">
                  <c:v>0</c:v>
                </c:pt>
                <c:pt idx="2">
                  <c:v>0</c:v>
                </c:pt>
                <c:pt idx="3">
                  <c:v>0</c:v>
                </c:pt>
                <c:pt idx="4">
                  <c:v>4</c:v>
                </c:pt>
                <c:pt idx="5">
                  <c:v>2</c:v>
                </c:pt>
                <c:pt idx="6">
                  <c:v>0</c:v>
                </c:pt>
                <c:pt idx="7">
                  <c:v>1</c:v>
                </c:pt>
                <c:pt idx="8">
                  <c:v>0</c:v>
                </c:pt>
                <c:pt idx="15">
                  <c:v>1</c:v>
                </c:pt>
              </c:numCache>
            </c:numRef>
          </c:val>
          <c:extLst>
            <c:ext xmlns:c16="http://schemas.microsoft.com/office/drawing/2014/chart" uri="{C3380CC4-5D6E-409C-BE32-E72D297353CC}">
              <c16:uniqueId val="{00000002-1294-47F3-8E7D-9FE6E419FBC3}"/>
            </c:ext>
          </c:extLst>
        </c:ser>
        <c:ser>
          <c:idx val="3"/>
          <c:order val="3"/>
          <c:tx>
            <c:strRef>
              <c:f>Combined_SP!$A$5</c:f>
              <c:strCache>
                <c:ptCount val="1"/>
                <c:pt idx="0">
                  <c:v>Azithromycin group_PBB2</c:v>
                </c:pt>
              </c:strCache>
            </c:strRef>
          </c:tx>
          <c:spPr>
            <a:solidFill>
              <a:schemeClr val="accent6">
                <a:lumMod val="75000"/>
              </a:schemeClr>
            </a:solidFill>
            <a:ln>
              <a:noFill/>
            </a:ln>
            <a:effectLst/>
          </c:spPr>
          <c:invertIfNegative val="0"/>
          <c:cat>
            <c:numRef>
              <c:f>Combined_SP!$B$1:$S$1</c:f>
              <c:numCache>
                <c:formatCode>General</c:formatCode>
                <c:ptCount val="18"/>
                <c:pt idx="0">
                  <c:v>0</c:v>
                </c:pt>
                <c:pt idx="1">
                  <c:v>0.25</c:v>
                </c:pt>
                <c:pt idx="2">
                  <c:v>0.5</c:v>
                </c:pt>
                <c:pt idx="3">
                  <c:v>0.75</c:v>
                </c:pt>
                <c:pt idx="4">
                  <c:v>1</c:v>
                </c:pt>
                <c:pt idx="5">
                  <c:v>1.5</c:v>
                </c:pt>
                <c:pt idx="6">
                  <c:v>2</c:v>
                </c:pt>
                <c:pt idx="7">
                  <c:v>3</c:v>
                </c:pt>
                <c:pt idx="8">
                  <c:v>4</c:v>
                </c:pt>
                <c:pt idx="15">
                  <c:v>256</c:v>
                </c:pt>
              </c:numCache>
            </c:numRef>
          </c:cat>
          <c:val>
            <c:numRef>
              <c:f>Combined_SP!$B$5:$S$5</c:f>
              <c:numCache>
                <c:formatCode>General</c:formatCode>
                <c:ptCount val="18"/>
                <c:pt idx="0">
                  <c:v>1</c:v>
                </c:pt>
                <c:pt idx="1">
                  <c:v>0</c:v>
                </c:pt>
                <c:pt idx="2">
                  <c:v>0</c:v>
                </c:pt>
                <c:pt idx="3">
                  <c:v>0</c:v>
                </c:pt>
                <c:pt idx="4">
                  <c:v>1</c:v>
                </c:pt>
                <c:pt idx="5">
                  <c:v>6</c:v>
                </c:pt>
                <c:pt idx="6">
                  <c:v>1</c:v>
                </c:pt>
                <c:pt idx="7">
                  <c:v>1</c:v>
                </c:pt>
                <c:pt idx="8">
                  <c:v>0</c:v>
                </c:pt>
                <c:pt idx="15">
                  <c:v>3</c:v>
                </c:pt>
              </c:numCache>
            </c:numRef>
          </c:val>
          <c:extLst>
            <c:ext xmlns:c16="http://schemas.microsoft.com/office/drawing/2014/chart" uri="{C3380CC4-5D6E-409C-BE32-E72D297353CC}">
              <c16:uniqueId val="{00000003-1294-47F3-8E7D-9FE6E419FBC3}"/>
            </c:ext>
          </c:extLst>
        </c:ser>
        <c:dLbls>
          <c:showLegendKey val="0"/>
          <c:showVal val="0"/>
          <c:showCatName val="0"/>
          <c:showSerName val="0"/>
          <c:showPercent val="0"/>
          <c:showBubbleSize val="0"/>
        </c:dLbls>
        <c:gapWidth val="150"/>
        <c:overlap val="100"/>
        <c:axId val="129311488"/>
        <c:axId val="129313408"/>
      </c:barChart>
      <c:catAx>
        <c:axId val="129311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13408"/>
        <c:crosses val="autoZero"/>
        <c:auto val="1"/>
        <c:lblAlgn val="ctr"/>
        <c:lblOffset val="100"/>
        <c:noMultiLvlLbl val="0"/>
      </c:catAx>
      <c:valAx>
        <c:axId val="12931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31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Combined_HI!$A$2</c:f>
              <c:strCache>
                <c:ptCount val="1"/>
                <c:pt idx="0">
                  <c:v>Comparison Group_PBB1</c:v>
                </c:pt>
              </c:strCache>
            </c:strRef>
          </c:tx>
          <c:spPr>
            <a:solidFill>
              <a:srgbClr val="00B0F0"/>
            </a:solidFill>
            <a:ln>
              <a:noFill/>
            </a:ln>
            <a:effectLst/>
          </c:spPr>
          <c:invertIfNegative val="0"/>
          <c:cat>
            <c:numRef>
              <c:f>Combined_HI!$B$1:$V$1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Combined_HI!$B$2:$V$2</c:f>
              <c:numCache>
                <c:formatCode>General</c:formatCode>
                <c:ptCount val="21"/>
                <c:pt idx="0">
                  <c:v>1</c:v>
                </c:pt>
                <c:pt idx="1">
                  <c:v>0</c:v>
                </c:pt>
                <c:pt idx="2">
                  <c:v>0</c:v>
                </c:pt>
                <c:pt idx="3">
                  <c:v>1</c:v>
                </c:pt>
                <c:pt idx="4">
                  <c:v>1</c:v>
                </c:pt>
                <c:pt idx="5">
                  <c:v>2</c:v>
                </c:pt>
                <c:pt idx="6">
                  <c:v>2</c:v>
                </c:pt>
                <c:pt idx="7">
                  <c:v>6</c:v>
                </c:pt>
                <c:pt idx="8">
                  <c:v>5</c:v>
                </c:pt>
                <c:pt idx="9">
                  <c:v>0</c:v>
                </c:pt>
                <c:pt idx="11">
                  <c:v>1</c:v>
                </c:pt>
                <c:pt idx="13">
                  <c:v>0</c:v>
                </c:pt>
                <c:pt idx="16">
                  <c:v>0</c:v>
                </c:pt>
                <c:pt idx="20">
                  <c:v>0</c:v>
                </c:pt>
              </c:numCache>
            </c:numRef>
          </c:val>
          <c:extLst>
            <c:ext xmlns:c16="http://schemas.microsoft.com/office/drawing/2014/chart" uri="{C3380CC4-5D6E-409C-BE32-E72D297353CC}">
              <c16:uniqueId val="{00000000-AC13-4BA3-B5CE-4EC24B6ACF63}"/>
            </c:ext>
          </c:extLst>
        </c:ser>
        <c:ser>
          <c:idx val="1"/>
          <c:order val="1"/>
          <c:tx>
            <c:strRef>
              <c:f>Combined_HI!$A$3</c:f>
              <c:strCache>
                <c:ptCount val="1"/>
                <c:pt idx="0">
                  <c:v>Comparison Group_PBB2</c:v>
                </c:pt>
              </c:strCache>
            </c:strRef>
          </c:tx>
          <c:spPr>
            <a:solidFill>
              <a:schemeClr val="accent1">
                <a:lumMod val="50000"/>
              </a:schemeClr>
            </a:solidFill>
            <a:ln>
              <a:noFill/>
            </a:ln>
            <a:effectLst/>
          </c:spPr>
          <c:invertIfNegative val="0"/>
          <c:cat>
            <c:numRef>
              <c:f>Combined_HI!$B$1:$V$1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Combined_HI!$B$3:$V$3</c:f>
              <c:numCache>
                <c:formatCode>General</c:formatCode>
                <c:ptCount val="21"/>
                <c:pt idx="0">
                  <c:v>0</c:v>
                </c:pt>
                <c:pt idx="1">
                  <c:v>0</c:v>
                </c:pt>
                <c:pt idx="2">
                  <c:v>0</c:v>
                </c:pt>
                <c:pt idx="3">
                  <c:v>1</c:v>
                </c:pt>
                <c:pt idx="4">
                  <c:v>0</c:v>
                </c:pt>
                <c:pt idx="5">
                  <c:v>2</c:v>
                </c:pt>
                <c:pt idx="6">
                  <c:v>3</c:v>
                </c:pt>
                <c:pt idx="7">
                  <c:v>3</c:v>
                </c:pt>
                <c:pt idx="8">
                  <c:v>2</c:v>
                </c:pt>
                <c:pt idx="9">
                  <c:v>0</c:v>
                </c:pt>
                <c:pt idx="11">
                  <c:v>3</c:v>
                </c:pt>
                <c:pt idx="13">
                  <c:v>1</c:v>
                </c:pt>
                <c:pt idx="16">
                  <c:v>1</c:v>
                </c:pt>
                <c:pt idx="20">
                  <c:v>0</c:v>
                </c:pt>
              </c:numCache>
            </c:numRef>
          </c:val>
          <c:extLst>
            <c:ext xmlns:c16="http://schemas.microsoft.com/office/drawing/2014/chart" uri="{C3380CC4-5D6E-409C-BE32-E72D297353CC}">
              <c16:uniqueId val="{00000001-AC13-4BA3-B5CE-4EC24B6ACF63}"/>
            </c:ext>
          </c:extLst>
        </c:ser>
        <c:ser>
          <c:idx val="2"/>
          <c:order val="2"/>
          <c:tx>
            <c:strRef>
              <c:f>Combined_HI!$A$4</c:f>
              <c:strCache>
                <c:ptCount val="1"/>
                <c:pt idx="0">
                  <c:v>Azithromycin Group_PBB1</c:v>
                </c:pt>
              </c:strCache>
            </c:strRef>
          </c:tx>
          <c:spPr>
            <a:solidFill>
              <a:srgbClr val="92D050"/>
            </a:solidFill>
            <a:ln>
              <a:noFill/>
            </a:ln>
            <a:effectLst/>
          </c:spPr>
          <c:invertIfNegative val="0"/>
          <c:cat>
            <c:numRef>
              <c:f>Combined_HI!$B$1:$V$1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Combined_HI!$B$4:$V$4</c:f>
              <c:numCache>
                <c:formatCode>General</c:formatCode>
                <c:ptCount val="21"/>
                <c:pt idx="0">
                  <c:v>1</c:v>
                </c:pt>
                <c:pt idx="1">
                  <c:v>1</c:v>
                </c:pt>
                <c:pt idx="2">
                  <c:v>0</c:v>
                </c:pt>
                <c:pt idx="3">
                  <c:v>0</c:v>
                </c:pt>
                <c:pt idx="4">
                  <c:v>0</c:v>
                </c:pt>
                <c:pt idx="5">
                  <c:v>0</c:v>
                </c:pt>
                <c:pt idx="6">
                  <c:v>2</c:v>
                </c:pt>
                <c:pt idx="7">
                  <c:v>4</c:v>
                </c:pt>
                <c:pt idx="8">
                  <c:v>2</c:v>
                </c:pt>
                <c:pt idx="9">
                  <c:v>0</c:v>
                </c:pt>
                <c:pt idx="11">
                  <c:v>0</c:v>
                </c:pt>
                <c:pt idx="13">
                  <c:v>0</c:v>
                </c:pt>
                <c:pt idx="16">
                  <c:v>0</c:v>
                </c:pt>
                <c:pt idx="20">
                  <c:v>1</c:v>
                </c:pt>
              </c:numCache>
            </c:numRef>
          </c:val>
          <c:extLst>
            <c:ext xmlns:c16="http://schemas.microsoft.com/office/drawing/2014/chart" uri="{C3380CC4-5D6E-409C-BE32-E72D297353CC}">
              <c16:uniqueId val="{00000002-AC13-4BA3-B5CE-4EC24B6ACF63}"/>
            </c:ext>
          </c:extLst>
        </c:ser>
        <c:ser>
          <c:idx val="3"/>
          <c:order val="3"/>
          <c:tx>
            <c:strRef>
              <c:f>Combined_HI!$A$5</c:f>
              <c:strCache>
                <c:ptCount val="1"/>
                <c:pt idx="0">
                  <c:v>Azithromycin Group_PBB2</c:v>
                </c:pt>
              </c:strCache>
            </c:strRef>
          </c:tx>
          <c:spPr>
            <a:solidFill>
              <a:schemeClr val="accent6">
                <a:lumMod val="75000"/>
              </a:schemeClr>
            </a:solidFill>
            <a:ln>
              <a:noFill/>
            </a:ln>
            <a:effectLst/>
          </c:spPr>
          <c:invertIfNegative val="0"/>
          <c:cat>
            <c:numRef>
              <c:f>Combined_HI!$B$1:$V$1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Combined_HI!$B$5:$V$5</c:f>
              <c:numCache>
                <c:formatCode>General</c:formatCode>
                <c:ptCount val="21"/>
                <c:pt idx="0">
                  <c:v>0</c:v>
                </c:pt>
                <c:pt idx="1">
                  <c:v>0</c:v>
                </c:pt>
                <c:pt idx="2">
                  <c:v>1</c:v>
                </c:pt>
                <c:pt idx="3">
                  <c:v>0</c:v>
                </c:pt>
                <c:pt idx="4">
                  <c:v>0</c:v>
                </c:pt>
                <c:pt idx="5">
                  <c:v>0</c:v>
                </c:pt>
                <c:pt idx="6">
                  <c:v>2</c:v>
                </c:pt>
                <c:pt idx="7">
                  <c:v>1</c:v>
                </c:pt>
                <c:pt idx="8">
                  <c:v>2</c:v>
                </c:pt>
                <c:pt idx="9">
                  <c:v>2</c:v>
                </c:pt>
                <c:pt idx="11">
                  <c:v>0</c:v>
                </c:pt>
                <c:pt idx="13">
                  <c:v>1</c:v>
                </c:pt>
                <c:pt idx="16">
                  <c:v>0</c:v>
                </c:pt>
                <c:pt idx="20">
                  <c:v>0</c:v>
                </c:pt>
              </c:numCache>
            </c:numRef>
          </c:val>
          <c:extLst>
            <c:ext xmlns:c16="http://schemas.microsoft.com/office/drawing/2014/chart" uri="{C3380CC4-5D6E-409C-BE32-E72D297353CC}">
              <c16:uniqueId val="{00000003-AC13-4BA3-B5CE-4EC24B6ACF63}"/>
            </c:ext>
          </c:extLst>
        </c:ser>
        <c:dLbls>
          <c:showLegendKey val="0"/>
          <c:showVal val="0"/>
          <c:showCatName val="0"/>
          <c:showSerName val="0"/>
          <c:showPercent val="0"/>
          <c:showBubbleSize val="0"/>
        </c:dLbls>
        <c:gapWidth val="150"/>
        <c:overlap val="100"/>
        <c:axId val="771679608"/>
        <c:axId val="771675344"/>
      </c:barChart>
      <c:catAx>
        <c:axId val="77167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675344"/>
        <c:crosses val="autoZero"/>
        <c:auto val="1"/>
        <c:lblAlgn val="ctr"/>
        <c:lblOffset val="100"/>
        <c:noMultiLvlLbl val="0"/>
      </c:catAx>
      <c:valAx>
        <c:axId val="77167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67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043999650598"/>
          <c:y val="0.25075707702435818"/>
          <c:w val="0.88130127157243221"/>
          <c:h val="0.21169490910410393"/>
        </c:manualLayout>
      </c:layout>
      <c:barChart>
        <c:barDir val="col"/>
        <c:grouping val="stacked"/>
        <c:varyColors val="0"/>
        <c:ser>
          <c:idx val="0"/>
          <c:order val="0"/>
          <c:tx>
            <c:strRef>
              <c:f>Combined_MC!$A$2</c:f>
              <c:strCache>
                <c:ptCount val="1"/>
                <c:pt idx="0">
                  <c:v>Comparison Group PBB_1</c:v>
                </c:pt>
              </c:strCache>
            </c:strRef>
          </c:tx>
          <c:spPr>
            <a:solidFill>
              <a:srgbClr val="00B0F0"/>
            </a:solidFill>
            <a:ln>
              <a:noFill/>
            </a:ln>
            <a:effectLst/>
          </c:spPr>
          <c:invertIfNegative val="0"/>
          <c:cat>
            <c:numRef>
              <c:f>Combined_MC!$B$1:$S$1</c:f>
              <c:numCache>
                <c:formatCode>General</c:formatCode>
                <c:ptCount val="18"/>
                <c:pt idx="0">
                  <c:v>0.05</c:v>
                </c:pt>
                <c:pt idx="1">
                  <c:v>0.125</c:v>
                </c:pt>
                <c:pt idx="2">
                  <c:v>0.19</c:v>
                </c:pt>
                <c:pt idx="3">
                  <c:v>0.25</c:v>
                </c:pt>
                <c:pt idx="4">
                  <c:v>0.38</c:v>
                </c:pt>
                <c:pt idx="5">
                  <c:v>0.5</c:v>
                </c:pt>
                <c:pt idx="7">
                  <c:v>0.75</c:v>
                </c:pt>
                <c:pt idx="9">
                  <c:v>1</c:v>
                </c:pt>
                <c:pt idx="10">
                  <c:v>1.5</c:v>
                </c:pt>
                <c:pt idx="13">
                  <c:v>8</c:v>
                </c:pt>
                <c:pt idx="16">
                  <c:v>125</c:v>
                </c:pt>
              </c:numCache>
            </c:numRef>
          </c:cat>
          <c:val>
            <c:numRef>
              <c:f>Combined_MC!$B$2:$S$2</c:f>
              <c:numCache>
                <c:formatCode>General</c:formatCode>
                <c:ptCount val="18"/>
                <c:pt idx="0">
                  <c:v>1</c:v>
                </c:pt>
                <c:pt idx="1">
                  <c:v>0</c:v>
                </c:pt>
                <c:pt idx="2">
                  <c:v>1</c:v>
                </c:pt>
                <c:pt idx="3">
                  <c:v>1</c:v>
                </c:pt>
                <c:pt idx="4">
                  <c:v>1</c:v>
                </c:pt>
                <c:pt idx="5">
                  <c:v>1</c:v>
                </c:pt>
                <c:pt idx="7">
                  <c:v>0</c:v>
                </c:pt>
                <c:pt idx="9">
                  <c:v>2</c:v>
                </c:pt>
                <c:pt idx="10">
                  <c:v>1</c:v>
                </c:pt>
                <c:pt idx="13">
                  <c:v>0</c:v>
                </c:pt>
                <c:pt idx="16">
                  <c:v>0</c:v>
                </c:pt>
              </c:numCache>
            </c:numRef>
          </c:val>
          <c:extLst>
            <c:ext xmlns:c16="http://schemas.microsoft.com/office/drawing/2014/chart" uri="{C3380CC4-5D6E-409C-BE32-E72D297353CC}">
              <c16:uniqueId val="{00000000-95C2-4E6E-8580-899FC5178CE6}"/>
            </c:ext>
          </c:extLst>
        </c:ser>
        <c:ser>
          <c:idx val="1"/>
          <c:order val="1"/>
          <c:tx>
            <c:strRef>
              <c:f>Combined_MC!$A$3</c:f>
              <c:strCache>
                <c:ptCount val="1"/>
                <c:pt idx="0">
                  <c:v>Comparison Group PBB_2</c:v>
                </c:pt>
              </c:strCache>
            </c:strRef>
          </c:tx>
          <c:spPr>
            <a:solidFill>
              <a:schemeClr val="accent1">
                <a:lumMod val="75000"/>
              </a:schemeClr>
            </a:solidFill>
            <a:ln>
              <a:noFill/>
            </a:ln>
            <a:effectLst/>
          </c:spPr>
          <c:invertIfNegative val="0"/>
          <c:cat>
            <c:numRef>
              <c:f>Combined_MC!$B$1:$S$1</c:f>
              <c:numCache>
                <c:formatCode>General</c:formatCode>
                <c:ptCount val="18"/>
                <c:pt idx="0">
                  <c:v>0.05</c:v>
                </c:pt>
                <c:pt idx="1">
                  <c:v>0.125</c:v>
                </c:pt>
                <c:pt idx="2">
                  <c:v>0.19</c:v>
                </c:pt>
                <c:pt idx="3">
                  <c:v>0.25</c:v>
                </c:pt>
                <c:pt idx="4">
                  <c:v>0.38</c:v>
                </c:pt>
                <c:pt idx="5">
                  <c:v>0.5</c:v>
                </c:pt>
                <c:pt idx="7">
                  <c:v>0.75</c:v>
                </c:pt>
                <c:pt idx="9">
                  <c:v>1</c:v>
                </c:pt>
                <c:pt idx="10">
                  <c:v>1.5</c:v>
                </c:pt>
                <c:pt idx="13">
                  <c:v>8</c:v>
                </c:pt>
                <c:pt idx="16">
                  <c:v>125</c:v>
                </c:pt>
              </c:numCache>
            </c:numRef>
          </c:cat>
          <c:val>
            <c:numRef>
              <c:f>Combined_MC!$B$3:$S$3</c:f>
              <c:numCache>
                <c:formatCode>General</c:formatCode>
                <c:ptCount val="18"/>
                <c:pt idx="0">
                  <c:v>0</c:v>
                </c:pt>
                <c:pt idx="1">
                  <c:v>0</c:v>
                </c:pt>
                <c:pt idx="2">
                  <c:v>0</c:v>
                </c:pt>
                <c:pt idx="3">
                  <c:v>1</c:v>
                </c:pt>
                <c:pt idx="4">
                  <c:v>1</c:v>
                </c:pt>
                <c:pt idx="5">
                  <c:v>6</c:v>
                </c:pt>
                <c:pt idx="7">
                  <c:v>2</c:v>
                </c:pt>
                <c:pt idx="9">
                  <c:v>0</c:v>
                </c:pt>
                <c:pt idx="10">
                  <c:v>0</c:v>
                </c:pt>
                <c:pt idx="13">
                  <c:v>1</c:v>
                </c:pt>
                <c:pt idx="16">
                  <c:v>1</c:v>
                </c:pt>
              </c:numCache>
            </c:numRef>
          </c:val>
          <c:extLst>
            <c:ext xmlns:c16="http://schemas.microsoft.com/office/drawing/2014/chart" uri="{C3380CC4-5D6E-409C-BE32-E72D297353CC}">
              <c16:uniqueId val="{00000001-95C2-4E6E-8580-899FC5178CE6}"/>
            </c:ext>
          </c:extLst>
        </c:ser>
        <c:ser>
          <c:idx val="2"/>
          <c:order val="2"/>
          <c:tx>
            <c:strRef>
              <c:f>Combined_MC!$A$4</c:f>
              <c:strCache>
                <c:ptCount val="1"/>
                <c:pt idx="0">
                  <c:v>Azithromycin Group PBB_1</c:v>
                </c:pt>
              </c:strCache>
            </c:strRef>
          </c:tx>
          <c:spPr>
            <a:solidFill>
              <a:srgbClr val="92D050"/>
            </a:solidFill>
            <a:ln>
              <a:noFill/>
            </a:ln>
            <a:effectLst/>
          </c:spPr>
          <c:invertIfNegative val="0"/>
          <c:cat>
            <c:numRef>
              <c:f>Combined_MC!$B$1:$S$1</c:f>
              <c:numCache>
                <c:formatCode>General</c:formatCode>
                <c:ptCount val="18"/>
                <c:pt idx="0">
                  <c:v>0.05</c:v>
                </c:pt>
                <c:pt idx="1">
                  <c:v>0.125</c:v>
                </c:pt>
                <c:pt idx="2">
                  <c:v>0.19</c:v>
                </c:pt>
                <c:pt idx="3">
                  <c:v>0.25</c:v>
                </c:pt>
                <c:pt idx="4">
                  <c:v>0.38</c:v>
                </c:pt>
                <c:pt idx="5">
                  <c:v>0.5</c:v>
                </c:pt>
                <c:pt idx="7">
                  <c:v>0.75</c:v>
                </c:pt>
                <c:pt idx="9">
                  <c:v>1</c:v>
                </c:pt>
                <c:pt idx="10">
                  <c:v>1.5</c:v>
                </c:pt>
                <c:pt idx="13">
                  <c:v>8</c:v>
                </c:pt>
                <c:pt idx="16">
                  <c:v>125</c:v>
                </c:pt>
              </c:numCache>
            </c:numRef>
          </c:cat>
          <c:val>
            <c:numRef>
              <c:f>Combined_MC!$B$4:$S$4</c:f>
              <c:numCache>
                <c:formatCode>General</c:formatCode>
                <c:ptCount val="18"/>
                <c:pt idx="0">
                  <c:v>0</c:v>
                </c:pt>
                <c:pt idx="1">
                  <c:v>1</c:v>
                </c:pt>
                <c:pt idx="2">
                  <c:v>1</c:v>
                </c:pt>
                <c:pt idx="3">
                  <c:v>1</c:v>
                </c:pt>
                <c:pt idx="4">
                  <c:v>2</c:v>
                </c:pt>
                <c:pt idx="5">
                  <c:v>1</c:v>
                </c:pt>
                <c:pt idx="7">
                  <c:v>2</c:v>
                </c:pt>
                <c:pt idx="9">
                  <c:v>2</c:v>
                </c:pt>
                <c:pt idx="10">
                  <c:v>0</c:v>
                </c:pt>
                <c:pt idx="13">
                  <c:v>0</c:v>
                </c:pt>
                <c:pt idx="16">
                  <c:v>0</c:v>
                </c:pt>
              </c:numCache>
            </c:numRef>
          </c:val>
          <c:extLst>
            <c:ext xmlns:c16="http://schemas.microsoft.com/office/drawing/2014/chart" uri="{C3380CC4-5D6E-409C-BE32-E72D297353CC}">
              <c16:uniqueId val="{00000002-95C2-4E6E-8580-899FC5178CE6}"/>
            </c:ext>
          </c:extLst>
        </c:ser>
        <c:ser>
          <c:idx val="3"/>
          <c:order val="3"/>
          <c:tx>
            <c:strRef>
              <c:f>Combined_MC!$A$5</c:f>
              <c:strCache>
                <c:ptCount val="1"/>
                <c:pt idx="0">
                  <c:v>Azithromycin Group PBB_2</c:v>
                </c:pt>
              </c:strCache>
            </c:strRef>
          </c:tx>
          <c:spPr>
            <a:solidFill>
              <a:schemeClr val="accent6">
                <a:lumMod val="75000"/>
              </a:schemeClr>
            </a:solidFill>
            <a:ln>
              <a:noFill/>
            </a:ln>
            <a:effectLst/>
          </c:spPr>
          <c:invertIfNegative val="0"/>
          <c:cat>
            <c:numRef>
              <c:f>Combined_MC!$B$1:$S$1</c:f>
              <c:numCache>
                <c:formatCode>General</c:formatCode>
                <c:ptCount val="18"/>
                <c:pt idx="0">
                  <c:v>0.05</c:v>
                </c:pt>
                <c:pt idx="1">
                  <c:v>0.125</c:v>
                </c:pt>
                <c:pt idx="2">
                  <c:v>0.19</c:v>
                </c:pt>
                <c:pt idx="3">
                  <c:v>0.25</c:v>
                </c:pt>
                <c:pt idx="4">
                  <c:v>0.38</c:v>
                </c:pt>
                <c:pt idx="5">
                  <c:v>0.5</c:v>
                </c:pt>
                <c:pt idx="7">
                  <c:v>0.75</c:v>
                </c:pt>
                <c:pt idx="9">
                  <c:v>1</c:v>
                </c:pt>
                <c:pt idx="10">
                  <c:v>1.5</c:v>
                </c:pt>
                <c:pt idx="13">
                  <c:v>8</c:v>
                </c:pt>
                <c:pt idx="16">
                  <c:v>125</c:v>
                </c:pt>
              </c:numCache>
            </c:numRef>
          </c:cat>
          <c:val>
            <c:numRef>
              <c:f>Combined_MC!$B$5:$S$5</c:f>
              <c:numCache>
                <c:formatCode>General</c:formatCode>
                <c:ptCount val="18"/>
                <c:pt idx="0">
                  <c:v>0</c:v>
                </c:pt>
                <c:pt idx="1">
                  <c:v>0</c:v>
                </c:pt>
                <c:pt idx="2">
                  <c:v>0</c:v>
                </c:pt>
                <c:pt idx="3">
                  <c:v>0</c:v>
                </c:pt>
                <c:pt idx="4">
                  <c:v>0</c:v>
                </c:pt>
                <c:pt idx="5">
                  <c:v>1</c:v>
                </c:pt>
                <c:pt idx="7">
                  <c:v>0</c:v>
                </c:pt>
                <c:pt idx="9">
                  <c:v>0</c:v>
                </c:pt>
                <c:pt idx="10">
                  <c:v>0</c:v>
                </c:pt>
                <c:pt idx="13">
                  <c:v>0</c:v>
                </c:pt>
                <c:pt idx="16">
                  <c:v>0</c:v>
                </c:pt>
              </c:numCache>
            </c:numRef>
          </c:val>
          <c:extLst>
            <c:ext xmlns:c16="http://schemas.microsoft.com/office/drawing/2014/chart" uri="{C3380CC4-5D6E-409C-BE32-E72D297353CC}">
              <c16:uniqueId val="{00000003-95C2-4E6E-8580-899FC5178CE6}"/>
            </c:ext>
          </c:extLst>
        </c:ser>
        <c:dLbls>
          <c:showLegendKey val="0"/>
          <c:showVal val="0"/>
          <c:showCatName val="0"/>
          <c:showSerName val="0"/>
          <c:showPercent val="0"/>
          <c:showBubbleSize val="0"/>
        </c:dLbls>
        <c:gapWidth val="150"/>
        <c:overlap val="100"/>
        <c:axId val="879650632"/>
        <c:axId val="879648664"/>
        <c:extLst>
          <c:ext xmlns:c15="http://schemas.microsoft.com/office/drawing/2012/chart" uri="{02D57815-91ED-43cb-92C2-25804820EDAC}">
            <c15:filteredBarSeries>
              <c15:ser>
                <c:idx val="4"/>
                <c:order val="4"/>
                <c:tx>
                  <c:strRef>
                    <c:extLst>
                      <c:ext uri="{02D57815-91ED-43cb-92C2-25804820EDAC}">
                        <c15:formulaRef>
                          <c15:sqref>Combined_MC!$A$6</c15:sqref>
                        </c15:formulaRef>
                      </c:ext>
                    </c:extLst>
                    <c:strCache>
                      <c:ptCount val="1"/>
                    </c:strCache>
                  </c:strRef>
                </c:tx>
                <c:spPr>
                  <a:solidFill>
                    <a:schemeClr val="accent5"/>
                  </a:solidFill>
                  <a:ln>
                    <a:noFill/>
                  </a:ln>
                  <a:effectLst/>
                </c:spPr>
                <c:invertIfNegative val="0"/>
                <c:cat>
                  <c:numRef>
                    <c:extLst>
                      <c:ext uri="{02D57815-91ED-43cb-92C2-25804820EDAC}">
                        <c15:formulaRef>
                          <c15:sqref>Combined_MC!$B$1:$S$1</c15:sqref>
                        </c15:formulaRef>
                      </c:ext>
                    </c:extLst>
                    <c:numCache>
                      <c:formatCode>General</c:formatCode>
                      <c:ptCount val="18"/>
                      <c:pt idx="0">
                        <c:v>0.05</c:v>
                      </c:pt>
                      <c:pt idx="1">
                        <c:v>0.125</c:v>
                      </c:pt>
                      <c:pt idx="2">
                        <c:v>0.19</c:v>
                      </c:pt>
                      <c:pt idx="3">
                        <c:v>0.25</c:v>
                      </c:pt>
                      <c:pt idx="4">
                        <c:v>0.38</c:v>
                      </c:pt>
                      <c:pt idx="5">
                        <c:v>0.5</c:v>
                      </c:pt>
                      <c:pt idx="7">
                        <c:v>0.75</c:v>
                      </c:pt>
                      <c:pt idx="9">
                        <c:v>1</c:v>
                      </c:pt>
                      <c:pt idx="10">
                        <c:v>1.5</c:v>
                      </c:pt>
                      <c:pt idx="13">
                        <c:v>8</c:v>
                      </c:pt>
                      <c:pt idx="16">
                        <c:v>125</c:v>
                      </c:pt>
                    </c:numCache>
                  </c:numRef>
                </c:cat>
                <c:val>
                  <c:numRef>
                    <c:extLst>
                      <c:ext uri="{02D57815-91ED-43cb-92C2-25804820EDAC}">
                        <c15:formulaRef>
                          <c15:sqref>Combined_MC!$B$6:$S$6</c15:sqref>
                        </c15:formulaRef>
                      </c:ext>
                    </c:extLst>
                    <c:numCache>
                      <c:formatCode>General</c:formatCode>
                      <c:ptCount val="18"/>
                    </c:numCache>
                  </c:numRef>
                </c:val>
                <c:extLst>
                  <c:ext xmlns:c16="http://schemas.microsoft.com/office/drawing/2014/chart" uri="{C3380CC4-5D6E-409C-BE32-E72D297353CC}">
                    <c16:uniqueId val="{00000004-95C2-4E6E-8580-899FC5178CE6}"/>
                  </c:ext>
                </c:extLst>
              </c15:ser>
            </c15:filteredBarSeries>
          </c:ext>
        </c:extLst>
      </c:barChart>
      <c:catAx>
        <c:axId val="879650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648664"/>
        <c:crosses val="autoZero"/>
        <c:auto val="1"/>
        <c:lblAlgn val="ctr"/>
        <c:lblOffset val="100"/>
        <c:noMultiLvlLbl val="0"/>
      </c:catAx>
      <c:valAx>
        <c:axId val="87964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65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Combined_SA!$A$2</c:f>
              <c:strCache>
                <c:ptCount val="1"/>
                <c:pt idx="0">
                  <c:v>Comparison Group PBB_1</c:v>
                </c:pt>
              </c:strCache>
            </c:strRef>
          </c:tx>
          <c:spPr>
            <a:solidFill>
              <a:srgbClr val="00B0F0"/>
            </a:solidFill>
            <a:ln>
              <a:noFill/>
            </a:ln>
            <a:effectLst/>
          </c:spPr>
          <c:invertIfNegative val="0"/>
          <c:cat>
            <c:numRef>
              <c:f>Combined_SA!$B$1:$S$1</c:f>
              <c:numCache>
                <c:formatCode>General</c:formatCode>
                <c:ptCount val="18"/>
                <c:pt idx="0">
                  <c:v>0</c:v>
                </c:pt>
                <c:pt idx="1">
                  <c:v>0.75</c:v>
                </c:pt>
                <c:pt idx="2">
                  <c:v>1</c:v>
                </c:pt>
                <c:pt idx="3">
                  <c:v>1.5</c:v>
                </c:pt>
                <c:pt idx="4">
                  <c:v>2</c:v>
                </c:pt>
                <c:pt idx="5">
                  <c:v>4</c:v>
                </c:pt>
                <c:pt idx="6">
                  <c:v>6</c:v>
                </c:pt>
                <c:pt idx="7">
                  <c:v>8</c:v>
                </c:pt>
                <c:pt idx="8">
                  <c:v>12</c:v>
                </c:pt>
                <c:pt idx="9">
                  <c:v>16</c:v>
                </c:pt>
                <c:pt idx="15">
                  <c:v>256</c:v>
                </c:pt>
              </c:numCache>
            </c:numRef>
          </c:cat>
          <c:val>
            <c:numRef>
              <c:f>Combined_SA!$B$2:$S$2</c:f>
              <c:numCache>
                <c:formatCode>General</c:formatCode>
                <c:ptCount val="18"/>
                <c:pt idx="0">
                  <c:v>0</c:v>
                </c:pt>
                <c:pt idx="1">
                  <c:v>0</c:v>
                </c:pt>
                <c:pt idx="2">
                  <c:v>1</c:v>
                </c:pt>
                <c:pt idx="3">
                  <c:v>0</c:v>
                </c:pt>
                <c:pt idx="4">
                  <c:v>0</c:v>
                </c:pt>
                <c:pt idx="5">
                  <c:v>1</c:v>
                </c:pt>
                <c:pt idx="6">
                  <c:v>1</c:v>
                </c:pt>
                <c:pt idx="7">
                  <c:v>0</c:v>
                </c:pt>
                <c:pt idx="8">
                  <c:v>0</c:v>
                </c:pt>
                <c:pt idx="9">
                  <c:v>1</c:v>
                </c:pt>
                <c:pt idx="15">
                  <c:v>0</c:v>
                </c:pt>
              </c:numCache>
            </c:numRef>
          </c:val>
          <c:extLst>
            <c:ext xmlns:c16="http://schemas.microsoft.com/office/drawing/2014/chart" uri="{C3380CC4-5D6E-409C-BE32-E72D297353CC}">
              <c16:uniqueId val="{00000000-E730-42DB-8E2D-81FA2F329DC5}"/>
            </c:ext>
          </c:extLst>
        </c:ser>
        <c:ser>
          <c:idx val="1"/>
          <c:order val="1"/>
          <c:tx>
            <c:strRef>
              <c:f>Combined_SA!$A$3</c:f>
              <c:strCache>
                <c:ptCount val="1"/>
                <c:pt idx="0">
                  <c:v>Comparison Group PBB_2</c:v>
                </c:pt>
              </c:strCache>
            </c:strRef>
          </c:tx>
          <c:spPr>
            <a:solidFill>
              <a:schemeClr val="accent1">
                <a:lumMod val="50000"/>
              </a:schemeClr>
            </a:solidFill>
            <a:ln>
              <a:noFill/>
            </a:ln>
            <a:effectLst/>
          </c:spPr>
          <c:invertIfNegative val="0"/>
          <c:cat>
            <c:numRef>
              <c:f>Combined_SA!$B$1:$S$1</c:f>
              <c:numCache>
                <c:formatCode>General</c:formatCode>
                <c:ptCount val="18"/>
                <c:pt idx="0">
                  <c:v>0</c:v>
                </c:pt>
                <c:pt idx="1">
                  <c:v>0.75</c:v>
                </c:pt>
                <c:pt idx="2">
                  <c:v>1</c:v>
                </c:pt>
                <c:pt idx="3">
                  <c:v>1.5</c:v>
                </c:pt>
                <c:pt idx="4">
                  <c:v>2</c:v>
                </c:pt>
                <c:pt idx="5">
                  <c:v>4</c:v>
                </c:pt>
                <c:pt idx="6">
                  <c:v>6</c:v>
                </c:pt>
                <c:pt idx="7">
                  <c:v>8</c:v>
                </c:pt>
                <c:pt idx="8">
                  <c:v>12</c:v>
                </c:pt>
                <c:pt idx="9">
                  <c:v>16</c:v>
                </c:pt>
                <c:pt idx="15">
                  <c:v>256</c:v>
                </c:pt>
              </c:numCache>
            </c:numRef>
          </c:cat>
          <c:val>
            <c:numRef>
              <c:f>Combined_SA!$B$3:$S$3</c:f>
              <c:numCache>
                <c:formatCode>General</c:formatCode>
                <c:ptCount val="18"/>
                <c:pt idx="0">
                  <c:v>0</c:v>
                </c:pt>
                <c:pt idx="1">
                  <c:v>1</c:v>
                </c:pt>
                <c:pt idx="2">
                  <c:v>0</c:v>
                </c:pt>
                <c:pt idx="3">
                  <c:v>0</c:v>
                </c:pt>
                <c:pt idx="4">
                  <c:v>0</c:v>
                </c:pt>
                <c:pt idx="5">
                  <c:v>0</c:v>
                </c:pt>
                <c:pt idx="6">
                  <c:v>0</c:v>
                </c:pt>
                <c:pt idx="7">
                  <c:v>0</c:v>
                </c:pt>
                <c:pt idx="8">
                  <c:v>0</c:v>
                </c:pt>
                <c:pt idx="9">
                  <c:v>0</c:v>
                </c:pt>
                <c:pt idx="15">
                  <c:v>0</c:v>
                </c:pt>
              </c:numCache>
            </c:numRef>
          </c:val>
          <c:extLst>
            <c:ext xmlns:c16="http://schemas.microsoft.com/office/drawing/2014/chart" uri="{C3380CC4-5D6E-409C-BE32-E72D297353CC}">
              <c16:uniqueId val="{00000001-E730-42DB-8E2D-81FA2F329DC5}"/>
            </c:ext>
          </c:extLst>
        </c:ser>
        <c:ser>
          <c:idx val="2"/>
          <c:order val="2"/>
          <c:tx>
            <c:strRef>
              <c:f>Combined_SA!$A$4</c:f>
              <c:strCache>
                <c:ptCount val="1"/>
                <c:pt idx="0">
                  <c:v>Azithromycin Group PBB_1</c:v>
                </c:pt>
              </c:strCache>
            </c:strRef>
          </c:tx>
          <c:spPr>
            <a:solidFill>
              <a:srgbClr val="92D050"/>
            </a:solidFill>
            <a:ln>
              <a:noFill/>
            </a:ln>
            <a:effectLst/>
          </c:spPr>
          <c:invertIfNegative val="0"/>
          <c:cat>
            <c:numRef>
              <c:f>Combined_SA!$B$1:$S$1</c:f>
              <c:numCache>
                <c:formatCode>General</c:formatCode>
                <c:ptCount val="18"/>
                <c:pt idx="0">
                  <c:v>0</c:v>
                </c:pt>
                <c:pt idx="1">
                  <c:v>0.75</c:v>
                </c:pt>
                <c:pt idx="2">
                  <c:v>1</c:v>
                </c:pt>
                <c:pt idx="3">
                  <c:v>1.5</c:v>
                </c:pt>
                <c:pt idx="4">
                  <c:v>2</c:v>
                </c:pt>
                <c:pt idx="5">
                  <c:v>4</c:v>
                </c:pt>
                <c:pt idx="6">
                  <c:v>6</c:v>
                </c:pt>
                <c:pt idx="7">
                  <c:v>8</c:v>
                </c:pt>
                <c:pt idx="8">
                  <c:v>12</c:v>
                </c:pt>
                <c:pt idx="9">
                  <c:v>16</c:v>
                </c:pt>
                <c:pt idx="15">
                  <c:v>256</c:v>
                </c:pt>
              </c:numCache>
            </c:numRef>
          </c:cat>
          <c:val>
            <c:numRef>
              <c:f>Combined_SA!$B$4:$S$4</c:f>
              <c:numCache>
                <c:formatCode>General</c:formatCode>
                <c:ptCount val="18"/>
                <c:pt idx="0">
                  <c:v>0</c:v>
                </c:pt>
                <c:pt idx="1">
                  <c:v>0</c:v>
                </c:pt>
                <c:pt idx="2">
                  <c:v>0</c:v>
                </c:pt>
                <c:pt idx="3">
                  <c:v>1</c:v>
                </c:pt>
                <c:pt idx="4">
                  <c:v>0</c:v>
                </c:pt>
                <c:pt idx="5">
                  <c:v>0</c:v>
                </c:pt>
                <c:pt idx="6">
                  <c:v>0</c:v>
                </c:pt>
                <c:pt idx="7">
                  <c:v>0</c:v>
                </c:pt>
                <c:pt idx="8">
                  <c:v>0</c:v>
                </c:pt>
                <c:pt idx="9">
                  <c:v>1</c:v>
                </c:pt>
                <c:pt idx="15">
                  <c:v>0</c:v>
                </c:pt>
              </c:numCache>
            </c:numRef>
          </c:val>
          <c:extLst>
            <c:ext xmlns:c16="http://schemas.microsoft.com/office/drawing/2014/chart" uri="{C3380CC4-5D6E-409C-BE32-E72D297353CC}">
              <c16:uniqueId val="{00000002-E730-42DB-8E2D-81FA2F329DC5}"/>
            </c:ext>
          </c:extLst>
        </c:ser>
        <c:ser>
          <c:idx val="3"/>
          <c:order val="3"/>
          <c:tx>
            <c:strRef>
              <c:f>Combined_SA!$A$5</c:f>
              <c:strCache>
                <c:ptCount val="1"/>
                <c:pt idx="0">
                  <c:v>Azithromycin Group PBB_2</c:v>
                </c:pt>
              </c:strCache>
            </c:strRef>
          </c:tx>
          <c:spPr>
            <a:solidFill>
              <a:schemeClr val="accent6">
                <a:lumMod val="75000"/>
              </a:schemeClr>
            </a:solidFill>
            <a:ln>
              <a:noFill/>
            </a:ln>
            <a:effectLst/>
          </c:spPr>
          <c:invertIfNegative val="0"/>
          <c:cat>
            <c:numRef>
              <c:f>Combined_SA!$B$1:$S$1</c:f>
              <c:numCache>
                <c:formatCode>General</c:formatCode>
                <c:ptCount val="18"/>
                <c:pt idx="0">
                  <c:v>0</c:v>
                </c:pt>
                <c:pt idx="1">
                  <c:v>0.75</c:v>
                </c:pt>
                <c:pt idx="2">
                  <c:v>1</c:v>
                </c:pt>
                <c:pt idx="3">
                  <c:v>1.5</c:v>
                </c:pt>
                <c:pt idx="4">
                  <c:v>2</c:v>
                </c:pt>
                <c:pt idx="5">
                  <c:v>4</c:v>
                </c:pt>
                <c:pt idx="6">
                  <c:v>6</c:v>
                </c:pt>
                <c:pt idx="7">
                  <c:v>8</c:v>
                </c:pt>
                <c:pt idx="8">
                  <c:v>12</c:v>
                </c:pt>
                <c:pt idx="9">
                  <c:v>16</c:v>
                </c:pt>
                <c:pt idx="15">
                  <c:v>256</c:v>
                </c:pt>
              </c:numCache>
            </c:numRef>
          </c:cat>
          <c:val>
            <c:numRef>
              <c:f>Combined_SA!$B$5:$S$5</c:f>
              <c:numCache>
                <c:formatCode>General</c:formatCode>
                <c:ptCount val="18"/>
                <c:pt idx="0">
                  <c:v>1</c:v>
                </c:pt>
                <c:pt idx="1">
                  <c:v>0</c:v>
                </c:pt>
                <c:pt idx="2">
                  <c:v>0</c:v>
                </c:pt>
                <c:pt idx="3">
                  <c:v>0</c:v>
                </c:pt>
                <c:pt idx="4">
                  <c:v>0</c:v>
                </c:pt>
                <c:pt idx="5">
                  <c:v>1</c:v>
                </c:pt>
                <c:pt idx="6">
                  <c:v>1</c:v>
                </c:pt>
                <c:pt idx="7">
                  <c:v>3</c:v>
                </c:pt>
                <c:pt idx="8">
                  <c:v>1</c:v>
                </c:pt>
                <c:pt idx="9">
                  <c:v>0</c:v>
                </c:pt>
                <c:pt idx="15">
                  <c:v>1</c:v>
                </c:pt>
              </c:numCache>
            </c:numRef>
          </c:val>
          <c:extLst>
            <c:ext xmlns:c16="http://schemas.microsoft.com/office/drawing/2014/chart" uri="{C3380CC4-5D6E-409C-BE32-E72D297353CC}">
              <c16:uniqueId val="{00000003-E730-42DB-8E2D-81FA2F329DC5}"/>
            </c:ext>
          </c:extLst>
        </c:ser>
        <c:dLbls>
          <c:showLegendKey val="0"/>
          <c:showVal val="0"/>
          <c:showCatName val="0"/>
          <c:showSerName val="0"/>
          <c:showPercent val="0"/>
          <c:showBubbleSize val="0"/>
        </c:dLbls>
        <c:gapWidth val="150"/>
        <c:overlap val="100"/>
        <c:axId val="128979712"/>
        <c:axId val="128981632"/>
      </c:barChart>
      <c:catAx>
        <c:axId val="128979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1632"/>
        <c:crosses val="autoZero"/>
        <c:auto val="1"/>
        <c:lblAlgn val="ctr"/>
        <c:lblOffset val="100"/>
        <c:noMultiLvlLbl val="0"/>
      </c:catAx>
      <c:valAx>
        <c:axId val="12898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7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MIC distribution of </a:t>
            </a:r>
            <a:r>
              <a:rPr lang="en-GB" i="1"/>
              <a:t>M. catarrhalis</a:t>
            </a:r>
            <a:r>
              <a:rPr lang="en-GB" i="1" baseline="0"/>
              <a:t> </a:t>
            </a:r>
            <a:r>
              <a:rPr lang="en-GB" baseline="0"/>
              <a:t>isolates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ANT_MC!$A$2</c:f>
              <c:strCache>
                <c:ptCount val="1"/>
                <c:pt idx="0">
                  <c:v>Comparison Group</c:v>
                </c:pt>
              </c:strCache>
            </c:strRef>
          </c:tx>
          <c:spPr>
            <a:solidFill>
              <a:srgbClr val="00B0F0"/>
            </a:solidFill>
            <a:ln>
              <a:noFill/>
            </a:ln>
            <a:effectLst/>
          </c:spPr>
          <c:invertIfNegative val="0"/>
          <c:cat>
            <c:numRef>
              <c:f>ANT_MC!$B$1:$L$1</c:f>
              <c:numCache>
                <c:formatCode>General</c:formatCode>
                <c:ptCount val="11"/>
                <c:pt idx="0">
                  <c:v>0.05</c:v>
                </c:pt>
                <c:pt idx="1">
                  <c:v>0.125</c:v>
                </c:pt>
                <c:pt idx="2">
                  <c:v>0.19</c:v>
                </c:pt>
                <c:pt idx="3">
                  <c:v>0.25</c:v>
                </c:pt>
                <c:pt idx="4">
                  <c:v>0.38</c:v>
                </c:pt>
                <c:pt idx="5">
                  <c:v>0.5</c:v>
                </c:pt>
                <c:pt idx="7">
                  <c:v>0.75</c:v>
                </c:pt>
                <c:pt idx="9">
                  <c:v>1</c:v>
                </c:pt>
                <c:pt idx="10">
                  <c:v>1.5</c:v>
                </c:pt>
              </c:numCache>
            </c:numRef>
          </c:cat>
          <c:val>
            <c:numRef>
              <c:f>ANT_MC!$B$2:$L$2</c:f>
              <c:numCache>
                <c:formatCode>General</c:formatCode>
                <c:ptCount val="11"/>
                <c:pt idx="0">
                  <c:v>1</c:v>
                </c:pt>
                <c:pt idx="1">
                  <c:v>0</c:v>
                </c:pt>
                <c:pt idx="2">
                  <c:v>1</c:v>
                </c:pt>
                <c:pt idx="3">
                  <c:v>1</c:v>
                </c:pt>
                <c:pt idx="4">
                  <c:v>1</c:v>
                </c:pt>
                <c:pt idx="5">
                  <c:v>1</c:v>
                </c:pt>
                <c:pt idx="7">
                  <c:v>0</c:v>
                </c:pt>
                <c:pt idx="9">
                  <c:v>2</c:v>
                </c:pt>
                <c:pt idx="10">
                  <c:v>1</c:v>
                </c:pt>
              </c:numCache>
            </c:numRef>
          </c:val>
          <c:extLst>
            <c:ext xmlns:c16="http://schemas.microsoft.com/office/drawing/2014/chart" uri="{C3380CC4-5D6E-409C-BE32-E72D297353CC}">
              <c16:uniqueId val="{00000000-51B1-4740-8F41-9AF6D0B6AD85}"/>
            </c:ext>
          </c:extLst>
        </c:ser>
        <c:ser>
          <c:idx val="1"/>
          <c:order val="1"/>
          <c:tx>
            <c:strRef>
              <c:f>ANT_MC!$A$3</c:f>
              <c:strCache>
                <c:ptCount val="1"/>
                <c:pt idx="0">
                  <c:v>Azithromycin Group</c:v>
                </c:pt>
              </c:strCache>
            </c:strRef>
          </c:tx>
          <c:spPr>
            <a:solidFill>
              <a:srgbClr val="92D050"/>
            </a:solidFill>
            <a:ln>
              <a:noFill/>
            </a:ln>
            <a:effectLst/>
          </c:spPr>
          <c:invertIfNegative val="0"/>
          <c:cat>
            <c:numRef>
              <c:f>ANT_MC!$B$1:$L$1</c:f>
              <c:numCache>
                <c:formatCode>General</c:formatCode>
                <c:ptCount val="11"/>
                <c:pt idx="0">
                  <c:v>0.05</c:v>
                </c:pt>
                <c:pt idx="1">
                  <c:v>0.125</c:v>
                </c:pt>
                <c:pt idx="2">
                  <c:v>0.19</c:v>
                </c:pt>
                <c:pt idx="3">
                  <c:v>0.25</c:v>
                </c:pt>
                <c:pt idx="4">
                  <c:v>0.38</c:v>
                </c:pt>
                <c:pt idx="5">
                  <c:v>0.5</c:v>
                </c:pt>
                <c:pt idx="7">
                  <c:v>0.75</c:v>
                </c:pt>
                <c:pt idx="9">
                  <c:v>1</c:v>
                </c:pt>
                <c:pt idx="10">
                  <c:v>1.5</c:v>
                </c:pt>
              </c:numCache>
            </c:numRef>
          </c:cat>
          <c:val>
            <c:numRef>
              <c:f>ANT_MC!$B$3:$L$3</c:f>
              <c:numCache>
                <c:formatCode>General</c:formatCode>
                <c:ptCount val="11"/>
                <c:pt idx="0">
                  <c:v>0</c:v>
                </c:pt>
                <c:pt idx="1">
                  <c:v>1</c:v>
                </c:pt>
                <c:pt idx="2">
                  <c:v>1</c:v>
                </c:pt>
                <c:pt idx="3">
                  <c:v>1</c:v>
                </c:pt>
                <c:pt idx="4">
                  <c:v>2</c:v>
                </c:pt>
                <c:pt idx="5">
                  <c:v>1</c:v>
                </c:pt>
                <c:pt idx="7">
                  <c:v>2</c:v>
                </c:pt>
                <c:pt idx="9">
                  <c:v>2</c:v>
                </c:pt>
                <c:pt idx="10">
                  <c:v>0</c:v>
                </c:pt>
              </c:numCache>
            </c:numRef>
          </c:val>
          <c:extLst>
            <c:ext xmlns:c16="http://schemas.microsoft.com/office/drawing/2014/chart" uri="{C3380CC4-5D6E-409C-BE32-E72D297353CC}">
              <c16:uniqueId val="{00000001-51B1-4740-8F41-9AF6D0B6AD85}"/>
            </c:ext>
          </c:extLst>
        </c:ser>
        <c:dLbls>
          <c:showLegendKey val="0"/>
          <c:showVal val="0"/>
          <c:showCatName val="0"/>
          <c:showSerName val="0"/>
          <c:showPercent val="0"/>
          <c:showBubbleSize val="0"/>
        </c:dLbls>
        <c:gapWidth val="150"/>
        <c:overlap val="100"/>
        <c:axId val="127682432"/>
        <c:axId val="127688704"/>
      </c:barChart>
      <c:catAx>
        <c:axId val="127682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8704"/>
        <c:crosses val="autoZero"/>
        <c:auto val="1"/>
        <c:lblAlgn val="ctr"/>
        <c:lblOffset val="100"/>
        <c:noMultiLvlLbl val="0"/>
      </c:catAx>
      <c:valAx>
        <c:axId val="12768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8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MIC</a:t>
            </a:r>
            <a:r>
              <a:rPr lang="en-GB" baseline="0"/>
              <a:t> distribution of </a:t>
            </a:r>
            <a:r>
              <a:rPr lang="en-GB" i="1" baseline="0"/>
              <a:t>S. aureus </a:t>
            </a:r>
            <a:r>
              <a:rPr lang="en-GB" baseline="0"/>
              <a:t>isolates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ANT_SA!$A$2</c:f>
              <c:strCache>
                <c:ptCount val="1"/>
                <c:pt idx="0">
                  <c:v>Comparison Group</c:v>
                </c:pt>
              </c:strCache>
            </c:strRef>
          </c:tx>
          <c:spPr>
            <a:solidFill>
              <a:srgbClr val="00B0F0"/>
            </a:solidFill>
            <a:ln>
              <a:noFill/>
            </a:ln>
            <a:effectLst/>
          </c:spPr>
          <c:invertIfNegative val="0"/>
          <c:cat>
            <c:numRef>
              <c:f>ANT_SA!$B$1:$J$1</c:f>
              <c:numCache>
                <c:formatCode>General</c:formatCode>
                <c:ptCount val="9"/>
                <c:pt idx="0">
                  <c:v>0.75</c:v>
                </c:pt>
                <c:pt idx="1">
                  <c:v>1</c:v>
                </c:pt>
                <c:pt idx="2">
                  <c:v>1.5</c:v>
                </c:pt>
                <c:pt idx="3">
                  <c:v>2</c:v>
                </c:pt>
                <c:pt idx="4">
                  <c:v>4</c:v>
                </c:pt>
                <c:pt idx="5">
                  <c:v>6</c:v>
                </c:pt>
                <c:pt idx="6">
                  <c:v>8</c:v>
                </c:pt>
                <c:pt idx="7">
                  <c:v>12</c:v>
                </c:pt>
                <c:pt idx="8">
                  <c:v>16</c:v>
                </c:pt>
              </c:numCache>
            </c:numRef>
          </c:cat>
          <c:val>
            <c:numRef>
              <c:f>ANT_SA!$B$2:$J$2</c:f>
              <c:numCache>
                <c:formatCode>General</c:formatCode>
                <c:ptCount val="9"/>
                <c:pt idx="0">
                  <c:v>0</c:v>
                </c:pt>
                <c:pt idx="1">
                  <c:v>1</c:v>
                </c:pt>
                <c:pt idx="2">
                  <c:v>0</c:v>
                </c:pt>
                <c:pt idx="3">
                  <c:v>0</c:v>
                </c:pt>
                <c:pt idx="4">
                  <c:v>1</c:v>
                </c:pt>
                <c:pt idx="5">
                  <c:v>1</c:v>
                </c:pt>
                <c:pt idx="6">
                  <c:v>0</c:v>
                </c:pt>
                <c:pt idx="7">
                  <c:v>0</c:v>
                </c:pt>
                <c:pt idx="8">
                  <c:v>1</c:v>
                </c:pt>
              </c:numCache>
            </c:numRef>
          </c:val>
          <c:extLst>
            <c:ext xmlns:c16="http://schemas.microsoft.com/office/drawing/2014/chart" uri="{C3380CC4-5D6E-409C-BE32-E72D297353CC}">
              <c16:uniqueId val="{00000000-7CE0-4924-95B9-1645AE6CB128}"/>
            </c:ext>
          </c:extLst>
        </c:ser>
        <c:ser>
          <c:idx val="1"/>
          <c:order val="1"/>
          <c:tx>
            <c:strRef>
              <c:f>ANT_SA!$A$3</c:f>
              <c:strCache>
                <c:ptCount val="1"/>
                <c:pt idx="0">
                  <c:v>Azithromycin Group</c:v>
                </c:pt>
              </c:strCache>
            </c:strRef>
          </c:tx>
          <c:spPr>
            <a:solidFill>
              <a:srgbClr val="92D050"/>
            </a:solidFill>
            <a:ln>
              <a:noFill/>
            </a:ln>
            <a:effectLst/>
          </c:spPr>
          <c:invertIfNegative val="0"/>
          <c:cat>
            <c:numRef>
              <c:f>ANT_SA!$B$1:$J$1</c:f>
              <c:numCache>
                <c:formatCode>General</c:formatCode>
                <c:ptCount val="9"/>
                <c:pt idx="0">
                  <c:v>0.75</c:v>
                </c:pt>
                <c:pt idx="1">
                  <c:v>1</c:v>
                </c:pt>
                <c:pt idx="2">
                  <c:v>1.5</c:v>
                </c:pt>
                <c:pt idx="3">
                  <c:v>2</c:v>
                </c:pt>
                <c:pt idx="4">
                  <c:v>4</c:v>
                </c:pt>
                <c:pt idx="5">
                  <c:v>6</c:v>
                </c:pt>
                <c:pt idx="6">
                  <c:v>8</c:v>
                </c:pt>
                <c:pt idx="7">
                  <c:v>12</c:v>
                </c:pt>
                <c:pt idx="8">
                  <c:v>16</c:v>
                </c:pt>
              </c:numCache>
            </c:numRef>
          </c:cat>
          <c:val>
            <c:numRef>
              <c:f>ANT_SA!$B$3:$J$3</c:f>
              <c:numCache>
                <c:formatCode>General</c:formatCode>
                <c:ptCount val="9"/>
                <c:pt idx="0">
                  <c:v>0</c:v>
                </c:pt>
                <c:pt idx="1">
                  <c:v>0</c:v>
                </c:pt>
                <c:pt idx="2">
                  <c:v>1</c:v>
                </c:pt>
                <c:pt idx="3">
                  <c:v>0</c:v>
                </c:pt>
                <c:pt idx="4">
                  <c:v>0</c:v>
                </c:pt>
                <c:pt idx="5">
                  <c:v>0</c:v>
                </c:pt>
                <c:pt idx="6">
                  <c:v>0</c:v>
                </c:pt>
                <c:pt idx="7">
                  <c:v>0</c:v>
                </c:pt>
                <c:pt idx="8">
                  <c:v>1</c:v>
                </c:pt>
              </c:numCache>
            </c:numRef>
          </c:val>
          <c:extLst>
            <c:ext xmlns:c16="http://schemas.microsoft.com/office/drawing/2014/chart" uri="{C3380CC4-5D6E-409C-BE32-E72D297353CC}">
              <c16:uniqueId val="{00000001-7CE0-4924-95B9-1645AE6CB128}"/>
            </c:ext>
          </c:extLst>
        </c:ser>
        <c:dLbls>
          <c:showLegendKey val="0"/>
          <c:showVal val="0"/>
          <c:showCatName val="0"/>
          <c:showSerName val="0"/>
          <c:showPercent val="0"/>
          <c:showBubbleSize val="0"/>
        </c:dLbls>
        <c:gapWidth val="150"/>
        <c:overlap val="100"/>
        <c:axId val="127715968"/>
        <c:axId val="127865600"/>
      </c:barChart>
      <c:catAx>
        <c:axId val="12771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865600"/>
        <c:crosses val="autoZero"/>
        <c:auto val="1"/>
        <c:lblAlgn val="ctr"/>
        <c:lblOffset val="100"/>
        <c:noMultiLvlLbl val="0"/>
      </c:catAx>
      <c:valAx>
        <c:axId val="12786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1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dPt>
            <c:idx val="0"/>
            <c:invertIfNegative val="0"/>
            <c:bubble3D val="0"/>
            <c:spPr>
              <a:solidFill>
                <a:srgbClr val="FFDDDD"/>
              </a:solidFill>
              <a:ln>
                <a:noFill/>
              </a:ln>
              <a:effectLst/>
            </c:spPr>
            <c:extLst>
              <c:ext xmlns:c16="http://schemas.microsoft.com/office/drawing/2014/chart" uri="{C3380CC4-5D6E-409C-BE32-E72D297353CC}">
                <c16:uniqueId val="{00000001-9CFA-4246-B623-077658AD0D9C}"/>
              </c:ext>
            </c:extLst>
          </c:dPt>
          <c:dPt>
            <c:idx val="5"/>
            <c:invertIfNegative val="0"/>
            <c:bubble3D val="0"/>
            <c:spPr>
              <a:solidFill>
                <a:srgbClr val="FFE3E1"/>
              </a:solidFill>
              <a:ln>
                <a:noFill/>
              </a:ln>
              <a:effectLst/>
            </c:spPr>
            <c:extLst>
              <c:ext xmlns:c16="http://schemas.microsoft.com/office/drawing/2014/chart" uri="{C3380CC4-5D6E-409C-BE32-E72D297353CC}">
                <c16:uniqueId val="{00000003-9CFA-4246-B623-077658AD0D9C}"/>
              </c:ext>
            </c:extLst>
          </c:dPt>
          <c:dPt>
            <c:idx val="8"/>
            <c:invertIfNegative val="0"/>
            <c:bubble3D val="0"/>
            <c:spPr>
              <a:solidFill>
                <a:srgbClr val="FFA7A7"/>
              </a:solidFill>
              <a:ln>
                <a:noFill/>
              </a:ln>
              <a:effectLst/>
            </c:spPr>
            <c:extLst>
              <c:ext xmlns:c16="http://schemas.microsoft.com/office/drawing/2014/chart" uri="{C3380CC4-5D6E-409C-BE32-E72D297353CC}">
                <c16:uniqueId val="{00000005-9CFA-4246-B623-077658AD0D9C}"/>
              </c:ext>
            </c:extLst>
          </c:dPt>
          <c:dPt>
            <c:idx val="10"/>
            <c:invertIfNegative val="0"/>
            <c:bubble3D val="0"/>
            <c:extLst>
              <c:ext xmlns:c16="http://schemas.microsoft.com/office/drawing/2014/chart" uri="{C3380CC4-5D6E-409C-BE32-E72D297353CC}">
                <c16:uniqueId val="{00000007-9CFA-4246-B623-077658AD0D9C}"/>
              </c:ext>
            </c:extLst>
          </c:dPt>
          <c:dPt>
            <c:idx val="12"/>
            <c:invertIfNegative val="0"/>
            <c:bubble3D val="0"/>
            <c:spPr>
              <a:solidFill>
                <a:srgbClr val="FFA7A7"/>
              </a:solidFill>
              <a:ln>
                <a:noFill/>
              </a:ln>
              <a:effectLst/>
            </c:spPr>
            <c:extLst>
              <c:ext xmlns:c16="http://schemas.microsoft.com/office/drawing/2014/chart" uri="{C3380CC4-5D6E-409C-BE32-E72D297353CC}">
                <c16:uniqueId val="{00000009-9CFA-4246-B623-077658AD0D9C}"/>
              </c:ext>
            </c:extLst>
          </c:dPt>
          <c:dPt>
            <c:idx val="14"/>
            <c:invertIfNegative val="0"/>
            <c:bubble3D val="0"/>
            <c:spPr>
              <a:solidFill>
                <a:srgbClr val="FFE3E1"/>
              </a:solidFill>
              <a:ln>
                <a:noFill/>
              </a:ln>
              <a:effectLst/>
            </c:spPr>
            <c:extLst>
              <c:ext xmlns:c16="http://schemas.microsoft.com/office/drawing/2014/chart" uri="{C3380CC4-5D6E-409C-BE32-E72D297353CC}">
                <c16:uniqueId val="{0000000B-9CFA-4246-B623-077658AD0D9C}"/>
              </c:ext>
            </c:extLst>
          </c:dPt>
          <c:cat>
            <c:strRef>
              <c:f>Sheet2!$B$9:$U$9</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Sheet2!$B$10:$U$10</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C-9CFA-4246-B623-077658AD0D9C}"/>
            </c:ext>
          </c:extLst>
        </c:ser>
        <c:ser>
          <c:idx val="1"/>
          <c:order val="1"/>
          <c:spPr>
            <a:noFill/>
            <a:ln>
              <a:noFill/>
            </a:ln>
            <a:effectLst/>
          </c:spPr>
          <c:invertIfNegative val="0"/>
          <c:dPt>
            <c:idx val="4"/>
            <c:invertIfNegative val="0"/>
            <c:bubble3D val="0"/>
            <c:extLst>
              <c:ext xmlns:c16="http://schemas.microsoft.com/office/drawing/2014/chart" uri="{C3380CC4-5D6E-409C-BE32-E72D297353CC}">
                <c16:uniqueId val="{0000000E-9CFA-4246-B623-077658AD0D9C}"/>
              </c:ext>
            </c:extLst>
          </c:dPt>
          <c:dPt>
            <c:idx val="6"/>
            <c:invertIfNegative val="0"/>
            <c:bubble3D val="0"/>
            <c:spPr>
              <a:solidFill>
                <a:srgbClr val="00B0F0"/>
              </a:solidFill>
              <a:ln>
                <a:noFill/>
              </a:ln>
              <a:effectLst/>
            </c:spPr>
            <c:extLst>
              <c:ext xmlns:c16="http://schemas.microsoft.com/office/drawing/2014/chart" uri="{C3380CC4-5D6E-409C-BE32-E72D297353CC}">
                <c16:uniqueId val="{00000010-9CFA-4246-B623-077658AD0D9C}"/>
              </c:ext>
            </c:extLst>
          </c:dPt>
          <c:dPt>
            <c:idx val="8"/>
            <c:invertIfNegative val="0"/>
            <c:bubble3D val="0"/>
            <c:spPr>
              <a:solidFill>
                <a:srgbClr val="FF0000"/>
              </a:solidFill>
              <a:ln>
                <a:noFill/>
              </a:ln>
              <a:effectLst/>
            </c:spPr>
            <c:extLst>
              <c:ext xmlns:c16="http://schemas.microsoft.com/office/drawing/2014/chart" uri="{C3380CC4-5D6E-409C-BE32-E72D297353CC}">
                <c16:uniqueId val="{00000012-9CFA-4246-B623-077658AD0D9C}"/>
              </c:ext>
            </c:extLst>
          </c:dPt>
          <c:dPt>
            <c:idx val="10"/>
            <c:invertIfNegative val="0"/>
            <c:bubble3D val="0"/>
            <c:spPr>
              <a:solidFill>
                <a:srgbClr val="FFE3E1"/>
              </a:solidFill>
              <a:ln>
                <a:noFill/>
              </a:ln>
              <a:effectLst/>
            </c:spPr>
            <c:extLst>
              <c:ext xmlns:c16="http://schemas.microsoft.com/office/drawing/2014/chart" uri="{C3380CC4-5D6E-409C-BE32-E72D297353CC}">
                <c16:uniqueId val="{00000014-9CFA-4246-B623-077658AD0D9C}"/>
              </c:ext>
            </c:extLst>
          </c:dPt>
          <c:dPt>
            <c:idx val="13"/>
            <c:invertIfNegative val="0"/>
            <c:bubble3D val="0"/>
            <c:spPr>
              <a:solidFill>
                <a:srgbClr val="A40000"/>
              </a:solidFill>
              <a:ln>
                <a:noFill/>
              </a:ln>
              <a:effectLst/>
            </c:spPr>
            <c:extLst>
              <c:ext xmlns:c16="http://schemas.microsoft.com/office/drawing/2014/chart" uri="{C3380CC4-5D6E-409C-BE32-E72D297353CC}">
                <c16:uniqueId val="{00000016-9CFA-4246-B623-077658AD0D9C}"/>
              </c:ext>
            </c:extLst>
          </c:dPt>
          <c:cat>
            <c:strRef>
              <c:f>Sheet2!$B$9:$U$9</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Sheet2!$B$11:$U$11</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17-9CFA-4246-B623-077658AD0D9C}"/>
            </c:ext>
          </c:extLst>
        </c:ser>
        <c:ser>
          <c:idx val="2"/>
          <c:order val="2"/>
          <c:spPr>
            <a:noFill/>
            <a:ln>
              <a:noFill/>
            </a:ln>
            <a:effectLst/>
          </c:spPr>
          <c:invertIfNegative val="0"/>
          <c:dPt>
            <c:idx val="0"/>
            <c:invertIfNegative val="0"/>
            <c:bubble3D val="0"/>
            <c:spPr>
              <a:solidFill>
                <a:srgbClr val="FEE2E2"/>
              </a:solidFill>
              <a:ln>
                <a:noFill/>
              </a:ln>
              <a:effectLst/>
            </c:spPr>
            <c:extLst>
              <c:ext xmlns:c16="http://schemas.microsoft.com/office/drawing/2014/chart" uri="{C3380CC4-5D6E-409C-BE32-E72D297353CC}">
                <c16:uniqueId val="{00000038-211A-4ACD-83FB-F54209351A12}"/>
              </c:ext>
            </c:extLst>
          </c:dPt>
          <c:dPt>
            <c:idx val="4"/>
            <c:invertIfNegative val="0"/>
            <c:bubble3D val="0"/>
            <c:extLst>
              <c:ext xmlns:c16="http://schemas.microsoft.com/office/drawing/2014/chart" uri="{C3380CC4-5D6E-409C-BE32-E72D297353CC}">
                <c16:uniqueId val="{00000019-9CFA-4246-B623-077658AD0D9C}"/>
              </c:ext>
            </c:extLst>
          </c:dPt>
          <c:dPt>
            <c:idx val="6"/>
            <c:invertIfNegative val="0"/>
            <c:bubble3D val="0"/>
            <c:spPr>
              <a:solidFill>
                <a:srgbClr val="FFE3E1"/>
              </a:solidFill>
              <a:ln>
                <a:noFill/>
              </a:ln>
              <a:effectLst/>
            </c:spPr>
            <c:extLst>
              <c:ext xmlns:c16="http://schemas.microsoft.com/office/drawing/2014/chart" uri="{C3380CC4-5D6E-409C-BE32-E72D297353CC}">
                <c16:uniqueId val="{0000001B-9CFA-4246-B623-077658AD0D9C}"/>
              </c:ext>
            </c:extLst>
          </c:dPt>
          <c:dPt>
            <c:idx val="9"/>
            <c:invertIfNegative val="0"/>
            <c:bubble3D val="0"/>
            <c:spPr>
              <a:solidFill>
                <a:srgbClr val="FFA7A7"/>
              </a:solidFill>
              <a:ln>
                <a:noFill/>
              </a:ln>
              <a:effectLst/>
            </c:spPr>
            <c:extLst>
              <c:ext xmlns:c16="http://schemas.microsoft.com/office/drawing/2014/chart" uri="{C3380CC4-5D6E-409C-BE32-E72D297353CC}">
                <c16:uniqueId val="{0000001D-9CFA-4246-B623-077658AD0D9C}"/>
              </c:ext>
            </c:extLst>
          </c:dPt>
          <c:dPt>
            <c:idx val="10"/>
            <c:invertIfNegative val="0"/>
            <c:bubble3D val="0"/>
            <c:extLst>
              <c:ext xmlns:c16="http://schemas.microsoft.com/office/drawing/2014/chart" uri="{C3380CC4-5D6E-409C-BE32-E72D297353CC}">
                <c16:uniqueId val="{0000001F-9CFA-4246-B623-077658AD0D9C}"/>
              </c:ext>
            </c:extLst>
          </c:dPt>
          <c:dPt>
            <c:idx val="14"/>
            <c:invertIfNegative val="0"/>
            <c:bubble3D val="0"/>
            <c:spPr>
              <a:solidFill>
                <a:srgbClr val="FFA7A7"/>
              </a:solidFill>
              <a:ln>
                <a:noFill/>
              </a:ln>
              <a:effectLst/>
            </c:spPr>
            <c:extLst>
              <c:ext xmlns:c16="http://schemas.microsoft.com/office/drawing/2014/chart" uri="{C3380CC4-5D6E-409C-BE32-E72D297353CC}">
                <c16:uniqueId val="{00000021-9CFA-4246-B623-077658AD0D9C}"/>
              </c:ext>
            </c:extLst>
          </c:dPt>
          <c:dPt>
            <c:idx val="15"/>
            <c:invertIfNegative val="0"/>
            <c:bubble3D val="0"/>
            <c:spPr>
              <a:solidFill>
                <a:srgbClr val="FFE3E1"/>
              </a:solidFill>
              <a:ln>
                <a:noFill/>
              </a:ln>
              <a:effectLst/>
            </c:spPr>
            <c:extLst>
              <c:ext xmlns:c16="http://schemas.microsoft.com/office/drawing/2014/chart" uri="{C3380CC4-5D6E-409C-BE32-E72D297353CC}">
                <c16:uniqueId val="{00000023-9CFA-4246-B623-077658AD0D9C}"/>
              </c:ext>
            </c:extLst>
          </c:dPt>
          <c:cat>
            <c:strRef>
              <c:f>Sheet2!$B$9:$U$9</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Sheet2!$B$12:$U$12</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24-9CFA-4246-B623-077658AD0D9C}"/>
            </c:ext>
          </c:extLst>
        </c:ser>
        <c:ser>
          <c:idx val="3"/>
          <c:order val="3"/>
          <c:spPr>
            <a:noFill/>
            <a:ln>
              <a:noFill/>
            </a:ln>
            <a:effectLst/>
          </c:spPr>
          <c:invertIfNegative val="0"/>
          <c:dPt>
            <c:idx val="0"/>
            <c:invertIfNegative val="0"/>
            <c:bubble3D val="0"/>
            <c:extLst>
              <c:ext xmlns:c16="http://schemas.microsoft.com/office/drawing/2014/chart" uri="{C3380CC4-5D6E-409C-BE32-E72D297353CC}">
                <c16:uniqueId val="{00000026-9CFA-4246-B623-077658AD0D9C}"/>
              </c:ext>
            </c:extLst>
          </c:dPt>
          <c:dPt>
            <c:idx val="3"/>
            <c:invertIfNegative val="0"/>
            <c:bubble3D val="0"/>
            <c:spPr>
              <a:solidFill>
                <a:srgbClr val="FFA7A7"/>
              </a:solidFill>
              <a:ln>
                <a:noFill/>
              </a:ln>
              <a:effectLst/>
            </c:spPr>
            <c:extLst>
              <c:ext xmlns:c16="http://schemas.microsoft.com/office/drawing/2014/chart" uri="{C3380CC4-5D6E-409C-BE32-E72D297353CC}">
                <c16:uniqueId val="{00000028-9CFA-4246-B623-077658AD0D9C}"/>
              </c:ext>
            </c:extLst>
          </c:dPt>
          <c:dPt>
            <c:idx val="4"/>
            <c:invertIfNegative val="0"/>
            <c:bubble3D val="0"/>
            <c:spPr>
              <a:solidFill>
                <a:srgbClr val="FFA3A3"/>
              </a:solidFill>
              <a:ln>
                <a:noFill/>
              </a:ln>
              <a:effectLst/>
            </c:spPr>
            <c:extLst>
              <c:ext xmlns:c16="http://schemas.microsoft.com/office/drawing/2014/chart" uri="{C3380CC4-5D6E-409C-BE32-E72D297353CC}">
                <c16:uniqueId val="{00000035-F184-41B0-91ED-2ECD8AE1D30B}"/>
              </c:ext>
            </c:extLst>
          </c:dPt>
          <c:dPt>
            <c:idx val="5"/>
            <c:invertIfNegative val="0"/>
            <c:bubble3D val="0"/>
            <c:spPr>
              <a:solidFill>
                <a:srgbClr val="FFA7A7"/>
              </a:solidFill>
              <a:ln>
                <a:noFill/>
              </a:ln>
              <a:effectLst/>
            </c:spPr>
            <c:extLst>
              <c:ext xmlns:c16="http://schemas.microsoft.com/office/drawing/2014/chart" uri="{C3380CC4-5D6E-409C-BE32-E72D297353CC}">
                <c16:uniqueId val="{0000002A-9CFA-4246-B623-077658AD0D9C}"/>
              </c:ext>
            </c:extLst>
          </c:dPt>
          <c:dPt>
            <c:idx val="8"/>
            <c:invertIfNegative val="0"/>
            <c:bubble3D val="0"/>
            <c:spPr>
              <a:solidFill>
                <a:srgbClr val="FFE3E1"/>
              </a:solidFill>
              <a:ln>
                <a:noFill/>
              </a:ln>
              <a:effectLst/>
            </c:spPr>
            <c:extLst>
              <c:ext xmlns:c16="http://schemas.microsoft.com/office/drawing/2014/chart" uri="{C3380CC4-5D6E-409C-BE32-E72D297353CC}">
                <c16:uniqueId val="{0000002C-9CFA-4246-B623-077658AD0D9C}"/>
              </c:ext>
            </c:extLst>
          </c:dPt>
          <c:dPt>
            <c:idx val="9"/>
            <c:invertIfNegative val="0"/>
            <c:bubble3D val="0"/>
            <c:spPr>
              <a:solidFill>
                <a:srgbClr val="FFA7A7"/>
              </a:solidFill>
              <a:ln>
                <a:noFill/>
              </a:ln>
              <a:effectLst/>
            </c:spPr>
            <c:extLst>
              <c:ext xmlns:c16="http://schemas.microsoft.com/office/drawing/2014/chart" uri="{C3380CC4-5D6E-409C-BE32-E72D297353CC}">
                <c16:uniqueId val="{0000002E-9CFA-4246-B623-077658AD0D9C}"/>
              </c:ext>
            </c:extLst>
          </c:dPt>
          <c:dPt>
            <c:idx val="10"/>
            <c:invertIfNegative val="0"/>
            <c:bubble3D val="0"/>
            <c:spPr>
              <a:solidFill>
                <a:srgbClr val="FF0000"/>
              </a:solidFill>
              <a:ln>
                <a:noFill/>
              </a:ln>
              <a:effectLst/>
            </c:spPr>
            <c:extLst>
              <c:ext xmlns:c16="http://schemas.microsoft.com/office/drawing/2014/chart" uri="{C3380CC4-5D6E-409C-BE32-E72D297353CC}">
                <c16:uniqueId val="{00000030-9CFA-4246-B623-077658AD0D9C}"/>
              </c:ext>
            </c:extLst>
          </c:dPt>
          <c:cat>
            <c:strRef>
              <c:f>Sheet2!$B$9:$U$9</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Sheet2!$B$13:$U$13</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31-9CFA-4246-B623-077658AD0D9C}"/>
            </c:ext>
          </c:extLst>
        </c:ser>
        <c:ser>
          <c:idx val="4"/>
          <c:order val="4"/>
          <c:spPr>
            <a:noFill/>
            <a:ln>
              <a:noFill/>
            </a:ln>
            <a:effectLst/>
          </c:spPr>
          <c:invertIfNegative val="0"/>
          <c:dPt>
            <c:idx val="1"/>
            <c:invertIfNegative val="0"/>
            <c:bubble3D val="0"/>
            <c:spPr>
              <a:solidFill>
                <a:srgbClr val="FFA7A7"/>
              </a:solidFill>
              <a:ln>
                <a:noFill/>
              </a:ln>
              <a:effectLst/>
            </c:spPr>
            <c:extLst>
              <c:ext xmlns:c16="http://schemas.microsoft.com/office/drawing/2014/chart" uri="{C3380CC4-5D6E-409C-BE32-E72D297353CC}">
                <c16:uniqueId val="{00000033-9CFA-4246-B623-077658AD0D9C}"/>
              </c:ext>
            </c:extLst>
          </c:dPt>
          <c:dPt>
            <c:idx val="4"/>
            <c:invertIfNegative val="0"/>
            <c:bubble3D val="0"/>
            <c:spPr>
              <a:solidFill>
                <a:srgbClr val="FFA3A3"/>
              </a:solidFill>
              <a:ln>
                <a:noFill/>
              </a:ln>
              <a:effectLst/>
            </c:spPr>
            <c:extLst>
              <c:ext xmlns:c16="http://schemas.microsoft.com/office/drawing/2014/chart" uri="{C3380CC4-5D6E-409C-BE32-E72D297353CC}">
                <c16:uniqueId val="{00000034-F184-41B0-91ED-2ECD8AE1D30B}"/>
              </c:ext>
            </c:extLst>
          </c:dPt>
          <c:dPt>
            <c:idx val="6"/>
            <c:invertIfNegative val="0"/>
            <c:bubble3D val="0"/>
            <c:spPr>
              <a:solidFill>
                <a:srgbClr val="FFA7A7"/>
              </a:solidFill>
              <a:ln>
                <a:noFill/>
              </a:ln>
              <a:effectLst/>
            </c:spPr>
            <c:extLst>
              <c:ext xmlns:c16="http://schemas.microsoft.com/office/drawing/2014/chart" uri="{C3380CC4-5D6E-409C-BE32-E72D297353CC}">
                <c16:uniqueId val="{00000035-9CFA-4246-B623-077658AD0D9C}"/>
              </c:ext>
            </c:extLst>
          </c:dPt>
          <c:dPt>
            <c:idx val="9"/>
            <c:invertIfNegative val="0"/>
            <c:bubble3D val="0"/>
            <c:spPr>
              <a:solidFill>
                <a:srgbClr val="FFE3E1"/>
              </a:solidFill>
              <a:ln>
                <a:noFill/>
              </a:ln>
              <a:effectLst/>
            </c:spPr>
            <c:extLst>
              <c:ext xmlns:c16="http://schemas.microsoft.com/office/drawing/2014/chart" uri="{C3380CC4-5D6E-409C-BE32-E72D297353CC}">
                <c16:uniqueId val="{00000037-9CFA-4246-B623-077658AD0D9C}"/>
              </c:ext>
            </c:extLst>
          </c:dPt>
          <c:dPt>
            <c:idx val="15"/>
            <c:invertIfNegative val="0"/>
            <c:bubble3D val="0"/>
            <c:spPr>
              <a:solidFill>
                <a:srgbClr val="FFE3E1"/>
              </a:solidFill>
              <a:ln>
                <a:noFill/>
              </a:ln>
              <a:effectLst/>
            </c:spPr>
            <c:extLst>
              <c:ext xmlns:c16="http://schemas.microsoft.com/office/drawing/2014/chart" uri="{C3380CC4-5D6E-409C-BE32-E72D297353CC}">
                <c16:uniqueId val="{00000039-9CFA-4246-B623-077658AD0D9C}"/>
              </c:ext>
            </c:extLst>
          </c:dPt>
          <c:cat>
            <c:strRef>
              <c:f>Sheet2!$B$9:$U$9</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Sheet2!$B$14:$U$14</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3A-9CFA-4246-B623-077658AD0D9C}"/>
            </c:ext>
          </c:extLst>
        </c:ser>
        <c:dLbls>
          <c:showLegendKey val="0"/>
          <c:showVal val="0"/>
          <c:showCatName val="0"/>
          <c:showSerName val="0"/>
          <c:showPercent val="0"/>
          <c:showBubbleSize val="0"/>
        </c:dLbls>
        <c:gapWidth val="150"/>
        <c:overlap val="100"/>
        <c:axId val="99960320"/>
        <c:axId val="99962240"/>
      </c:barChart>
      <c:catAx>
        <c:axId val="9996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chemeClr val="tx1"/>
                    </a:solidFill>
                  </a:rPr>
                  <a:t>Individual participant numbers</a:t>
                </a:r>
              </a:p>
              <a:p>
                <a:pPr>
                  <a:defRPr/>
                </a:pPr>
                <a:r>
                  <a:rPr lang="en-US" baseline="0">
                    <a:solidFill>
                      <a:schemeClr val="tx1"/>
                    </a:solidFill>
                  </a:rPr>
                  <a:t>C= Comparison group	A= Azithromycin group</a:t>
                </a:r>
              </a:p>
            </c:rich>
          </c:tx>
          <c:layout>
            <c:manualLayout>
              <c:xMode val="edge"/>
              <c:yMode val="edge"/>
              <c:x val="0.29080613305372516"/>
              <c:y val="0.873101851851851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2240"/>
        <c:crosses val="autoZero"/>
        <c:auto val="1"/>
        <c:lblAlgn val="ctr"/>
        <c:lblOffset val="100"/>
        <c:noMultiLvlLbl val="0"/>
      </c:catAx>
      <c:valAx>
        <c:axId val="9996224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Swab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6032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distribution of </a:t>
            </a:r>
            <a:r>
              <a:rPr lang="en-US" i="1"/>
              <a:t>S. pneumoniae </a:t>
            </a:r>
            <a:r>
              <a:rPr lang="en-US"/>
              <a:t>isolates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ANT_SP!$A$2</c:f>
              <c:strCache>
                <c:ptCount val="1"/>
                <c:pt idx="0">
                  <c:v>Comparison Group</c:v>
                </c:pt>
              </c:strCache>
            </c:strRef>
          </c:tx>
          <c:spPr>
            <a:solidFill>
              <a:srgbClr val="00B0F0"/>
            </a:solidFill>
            <a:ln>
              <a:noFill/>
            </a:ln>
            <a:effectLst/>
          </c:spPr>
          <c:invertIfNegative val="0"/>
          <c:cat>
            <c:numRef>
              <c:f>ANT_SP!$B$1:$P$1</c:f>
              <c:numCache>
                <c:formatCode>General</c:formatCode>
                <c:ptCount val="15"/>
                <c:pt idx="0">
                  <c:v>0.25</c:v>
                </c:pt>
                <c:pt idx="1">
                  <c:v>0.5</c:v>
                </c:pt>
                <c:pt idx="2">
                  <c:v>0.75</c:v>
                </c:pt>
                <c:pt idx="3">
                  <c:v>1</c:v>
                </c:pt>
                <c:pt idx="4">
                  <c:v>1.5</c:v>
                </c:pt>
                <c:pt idx="5">
                  <c:v>2</c:v>
                </c:pt>
                <c:pt idx="6">
                  <c:v>3</c:v>
                </c:pt>
                <c:pt idx="7">
                  <c:v>4</c:v>
                </c:pt>
                <c:pt idx="14">
                  <c:v>256</c:v>
                </c:pt>
              </c:numCache>
            </c:numRef>
          </c:cat>
          <c:val>
            <c:numRef>
              <c:f>ANT_SP!$B$2:$P$2</c:f>
              <c:numCache>
                <c:formatCode>General</c:formatCode>
                <c:ptCount val="15"/>
                <c:pt idx="0">
                  <c:v>1</c:v>
                </c:pt>
                <c:pt idx="1">
                  <c:v>0</c:v>
                </c:pt>
                <c:pt idx="2">
                  <c:v>2</c:v>
                </c:pt>
                <c:pt idx="3">
                  <c:v>3</c:v>
                </c:pt>
                <c:pt idx="4">
                  <c:v>5</c:v>
                </c:pt>
                <c:pt idx="5">
                  <c:v>4</c:v>
                </c:pt>
                <c:pt idx="6">
                  <c:v>0</c:v>
                </c:pt>
                <c:pt idx="7">
                  <c:v>2</c:v>
                </c:pt>
                <c:pt idx="14">
                  <c:v>0</c:v>
                </c:pt>
              </c:numCache>
            </c:numRef>
          </c:val>
          <c:extLst>
            <c:ext xmlns:c16="http://schemas.microsoft.com/office/drawing/2014/chart" uri="{C3380CC4-5D6E-409C-BE32-E72D297353CC}">
              <c16:uniqueId val="{00000000-3EE7-4F4B-A456-859C6A5936C2}"/>
            </c:ext>
          </c:extLst>
        </c:ser>
        <c:ser>
          <c:idx val="1"/>
          <c:order val="1"/>
          <c:tx>
            <c:strRef>
              <c:f>ANT_SP!$A$3</c:f>
              <c:strCache>
                <c:ptCount val="1"/>
                <c:pt idx="0">
                  <c:v>Azithromycin Group</c:v>
                </c:pt>
              </c:strCache>
            </c:strRef>
          </c:tx>
          <c:spPr>
            <a:solidFill>
              <a:srgbClr val="92D050"/>
            </a:solidFill>
            <a:ln>
              <a:noFill/>
            </a:ln>
            <a:effectLst/>
          </c:spPr>
          <c:invertIfNegative val="0"/>
          <c:cat>
            <c:numRef>
              <c:f>ANT_SP!$B$1:$P$1</c:f>
              <c:numCache>
                <c:formatCode>General</c:formatCode>
                <c:ptCount val="15"/>
                <c:pt idx="0">
                  <c:v>0.25</c:v>
                </c:pt>
                <c:pt idx="1">
                  <c:v>0.5</c:v>
                </c:pt>
                <c:pt idx="2">
                  <c:v>0.75</c:v>
                </c:pt>
                <c:pt idx="3">
                  <c:v>1</c:v>
                </c:pt>
                <c:pt idx="4">
                  <c:v>1.5</c:v>
                </c:pt>
                <c:pt idx="5">
                  <c:v>2</c:v>
                </c:pt>
                <c:pt idx="6">
                  <c:v>3</c:v>
                </c:pt>
                <c:pt idx="7">
                  <c:v>4</c:v>
                </c:pt>
                <c:pt idx="14">
                  <c:v>256</c:v>
                </c:pt>
              </c:numCache>
            </c:numRef>
          </c:cat>
          <c:val>
            <c:numRef>
              <c:f>ANT_SP!$B$3:$P$3</c:f>
              <c:numCache>
                <c:formatCode>General</c:formatCode>
                <c:ptCount val="15"/>
                <c:pt idx="0">
                  <c:v>0</c:v>
                </c:pt>
                <c:pt idx="1">
                  <c:v>0</c:v>
                </c:pt>
                <c:pt idx="2">
                  <c:v>0</c:v>
                </c:pt>
                <c:pt idx="3">
                  <c:v>4</c:v>
                </c:pt>
                <c:pt idx="4">
                  <c:v>2</c:v>
                </c:pt>
                <c:pt idx="5">
                  <c:v>0</c:v>
                </c:pt>
                <c:pt idx="6">
                  <c:v>1</c:v>
                </c:pt>
                <c:pt idx="7">
                  <c:v>0</c:v>
                </c:pt>
                <c:pt idx="14">
                  <c:v>1</c:v>
                </c:pt>
              </c:numCache>
            </c:numRef>
          </c:val>
          <c:extLst>
            <c:ext xmlns:c16="http://schemas.microsoft.com/office/drawing/2014/chart" uri="{C3380CC4-5D6E-409C-BE32-E72D297353CC}">
              <c16:uniqueId val="{00000001-3EE7-4F4B-A456-859C6A5936C2}"/>
            </c:ext>
          </c:extLst>
        </c:ser>
        <c:dLbls>
          <c:showLegendKey val="0"/>
          <c:showVal val="0"/>
          <c:showCatName val="0"/>
          <c:showSerName val="0"/>
          <c:showPercent val="0"/>
          <c:showBubbleSize val="0"/>
        </c:dLbls>
        <c:gapWidth val="150"/>
        <c:overlap val="100"/>
        <c:axId val="127525248"/>
        <c:axId val="127527168"/>
      </c:barChart>
      <c:catAx>
        <c:axId val="12752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27168"/>
        <c:crosses val="autoZero"/>
        <c:auto val="1"/>
        <c:lblAlgn val="ctr"/>
        <c:lblOffset val="100"/>
        <c:noMultiLvlLbl val="0"/>
      </c:catAx>
      <c:valAx>
        <c:axId val="12752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layout>
            <c:manualLayout>
              <c:xMode val="edge"/>
              <c:yMode val="edge"/>
              <c:x val="2.1825396825396824E-2"/>
              <c:y val="0.145908372827804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3F65-402C-9F16-C9B49C0EBDE3}"/>
              </c:ext>
            </c:extLst>
          </c:dPt>
          <c:dPt>
            <c:idx val="2"/>
            <c:invertIfNegative val="0"/>
            <c:bubble3D val="0"/>
            <c:spPr>
              <a:solidFill>
                <a:srgbClr val="7030A0"/>
              </a:solidFill>
              <a:ln>
                <a:noFill/>
              </a:ln>
              <a:effectLst/>
            </c:spPr>
            <c:extLst>
              <c:ext xmlns:c16="http://schemas.microsoft.com/office/drawing/2014/chart" uri="{C3380CC4-5D6E-409C-BE32-E72D297353CC}">
                <c16:uniqueId val="{00000003-3F65-402C-9F16-C9B49C0EBDE3}"/>
              </c:ext>
            </c:extLst>
          </c:dPt>
          <c:dPt>
            <c:idx val="3"/>
            <c:invertIfNegative val="0"/>
            <c:bubble3D val="0"/>
            <c:spPr>
              <a:solidFill>
                <a:srgbClr val="FFE3E1"/>
              </a:solidFill>
              <a:ln>
                <a:noFill/>
              </a:ln>
              <a:effectLst/>
            </c:spPr>
            <c:extLst>
              <c:ext xmlns:c16="http://schemas.microsoft.com/office/drawing/2014/chart" uri="{C3380CC4-5D6E-409C-BE32-E72D297353CC}">
                <c16:uniqueId val="{00000005-3F65-402C-9F16-C9B49C0EBDE3}"/>
              </c:ext>
            </c:extLst>
          </c:dPt>
          <c:dPt>
            <c:idx val="8"/>
            <c:invertIfNegative val="0"/>
            <c:bubble3D val="0"/>
            <c:spPr>
              <a:solidFill>
                <a:srgbClr val="FFE3DD"/>
              </a:solidFill>
              <a:ln>
                <a:noFill/>
              </a:ln>
              <a:effectLst/>
            </c:spPr>
            <c:extLst>
              <c:ext xmlns:c16="http://schemas.microsoft.com/office/drawing/2014/chart" uri="{C3380CC4-5D6E-409C-BE32-E72D297353CC}">
                <c16:uniqueId val="{0000003A-7703-4BEF-AFEE-A6A58C1454EA}"/>
              </c:ext>
            </c:extLst>
          </c:dPt>
          <c:dPt>
            <c:idx val="9"/>
            <c:invertIfNegative val="0"/>
            <c:bubble3D val="0"/>
            <c:spPr>
              <a:solidFill>
                <a:srgbClr val="00B0F0"/>
              </a:solidFill>
              <a:ln>
                <a:noFill/>
              </a:ln>
              <a:effectLst/>
            </c:spPr>
            <c:extLst>
              <c:ext xmlns:c16="http://schemas.microsoft.com/office/drawing/2014/chart" uri="{C3380CC4-5D6E-409C-BE32-E72D297353CC}">
                <c16:uniqueId val="{00000007-3F65-402C-9F16-C9B49C0EBDE3}"/>
              </c:ext>
            </c:extLst>
          </c:dPt>
          <c:dPt>
            <c:idx val="10"/>
            <c:invertIfNegative val="0"/>
            <c:bubble3D val="0"/>
            <c:spPr>
              <a:solidFill>
                <a:srgbClr val="00B0F0"/>
              </a:solidFill>
              <a:ln>
                <a:noFill/>
              </a:ln>
              <a:effectLst/>
            </c:spPr>
            <c:extLst>
              <c:ext xmlns:c16="http://schemas.microsoft.com/office/drawing/2014/chart" uri="{C3380CC4-5D6E-409C-BE32-E72D297353CC}">
                <c16:uniqueId val="{00000009-3F65-402C-9F16-C9B49C0EBDE3}"/>
              </c:ext>
            </c:extLst>
          </c:dPt>
          <c:dPt>
            <c:idx val="19"/>
            <c:invertIfNegative val="0"/>
            <c:bubble3D val="0"/>
            <c:spPr>
              <a:solidFill>
                <a:srgbClr val="00B0F0"/>
              </a:solidFill>
              <a:ln>
                <a:noFill/>
              </a:ln>
              <a:effectLst/>
            </c:spPr>
            <c:extLst>
              <c:ext xmlns:c16="http://schemas.microsoft.com/office/drawing/2014/chart" uri="{C3380CC4-5D6E-409C-BE32-E72D297353CC}">
                <c16:uniqueId val="{0000000B-3F65-402C-9F16-C9B49C0EBDE3}"/>
              </c:ext>
            </c:extLst>
          </c:dPt>
          <c:cat>
            <c:strRef>
              <c:f>Sheet2!$B$46:$U$46</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Sheet2!$B$47:$U$47</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C-3F65-402C-9F16-C9B49C0EBDE3}"/>
            </c:ext>
          </c:extLst>
        </c:ser>
        <c:ser>
          <c:idx val="1"/>
          <c:order val="1"/>
          <c:spPr>
            <a:noFill/>
            <a:ln>
              <a:solidFill>
                <a:schemeClr val="bg1"/>
              </a:solidFill>
            </a:ln>
            <a:effectLst/>
          </c:spPr>
          <c:invertIfNegative val="0"/>
          <c:dPt>
            <c:idx val="2"/>
            <c:invertIfNegative val="0"/>
            <c:bubble3D val="0"/>
            <c:spPr>
              <a:solidFill>
                <a:srgbClr val="FFE3E1"/>
              </a:solidFill>
              <a:ln>
                <a:solidFill>
                  <a:schemeClr val="bg1"/>
                </a:solidFill>
              </a:ln>
              <a:effectLst/>
            </c:spPr>
            <c:extLst>
              <c:ext xmlns:c16="http://schemas.microsoft.com/office/drawing/2014/chart" uri="{C3380CC4-5D6E-409C-BE32-E72D297353CC}">
                <c16:uniqueId val="{0000000E-3F65-402C-9F16-C9B49C0EBDE3}"/>
              </c:ext>
            </c:extLst>
          </c:dPt>
          <c:dPt>
            <c:idx val="3"/>
            <c:invertIfNegative val="0"/>
            <c:bubble3D val="0"/>
            <c:spPr>
              <a:solidFill>
                <a:srgbClr val="FF0000"/>
              </a:solidFill>
              <a:ln>
                <a:solidFill>
                  <a:schemeClr val="bg1"/>
                </a:solidFill>
              </a:ln>
              <a:effectLst/>
            </c:spPr>
            <c:extLst>
              <c:ext xmlns:c16="http://schemas.microsoft.com/office/drawing/2014/chart" uri="{C3380CC4-5D6E-409C-BE32-E72D297353CC}">
                <c16:uniqueId val="{00000010-3F65-402C-9F16-C9B49C0EBDE3}"/>
              </c:ext>
            </c:extLst>
          </c:dPt>
          <c:dPt>
            <c:idx val="6"/>
            <c:invertIfNegative val="0"/>
            <c:bubble3D val="0"/>
            <c:spPr>
              <a:solidFill>
                <a:srgbClr val="00B0F0"/>
              </a:solidFill>
              <a:ln>
                <a:solidFill>
                  <a:schemeClr val="bg1"/>
                </a:solidFill>
              </a:ln>
              <a:effectLst/>
            </c:spPr>
            <c:extLst>
              <c:ext xmlns:c16="http://schemas.microsoft.com/office/drawing/2014/chart" uri="{C3380CC4-5D6E-409C-BE32-E72D297353CC}">
                <c16:uniqueId val="{00000012-3F65-402C-9F16-C9B49C0EBDE3}"/>
              </c:ext>
            </c:extLst>
          </c:dPt>
          <c:dPt>
            <c:idx val="8"/>
            <c:invertIfNegative val="0"/>
            <c:bubble3D val="0"/>
            <c:spPr>
              <a:solidFill>
                <a:srgbClr val="00B0F0"/>
              </a:solidFill>
              <a:ln>
                <a:solidFill>
                  <a:schemeClr val="bg1"/>
                </a:solidFill>
              </a:ln>
              <a:effectLst/>
            </c:spPr>
            <c:extLst>
              <c:ext xmlns:c16="http://schemas.microsoft.com/office/drawing/2014/chart" uri="{C3380CC4-5D6E-409C-BE32-E72D297353CC}">
                <c16:uniqueId val="{00000014-3F65-402C-9F16-C9B49C0EBDE3}"/>
              </c:ext>
            </c:extLst>
          </c:dPt>
          <c:dPt>
            <c:idx val="9"/>
            <c:invertIfNegative val="0"/>
            <c:bubble3D val="0"/>
            <c:spPr>
              <a:solidFill>
                <a:srgbClr val="00B0F0"/>
              </a:solidFill>
              <a:ln>
                <a:solidFill>
                  <a:schemeClr val="bg1"/>
                </a:solidFill>
              </a:ln>
              <a:effectLst/>
            </c:spPr>
            <c:extLst>
              <c:ext xmlns:c16="http://schemas.microsoft.com/office/drawing/2014/chart" uri="{C3380CC4-5D6E-409C-BE32-E72D297353CC}">
                <c16:uniqueId val="{00000016-3F65-402C-9F16-C9B49C0EBDE3}"/>
              </c:ext>
            </c:extLst>
          </c:dPt>
          <c:dPt>
            <c:idx val="13"/>
            <c:invertIfNegative val="0"/>
            <c:bubble3D val="0"/>
            <c:spPr>
              <a:solidFill>
                <a:srgbClr val="00B0F0"/>
              </a:solidFill>
              <a:ln>
                <a:solidFill>
                  <a:schemeClr val="bg1"/>
                </a:solidFill>
              </a:ln>
              <a:effectLst/>
            </c:spPr>
            <c:extLst>
              <c:ext xmlns:c16="http://schemas.microsoft.com/office/drawing/2014/chart" uri="{C3380CC4-5D6E-409C-BE32-E72D297353CC}">
                <c16:uniqueId val="{00000018-3F65-402C-9F16-C9B49C0EBDE3}"/>
              </c:ext>
            </c:extLst>
          </c:dPt>
          <c:dPt>
            <c:idx val="15"/>
            <c:invertIfNegative val="0"/>
            <c:bubble3D val="0"/>
            <c:spPr>
              <a:solidFill>
                <a:srgbClr val="00B0F0"/>
              </a:solidFill>
              <a:ln>
                <a:solidFill>
                  <a:schemeClr val="bg1"/>
                </a:solidFill>
              </a:ln>
              <a:effectLst/>
            </c:spPr>
            <c:extLst>
              <c:ext xmlns:c16="http://schemas.microsoft.com/office/drawing/2014/chart" uri="{C3380CC4-5D6E-409C-BE32-E72D297353CC}">
                <c16:uniqueId val="{0000001A-3F65-402C-9F16-C9B49C0EBDE3}"/>
              </c:ext>
            </c:extLst>
          </c:dPt>
          <c:cat>
            <c:strRef>
              <c:f>Sheet2!$B$46:$U$46</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Sheet2!$B$48:$U$48</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1B-3F65-402C-9F16-C9B49C0EBDE3}"/>
            </c:ext>
          </c:extLst>
        </c:ser>
        <c:ser>
          <c:idx val="2"/>
          <c:order val="2"/>
          <c:spPr>
            <a:noFill/>
            <a:ln>
              <a:noFill/>
            </a:ln>
            <a:effectLst/>
          </c:spPr>
          <c:invertIfNegative val="0"/>
          <c:dPt>
            <c:idx val="5"/>
            <c:invertIfNegative val="0"/>
            <c:bubble3D val="0"/>
            <c:spPr>
              <a:solidFill>
                <a:srgbClr val="00B0F0"/>
              </a:solidFill>
              <a:ln>
                <a:noFill/>
              </a:ln>
              <a:effectLst/>
            </c:spPr>
            <c:extLst>
              <c:ext xmlns:c16="http://schemas.microsoft.com/office/drawing/2014/chart" uri="{C3380CC4-5D6E-409C-BE32-E72D297353CC}">
                <c16:uniqueId val="{0000001D-3F65-402C-9F16-C9B49C0EBDE3}"/>
              </c:ext>
            </c:extLst>
          </c:dPt>
          <c:dPt>
            <c:idx val="6"/>
            <c:invertIfNegative val="0"/>
            <c:bubble3D val="0"/>
            <c:spPr>
              <a:solidFill>
                <a:srgbClr val="00B0F0"/>
              </a:solidFill>
              <a:ln>
                <a:noFill/>
              </a:ln>
              <a:effectLst/>
            </c:spPr>
            <c:extLst>
              <c:ext xmlns:c16="http://schemas.microsoft.com/office/drawing/2014/chart" uri="{C3380CC4-5D6E-409C-BE32-E72D297353CC}">
                <c16:uniqueId val="{0000001F-3F65-402C-9F16-C9B49C0EBDE3}"/>
              </c:ext>
            </c:extLst>
          </c:dPt>
          <c:dPt>
            <c:idx val="8"/>
            <c:invertIfNegative val="0"/>
            <c:bubble3D val="0"/>
            <c:spPr>
              <a:solidFill>
                <a:srgbClr val="00B0F0"/>
              </a:solidFill>
              <a:ln>
                <a:noFill/>
              </a:ln>
              <a:effectLst/>
            </c:spPr>
            <c:extLst>
              <c:ext xmlns:c16="http://schemas.microsoft.com/office/drawing/2014/chart" uri="{C3380CC4-5D6E-409C-BE32-E72D297353CC}">
                <c16:uniqueId val="{00000021-3F65-402C-9F16-C9B49C0EBDE3}"/>
              </c:ext>
            </c:extLst>
          </c:dPt>
          <c:dPt>
            <c:idx val="10"/>
            <c:invertIfNegative val="0"/>
            <c:bubble3D val="0"/>
            <c:spPr>
              <a:solidFill>
                <a:srgbClr val="00B0F0"/>
              </a:solidFill>
              <a:ln>
                <a:noFill/>
              </a:ln>
              <a:effectLst/>
            </c:spPr>
            <c:extLst>
              <c:ext xmlns:c16="http://schemas.microsoft.com/office/drawing/2014/chart" uri="{C3380CC4-5D6E-409C-BE32-E72D297353CC}">
                <c16:uniqueId val="{00000023-3F65-402C-9F16-C9B49C0EBDE3}"/>
              </c:ext>
            </c:extLst>
          </c:dPt>
          <c:dPt>
            <c:idx val="14"/>
            <c:invertIfNegative val="0"/>
            <c:bubble3D val="0"/>
            <c:spPr>
              <a:solidFill>
                <a:srgbClr val="A40000"/>
              </a:solidFill>
              <a:ln>
                <a:noFill/>
              </a:ln>
              <a:effectLst/>
            </c:spPr>
            <c:extLst>
              <c:ext xmlns:c16="http://schemas.microsoft.com/office/drawing/2014/chart" uri="{C3380CC4-5D6E-409C-BE32-E72D297353CC}">
                <c16:uniqueId val="{00000025-3F65-402C-9F16-C9B49C0EBDE3}"/>
              </c:ext>
            </c:extLst>
          </c:dPt>
          <c:cat>
            <c:strRef>
              <c:f>Sheet2!$B$46:$U$46</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Sheet2!$B$49:$U$49</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26-3F65-402C-9F16-C9B49C0EBDE3}"/>
            </c:ext>
          </c:extLst>
        </c:ser>
        <c:ser>
          <c:idx val="3"/>
          <c:order val="3"/>
          <c:spPr>
            <a:noFill/>
            <a:ln>
              <a:noFill/>
            </a:ln>
            <a:effectLst/>
          </c:spPr>
          <c:invertIfNegative val="0"/>
          <c:dPt>
            <c:idx val="3"/>
            <c:invertIfNegative val="0"/>
            <c:bubble3D val="0"/>
            <c:spPr>
              <a:solidFill>
                <a:srgbClr val="00B0F0"/>
              </a:solidFill>
              <a:ln>
                <a:noFill/>
              </a:ln>
              <a:effectLst/>
            </c:spPr>
            <c:extLst>
              <c:ext xmlns:c16="http://schemas.microsoft.com/office/drawing/2014/chart" uri="{C3380CC4-5D6E-409C-BE32-E72D297353CC}">
                <c16:uniqueId val="{00000028-3F65-402C-9F16-C9B49C0EBDE3}"/>
              </c:ext>
            </c:extLst>
          </c:dPt>
          <c:dPt>
            <c:idx val="5"/>
            <c:invertIfNegative val="0"/>
            <c:bubble3D val="0"/>
            <c:spPr>
              <a:solidFill>
                <a:srgbClr val="00B0F0"/>
              </a:solidFill>
              <a:ln>
                <a:noFill/>
              </a:ln>
              <a:effectLst/>
            </c:spPr>
            <c:extLst>
              <c:ext xmlns:c16="http://schemas.microsoft.com/office/drawing/2014/chart" uri="{C3380CC4-5D6E-409C-BE32-E72D297353CC}">
                <c16:uniqueId val="{0000002A-3F65-402C-9F16-C9B49C0EBDE3}"/>
              </c:ext>
            </c:extLst>
          </c:dPt>
          <c:dPt>
            <c:idx val="6"/>
            <c:invertIfNegative val="0"/>
            <c:bubble3D val="0"/>
            <c:spPr>
              <a:solidFill>
                <a:srgbClr val="00B0F0"/>
              </a:solidFill>
              <a:ln>
                <a:noFill/>
              </a:ln>
              <a:effectLst/>
            </c:spPr>
            <c:extLst>
              <c:ext xmlns:c16="http://schemas.microsoft.com/office/drawing/2014/chart" uri="{C3380CC4-5D6E-409C-BE32-E72D297353CC}">
                <c16:uniqueId val="{0000002C-3F65-402C-9F16-C9B49C0EBDE3}"/>
              </c:ext>
            </c:extLst>
          </c:dPt>
          <c:dPt>
            <c:idx val="8"/>
            <c:invertIfNegative val="0"/>
            <c:bubble3D val="0"/>
            <c:spPr>
              <a:solidFill>
                <a:srgbClr val="FFE3E1"/>
              </a:solidFill>
              <a:ln>
                <a:noFill/>
              </a:ln>
              <a:effectLst/>
            </c:spPr>
            <c:extLst>
              <c:ext xmlns:c16="http://schemas.microsoft.com/office/drawing/2014/chart" uri="{C3380CC4-5D6E-409C-BE32-E72D297353CC}">
                <c16:uniqueId val="{0000002E-3F65-402C-9F16-C9B49C0EBDE3}"/>
              </c:ext>
            </c:extLst>
          </c:dPt>
          <c:dPt>
            <c:idx val="10"/>
            <c:invertIfNegative val="0"/>
            <c:bubble3D val="0"/>
            <c:spPr>
              <a:solidFill>
                <a:srgbClr val="FFE3E1"/>
              </a:solidFill>
              <a:ln>
                <a:noFill/>
              </a:ln>
              <a:effectLst/>
            </c:spPr>
            <c:extLst>
              <c:ext xmlns:c16="http://schemas.microsoft.com/office/drawing/2014/chart" uri="{C3380CC4-5D6E-409C-BE32-E72D297353CC}">
                <c16:uniqueId val="{00000030-3F65-402C-9F16-C9B49C0EBDE3}"/>
              </c:ext>
            </c:extLst>
          </c:dPt>
          <c:dPt>
            <c:idx val="13"/>
            <c:invertIfNegative val="0"/>
            <c:bubble3D val="0"/>
            <c:spPr>
              <a:solidFill>
                <a:srgbClr val="FFE3E1"/>
              </a:solidFill>
              <a:ln>
                <a:noFill/>
              </a:ln>
              <a:effectLst/>
            </c:spPr>
            <c:extLst>
              <c:ext xmlns:c16="http://schemas.microsoft.com/office/drawing/2014/chart" uri="{C3380CC4-5D6E-409C-BE32-E72D297353CC}">
                <c16:uniqueId val="{00000032-3F65-402C-9F16-C9B49C0EBDE3}"/>
              </c:ext>
            </c:extLst>
          </c:dPt>
          <c:dPt>
            <c:idx val="19"/>
            <c:invertIfNegative val="0"/>
            <c:bubble3D val="0"/>
            <c:spPr>
              <a:solidFill>
                <a:srgbClr val="7030A0"/>
              </a:solidFill>
              <a:ln>
                <a:noFill/>
              </a:ln>
              <a:effectLst/>
            </c:spPr>
            <c:extLst>
              <c:ext xmlns:c16="http://schemas.microsoft.com/office/drawing/2014/chart" uri="{C3380CC4-5D6E-409C-BE32-E72D297353CC}">
                <c16:uniqueId val="{00000034-3F65-402C-9F16-C9B49C0EBDE3}"/>
              </c:ext>
            </c:extLst>
          </c:dPt>
          <c:cat>
            <c:strRef>
              <c:f>Sheet2!$B$46:$U$46</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Sheet2!$B$50:$U$50</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35-3F65-402C-9F16-C9B49C0EBDE3}"/>
            </c:ext>
          </c:extLst>
        </c:ser>
        <c:ser>
          <c:idx val="4"/>
          <c:order val="4"/>
          <c:spPr>
            <a:noFill/>
            <a:ln>
              <a:noFill/>
            </a:ln>
            <a:effectLst/>
          </c:spPr>
          <c:invertIfNegative val="0"/>
          <c:dPt>
            <c:idx val="3"/>
            <c:invertIfNegative val="0"/>
            <c:bubble3D val="0"/>
            <c:spPr>
              <a:solidFill>
                <a:srgbClr val="00B0F0"/>
              </a:solidFill>
              <a:ln>
                <a:noFill/>
              </a:ln>
              <a:effectLst/>
            </c:spPr>
            <c:extLst>
              <c:ext xmlns:c16="http://schemas.microsoft.com/office/drawing/2014/chart" uri="{C3380CC4-5D6E-409C-BE32-E72D297353CC}">
                <c16:uniqueId val="{00000037-3F65-402C-9F16-C9B49C0EBDE3}"/>
              </c:ext>
            </c:extLst>
          </c:dPt>
          <c:dPt>
            <c:idx val="8"/>
            <c:invertIfNegative val="0"/>
            <c:bubble3D val="0"/>
            <c:spPr>
              <a:solidFill>
                <a:srgbClr val="00B0F0"/>
              </a:solidFill>
              <a:ln>
                <a:noFill/>
              </a:ln>
              <a:effectLst/>
            </c:spPr>
            <c:extLst>
              <c:ext xmlns:c16="http://schemas.microsoft.com/office/drawing/2014/chart" uri="{C3380CC4-5D6E-409C-BE32-E72D297353CC}">
                <c16:uniqueId val="{00000039-3F65-402C-9F16-C9B49C0EBDE3}"/>
              </c:ext>
            </c:extLst>
          </c:dPt>
          <c:dPt>
            <c:idx val="10"/>
            <c:invertIfNegative val="0"/>
            <c:bubble3D val="0"/>
            <c:spPr>
              <a:solidFill>
                <a:srgbClr val="00B0F0"/>
              </a:solidFill>
              <a:ln>
                <a:noFill/>
              </a:ln>
              <a:effectLst/>
            </c:spPr>
            <c:extLst>
              <c:ext xmlns:c16="http://schemas.microsoft.com/office/drawing/2014/chart" uri="{C3380CC4-5D6E-409C-BE32-E72D297353CC}">
                <c16:uniqueId val="{0000003B-3F65-402C-9F16-C9B49C0EBDE3}"/>
              </c:ext>
            </c:extLst>
          </c:dPt>
          <c:dPt>
            <c:idx val="13"/>
            <c:invertIfNegative val="0"/>
            <c:bubble3D val="0"/>
            <c:spPr>
              <a:solidFill>
                <a:srgbClr val="00B0F0"/>
              </a:solidFill>
              <a:ln>
                <a:noFill/>
              </a:ln>
              <a:effectLst/>
            </c:spPr>
            <c:extLst>
              <c:ext xmlns:c16="http://schemas.microsoft.com/office/drawing/2014/chart" uri="{C3380CC4-5D6E-409C-BE32-E72D297353CC}">
                <c16:uniqueId val="{0000003D-3F65-402C-9F16-C9B49C0EBDE3}"/>
              </c:ext>
            </c:extLst>
          </c:dPt>
          <c:cat>
            <c:strRef>
              <c:f>Sheet2!$B$46:$U$46</c:f>
              <c:strCache>
                <c:ptCount val="20"/>
                <c:pt idx="0">
                  <c:v>C1</c:v>
                </c:pt>
                <c:pt idx="1">
                  <c:v>C2</c:v>
                </c:pt>
                <c:pt idx="2">
                  <c:v>C3</c:v>
                </c:pt>
                <c:pt idx="3">
                  <c:v>C4</c:v>
                </c:pt>
                <c:pt idx="4">
                  <c:v>C5</c:v>
                </c:pt>
                <c:pt idx="5">
                  <c:v>C6</c:v>
                </c:pt>
                <c:pt idx="6">
                  <c:v>C7</c:v>
                </c:pt>
                <c:pt idx="7">
                  <c:v>C8</c:v>
                </c:pt>
                <c:pt idx="8">
                  <c:v>C9</c:v>
                </c:pt>
                <c:pt idx="9">
                  <c:v>C10</c:v>
                </c:pt>
                <c:pt idx="10">
                  <c:v>A1</c:v>
                </c:pt>
                <c:pt idx="11">
                  <c:v>A2</c:v>
                </c:pt>
                <c:pt idx="12">
                  <c:v>A3</c:v>
                </c:pt>
                <c:pt idx="13">
                  <c:v>A4</c:v>
                </c:pt>
                <c:pt idx="14">
                  <c:v>A5</c:v>
                </c:pt>
                <c:pt idx="15">
                  <c:v>A6</c:v>
                </c:pt>
                <c:pt idx="16">
                  <c:v>A7</c:v>
                </c:pt>
                <c:pt idx="17">
                  <c:v>A8</c:v>
                </c:pt>
                <c:pt idx="18">
                  <c:v>A9</c:v>
                </c:pt>
                <c:pt idx="19">
                  <c:v>A10</c:v>
                </c:pt>
              </c:strCache>
            </c:strRef>
          </c:cat>
          <c:val>
            <c:numRef>
              <c:f>Sheet2!$B$51:$U$51</c:f>
              <c:numCache>
                <c:formatCode>General</c:formatCode>
                <c:ptCount val="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3E-3F65-402C-9F16-C9B49C0EBDE3}"/>
            </c:ext>
          </c:extLst>
        </c:ser>
        <c:dLbls>
          <c:showLegendKey val="0"/>
          <c:showVal val="0"/>
          <c:showCatName val="0"/>
          <c:showSerName val="0"/>
          <c:showPercent val="0"/>
          <c:showBubbleSize val="0"/>
        </c:dLbls>
        <c:gapWidth val="150"/>
        <c:overlap val="100"/>
        <c:axId val="127239680"/>
        <c:axId val="127241600"/>
      </c:barChart>
      <c:catAx>
        <c:axId val="127239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solidFill>
                      <a:schemeClr val="tx1"/>
                    </a:solidFill>
                  </a:rPr>
                  <a:t>Individual participant numbers</a:t>
                </a:r>
              </a:p>
              <a:p>
                <a:pPr>
                  <a:defRPr/>
                </a:pPr>
                <a:r>
                  <a:rPr lang="en-US" baseline="0">
                    <a:solidFill>
                      <a:schemeClr val="tx1"/>
                    </a:solidFill>
                  </a:rPr>
                  <a:t>C= Comparison group	A= Azithromycin group</a:t>
                </a:r>
              </a:p>
            </c:rich>
          </c:tx>
          <c:layout>
            <c:manualLayout>
              <c:xMode val="edge"/>
              <c:yMode val="edge"/>
              <c:x val="0.29742111217201261"/>
              <c:y val="0.873101851851851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241600"/>
        <c:crosses val="autoZero"/>
        <c:auto val="1"/>
        <c:lblAlgn val="ctr"/>
        <c:lblOffset val="100"/>
        <c:noMultiLvlLbl val="0"/>
      </c:catAx>
      <c:valAx>
        <c:axId val="127241600"/>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solidFill>
                      <a:schemeClr val="tx1"/>
                    </a:solidFill>
                  </a:rPr>
                  <a:t>Swab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23968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MIC distribution</a:t>
            </a:r>
            <a:r>
              <a:rPr lang="en-GB" baseline="0"/>
              <a:t> of </a:t>
            </a:r>
            <a:r>
              <a:rPr lang="en-GB" i="1" baseline="0"/>
              <a:t>H. influenzae </a:t>
            </a:r>
            <a:r>
              <a:rPr lang="en-GB" baseline="0"/>
              <a:t>isolates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ANT_HI!$A$2</c:f>
              <c:strCache>
                <c:ptCount val="1"/>
                <c:pt idx="0">
                  <c:v>Comparison Group</c:v>
                </c:pt>
              </c:strCache>
            </c:strRef>
          </c:tx>
          <c:spPr>
            <a:solidFill>
              <a:srgbClr val="00B0F0"/>
            </a:solidFill>
            <a:ln>
              <a:noFill/>
            </a:ln>
            <a:effectLst/>
          </c:spPr>
          <c:invertIfNegative val="0"/>
          <c:cat>
            <c:numRef>
              <c:f>ANT_HI!$B$1:$V$1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ANT_HI!$B$2:$V$2</c:f>
              <c:numCache>
                <c:formatCode>General</c:formatCode>
                <c:ptCount val="21"/>
                <c:pt idx="0">
                  <c:v>1</c:v>
                </c:pt>
                <c:pt idx="1">
                  <c:v>0</c:v>
                </c:pt>
                <c:pt idx="2">
                  <c:v>0</c:v>
                </c:pt>
                <c:pt idx="3">
                  <c:v>1</c:v>
                </c:pt>
                <c:pt idx="4">
                  <c:v>1</c:v>
                </c:pt>
                <c:pt idx="5">
                  <c:v>2</c:v>
                </c:pt>
                <c:pt idx="6">
                  <c:v>2</c:v>
                </c:pt>
                <c:pt idx="7">
                  <c:v>6</c:v>
                </c:pt>
                <c:pt idx="8">
                  <c:v>5</c:v>
                </c:pt>
                <c:pt idx="9">
                  <c:v>0</c:v>
                </c:pt>
                <c:pt idx="11">
                  <c:v>1</c:v>
                </c:pt>
                <c:pt idx="13">
                  <c:v>0</c:v>
                </c:pt>
                <c:pt idx="16">
                  <c:v>0</c:v>
                </c:pt>
                <c:pt idx="20">
                  <c:v>0</c:v>
                </c:pt>
              </c:numCache>
            </c:numRef>
          </c:val>
          <c:extLst>
            <c:ext xmlns:c16="http://schemas.microsoft.com/office/drawing/2014/chart" uri="{C3380CC4-5D6E-409C-BE32-E72D297353CC}">
              <c16:uniqueId val="{00000000-5F48-406F-8386-DFFB38B62ADC}"/>
            </c:ext>
          </c:extLst>
        </c:ser>
        <c:ser>
          <c:idx val="1"/>
          <c:order val="1"/>
          <c:tx>
            <c:strRef>
              <c:f>ANT_HI!$A$3</c:f>
              <c:strCache>
                <c:ptCount val="1"/>
                <c:pt idx="0">
                  <c:v>Azithromycin Group</c:v>
                </c:pt>
              </c:strCache>
            </c:strRef>
          </c:tx>
          <c:spPr>
            <a:solidFill>
              <a:srgbClr val="92D050"/>
            </a:solidFill>
            <a:ln>
              <a:noFill/>
            </a:ln>
            <a:effectLst/>
          </c:spPr>
          <c:invertIfNegative val="0"/>
          <c:cat>
            <c:numRef>
              <c:f>ANT_HI!$B$1:$V$1</c:f>
              <c:numCache>
                <c:formatCode>General</c:formatCode>
                <c:ptCount val="21"/>
                <c:pt idx="0">
                  <c:v>0</c:v>
                </c:pt>
                <c:pt idx="1">
                  <c:v>0.19</c:v>
                </c:pt>
                <c:pt idx="2">
                  <c:v>0.75</c:v>
                </c:pt>
                <c:pt idx="3">
                  <c:v>1</c:v>
                </c:pt>
                <c:pt idx="4">
                  <c:v>1.5</c:v>
                </c:pt>
                <c:pt idx="5">
                  <c:v>2</c:v>
                </c:pt>
                <c:pt idx="6">
                  <c:v>3</c:v>
                </c:pt>
                <c:pt idx="7">
                  <c:v>4</c:v>
                </c:pt>
                <c:pt idx="8">
                  <c:v>6</c:v>
                </c:pt>
                <c:pt idx="9">
                  <c:v>8</c:v>
                </c:pt>
                <c:pt idx="11">
                  <c:v>12</c:v>
                </c:pt>
                <c:pt idx="13">
                  <c:v>16</c:v>
                </c:pt>
                <c:pt idx="16">
                  <c:v>24</c:v>
                </c:pt>
                <c:pt idx="20">
                  <c:v>48</c:v>
                </c:pt>
              </c:numCache>
            </c:numRef>
          </c:cat>
          <c:val>
            <c:numRef>
              <c:f>ANT_HI!$B$3:$V$3</c:f>
              <c:numCache>
                <c:formatCode>General</c:formatCode>
                <c:ptCount val="21"/>
                <c:pt idx="0">
                  <c:v>1</c:v>
                </c:pt>
                <c:pt idx="1">
                  <c:v>1</c:v>
                </c:pt>
                <c:pt idx="2">
                  <c:v>0</c:v>
                </c:pt>
                <c:pt idx="3">
                  <c:v>0</c:v>
                </c:pt>
                <c:pt idx="4">
                  <c:v>0</c:v>
                </c:pt>
                <c:pt idx="5">
                  <c:v>0</c:v>
                </c:pt>
                <c:pt idx="6">
                  <c:v>2</c:v>
                </c:pt>
                <c:pt idx="7">
                  <c:v>4</c:v>
                </c:pt>
                <c:pt idx="8">
                  <c:v>2</c:v>
                </c:pt>
                <c:pt idx="9">
                  <c:v>0</c:v>
                </c:pt>
                <c:pt idx="11">
                  <c:v>0</c:v>
                </c:pt>
                <c:pt idx="13">
                  <c:v>0</c:v>
                </c:pt>
                <c:pt idx="16">
                  <c:v>0</c:v>
                </c:pt>
                <c:pt idx="20">
                  <c:v>1</c:v>
                </c:pt>
              </c:numCache>
            </c:numRef>
          </c:val>
          <c:extLst>
            <c:ext xmlns:c16="http://schemas.microsoft.com/office/drawing/2014/chart" uri="{C3380CC4-5D6E-409C-BE32-E72D297353CC}">
              <c16:uniqueId val="{00000001-5F48-406F-8386-DFFB38B62ADC}"/>
            </c:ext>
          </c:extLst>
        </c:ser>
        <c:dLbls>
          <c:showLegendKey val="0"/>
          <c:showVal val="0"/>
          <c:showCatName val="0"/>
          <c:showSerName val="0"/>
          <c:showPercent val="0"/>
          <c:showBubbleSize val="0"/>
        </c:dLbls>
        <c:gapWidth val="150"/>
        <c:overlap val="100"/>
        <c:axId val="127560704"/>
        <c:axId val="127575168"/>
      </c:barChart>
      <c:catAx>
        <c:axId val="12756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75168"/>
        <c:crosses val="autoZero"/>
        <c:auto val="1"/>
        <c:lblAlgn val="ctr"/>
        <c:lblOffset val="100"/>
        <c:noMultiLvlLbl val="0"/>
      </c:catAx>
      <c:valAx>
        <c:axId val="12757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layout>
            <c:manualLayout>
              <c:xMode val="edge"/>
              <c:yMode val="edge"/>
              <c:x val="2.3391812865497075E-2"/>
              <c:y val="0.173395061728395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5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574686943917771E-2"/>
          <c:y val="0.12593990115123849"/>
          <c:w val="0.95679753911222387"/>
          <c:h val="0.70152212623465571"/>
        </c:manualLayout>
      </c:layout>
      <c:barChart>
        <c:barDir val="col"/>
        <c:grouping val="stacked"/>
        <c:varyColors val="0"/>
        <c:ser>
          <c:idx val="0"/>
          <c:order val="0"/>
          <c:tx>
            <c:strRef>
              <c:f>'all swab resistance'!$A$2</c:f>
              <c:strCache>
                <c:ptCount val="1"/>
                <c:pt idx="0">
                  <c:v>Swab 1</c:v>
                </c:pt>
              </c:strCache>
            </c:strRef>
          </c:tx>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46E-427E-9547-A309DC9A5BE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3-146E-427E-9547-A309DC9A5BEA}"/>
              </c:ext>
            </c:extLst>
          </c:dPt>
          <c:dPt>
            <c:idx val="2"/>
            <c:invertIfNegative val="0"/>
            <c:bubble3D val="0"/>
            <c:spPr>
              <a:solidFill>
                <a:srgbClr val="FF0000"/>
              </a:solidFill>
              <a:ln>
                <a:noFill/>
              </a:ln>
              <a:effectLst/>
            </c:spPr>
            <c:extLst>
              <c:ext xmlns:c16="http://schemas.microsoft.com/office/drawing/2014/chart" uri="{C3380CC4-5D6E-409C-BE32-E72D297353CC}">
                <c16:uniqueId val="{00000005-146E-427E-9547-A309DC9A5BEA}"/>
              </c:ext>
            </c:extLst>
          </c:dPt>
          <c:dPt>
            <c:idx val="3"/>
            <c:invertIfNegative val="0"/>
            <c:bubble3D val="0"/>
            <c:spPr>
              <a:solidFill>
                <a:srgbClr val="FF0000"/>
              </a:solidFill>
              <a:ln>
                <a:noFill/>
              </a:ln>
              <a:effectLst/>
            </c:spPr>
            <c:extLst>
              <c:ext xmlns:c16="http://schemas.microsoft.com/office/drawing/2014/chart" uri="{C3380CC4-5D6E-409C-BE32-E72D297353CC}">
                <c16:uniqueId val="{00000007-146E-427E-9547-A309DC9A5BEA}"/>
              </c:ext>
            </c:extLst>
          </c:dPt>
          <c:dPt>
            <c:idx val="4"/>
            <c:invertIfNegative val="0"/>
            <c:bubble3D val="0"/>
            <c:spPr>
              <a:solidFill>
                <a:srgbClr val="FF0000"/>
              </a:solidFill>
              <a:ln>
                <a:noFill/>
              </a:ln>
              <a:effectLst/>
            </c:spPr>
            <c:extLst>
              <c:ext xmlns:c16="http://schemas.microsoft.com/office/drawing/2014/chart" uri="{C3380CC4-5D6E-409C-BE32-E72D297353CC}">
                <c16:uniqueId val="{00000009-146E-427E-9547-A309DC9A5BEA}"/>
              </c:ext>
            </c:extLst>
          </c:dPt>
          <c:dPt>
            <c:idx val="5"/>
            <c:invertIfNegative val="0"/>
            <c:bubble3D val="0"/>
            <c:spPr>
              <a:solidFill>
                <a:srgbClr val="FF0000"/>
              </a:solidFill>
              <a:ln>
                <a:noFill/>
              </a:ln>
              <a:effectLst/>
            </c:spPr>
            <c:extLst>
              <c:ext xmlns:c16="http://schemas.microsoft.com/office/drawing/2014/chart" uri="{C3380CC4-5D6E-409C-BE32-E72D297353CC}">
                <c16:uniqueId val="{0000000B-146E-427E-9547-A309DC9A5BEA}"/>
              </c:ext>
            </c:extLst>
          </c:dPt>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0D-146E-427E-9547-A309DC9A5BEA}"/>
              </c:ext>
            </c:extLst>
          </c:dPt>
          <c:dPt>
            <c:idx val="7"/>
            <c:invertIfNegative val="0"/>
            <c:bubble3D val="0"/>
            <c:spPr>
              <a:solidFill>
                <a:srgbClr val="00B0F0"/>
              </a:solidFill>
              <a:ln>
                <a:noFill/>
              </a:ln>
              <a:effectLst/>
            </c:spPr>
            <c:extLst>
              <c:ext xmlns:c16="http://schemas.microsoft.com/office/drawing/2014/chart" uri="{C3380CC4-5D6E-409C-BE32-E72D297353CC}">
                <c16:uniqueId val="{0000000F-146E-427E-9547-A309DC9A5BEA}"/>
              </c:ext>
            </c:extLst>
          </c:dPt>
          <c:dPt>
            <c:idx val="8"/>
            <c:invertIfNegative val="0"/>
            <c:bubble3D val="0"/>
            <c:spPr>
              <a:solidFill>
                <a:srgbClr val="FF0000"/>
              </a:solidFill>
              <a:ln>
                <a:noFill/>
              </a:ln>
              <a:effectLst/>
            </c:spPr>
            <c:extLst>
              <c:ext xmlns:c16="http://schemas.microsoft.com/office/drawing/2014/chart" uri="{C3380CC4-5D6E-409C-BE32-E72D297353CC}">
                <c16:uniqueId val="{00000011-146E-427E-9547-A309DC9A5BEA}"/>
              </c:ext>
            </c:extLst>
          </c:dPt>
          <c:dPt>
            <c:idx val="9"/>
            <c:invertIfNegative val="0"/>
            <c:bubble3D val="0"/>
            <c:spPr>
              <a:solidFill>
                <a:srgbClr val="FF0000"/>
              </a:solidFill>
              <a:ln>
                <a:noFill/>
              </a:ln>
              <a:effectLst/>
            </c:spPr>
            <c:extLst>
              <c:ext xmlns:c16="http://schemas.microsoft.com/office/drawing/2014/chart" uri="{C3380CC4-5D6E-409C-BE32-E72D297353CC}">
                <c16:uniqueId val="{00000013-146E-427E-9547-A309DC9A5BEA}"/>
              </c:ext>
            </c:extLst>
          </c:dPt>
          <c:dPt>
            <c:idx val="10"/>
            <c:invertIfNegative val="0"/>
            <c:bubble3D val="0"/>
            <c:spPr>
              <a:solidFill>
                <a:srgbClr val="FF0000"/>
              </a:solidFill>
              <a:ln>
                <a:noFill/>
              </a:ln>
              <a:effectLst/>
            </c:spPr>
            <c:extLst>
              <c:ext xmlns:c16="http://schemas.microsoft.com/office/drawing/2014/chart" uri="{C3380CC4-5D6E-409C-BE32-E72D297353CC}">
                <c16:uniqueId val="{00000015-146E-427E-9547-A309DC9A5BEA}"/>
              </c:ext>
            </c:extLst>
          </c:dPt>
          <c:dPt>
            <c:idx val="11"/>
            <c:invertIfNegative val="0"/>
            <c:bubble3D val="0"/>
            <c:spPr>
              <a:solidFill>
                <a:srgbClr val="00B0F0"/>
              </a:solidFill>
              <a:ln>
                <a:noFill/>
              </a:ln>
              <a:effectLst/>
            </c:spPr>
            <c:extLst>
              <c:ext xmlns:c16="http://schemas.microsoft.com/office/drawing/2014/chart" uri="{C3380CC4-5D6E-409C-BE32-E72D297353CC}">
                <c16:uniqueId val="{00000017-146E-427E-9547-A309DC9A5BEA}"/>
              </c:ext>
            </c:extLst>
          </c:dPt>
          <c:dPt>
            <c:idx val="12"/>
            <c:invertIfNegative val="0"/>
            <c:bubble3D val="0"/>
            <c:spPr>
              <a:solidFill>
                <a:srgbClr val="A568D2"/>
              </a:solidFill>
              <a:ln>
                <a:noFill/>
              </a:ln>
              <a:effectLst/>
            </c:spPr>
            <c:extLst>
              <c:ext xmlns:c16="http://schemas.microsoft.com/office/drawing/2014/chart" uri="{C3380CC4-5D6E-409C-BE32-E72D297353CC}">
                <c16:uniqueId val="{00000019-146E-427E-9547-A309DC9A5BEA}"/>
              </c:ext>
            </c:extLst>
          </c:dPt>
          <c:dPt>
            <c:idx val="13"/>
            <c:invertIfNegative val="0"/>
            <c:bubble3D val="0"/>
            <c:spPr>
              <a:solidFill>
                <a:srgbClr val="FF0000"/>
              </a:solidFill>
              <a:ln>
                <a:noFill/>
              </a:ln>
              <a:effectLst/>
            </c:spPr>
            <c:extLst>
              <c:ext xmlns:c16="http://schemas.microsoft.com/office/drawing/2014/chart" uri="{C3380CC4-5D6E-409C-BE32-E72D297353CC}">
                <c16:uniqueId val="{0000001B-146E-427E-9547-A309DC9A5BEA}"/>
              </c:ext>
            </c:extLst>
          </c:dPt>
          <c:dPt>
            <c:idx val="14"/>
            <c:invertIfNegative val="0"/>
            <c:bubble3D val="0"/>
            <c:spPr>
              <a:solidFill>
                <a:srgbClr val="FF0000"/>
              </a:solidFill>
              <a:ln>
                <a:noFill/>
              </a:ln>
              <a:effectLst/>
            </c:spPr>
            <c:extLst>
              <c:ext xmlns:c16="http://schemas.microsoft.com/office/drawing/2014/chart" uri="{C3380CC4-5D6E-409C-BE32-E72D297353CC}">
                <c16:uniqueId val="{0000001D-146E-427E-9547-A309DC9A5BEA}"/>
              </c:ext>
            </c:extLst>
          </c:dPt>
          <c:dPt>
            <c:idx val="15"/>
            <c:invertIfNegative val="0"/>
            <c:bubble3D val="0"/>
            <c:spPr>
              <a:solidFill>
                <a:schemeClr val="bg1">
                  <a:lumMod val="65000"/>
                </a:schemeClr>
              </a:solidFill>
              <a:ln>
                <a:noFill/>
              </a:ln>
              <a:effectLst/>
            </c:spPr>
            <c:extLst>
              <c:ext xmlns:c16="http://schemas.microsoft.com/office/drawing/2014/chart" uri="{C3380CC4-5D6E-409C-BE32-E72D297353CC}">
                <c16:uniqueId val="{0000001F-146E-427E-9547-A309DC9A5BEA}"/>
              </c:ext>
            </c:extLst>
          </c:dPt>
          <c:dPt>
            <c:idx val="16"/>
            <c:invertIfNegative val="0"/>
            <c:bubble3D val="0"/>
            <c:spPr>
              <a:solidFill>
                <a:srgbClr val="FF0000"/>
              </a:solidFill>
              <a:ln>
                <a:noFill/>
              </a:ln>
              <a:effectLst/>
            </c:spPr>
            <c:extLst>
              <c:ext xmlns:c16="http://schemas.microsoft.com/office/drawing/2014/chart" uri="{C3380CC4-5D6E-409C-BE32-E72D297353CC}">
                <c16:uniqueId val="{00000021-146E-427E-9547-A309DC9A5BEA}"/>
              </c:ext>
            </c:extLst>
          </c:dPt>
          <c:dPt>
            <c:idx val="17"/>
            <c:invertIfNegative val="0"/>
            <c:bubble3D val="0"/>
            <c:spPr>
              <a:solidFill>
                <a:schemeClr val="bg1">
                  <a:lumMod val="65000"/>
                </a:schemeClr>
              </a:solidFill>
              <a:ln>
                <a:noFill/>
              </a:ln>
              <a:effectLst/>
            </c:spPr>
            <c:extLst>
              <c:ext xmlns:c16="http://schemas.microsoft.com/office/drawing/2014/chart" uri="{C3380CC4-5D6E-409C-BE32-E72D297353CC}">
                <c16:uniqueId val="{00000023-146E-427E-9547-A309DC9A5BEA}"/>
              </c:ext>
            </c:extLst>
          </c:dPt>
          <c:dPt>
            <c:idx val="18"/>
            <c:invertIfNegative val="0"/>
            <c:bubble3D val="0"/>
            <c:spPr>
              <a:solidFill>
                <a:srgbClr val="FF0000"/>
              </a:solidFill>
              <a:ln>
                <a:noFill/>
              </a:ln>
              <a:effectLst/>
            </c:spPr>
            <c:extLst>
              <c:ext xmlns:c16="http://schemas.microsoft.com/office/drawing/2014/chart" uri="{C3380CC4-5D6E-409C-BE32-E72D297353CC}">
                <c16:uniqueId val="{00000025-146E-427E-9547-A309DC9A5BEA}"/>
              </c:ext>
            </c:extLst>
          </c:dPt>
          <c:dPt>
            <c:idx val="19"/>
            <c:invertIfNegative val="0"/>
            <c:bubble3D val="0"/>
            <c:spPr>
              <a:solidFill>
                <a:srgbClr val="FF0000"/>
              </a:solidFill>
              <a:ln>
                <a:noFill/>
              </a:ln>
              <a:effectLst/>
            </c:spPr>
            <c:extLst>
              <c:ext xmlns:c16="http://schemas.microsoft.com/office/drawing/2014/chart" uri="{C3380CC4-5D6E-409C-BE32-E72D297353CC}">
                <c16:uniqueId val="{00000027-146E-427E-9547-A309DC9A5BEA}"/>
              </c:ext>
            </c:extLst>
          </c:dPt>
          <c:dPt>
            <c:idx val="20"/>
            <c:invertIfNegative val="0"/>
            <c:bubble3D val="0"/>
            <c:spPr>
              <a:solidFill>
                <a:srgbClr val="FF0000"/>
              </a:solidFill>
              <a:ln>
                <a:noFill/>
              </a:ln>
              <a:effectLst/>
            </c:spPr>
            <c:extLst>
              <c:ext xmlns:c16="http://schemas.microsoft.com/office/drawing/2014/chart" uri="{C3380CC4-5D6E-409C-BE32-E72D297353CC}">
                <c16:uniqueId val="{00000029-146E-427E-9547-A309DC9A5BEA}"/>
              </c:ext>
            </c:extLst>
          </c:dPt>
          <c:dPt>
            <c:idx val="21"/>
            <c:invertIfNegative val="0"/>
            <c:bubble3D val="0"/>
            <c:spPr>
              <a:solidFill>
                <a:schemeClr val="bg1">
                  <a:lumMod val="65000"/>
                </a:schemeClr>
              </a:solidFill>
              <a:ln>
                <a:noFill/>
              </a:ln>
              <a:effectLst/>
            </c:spPr>
            <c:extLst>
              <c:ext xmlns:c16="http://schemas.microsoft.com/office/drawing/2014/chart" uri="{C3380CC4-5D6E-409C-BE32-E72D297353CC}">
                <c16:uniqueId val="{0000002B-146E-427E-9547-A309DC9A5BEA}"/>
              </c:ext>
            </c:extLst>
          </c:dPt>
          <c:dPt>
            <c:idx val="22"/>
            <c:invertIfNegative val="0"/>
            <c:bubble3D val="0"/>
            <c:spPr>
              <a:solidFill>
                <a:schemeClr val="bg1">
                  <a:lumMod val="65000"/>
                </a:schemeClr>
              </a:solidFill>
              <a:ln>
                <a:noFill/>
              </a:ln>
              <a:effectLst/>
            </c:spPr>
            <c:extLst>
              <c:ext xmlns:c16="http://schemas.microsoft.com/office/drawing/2014/chart" uri="{C3380CC4-5D6E-409C-BE32-E72D297353CC}">
                <c16:uniqueId val="{0000002D-146E-427E-9547-A309DC9A5BEA}"/>
              </c:ext>
            </c:extLst>
          </c:dPt>
          <c:dPt>
            <c:idx val="23"/>
            <c:invertIfNegative val="0"/>
            <c:bubble3D val="0"/>
            <c:spPr>
              <a:solidFill>
                <a:srgbClr val="FF0000"/>
              </a:solidFill>
              <a:ln>
                <a:noFill/>
              </a:ln>
              <a:effectLst/>
            </c:spPr>
            <c:extLst>
              <c:ext xmlns:c16="http://schemas.microsoft.com/office/drawing/2014/chart" uri="{C3380CC4-5D6E-409C-BE32-E72D297353CC}">
                <c16:uniqueId val="{0000002F-146E-427E-9547-A309DC9A5BEA}"/>
              </c:ext>
            </c:extLst>
          </c:dPt>
          <c:dPt>
            <c:idx val="24"/>
            <c:invertIfNegative val="0"/>
            <c:bubble3D val="0"/>
            <c:spPr>
              <a:solidFill>
                <a:srgbClr val="00B0F0"/>
              </a:solidFill>
              <a:ln>
                <a:noFill/>
              </a:ln>
              <a:effectLst/>
            </c:spPr>
            <c:extLst>
              <c:ext xmlns:c16="http://schemas.microsoft.com/office/drawing/2014/chart" uri="{C3380CC4-5D6E-409C-BE32-E72D297353CC}">
                <c16:uniqueId val="{00000031-146E-427E-9547-A309DC9A5BEA}"/>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33-146E-427E-9547-A309DC9A5BEA}"/>
              </c:ext>
            </c:extLst>
          </c:dPt>
          <c:dPt>
            <c:idx val="26"/>
            <c:invertIfNegative val="0"/>
            <c:bubble3D val="0"/>
            <c:spPr>
              <a:solidFill>
                <a:srgbClr val="FF0000"/>
              </a:solidFill>
              <a:ln>
                <a:noFill/>
              </a:ln>
              <a:effectLst/>
            </c:spPr>
            <c:extLst>
              <c:ext xmlns:c16="http://schemas.microsoft.com/office/drawing/2014/chart" uri="{C3380CC4-5D6E-409C-BE32-E72D297353CC}">
                <c16:uniqueId val="{00000035-146E-427E-9547-A309DC9A5BEA}"/>
              </c:ext>
            </c:extLst>
          </c:dPt>
          <c:dPt>
            <c:idx val="27"/>
            <c:invertIfNegative val="0"/>
            <c:bubble3D val="0"/>
            <c:spPr>
              <a:solidFill>
                <a:srgbClr val="FF0000"/>
              </a:solidFill>
              <a:ln>
                <a:noFill/>
              </a:ln>
              <a:effectLst/>
            </c:spPr>
            <c:extLst>
              <c:ext xmlns:c16="http://schemas.microsoft.com/office/drawing/2014/chart" uri="{C3380CC4-5D6E-409C-BE32-E72D297353CC}">
                <c16:uniqueId val="{00000037-146E-427E-9547-A309DC9A5BEA}"/>
              </c:ext>
            </c:extLst>
          </c:dPt>
          <c:dPt>
            <c:idx val="28"/>
            <c:invertIfNegative val="0"/>
            <c:bubble3D val="0"/>
            <c:spPr>
              <a:solidFill>
                <a:srgbClr val="FF0000"/>
              </a:solidFill>
              <a:ln>
                <a:noFill/>
              </a:ln>
              <a:effectLst/>
            </c:spPr>
            <c:extLst>
              <c:ext xmlns:c16="http://schemas.microsoft.com/office/drawing/2014/chart" uri="{C3380CC4-5D6E-409C-BE32-E72D297353CC}">
                <c16:uniqueId val="{00000039-146E-427E-9547-A309DC9A5BEA}"/>
              </c:ext>
            </c:extLst>
          </c:dPt>
          <c:dPt>
            <c:idx val="29"/>
            <c:invertIfNegative val="0"/>
            <c:bubble3D val="0"/>
            <c:spPr>
              <a:solidFill>
                <a:srgbClr val="FF0000"/>
              </a:solidFill>
              <a:ln>
                <a:noFill/>
              </a:ln>
              <a:effectLst/>
            </c:spPr>
            <c:extLst>
              <c:ext xmlns:c16="http://schemas.microsoft.com/office/drawing/2014/chart" uri="{C3380CC4-5D6E-409C-BE32-E72D297353CC}">
                <c16:uniqueId val="{0000003B-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resistance'!$B$2:$AE$2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C-146E-427E-9547-A309DC9A5BEA}"/>
            </c:ext>
          </c:extLst>
        </c:ser>
        <c:ser>
          <c:idx val="1"/>
          <c:order val="1"/>
          <c:tx>
            <c:strRef>
              <c:f>'all swab resistance'!$A$3</c:f>
              <c:strCache>
                <c:ptCount val="1"/>
                <c:pt idx="0">
                  <c:v>Extra swab </c:v>
                </c:pt>
              </c:strCache>
            </c:strRef>
          </c:tx>
          <c:spPr>
            <a:solidFill>
              <a:schemeClr val="accent2"/>
            </a:solid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3E-146E-427E-9547-A309DC9A5BEA}"/>
              </c:ext>
            </c:extLst>
          </c:dPt>
          <c:dPt>
            <c:idx val="1"/>
            <c:invertIfNegative val="0"/>
            <c:bubble3D val="0"/>
            <c:spPr>
              <a:noFill/>
              <a:ln>
                <a:noFill/>
              </a:ln>
              <a:effectLst/>
            </c:spPr>
            <c:extLst>
              <c:ext xmlns:c16="http://schemas.microsoft.com/office/drawing/2014/chart" uri="{C3380CC4-5D6E-409C-BE32-E72D297353CC}">
                <c16:uniqueId val="{00000040-146E-427E-9547-A309DC9A5BEA}"/>
              </c:ext>
            </c:extLst>
          </c:dPt>
          <c:dPt>
            <c:idx val="2"/>
            <c:invertIfNegative val="0"/>
            <c:bubble3D val="0"/>
            <c:spPr>
              <a:solidFill>
                <a:srgbClr val="00B0F0"/>
              </a:solidFill>
              <a:ln>
                <a:noFill/>
              </a:ln>
              <a:effectLst/>
            </c:spPr>
            <c:extLst>
              <c:ext xmlns:c16="http://schemas.microsoft.com/office/drawing/2014/chart" uri="{C3380CC4-5D6E-409C-BE32-E72D297353CC}">
                <c16:uniqueId val="{00000042-146E-427E-9547-A309DC9A5BEA}"/>
              </c:ext>
            </c:extLst>
          </c:dPt>
          <c:dPt>
            <c:idx val="3"/>
            <c:invertIfNegative val="0"/>
            <c:bubble3D val="0"/>
            <c:spPr>
              <a:noFill/>
              <a:ln>
                <a:noFill/>
              </a:ln>
              <a:effectLst/>
            </c:spPr>
            <c:extLst>
              <c:ext xmlns:c16="http://schemas.microsoft.com/office/drawing/2014/chart" uri="{C3380CC4-5D6E-409C-BE32-E72D297353CC}">
                <c16:uniqueId val="{00000044-146E-427E-9547-A309DC9A5BEA}"/>
              </c:ext>
            </c:extLst>
          </c:dPt>
          <c:dPt>
            <c:idx val="4"/>
            <c:invertIfNegative val="0"/>
            <c:bubble3D val="0"/>
            <c:spPr>
              <a:solidFill>
                <a:srgbClr val="FF0000"/>
              </a:solidFill>
              <a:ln>
                <a:noFill/>
              </a:ln>
              <a:effectLst/>
            </c:spPr>
            <c:extLst>
              <c:ext xmlns:c16="http://schemas.microsoft.com/office/drawing/2014/chart" uri="{C3380CC4-5D6E-409C-BE32-E72D297353CC}">
                <c16:uniqueId val="{00000046-146E-427E-9547-A309DC9A5BEA}"/>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48-146E-427E-9547-A309DC9A5BEA}"/>
              </c:ext>
            </c:extLst>
          </c:dPt>
          <c:dPt>
            <c:idx val="6"/>
            <c:invertIfNegative val="0"/>
            <c:bubble3D val="0"/>
            <c:spPr>
              <a:noFill/>
              <a:ln>
                <a:noFill/>
              </a:ln>
              <a:effectLst/>
            </c:spPr>
            <c:extLst>
              <c:ext xmlns:c16="http://schemas.microsoft.com/office/drawing/2014/chart" uri="{C3380CC4-5D6E-409C-BE32-E72D297353CC}">
                <c16:uniqueId val="{0000004A-146E-427E-9547-A309DC9A5BEA}"/>
              </c:ext>
            </c:extLst>
          </c:dPt>
          <c:dPt>
            <c:idx val="7"/>
            <c:invertIfNegative val="0"/>
            <c:bubble3D val="0"/>
            <c:spPr>
              <a:noFill/>
              <a:ln>
                <a:noFill/>
              </a:ln>
              <a:effectLst/>
            </c:spPr>
            <c:extLst>
              <c:ext xmlns:c16="http://schemas.microsoft.com/office/drawing/2014/chart" uri="{C3380CC4-5D6E-409C-BE32-E72D297353CC}">
                <c16:uniqueId val="{0000004C-146E-427E-9547-A309DC9A5BEA}"/>
              </c:ext>
            </c:extLst>
          </c:dPt>
          <c:dPt>
            <c:idx val="8"/>
            <c:invertIfNegative val="0"/>
            <c:bubble3D val="0"/>
            <c:spPr>
              <a:noFill/>
              <a:ln>
                <a:noFill/>
              </a:ln>
              <a:effectLst/>
            </c:spPr>
            <c:extLst>
              <c:ext xmlns:c16="http://schemas.microsoft.com/office/drawing/2014/chart" uri="{C3380CC4-5D6E-409C-BE32-E72D297353CC}">
                <c16:uniqueId val="{0000004E-146E-427E-9547-A309DC9A5BEA}"/>
              </c:ext>
            </c:extLst>
          </c:dPt>
          <c:dPt>
            <c:idx val="9"/>
            <c:invertIfNegative val="0"/>
            <c:bubble3D val="0"/>
            <c:spPr>
              <a:solidFill>
                <a:srgbClr val="FF0000"/>
              </a:solidFill>
              <a:ln>
                <a:noFill/>
              </a:ln>
              <a:effectLst/>
            </c:spPr>
            <c:extLst>
              <c:ext xmlns:c16="http://schemas.microsoft.com/office/drawing/2014/chart" uri="{C3380CC4-5D6E-409C-BE32-E72D297353CC}">
                <c16:uniqueId val="{00000050-146E-427E-9547-A309DC9A5BEA}"/>
              </c:ext>
            </c:extLst>
          </c:dPt>
          <c:dPt>
            <c:idx val="10"/>
            <c:invertIfNegative val="0"/>
            <c:bubble3D val="0"/>
            <c:spPr>
              <a:noFill/>
              <a:ln>
                <a:noFill/>
              </a:ln>
              <a:effectLst/>
            </c:spPr>
            <c:extLst>
              <c:ext xmlns:c16="http://schemas.microsoft.com/office/drawing/2014/chart" uri="{C3380CC4-5D6E-409C-BE32-E72D297353CC}">
                <c16:uniqueId val="{00000052-146E-427E-9547-A309DC9A5BEA}"/>
              </c:ext>
            </c:extLst>
          </c:dPt>
          <c:dPt>
            <c:idx val="11"/>
            <c:invertIfNegative val="0"/>
            <c:bubble3D val="0"/>
            <c:spPr>
              <a:solidFill>
                <a:srgbClr val="FF0000"/>
              </a:solidFill>
              <a:ln>
                <a:noFill/>
              </a:ln>
              <a:effectLst/>
            </c:spPr>
            <c:extLst>
              <c:ext xmlns:c16="http://schemas.microsoft.com/office/drawing/2014/chart" uri="{C3380CC4-5D6E-409C-BE32-E72D297353CC}">
                <c16:uniqueId val="{00000054-146E-427E-9547-A309DC9A5BEA}"/>
              </c:ext>
            </c:extLst>
          </c:dPt>
          <c:dPt>
            <c:idx val="12"/>
            <c:invertIfNegative val="0"/>
            <c:bubble3D val="0"/>
            <c:spPr>
              <a:noFill/>
              <a:ln>
                <a:noFill/>
              </a:ln>
              <a:effectLst/>
            </c:spPr>
            <c:extLst>
              <c:ext xmlns:c16="http://schemas.microsoft.com/office/drawing/2014/chart" uri="{C3380CC4-5D6E-409C-BE32-E72D297353CC}">
                <c16:uniqueId val="{00000056-146E-427E-9547-A309DC9A5BEA}"/>
              </c:ext>
            </c:extLst>
          </c:dPt>
          <c:dPt>
            <c:idx val="13"/>
            <c:invertIfNegative val="0"/>
            <c:bubble3D val="0"/>
            <c:spPr>
              <a:noFill/>
              <a:ln>
                <a:noFill/>
              </a:ln>
              <a:effectLst/>
            </c:spPr>
            <c:extLst>
              <c:ext xmlns:c16="http://schemas.microsoft.com/office/drawing/2014/chart" uri="{C3380CC4-5D6E-409C-BE32-E72D297353CC}">
                <c16:uniqueId val="{00000058-146E-427E-9547-A309DC9A5BEA}"/>
              </c:ext>
            </c:extLst>
          </c:dPt>
          <c:dPt>
            <c:idx val="14"/>
            <c:invertIfNegative val="0"/>
            <c:bubble3D val="0"/>
            <c:spPr>
              <a:noFill/>
              <a:ln>
                <a:noFill/>
              </a:ln>
              <a:effectLst/>
            </c:spPr>
            <c:extLst>
              <c:ext xmlns:c16="http://schemas.microsoft.com/office/drawing/2014/chart" uri="{C3380CC4-5D6E-409C-BE32-E72D297353CC}">
                <c16:uniqueId val="{0000005A-146E-427E-9547-A309DC9A5BEA}"/>
              </c:ext>
            </c:extLst>
          </c:dPt>
          <c:dPt>
            <c:idx val="15"/>
            <c:invertIfNegative val="0"/>
            <c:bubble3D val="0"/>
            <c:spPr>
              <a:noFill/>
              <a:ln>
                <a:noFill/>
              </a:ln>
              <a:effectLst/>
            </c:spPr>
            <c:extLst>
              <c:ext xmlns:c16="http://schemas.microsoft.com/office/drawing/2014/chart" uri="{C3380CC4-5D6E-409C-BE32-E72D297353CC}">
                <c16:uniqueId val="{0000005C-146E-427E-9547-A309DC9A5BEA}"/>
              </c:ext>
            </c:extLst>
          </c:dPt>
          <c:dPt>
            <c:idx val="16"/>
            <c:invertIfNegative val="0"/>
            <c:bubble3D val="0"/>
            <c:spPr>
              <a:noFill/>
              <a:ln>
                <a:noFill/>
              </a:ln>
              <a:effectLst/>
            </c:spPr>
            <c:extLst>
              <c:ext xmlns:c16="http://schemas.microsoft.com/office/drawing/2014/chart" uri="{C3380CC4-5D6E-409C-BE32-E72D297353CC}">
                <c16:uniqueId val="{0000005E-146E-427E-9547-A309DC9A5BEA}"/>
              </c:ext>
            </c:extLst>
          </c:dPt>
          <c:dPt>
            <c:idx val="17"/>
            <c:invertIfNegative val="0"/>
            <c:bubble3D val="0"/>
            <c:spPr>
              <a:noFill/>
              <a:ln>
                <a:noFill/>
              </a:ln>
              <a:effectLst/>
            </c:spPr>
            <c:extLst>
              <c:ext xmlns:c16="http://schemas.microsoft.com/office/drawing/2014/chart" uri="{C3380CC4-5D6E-409C-BE32-E72D297353CC}">
                <c16:uniqueId val="{00000060-146E-427E-9547-A309DC9A5BEA}"/>
              </c:ext>
            </c:extLst>
          </c:dPt>
          <c:dPt>
            <c:idx val="18"/>
            <c:invertIfNegative val="0"/>
            <c:bubble3D val="0"/>
            <c:spPr>
              <a:noFill/>
              <a:ln>
                <a:noFill/>
              </a:ln>
              <a:effectLst/>
            </c:spPr>
            <c:extLst>
              <c:ext xmlns:c16="http://schemas.microsoft.com/office/drawing/2014/chart" uri="{C3380CC4-5D6E-409C-BE32-E72D297353CC}">
                <c16:uniqueId val="{00000062-146E-427E-9547-A309DC9A5BEA}"/>
              </c:ext>
            </c:extLst>
          </c:dPt>
          <c:dPt>
            <c:idx val="19"/>
            <c:invertIfNegative val="0"/>
            <c:bubble3D val="0"/>
            <c:spPr>
              <a:noFill/>
              <a:ln>
                <a:noFill/>
              </a:ln>
              <a:effectLst/>
            </c:spPr>
            <c:extLst>
              <c:ext xmlns:c16="http://schemas.microsoft.com/office/drawing/2014/chart" uri="{C3380CC4-5D6E-409C-BE32-E72D297353CC}">
                <c16:uniqueId val="{00000064-146E-427E-9547-A309DC9A5BEA}"/>
              </c:ext>
            </c:extLst>
          </c:dPt>
          <c:dPt>
            <c:idx val="20"/>
            <c:invertIfNegative val="0"/>
            <c:bubble3D val="0"/>
            <c:spPr>
              <a:noFill/>
              <a:ln>
                <a:noFill/>
              </a:ln>
              <a:effectLst/>
            </c:spPr>
            <c:extLst>
              <c:ext xmlns:c16="http://schemas.microsoft.com/office/drawing/2014/chart" uri="{C3380CC4-5D6E-409C-BE32-E72D297353CC}">
                <c16:uniqueId val="{00000066-146E-427E-9547-A309DC9A5BEA}"/>
              </c:ext>
            </c:extLst>
          </c:dPt>
          <c:dPt>
            <c:idx val="21"/>
            <c:invertIfNegative val="0"/>
            <c:bubble3D val="0"/>
            <c:spPr>
              <a:noFill/>
              <a:ln>
                <a:noFill/>
              </a:ln>
              <a:effectLst/>
            </c:spPr>
            <c:extLst>
              <c:ext xmlns:c16="http://schemas.microsoft.com/office/drawing/2014/chart" uri="{C3380CC4-5D6E-409C-BE32-E72D297353CC}">
                <c16:uniqueId val="{00000068-146E-427E-9547-A309DC9A5BEA}"/>
              </c:ext>
            </c:extLst>
          </c:dPt>
          <c:dPt>
            <c:idx val="22"/>
            <c:invertIfNegative val="0"/>
            <c:bubble3D val="0"/>
            <c:spPr>
              <a:noFill/>
              <a:ln>
                <a:noFill/>
              </a:ln>
              <a:effectLst/>
            </c:spPr>
            <c:extLst>
              <c:ext xmlns:c16="http://schemas.microsoft.com/office/drawing/2014/chart" uri="{C3380CC4-5D6E-409C-BE32-E72D297353CC}">
                <c16:uniqueId val="{0000006A-146E-427E-9547-A309DC9A5BEA}"/>
              </c:ext>
            </c:extLst>
          </c:dPt>
          <c:dPt>
            <c:idx val="23"/>
            <c:invertIfNegative val="0"/>
            <c:bubble3D val="0"/>
            <c:spPr>
              <a:noFill/>
              <a:ln>
                <a:noFill/>
              </a:ln>
              <a:effectLst/>
            </c:spPr>
            <c:extLst>
              <c:ext xmlns:c16="http://schemas.microsoft.com/office/drawing/2014/chart" uri="{C3380CC4-5D6E-409C-BE32-E72D297353CC}">
                <c16:uniqueId val="{0000006C-146E-427E-9547-A309DC9A5BEA}"/>
              </c:ext>
            </c:extLst>
          </c:dPt>
          <c:dPt>
            <c:idx val="24"/>
            <c:invertIfNegative val="0"/>
            <c:bubble3D val="0"/>
            <c:spPr>
              <a:noFill/>
              <a:ln>
                <a:noFill/>
              </a:ln>
              <a:effectLst/>
            </c:spPr>
            <c:extLst>
              <c:ext xmlns:c16="http://schemas.microsoft.com/office/drawing/2014/chart" uri="{C3380CC4-5D6E-409C-BE32-E72D297353CC}">
                <c16:uniqueId val="{0000006E-146E-427E-9547-A309DC9A5BEA}"/>
              </c:ext>
            </c:extLst>
          </c:dPt>
          <c:dPt>
            <c:idx val="25"/>
            <c:invertIfNegative val="0"/>
            <c:bubble3D val="0"/>
            <c:spPr>
              <a:noFill/>
              <a:ln>
                <a:noFill/>
              </a:ln>
              <a:effectLst/>
            </c:spPr>
            <c:extLst>
              <c:ext xmlns:c16="http://schemas.microsoft.com/office/drawing/2014/chart" uri="{C3380CC4-5D6E-409C-BE32-E72D297353CC}">
                <c16:uniqueId val="{00000070-146E-427E-9547-A309DC9A5BEA}"/>
              </c:ext>
            </c:extLst>
          </c:dPt>
          <c:dPt>
            <c:idx val="26"/>
            <c:invertIfNegative val="0"/>
            <c:bubble3D val="0"/>
            <c:spPr>
              <a:noFill/>
              <a:ln>
                <a:noFill/>
              </a:ln>
              <a:effectLst/>
            </c:spPr>
            <c:extLst>
              <c:ext xmlns:c16="http://schemas.microsoft.com/office/drawing/2014/chart" uri="{C3380CC4-5D6E-409C-BE32-E72D297353CC}">
                <c16:uniqueId val="{00000072-146E-427E-9547-A309DC9A5BEA}"/>
              </c:ext>
            </c:extLst>
          </c:dPt>
          <c:dPt>
            <c:idx val="27"/>
            <c:invertIfNegative val="0"/>
            <c:bubble3D val="0"/>
            <c:spPr>
              <a:noFill/>
              <a:ln>
                <a:noFill/>
              </a:ln>
              <a:effectLst/>
            </c:spPr>
            <c:extLst>
              <c:ext xmlns:c16="http://schemas.microsoft.com/office/drawing/2014/chart" uri="{C3380CC4-5D6E-409C-BE32-E72D297353CC}">
                <c16:uniqueId val="{00000074-146E-427E-9547-A309DC9A5BEA}"/>
              </c:ext>
            </c:extLst>
          </c:dPt>
          <c:dPt>
            <c:idx val="28"/>
            <c:invertIfNegative val="0"/>
            <c:bubble3D val="0"/>
            <c:spPr>
              <a:noFill/>
              <a:ln>
                <a:noFill/>
              </a:ln>
              <a:effectLst/>
            </c:spPr>
            <c:extLst>
              <c:ext xmlns:c16="http://schemas.microsoft.com/office/drawing/2014/chart" uri="{C3380CC4-5D6E-409C-BE32-E72D297353CC}">
                <c16:uniqueId val="{00000076-146E-427E-9547-A309DC9A5BEA}"/>
              </c:ext>
            </c:extLst>
          </c:dPt>
          <c:dPt>
            <c:idx val="29"/>
            <c:invertIfNegative val="0"/>
            <c:bubble3D val="0"/>
            <c:spPr>
              <a:noFill/>
              <a:ln>
                <a:noFill/>
              </a:ln>
              <a:effectLst/>
            </c:spPr>
            <c:extLst>
              <c:ext xmlns:c16="http://schemas.microsoft.com/office/drawing/2014/chart" uri="{C3380CC4-5D6E-409C-BE32-E72D297353CC}">
                <c16:uniqueId val="{00000078-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resistance'!$B$3:$AE$3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79-146E-427E-9547-A309DC9A5BEA}"/>
            </c:ext>
          </c:extLst>
        </c:ser>
        <c:ser>
          <c:idx val="2"/>
          <c:order val="2"/>
          <c:tx>
            <c:strRef>
              <c:f>'all swab resistance'!$A$4</c:f>
              <c:strCache>
                <c:ptCount val="1"/>
                <c:pt idx="0">
                  <c:v>Extra swab </c:v>
                </c:pt>
              </c:strCache>
            </c:strRef>
          </c:tx>
          <c:spPr>
            <a:noFill/>
            <a:ln>
              <a:noFill/>
            </a:ln>
            <a:effectLst/>
          </c:spPr>
          <c:invertIfNegative val="0"/>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7B-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resistance'!$B$4:$AE$4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7C-146E-427E-9547-A309DC9A5BEA}"/>
            </c:ext>
          </c:extLst>
        </c:ser>
        <c:ser>
          <c:idx val="3"/>
          <c:order val="3"/>
          <c:tx>
            <c:strRef>
              <c:f>'all swab resistance'!$A$5</c:f>
              <c:strCache>
                <c:ptCount val="1"/>
                <c:pt idx="0">
                  <c:v>Swab 2</c:v>
                </c:pt>
              </c:strCache>
            </c:strRef>
          </c:tx>
          <c:spPr>
            <a:solidFill>
              <a:schemeClr val="accent4"/>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7E-146E-427E-9547-A309DC9A5BEA}"/>
              </c:ext>
            </c:extLst>
          </c:dPt>
          <c:dPt>
            <c:idx val="1"/>
            <c:invertIfNegative val="0"/>
            <c:bubble3D val="0"/>
            <c:spPr>
              <a:solidFill>
                <a:srgbClr val="FF0000"/>
              </a:solidFill>
              <a:ln>
                <a:noFill/>
              </a:ln>
              <a:effectLst/>
            </c:spPr>
            <c:extLst>
              <c:ext xmlns:c16="http://schemas.microsoft.com/office/drawing/2014/chart" uri="{C3380CC4-5D6E-409C-BE32-E72D297353CC}">
                <c16:uniqueId val="{00000080-146E-427E-9547-A309DC9A5BEA}"/>
              </c:ext>
            </c:extLst>
          </c:dPt>
          <c:dPt>
            <c:idx val="2"/>
            <c:invertIfNegative val="0"/>
            <c:bubble3D val="0"/>
            <c:spPr>
              <a:solidFill>
                <a:srgbClr val="00B0F0"/>
              </a:solidFill>
              <a:ln>
                <a:noFill/>
              </a:ln>
              <a:effectLst/>
            </c:spPr>
            <c:extLst>
              <c:ext xmlns:c16="http://schemas.microsoft.com/office/drawing/2014/chart" uri="{C3380CC4-5D6E-409C-BE32-E72D297353CC}">
                <c16:uniqueId val="{00000082-146E-427E-9547-A309DC9A5BEA}"/>
              </c:ext>
            </c:extLst>
          </c:dPt>
          <c:dPt>
            <c:idx val="3"/>
            <c:invertIfNegative val="0"/>
            <c:bubble3D val="0"/>
            <c:spPr>
              <a:solidFill>
                <a:srgbClr val="FF0000"/>
              </a:solidFill>
              <a:ln>
                <a:noFill/>
              </a:ln>
              <a:effectLst/>
            </c:spPr>
            <c:extLst>
              <c:ext xmlns:c16="http://schemas.microsoft.com/office/drawing/2014/chart" uri="{C3380CC4-5D6E-409C-BE32-E72D297353CC}">
                <c16:uniqueId val="{00000084-146E-427E-9547-A309DC9A5BEA}"/>
              </c:ext>
            </c:extLst>
          </c:dPt>
          <c:dPt>
            <c:idx val="4"/>
            <c:invertIfNegative val="0"/>
            <c:bubble3D val="0"/>
            <c:spPr>
              <a:solidFill>
                <a:srgbClr val="FF0000"/>
              </a:solidFill>
              <a:ln>
                <a:noFill/>
              </a:ln>
              <a:effectLst/>
            </c:spPr>
            <c:extLst>
              <c:ext xmlns:c16="http://schemas.microsoft.com/office/drawing/2014/chart" uri="{C3380CC4-5D6E-409C-BE32-E72D297353CC}">
                <c16:uniqueId val="{00000086-146E-427E-9547-A309DC9A5BEA}"/>
              </c:ext>
            </c:extLst>
          </c:dPt>
          <c:dPt>
            <c:idx val="5"/>
            <c:invertIfNegative val="0"/>
            <c:bubble3D val="0"/>
            <c:spPr>
              <a:solidFill>
                <a:srgbClr val="FF0000"/>
              </a:solidFill>
              <a:ln>
                <a:noFill/>
              </a:ln>
              <a:effectLst/>
            </c:spPr>
            <c:extLst>
              <c:ext xmlns:c16="http://schemas.microsoft.com/office/drawing/2014/chart" uri="{C3380CC4-5D6E-409C-BE32-E72D297353CC}">
                <c16:uniqueId val="{00000088-146E-427E-9547-A309DC9A5BEA}"/>
              </c:ext>
            </c:extLst>
          </c:dPt>
          <c:dPt>
            <c:idx val="6"/>
            <c:invertIfNegative val="0"/>
            <c:bubble3D val="0"/>
            <c:spPr>
              <a:solidFill>
                <a:schemeClr val="bg1">
                  <a:lumMod val="65000"/>
                </a:schemeClr>
              </a:solidFill>
              <a:ln>
                <a:noFill/>
              </a:ln>
              <a:effectLst/>
            </c:spPr>
            <c:extLst>
              <c:ext xmlns:c16="http://schemas.microsoft.com/office/drawing/2014/chart" uri="{C3380CC4-5D6E-409C-BE32-E72D297353CC}">
                <c16:uniqueId val="{0000008A-146E-427E-9547-A309DC9A5BEA}"/>
              </c:ext>
            </c:extLst>
          </c:dPt>
          <c:dPt>
            <c:idx val="7"/>
            <c:invertIfNegative val="0"/>
            <c:bubble3D val="0"/>
            <c:spPr>
              <a:solidFill>
                <a:srgbClr val="A568D2"/>
              </a:solidFill>
              <a:ln>
                <a:noFill/>
              </a:ln>
              <a:effectLst/>
            </c:spPr>
            <c:extLst>
              <c:ext xmlns:c16="http://schemas.microsoft.com/office/drawing/2014/chart" uri="{C3380CC4-5D6E-409C-BE32-E72D297353CC}">
                <c16:uniqueId val="{0000008C-146E-427E-9547-A309DC9A5BEA}"/>
              </c:ext>
            </c:extLst>
          </c:dPt>
          <c:dPt>
            <c:idx val="8"/>
            <c:invertIfNegative val="0"/>
            <c:bubble3D val="0"/>
            <c:spPr>
              <a:solidFill>
                <a:schemeClr val="bg1">
                  <a:lumMod val="65000"/>
                </a:schemeClr>
              </a:solidFill>
              <a:ln>
                <a:noFill/>
              </a:ln>
              <a:effectLst/>
            </c:spPr>
            <c:extLst>
              <c:ext xmlns:c16="http://schemas.microsoft.com/office/drawing/2014/chart" uri="{C3380CC4-5D6E-409C-BE32-E72D297353CC}">
                <c16:uniqueId val="{0000008E-146E-427E-9547-A309DC9A5BEA}"/>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90-146E-427E-9547-A309DC9A5BEA}"/>
              </c:ext>
            </c:extLst>
          </c:dPt>
          <c:dPt>
            <c:idx val="11"/>
            <c:invertIfNegative val="0"/>
            <c:bubble3D val="0"/>
            <c:spPr>
              <a:solidFill>
                <a:srgbClr val="FFC000"/>
              </a:solidFill>
              <a:ln>
                <a:noFill/>
              </a:ln>
              <a:effectLst/>
            </c:spPr>
            <c:extLst>
              <c:ext xmlns:c16="http://schemas.microsoft.com/office/drawing/2014/chart" uri="{C3380CC4-5D6E-409C-BE32-E72D297353CC}">
                <c16:uniqueId val="{00000092-146E-427E-9547-A309DC9A5BEA}"/>
              </c:ext>
            </c:extLst>
          </c:dPt>
          <c:dPt>
            <c:idx val="15"/>
            <c:invertIfNegative val="0"/>
            <c:bubble3D val="0"/>
            <c:spPr>
              <a:solidFill>
                <a:srgbClr val="FF0000"/>
              </a:solidFill>
              <a:ln>
                <a:noFill/>
              </a:ln>
              <a:effectLst/>
            </c:spPr>
            <c:extLst>
              <c:ext xmlns:c16="http://schemas.microsoft.com/office/drawing/2014/chart" uri="{C3380CC4-5D6E-409C-BE32-E72D297353CC}">
                <c16:uniqueId val="{00000094-146E-427E-9547-A309DC9A5BEA}"/>
              </c:ext>
            </c:extLst>
          </c:dPt>
          <c:dPt>
            <c:idx val="16"/>
            <c:invertIfNegative val="0"/>
            <c:bubble3D val="0"/>
            <c:spPr>
              <a:solidFill>
                <a:schemeClr val="bg1">
                  <a:lumMod val="65000"/>
                </a:schemeClr>
              </a:solidFill>
              <a:ln>
                <a:noFill/>
              </a:ln>
              <a:effectLst/>
            </c:spPr>
            <c:extLst>
              <c:ext xmlns:c16="http://schemas.microsoft.com/office/drawing/2014/chart" uri="{C3380CC4-5D6E-409C-BE32-E72D297353CC}">
                <c16:uniqueId val="{00000096-146E-427E-9547-A309DC9A5BEA}"/>
              </c:ext>
            </c:extLst>
          </c:dPt>
          <c:dPt>
            <c:idx val="18"/>
            <c:invertIfNegative val="0"/>
            <c:bubble3D val="0"/>
            <c:spPr>
              <a:solidFill>
                <a:srgbClr val="FF0000"/>
              </a:solidFill>
              <a:ln>
                <a:noFill/>
              </a:ln>
              <a:effectLst/>
            </c:spPr>
            <c:extLst>
              <c:ext xmlns:c16="http://schemas.microsoft.com/office/drawing/2014/chart" uri="{C3380CC4-5D6E-409C-BE32-E72D297353CC}">
                <c16:uniqueId val="{00000098-146E-427E-9547-A309DC9A5BEA}"/>
              </c:ext>
            </c:extLst>
          </c:dPt>
          <c:dPt>
            <c:idx val="19"/>
            <c:invertIfNegative val="0"/>
            <c:bubble3D val="0"/>
            <c:spPr>
              <a:solidFill>
                <a:schemeClr val="bg1">
                  <a:lumMod val="65000"/>
                </a:schemeClr>
              </a:solidFill>
              <a:ln>
                <a:noFill/>
              </a:ln>
              <a:effectLst/>
            </c:spPr>
            <c:extLst>
              <c:ext xmlns:c16="http://schemas.microsoft.com/office/drawing/2014/chart" uri="{C3380CC4-5D6E-409C-BE32-E72D297353CC}">
                <c16:uniqueId val="{0000009A-146E-427E-9547-A309DC9A5BEA}"/>
              </c:ext>
            </c:extLst>
          </c:dPt>
          <c:dPt>
            <c:idx val="20"/>
            <c:invertIfNegative val="0"/>
            <c:bubble3D val="0"/>
            <c:spPr>
              <a:solidFill>
                <a:schemeClr val="bg1">
                  <a:lumMod val="65000"/>
                </a:schemeClr>
              </a:solidFill>
              <a:ln>
                <a:noFill/>
              </a:ln>
              <a:effectLst/>
            </c:spPr>
            <c:extLst>
              <c:ext xmlns:c16="http://schemas.microsoft.com/office/drawing/2014/chart" uri="{C3380CC4-5D6E-409C-BE32-E72D297353CC}">
                <c16:uniqueId val="{0000009C-146E-427E-9547-A309DC9A5BEA}"/>
              </c:ext>
            </c:extLst>
          </c:dPt>
          <c:dPt>
            <c:idx val="21"/>
            <c:invertIfNegative val="0"/>
            <c:bubble3D val="0"/>
            <c:spPr>
              <a:solidFill>
                <a:schemeClr val="bg1">
                  <a:lumMod val="65000"/>
                </a:schemeClr>
              </a:solidFill>
              <a:ln>
                <a:noFill/>
              </a:ln>
              <a:effectLst/>
            </c:spPr>
            <c:extLst>
              <c:ext xmlns:c16="http://schemas.microsoft.com/office/drawing/2014/chart" uri="{C3380CC4-5D6E-409C-BE32-E72D297353CC}">
                <c16:uniqueId val="{0000009E-146E-427E-9547-A309DC9A5BEA}"/>
              </c:ext>
            </c:extLst>
          </c:dPt>
          <c:dPt>
            <c:idx val="23"/>
            <c:invertIfNegative val="0"/>
            <c:bubble3D val="0"/>
            <c:spPr>
              <a:solidFill>
                <a:srgbClr val="FF0000"/>
              </a:solidFill>
              <a:ln>
                <a:noFill/>
              </a:ln>
              <a:effectLst/>
            </c:spPr>
            <c:extLst>
              <c:ext xmlns:c16="http://schemas.microsoft.com/office/drawing/2014/chart" uri="{C3380CC4-5D6E-409C-BE32-E72D297353CC}">
                <c16:uniqueId val="{00000118-34EA-41F6-A7A5-D4F447B7FBC5}"/>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A0-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resistance'!$B$5:$AE$5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A1-146E-427E-9547-A309DC9A5BEA}"/>
            </c:ext>
          </c:extLst>
        </c:ser>
        <c:ser>
          <c:idx val="4"/>
          <c:order val="4"/>
          <c:tx>
            <c:strRef>
              <c:f>'all swab resistance'!$A$6</c:f>
              <c:strCache>
                <c:ptCount val="1"/>
                <c:pt idx="0">
                  <c:v>Swab 3</c:v>
                </c:pt>
              </c:strCache>
            </c:strRef>
          </c:tx>
          <c:spPr>
            <a:solidFill>
              <a:schemeClr val="accent5"/>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A3-146E-427E-9547-A309DC9A5BEA}"/>
              </c:ext>
            </c:extLst>
          </c:dPt>
          <c:dPt>
            <c:idx val="1"/>
            <c:invertIfNegative val="0"/>
            <c:bubble3D val="0"/>
            <c:spPr>
              <a:solidFill>
                <a:srgbClr val="FFC000"/>
              </a:solidFill>
              <a:ln>
                <a:noFill/>
              </a:ln>
              <a:effectLst/>
            </c:spPr>
            <c:extLst>
              <c:ext xmlns:c16="http://schemas.microsoft.com/office/drawing/2014/chart" uri="{C3380CC4-5D6E-409C-BE32-E72D297353CC}">
                <c16:uniqueId val="{000000A5-146E-427E-9547-A309DC9A5BEA}"/>
              </c:ext>
            </c:extLst>
          </c:dPt>
          <c:dPt>
            <c:idx val="2"/>
            <c:invertIfNegative val="0"/>
            <c:bubble3D val="0"/>
            <c:spPr>
              <a:solidFill>
                <a:srgbClr val="FFC000"/>
              </a:solidFill>
              <a:ln>
                <a:noFill/>
              </a:ln>
              <a:effectLst/>
            </c:spPr>
            <c:extLst>
              <c:ext xmlns:c16="http://schemas.microsoft.com/office/drawing/2014/chart" uri="{C3380CC4-5D6E-409C-BE32-E72D297353CC}">
                <c16:uniqueId val="{000000A7-146E-427E-9547-A309DC9A5BEA}"/>
              </c:ext>
            </c:extLst>
          </c:dPt>
          <c:dPt>
            <c:idx val="3"/>
            <c:invertIfNegative val="0"/>
            <c:bubble3D val="0"/>
            <c:spPr>
              <a:solidFill>
                <a:srgbClr val="FFC000"/>
              </a:solidFill>
              <a:ln>
                <a:noFill/>
              </a:ln>
              <a:effectLst/>
            </c:spPr>
            <c:extLst>
              <c:ext xmlns:c16="http://schemas.microsoft.com/office/drawing/2014/chart" uri="{C3380CC4-5D6E-409C-BE32-E72D297353CC}">
                <c16:uniqueId val="{000000A9-146E-427E-9547-A309DC9A5BEA}"/>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AB-146E-427E-9547-A309DC9A5BEA}"/>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AD-146E-427E-9547-A309DC9A5BEA}"/>
              </c:ext>
            </c:extLst>
          </c:dPt>
          <c:dPt>
            <c:idx val="6"/>
            <c:invertIfNegative val="0"/>
            <c:bubble3D val="0"/>
            <c:spPr>
              <a:solidFill>
                <a:srgbClr val="FFC000"/>
              </a:solidFill>
              <a:ln>
                <a:noFill/>
              </a:ln>
              <a:effectLst/>
            </c:spPr>
            <c:extLst>
              <c:ext xmlns:c16="http://schemas.microsoft.com/office/drawing/2014/chart" uri="{C3380CC4-5D6E-409C-BE32-E72D297353CC}">
                <c16:uniqueId val="{000000AF-146E-427E-9547-A309DC9A5BEA}"/>
              </c:ext>
            </c:extLst>
          </c:dPt>
          <c:dPt>
            <c:idx val="7"/>
            <c:invertIfNegative val="0"/>
            <c:bubble3D val="0"/>
            <c:spPr>
              <a:solidFill>
                <a:schemeClr val="bg1">
                  <a:lumMod val="65000"/>
                </a:schemeClr>
              </a:solidFill>
              <a:ln>
                <a:noFill/>
              </a:ln>
              <a:effectLst/>
            </c:spPr>
            <c:extLst>
              <c:ext xmlns:c16="http://schemas.microsoft.com/office/drawing/2014/chart" uri="{C3380CC4-5D6E-409C-BE32-E72D297353CC}">
                <c16:uniqueId val="{000000B1-146E-427E-9547-A309DC9A5BEA}"/>
              </c:ext>
            </c:extLst>
          </c:dPt>
          <c:dPt>
            <c:idx val="8"/>
            <c:invertIfNegative val="0"/>
            <c:bubble3D val="0"/>
            <c:spPr>
              <a:noFill/>
              <a:ln>
                <a:noFill/>
              </a:ln>
              <a:effectLst/>
            </c:spPr>
            <c:extLst>
              <c:ext xmlns:c16="http://schemas.microsoft.com/office/drawing/2014/chart" uri="{C3380CC4-5D6E-409C-BE32-E72D297353CC}">
                <c16:uniqueId val="{000000B3-146E-427E-9547-A309DC9A5BEA}"/>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B5-146E-427E-9547-A309DC9A5BEA}"/>
              </c:ext>
            </c:extLst>
          </c:dPt>
          <c:dPt>
            <c:idx val="10"/>
            <c:invertIfNegative val="0"/>
            <c:bubble3D val="0"/>
            <c:spPr>
              <a:solidFill>
                <a:srgbClr val="FF0000"/>
              </a:solidFill>
              <a:ln>
                <a:noFill/>
              </a:ln>
              <a:effectLst/>
            </c:spPr>
            <c:extLst>
              <c:ext xmlns:c16="http://schemas.microsoft.com/office/drawing/2014/chart" uri="{C3380CC4-5D6E-409C-BE32-E72D297353CC}">
                <c16:uniqueId val="{000000B7-146E-427E-9547-A309DC9A5BEA}"/>
              </c:ext>
            </c:extLst>
          </c:dPt>
          <c:dPt>
            <c:idx val="11"/>
            <c:invertIfNegative val="0"/>
            <c:bubble3D val="0"/>
            <c:spPr>
              <a:solidFill>
                <a:schemeClr val="accent2">
                  <a:lumMod val="50000"/>
                </a:schemeClr>
              </a:solidFill>
              <a:ln>
                <a:noFill/>
              </a:ln>
              <a:effectLst/>
            </c:spPr>
            <c:extLst>
              <c:ext xmlns:c16="http://schemas.microsoft.com/office/drawing/2014/chart" uri="{C3380CC4-5D6E-409C-BE32-E72D297353CC}">
                <c16:uniqueId val="{000000B9-146E-427E-9547-A309DC9A5BEA}"/>
              </c:ext>
            </c:extLst>
          </c:dPt>
          <c:dPt>
            <c:idx val="12"/>
            <c:invertIfNegative val="0"/>
            <c:bubble3D val="0"/>
            <c:spPr>
              <a:solidFill>
                <a:srgbClr val="FF0000"/>
              </a:solidFill>
              <a:ln>
                <a:noFill/>
              </a:ln>
              <a:effectLst/>
            </c:spPr>
            <c:extLst>
              <c:ext xmlns:c16="http://schemas.microsoft.com/office/drawing/2014/chart" uri="{C3380CC4-5D6E-409C-BE32-E72D297353CC}">
                <c16:uniqueId val="{000000BB-146E-427E-9547-A309DC9A5BEA}"/>
              </c:ext>
            </c:extLst>
          </c:dPt>
          <c:dPt>
            <c:idx val="13"/>
            <c:invertIfNegative val="0"/>
            <c:bubble3D val="0"/>
            <c:spPr>
              <a:solidFill>
                <a:srgbClr val="00B0F0"/>
              </a:solidFill>
              <a:ln>
                <a:noFill/>
              </a:ln>
              <a:effectLst/>
            </c:spPr>
            <c:extLst>
              <c:ext xmlns:c16="http://schemas.microsoft.com/office/drawing/2014/chart" uri="{C3380CC4-5D6E-409C-BE32-E72D297353CC}">
                <c16:uniqueId val="{000000BD-146E-427E-9547-A309DC9A5BEA}"/>
              </c:ext>
            </c:extLst>
          </c:dPt>
          <c:dPt>
            <c:idx val="14"/>
            <c:invertIfNegative val="0"/>
            <c:bubble3D val="0"/>
            <c:spPr>
              <a:solidFill>
                <a:srgbClr val="00B0F0"/>
              </a:solidFill>
              <a:ln>
                <a:noFill/>
              </a:ln>
              <a:effectLst/>
            </c:spPr>
            <c:extLst>
              <c:ext xmlns:c16="http://schemas.microsoft.com/office/drawing/2014/chart" uri="{C3380CC4-5D6E-409C-BE32-E72D297353CC}">
                <c16:uniqueId val="{000000BF-146E-427E-9547-A309DC9A5BEA}"/>
              </c:ext>
            </c:extLst>
          </c:dPt>
          <c:dPt>
            <c:idx val="15"/>
            <c:invertIfNegative val="0"/>
            <c:bubble3D val="0"/>
            <c:spPr>
              <a:solidFill>
                <a:srgbClr val="FFC000"/>
              </a:solidFill>
              <a:ln>
                <a:noFill/>
              </a:ln>
              <a:effectLst/>
            </c:spPr>
            <c:extLst>
              <c:ext xmlns:c16="http://schemas.microsoft.com/office/drawing/2014/chart" uri="{C3380CC4-5D6E-409C-BE32-E72D297353CC}">
                <c16:uniqueId val="{000000C1-146E-427E-9547-A309DC9A5BEA}"/>
              </c:ext>
            </c:extLst>
          </c:dPt>
          <c:dPt>
            <c:idx val="16"/>
            <c:invertIfNegative val="0"/>
            <c:bubble3D val="0"/>
            <c:spPr>
              <a:solidFill>
                <a:srgbClr val="FFC000"/>
              </a:solidFill>
              <a:ln>
                <a:noFill/>
              </a:ln>
              <a:effectLst/>
            </c:spPr>
            <c:extLst>
              <c:ext xmlns:c16="http://schemas.microsoft.com/office/drawing/2014/chart" uri="{C3380CC4-5D6E-409C-BE32-E72D297353CC}">
                <c16:uniqueId val="{000000C3-146E-427E-9547-A309DC9A5BEA}"/>
              </c:ext>
            </c:extLst>
          </c:dPt>
          <c:dPt>
            <c:idx val="17"/>
            <c:invertIfNegative val="0"/>
            <c:bubble3D val="0"/>
            <c:spPr>
              <a:noFill/>
              <a:ln>
                <a:noFill/>
              </a:ln>
              <a:effectLst/>
            </c:spPr>
            <c:extLst>
              <c:ext xmlns:c16="http://schemas.microsoft.com/office/drawing/2014/chart" uri="{C3380CC4-5D6E-409C-BE32-E72D297353CC}">
                <c16:uniqueId val="{000000C5-146E-427E-9547-A309DC9A5BEA}"/>
              </c:ext>
            </c:extLst>
          </c:dPt>
          <c:dPt>
            <c:idx val="18"/>
            <c:invertIfNegative val="0"/>
            <c:bubble3D val="0"/>
            <c:spPr>
              <a:solidFill>
                <a:srgbClr val="FFC000"/>
              </a:solidFill>
              <a:ln>
                <a:noFill/>
              </a:ln>
              <a:effectLst/>
            </c:spPr>
            <c:extLst>
              <c:ext xmlns:c16="http://schemas.microsoft.com/office/drawing/2014/chart" uri="{C3380CC4-5D6E-409C-BE32-E72D297353CC}">
                <c16:uniqueId val="{000000C7-146E-427E-9547-A309DC9A5BEA}"/>
              </c:ext>
            </c:extLst>
          </c:dPt>
          <c:dPt>
            <c:idx val="19"/>
            <c:invertIfNegative val="0"/>
            <c:bubble3D val="0"/>
            <c:spPr>
              <a:solidFill>
                <a:srgbClr val="FFC000"/>
              </a:solidFill>
              <a:ln>
                <a:noFill/>
              </a:ln>
              <a:effectLst/>
            </c:spPr>
            <c:extLst>
              <c:ext xmlns:c16="http://schemas.microsoft.com/office/drawing/2014/chart" uri="{C3380CC4-5D6E-409C-BE32-E72D297353CC}">
                <c16:uniqueId val="{000000C9-146E-427E-9547-A309DC9A5BEA}"/>
              </c:ext>
            </c:extLst>
          </c:dPt>
          <c:dPt>
            <c:idx val="20"/>
            <c:invertIfNegative val="0"/>
            <c:bubble3D val="0"/>
            <c:spPr>
              <a:solidFill>
                <a:schemeClr val="bg1">
                  <a:lumMod val="65000"/>
                </a:schemeClr>
              </a:solidFill>
              <a:ln>
                <a:noFill/>
              </a:ln>
              <a:effectLst/>
            </c:spPr>
            <c:extLst>
              <c:ext xmlns:c16="http://schemas.microsoft.com/office/drawing/2014/chart" uri="{C3380CC4-5D6E-409C-BE32-E72D297353CC}">
                <c16:uniqueId val="{000000CB-146E-427E-9547-A309DC9A5BEA}"/>
              </c:ext>
            </c:extLst>
          </c:dPt>
          <c:dPt>
            <c:idx val="21"/>
            <c:invertIfNegative val="0"/>
            <c:bubble3D val="0"/>
            <c:spPr>
              <a:solidFill>
                <a:schemeClr val="bg1">
                  <a:lumMod val="65000"/>
                </a:schemeClr>
              </a:solidFill>
              <a:ln>
                <a:noFill/>
              </a:ln>
              <a:effectLst/>
            </c:spPr>
            <c:extLst>
              <c:ext xmlns:c16="http://schemas.microsoft.com/office/drawing/2014/chart" uri="{C3380CC4-5D6E-409C-BE32-E72D297353CC}">
                <c16:uniqueId val="{000000CD-146E-427E-9547-A309DC9A5BEA}"/>
              </c:ext>
            </c:extLst>
          </c:dPt>
          <c:dPt>
            <c:idx val="22"/>
            <c:invertIfNegative val="0"/>
            <c:bubble3D val="0"/>
            <c:spPr>
              <a:solidFill>
                <a:schemeClr val="bg1">
                  <a:lumMod val="65000"/>
                </a:schemeClr>
              </a:solidFill>
              <a:ln>
                <a:noFill/>
              </a:ln>
              <a:effectLst/>
            </c:spPr>
            <c:extLst>
              <c:ext xmlns:c16="http://schemas.microsoft.com/office/drawing/2014/chart" uri="{C3380CC4-5D6E-409C-BE32-E72D297353CC}">
                <c16:uniqueId val="{000000CF-146E-427E-9547-A309DC9A5BEA}"/>
              </c:ext>
            </c:extLst>
          </c:dPt>
          <c:dPt>
            <c:idx val="23"/>
            <c:invertIfNegative val="0"/>
            <c:bubble3D val="0"/>
            <c:spPr>
              <a:solidFill>
                <a:srgbClr val="FFC000"/>
              </a:solidFill>
              <a:ln>
                <a:noFill/>
              </a:ln>
              <a:effectLst/>
            </c:spPr>
            <c:extLst>
              <c:ext xmlns:c16="http://schemas.microsoft.com/office/drawing/2014/chart" uri="{C3380CC4-5D6E-409C-BE32-E72D297353CC}">
                <c16:uniqueId val="{000000D1-146E-427E-9547-A309DC9A5BEA}"/>
              </c:ext>
            </c:extLst>
          </c:dPt>
          <c:dPt>
            <c:idx val="24"/>
            <c:invertIfNegative val="0"/>
            <c:bubble3D val="0"/>
            <c:spPr>
              <a:solidFill>
                <a:srgbClr val="FF0000"/>
              </a:solidFill>
              <a:ln>
                <a:noFill/>
              </a:ln>
              <a:effectLst/>
            </c:spPr>
            <c:extLst>
              <c:ext xmlns:c16="http://schemas.microsoft.com/office/drawing/2014/chart" uri="{C3380CC4-5D6E-409C-BE32-E72D297353CC}">
                <c16:uniqueId val="{000000D3-146E-427E-9547-A309DC9A5BEA}"/>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0D5-146E-427E-9547-A309DC9A5BEA}"/>
              </c:ext>
            </c:extLst>
          </c:dPt>
          <c:dPt>
            <c:idx val="26"/>
            <c:invertIfNegative val="0"/>
            <c:bubble3D val="0"/>
            <c:spPr>
              <a:solidFill>
                <a:srgbClr val="FFC000"/>
              </a:solidFill>
              <a:ln>
                <a:noFill/>
              </a:ln>
              <a:effectLst/>
            </c:spPr>
            <c:extLst>
              <c:ext xmlns:c16="http://schemas.microsoft.com/office/drawing/2014/chart" uri="{C3380CC4-5D6E-409C-BE32-E72D297353CC}">
                <c16:uniqueId val="{000000D7-146E-427E-9547-A309DC9A5BEA}"/>
              </c:ext>
            </c:extLst>
          </c:dPt>
          <c:dPt>
            <c:idx val="27"/>
            <c:invertIfNegative val="0"/>
            <c:bubble3D val="0"/>
            <c:spPr>
              <a:solidFill>
                <a:srgbClr val="FF0000"/>
              </a:solidFill>
              <a:ln>
                <a:noFill/>
              </a:ln>
              <a:effectLst/>
            </c:spPr>
            <c:extLst>
              <c:ext xmlns:c16="http://schemas.microsoft.com/office/drawing/2014/chart" uri="{C3380CC4-5D6E-409C-BE32-E72D297353CC}">
                <c16:uniqueId val="{000000D9-146E-427E-9547-A309DC9A5BE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0DB-146E-427E-9547-A309DC9A5BEA}"/>
              </c:ext>
            </c:extLst>
          </c:dPt>
          <c:dPt>
            <c:idx val="29"/>
            <c:invertIfNegative val="0"/>
            <c:bubble3D val="0"/>
            <c:spPr>
              <a:solidFill>
                <a:srgbClr val="FF0000"/>
              </a:solidFill>
              <a:ln>
                <a:noFill/>
              </a:ln>
              <a:effectLst/>
            </c:spPr>
            <c:extLst>
              <c:ext xmlns:c16="http://schemas.microsoft.com/office/drawing/2014/chart" uri="{C3380CC4-5D6E-409C-BE32-E72D297353CC}">
                <c16:uniqueId val="{000000DD-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resistance'!$B$6:$AE$6</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DE-146E-427E-9547-A309DC9A5BEA}"/>
            </c:ext>
          </c:extLst>
        </c:ser>
        <c:ser>
          <c:idx val="5"/>
          <c:order val="5"/>
          <c:tx>
            <c:strRef>
              <c:f>'all swab resistance'!$A$7</c:f>
              <c:strCache>
                <c:ptCount val="1"/>
                <c:pt idx="0">
                  <c:v>Extra swab </c:v>
                </c:pt>
              </c:strCache>
            </c:strRef>
          </c:tx>
          <c:spPr>
            <a:noFill/>
            <a:ln>
              <a:noFill/>
            </a:ln>
            <a:effectLst/>
          </c:spPr>
          <c:invertIfNegative val="0"/>
          <c:dPt>
            <c:idx val="21"/>
            <c:invertIfNegative val="0"/>
            <c:bubble3D val="0"/>
            <c:spPr>
              <a:solidFill>
                <a:srgbClr val="A568D2"/>
              </a:solidFill>
              <a:ln>
                <a:noFill/>
              </a:ln>
              <a:effectLst/>
            </c:spPr>
            <c:extLst>
              <c:ext xmlns:c16="http://schemas.microsoft.com/office/drawing/2014/chart" uri="{C3380CC4-5D6E-409C-BE32-E72D297353CC}">
                <c16:uniqueId val="{000000E0-146E-427E-9547-A309DC9A5BEA}"/>
              </c:ext>
            </c:extLst>
          </c:dPt>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resistance'!$B$7:$AE$7</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E1-146E-427E-9547-A309DC9A5BEA}"/>
            </c:ext>
          </c:extLst>
        </c:ser>
        <c:ser>
          <c:idx val="6"/>
          <c:order val="6"/>
          <c:tx>
            <c:strRef>
              <c:f>'all swab resistance'!$A$8</c:f>
              <c:strCache>
                <c:ptCount val="1"/>
                <c:pt idx="0">
                  <c:v>Swab 4</c:v>
                </c:pt>
              </c:strCache>
            </c:strRef>
          </c:tx>
          <c:spPr>
            <a:solidFill>
              <a:schemeClr val="accent1">
                <a:lumMod val="60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E3-146E-427E-9547-A309DC9A5BE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E5-146E-427E-9547-A309DC9A5BEA}"/>
              </c:ext>
            </c:extLst>
          </c:dPt>
          <c:dPt>
            <c:idx val="2"/>
            <c:invertIfNegative val="0"/>
            <c:bubble3D val="0"/>
            <c:spPr>
              <a:solidFill>
                <a:srgbClr val="A568D2"/>
              </a:solidFill>
              <a:ln>
                <a:noFill/>
              </a:ln>
              <a:effectLst/>
            </c:spPr>
            <c:extLst>
              <c:ext xmlns:c16="http://schemas.microsoft.com/office/drawing/2014/chart" uri="{C3380CC4-5D6E-409C-BE32-E72D297353CC}">
                <c16:uniqueId val="{000000E7-146E-427E-9547-A309DC9A5BEA}"/>
              </c:ext>
            </c:extLst>
          </c:dPt>
          <c:dPt>
            <c:idx val="3"/>
            <c:invertIfNegative val="0"/>
            <c:bubble3D val="0"/>
            <c:spPr>
              <a:solidFill>
                <a:srgbClr val="FF0000"/>
              </a:solidFill>
              <a:ln>
                <a:noFill/>
              </a:ln>
              <a:effectLst/>
            </c:spPr>
            <c:extLst>
              <c:ext xmlns:c16="http://schemas.microsoft.com/office/drawing/2014/chart" uri="{C3380CC4-5D6E-409C-BE32-E72D297353CC}">
                <c16:uniqueId val="{000000E9-146E-427E-9547-A309DC9A5BEA}"/>
              </c:ext>
            </c:extLst>
          </c:dPt>
          <c:dPt>
            <c:idx val="4"/>
            <c:invertIfNegative val="0"/>
            <c:bubble3D val="0"/>
            <c:spPr>
              <a:solidFill>
                <a:schemeClr val="bg1">
                  <a:lumMod val="65000"/>
                </a:schemeClr>
              </a:solidFill>
              <a:ln>
                <a:noFill/>
              </a:ln>
              <a:effectLst/>
            </c:spPr>
            <c:extLst>
              <c:ext xmlns:c16="http://schemas.microsoft.com/office/drawing/2014/chart" uri="{C3380CC4-5D6E-409C-BE32-E72D297353CC}">
                <c16:uniqueId val="{000000EB-146E-427E-9547-A309DC9A5BEA}"/>
              </c:ext>
            </c:extLst>
          </c:dPt>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ED-146E-427E-9547-A309DC9A5BEA}"/>
              </c:ext>
            </c:extLst>
          </c:dPt>
          <c:dPt>
            <c:idx val="6"/>
            <c:invertIfNegative val="0"/>
            <c:bubble3D val="0"/>
            <c:spPr>
              <a:solidFill>
                <a:srgbClr val="FF0000"/>
              </a:solidFill>
              <a:ln>
                <a:noFill/>
              </a:ln>
              <a:effectLst/>
            </c:spPr>
            <c:extLst>
              <c:ext xmlns:c16="http://schemas.microsoft.com/office/drawing/2014/chart" uri="{C3380CC4-5D6E-409C-BE32-E72D297353CC}">
                <c16:uniqueId val="{000000EF-146E-427E-9547-A309DC9A5BEA}"/>
              </c:ext>
            </c:extLst>
          </c:dPt>
          <c:dPt>
            <c:idx val="7"/>
            <c:invertIfNegative val="0"/>
            <c:bubble3D val="0"/>
            <c:spPr>
              <a:solidFill>
                <a:schemeClr val="bg1">
                  <a:lumMod val="65000"/>
                </a:schemeClr>
              </a:solidFill>
              <a:ln>
                <a:noFill/>
              </a:ln>
              <a:effectLst/>
            </c:spPr>
            <c:extLst>
              <c:ext xmlns:c16="http://schemas.microsoft.com/office/drawing/2014/chart" uri="{C3380CC4-5D6E-409C-BE32-E72D297353CC}">
                <c16:uniqueId val="{000000F1-146E-427E-9547-A309DC9A5BEA}"/>
              </c:ext>
            </c:extLst>
          </c:dPt>
          <c:dPt>
            <c:idx val="8"/>
            <c:invertIfNegative val="0"/>
            <c:bubble3D val="0"/>
            <c:spPr>
              <a:noFill/>
              <a:ln>
                <a:noFill/>
              </a:ln>
              <a:effectLst/>
            </c:spPr>
            <c:extLst>
              <c:ext xmlns:c16="http://schemas.microsoft.com/office/drawing/2014/chart" uri="{C3380CC4-5D6E-409C-BE32-E72D297353CC}">
                <c16:uniqueId val="{000000F3-146E-427E-9547-A309DC9A5BEA}"/>
              </c:ext>
            </c:extLst>
          </c:dPt>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F5-146E-427E-9547-A309DC9A5BEA}"/>
              </c:ext>
            </c:extLst>
          </c:dPt>
          <c:dPt>
            <c:idx val="10"/>
            <c:invertIfNegative val="0"/>
            <c:bubble3D val="0"/>
            <c:spPr>
              <a:solidFill>
                <a:srgbClr val="00B0F0"/>
              </a:solidFill>
              <a:ln>
                <a:noFill/>
              </a:ln>
              <a:effectLst/>
            </c:spPr>
            <c:extLst>
              <c:ext xmlns:c16="http://schemas.microsoft.com/office/drawing/2014/chart" uri="{C3380CC4-5D6E-409C-BE32-E72D297353CC}">
                <c16:uniqueId val="{000000F7-146E-427E-9547-A309DC9A5BEA}"/>
              </c:ext>
            </c:extLst>
          </c:dPt>
          <c:dPt>
            <c:idx val="11"/>
            <c:invertIfNegative val="0"/>
            <c:bubble3D val="0"/>
            <c:spPr>
              <a:solidFill>
                <a:srgbClr val="FF0000"/>
              </a:solidFill>
              <a:ln>
                <a:noFill/>
              </a:ln>
              <a:effectLst/>
            </c:spPr>
            <c:extLst>
              <c:ext xmlns:c16="http://schemas.microsoft.com/office/drawing/2014/chart" uri="{C3380CC4-5D6E-409C-BE32-E72D297353CC}">
                <c16:uniqueId val="{000000F9-146E-427E-9547-A309DC9A5BEA}"/>
              </c:ext>
            </c:extLst>
          </c:dPt>
          <c:dPt>
            <c:idx val="12"/>
            <c:invertIfNegative val="0"/>
            <c:bubble3D val="0"/>
            <c:spPr>
              <a:solidFill>
                <a:schemeClr val="bg1">
                  <a:lumMod val="65000"/>
                </a:schemeClr>
              </a:solidFill>
              <a:ln>
                <a:noFill/>
              </a:ln>
              <a:effectLst/>
            </c:spPr>
            <c:extLst>
              <c:ext xmlns:c16="http://schemas.microsoft.com/office/drawing/2014/chart" uri="{C3380CC4-5D6E-409C-BE32-E72D297353CC}">
                <c16:uniqueId val="{000000FB-146E-427E-9547-A309DC9A5BEA}"/>
              </c:ext>
            </c:extLst>
          </c:dPt>
          <c:dPt>
            <c:idx val="13"/>
            <c:invertIfNegative val="0"/>
            <c:bubble3D val="0"/>
            <c:spPr>
              <a:solidFill>
                <a:schemeClr val="bg1">
                  <a:lumMod val="65000"/>
                </a:schemeClr>
              </a:solidFill>
              <a:ln>
                <a:noFill/>
              </a:ln>
              <a:effectLst/>
            </c:spPr>
            <c:extLst>
              <c:ext xmlns:c16="http://schemas.microsoft.com/office/drawing/2014/chart" uri="{C3380CC4-5D6E-409C-BE32-E72D297353CC}">
                <c16:uniqueId val="{000000FD-146E-427E-9547-A309DC9A5BEA}"/>
              </c:ext>
            </c:extLst>
          </c:dPt>
          <c:dPt>
            <c:idx val="14"/>
            <c:invertIfNegative val="0"/>
            <c:bubble3D val="0"/>
            <c:spPr>
              <a:solidFill>
                <a:srgbClr val="FF0000"/>
              </a:solidFill>
              <a:ln>
                <a:noFill/>
              </a:ln>
              <a:effectLst/>
            </c:spPr>
            <c:extLst>
              <c:ext xmlns:c16="http://schemas.microsoft.com/office/drawing/2014/chart" uri="{C3380CC4-5D6E-409C-BE32-E72D297353CC}">
                <c16:uniqueId val="{000000FF-146E-427E-9547-A309DC9A5BEA}"/>
              </c:ext>
            </c:extLst>
          </c:dPt>
          <c:dPt>
            <c:idx val="15"/>
            <c:invertIfNegative val="0"/>
            <c:bubble3D val="0"/>
            <c:spPr>
              <a:solidFill>
                <a:schemeClr val="bg1">
                  <a:lumMod val="65000"/>
                </a:schemeClr>
              </a:solidFill>
              <a:ln>
                <a:noFill/>
              </a:ln>
              <a:effectLst/>
            </c:spPr>
            <c:extLst>
              <c:ext xmlns:c16="http://schemas.microsoft.com/office/drawing/2014/chart" uri="{C3380CC4-5D6E-409C-BE32-E72D297353CC}">
                <c16:uniqueId val="{00000101-146E-427E-9547-A309DC9A5BEA}"/>
              </c:ext>
            </c:extLst>
          </c:dPt>
          <c:dPt>
            <c:idx val="16"/>
            <c:invertIfNegative val="0"/>
            <c:bubble3D val="0"/>
            <c:spPr>
              <a:solidFill>
                <a:schemeClr val="bg1">
                  <a:lumMod val="65000"/>
                </a:schemeClr>
              </a:solidFill>
              <a:ln>
                <a:noFill/>
              </a:ln>
              <a:effectLst/>
            </c:spPr>
            <c:extLst>
              <c:ext xmlns:c16="http://schemas.microsoft.com/office/drawing/2014/chart" uri="{C3380CC4-5D6E-409C-BE32-E72D297353CC}">
                <c16:uniqueId val="{00000103-146E-427E-9547-A309DC9A5BEA}"/>
              </c:ext>
            </c:extLst>
          </c:dPt>
          <c:dPt>
            <c:idx val="17"/>
            <c:invertIfNegative val="0"/>
            <c:bubble3D val="0"/>
            <c:spPr>
              <a:noFill/>
              <a:ln>
                <a:noFill/>
              </a:ln>
              <a:effectLst/>
            </c:spPr>
            <c:extLst>
              <c:ext xmlns:c16="http://schemas.microsoft.com/office/drawing/2014/chart" uri="{C3380CC4-5D6E-409C-BE32-E72D297353CC}">
                <c16:uniqueId val="{00000105-146E-427E-9547-A309DC9A5BEA}"/>
              </c:ext>
            </c:extLst>
          </c:dPt>
          <c:dPt>
            <c:idx val="18"/>
            <c:invertIfNegative val="0"/>
            <c:bubble3D val="0"/>
            <c:spPr>
              <a:solidFill>
                <a:schemeClr val="bg1">
                  <a:lumMod val="65000"/>
                </a:schemeClr>
              </a:solidFill>
              <a:ln>
                <a:noFill/>
              </a:ln>
              <a:effectLst/>
            </c:spPr>
            <c:extLst>
              <c:ext xmlns:c16="http://schemas.microsoft.com/office/drawing/2014/chart" uri="{C3380CC4-5D6E-409C-BE32-E72D297353CC}">
                <c16:uniqueId val="{00000107-146E-427E-9547-A309DC9A5BEA}"/>
              </c:ext>
            </c:extLst>
          </c:dPt>
          <c:dPt>
            <c:idx val="19"/>
            <c:invertIfNegative val="0"/>
            <c:bubble3D val="0"/>
            <c:spPr>
              <a:solidFill>
                <a:schemeClr val="bg1">
                  <a:lumMod val="65000"/>
                </a:schemeClr>
              </a:solidFill>
              <a:ln>
                <a:noFill/>
              </a:ln>
              <a:effectLst/>
            </c:spPr>
            <c:extLst>
              <c:ext xmlns:c16="http://schemas.microsoft.com/office/drawing/2014/chart" uri="{C3380CC4-5D6E-409C-BE32-E72D297353CC}">
                <c16:uniqueId val="{00000109-146E-427E-9547-A309DC9A5BEA}"/>
              </c:ext>
            </c:extLst>
          </c:dPt>
          <c:dPt>
            <c:idx val="20"/>
            <c:invertIfNegative val="0"/>
            <c:bubble3D val="0"/>
            <c:spPr>
              <a:solidFill>
                <a:schemeClr val="bg1">
                  <a:lumMod val="65000"/>
                </a:schemeClr>
              </a:solidFill>
              <a:ln>
                <a:noFill/>
              </a:ln>
              <a:effectLst/>
            </c:spPr>
            <c:extLst>
              <c:ext xmlns:c16="http://schemas.microsoft.com/office/drawing/2014/chart" uri="{C3380CC4-5D6E-409C-BE32-E72D297353CC}">
                <c16:uniqueId val="{0000010B-146E-427E-9547-A309DC9A5BEA}"/>
              </c:ext>
            </c:extLst>
          </c:dPt>
          <c:dPt>
            <c:idx val="21"/>
            <c:invertIfNegative val="0"/>
            <c:bubble3D val="0"/>
            <c:spPr>
              <a:solidFill>
                <a:schemeClr val="bg1">
                  <a:lumMod val="65000"/>
                </a:schemeClr>
              </a:solidFill>
              <a:ln>
                <a:noFill/>
              </a:ln>
              <a:effectLst/>
            </c:spPr>
            <c:extLst>
              <c:ext xmlns:c16="http://schemas.microsoft.com/office/drawing/2014/chart" uri="{C3380CC4-5D6E-409C-BE32-E72D297353CC}">
                <c16:uniqueId val="{0000010D-146E-427E-9547-A309DC9A5BEA}"/>
              </c:ext>
            </c:extLst>
          </c:dPt>
          <c:dPt>
            <c:idx val="22"/>
            <c:invertIfNegative val="0"/>
            <c:bubble3D val="0"/>
            <c:spPr>
              <a:solidFill>
                <a:schemeClr val="bg1">
                  <a:lumMod val="65000"/>
                </a:schemeClr>
              </a:solidFill>
              <a:ln>
                <a:noFill/>
              </a:ln>
              <a:effectLst/>
            </c:spPr>
            <c:extLst>
              <c:ext xmlns:c16="http://schemas.microsoft.com/office/drawing/2014/chart" uri="{C3380CC4-5D6E-409C-BE32-E72D297353CC}">
                <c16:uniqueId val="{0000010F-146E-427E-9547-A309DC9A5BEA}"/>
              </c:ext>
            </c:extLst>
          </c:dPt>
          <c:dPt>
            <c:idx val="23"/>
            <c:invertIfNegative val="0"/>
            <c:bubble3D val="0"/>
            <c:spPr>
              <a:solidFill>
                <a:srgbClr val="FF0000"/>
              </a:solidFill>
              <a:ln>
                <a:noFill/>
              </a:ln>
              <a:effectLst/>
            </c:spPr>
            <c:extLst>
              <c:ext xmlns:c16="http://schemas.microsoft.com/office/drawing/2014/chart" uri="{C3380CC4-5D6E-409C-BE32-E72D297353CC}">
                <c16:uniqueId val="{00000111-146E-427E-9547-A309DC9A5BEA}"/>
              </c:ext>
            </c:extLst>
          </c:dPt>
          <c:dPt>
            <c:idx val="24"/>
            <c:invertIfNegative val="0"/>
            <c:bubble3D val="0"/>
            <c:spPr>
              <a:solidFill>
                <a:schemeClr val="bg1">
                  <a:lumMod val="65000"/>
                </a:schemeClr>
              </a:solidFill>
              <a:ln>
                <a:noFill/>
              </a:ln>
              <a:effectLst/>
            </c:spPr>
            <c:extLst>
              <c:ext xmlns:c16="http://schemas.microsoft.com/office/drawing/2014/chart" uri="{C3380CC4-5D6E-409C-BE32-E72D297353CC}">
                <c16:uniqueId val="{00000113-146E-427E-9547-A309DC9A5BEA}"/>
              </c:ext>
            </c:extLst>
          </c:dPt>
          <c:dPt>
            <c:idx val="25"/>
            <c:invertIfNegative val="0"/>
            <c:bubble3D val="0"/>
            <c:spPr>
              <a:solidFill>
                <a:schemeClr val="bg1">
                  <a:lumMod val="65000"/>
                </a:schemeClr>
              </a:solidFill>
              <a:ln>
                <a:noFill/>
              </a:ln>
              <a:effectLst/>
            </c:spPr>
            <c:extLst>
              <c:ext xmlns:c16="http://schemas.microsoft.com/office/drawing/2014/chart" uri="{C3380CC4-5D6E-409C-BE32-E72D297353CC}">
                <c16:uniqueId val="{00000115-146E-427E-9547-A309DC9A5BEA}"/>
              </c:ext>
            </c:extLst>
          </c:dPt>
          <c:dPt>
            <c:idx val="26"/>
            <c:invertIfNegative val="0"/>
            <c:bubble3D val="0"/>
            <c:spPr>
              <a:solidFill>
                <a:srgbClr val="FF0000"/>
              </a:solidFill>
              <a:ln>
                <a:noFill/>
              </a:ln>
              <a:effectLst/>
            </c:spPr>
            <c:extLst>
              <c:ext xmlns:c16="http://schemas.microsoft.com/office/drawing/2014/chart" uri="{C3380CC4-5D6E-409C-BE32-E72D297353CC}">
                <c16:uniqueId val="{00000117-146E-427E-9547-A309DC9A5BEA}"/>
              </c:ext>
            </c:extLst>
          </c:dPt>
          <c:dPt>
            <c:idx val="27"/>
            <c:invertIfNegative val="0"/>
            <c:bubble3D val="0"/>
            <c:spPr>
              <a:solidFill>
                <a:srgbClr val="FF0000"/>
              </a:solidFill>
              <a:ln>
                <a:noFill/>
              </a:ln>
              <a:effectLst/>
            </c:spPr>
            <c:extLst>
              <c:ext xmlns:c16="http://schemas.microsoft.com/office/drawing/2014/chart" uri="{C3380CC4-5D6E-409C-BE32-E72D297353CC}">
                <c16:uniqueId val="{00000119-146E-427E-9547-A309DC9A5BEA}"/>
              </c:ext>
            </c:extLst>
          </c:dPt>
          <c:dPt>
            <c:idx val="28"/>
            <c:invertIfNegative val="0"/>
            <c:bubble3D val="0"/>
            <c:spPr>
              <a:solidFill>
                <a:schemeClr val="bg1">
                  <a:lumMod val="65000"/>
                </a:schemeClr>
              </a:solidFill>
              <a:ln>
                <a:noFill/>
              </a:ln>
              <a:effectLst/>
            </c:spPr>
            <c:extLst>
              <c:ext xmlns:c16="http://schemas.microsoft.com/office/drawing/2014/chart" uri="{C3380CC4-5D6E-409C-BE32-E72D297353CC}">
                <c16:uniqueId val="{0000011B-146E-427E-9547-A309DC9A5BEA}"/>
              </c:ext>
            </c:extLst>
          </c:dPt>
          <c:dPt>
            <c:idx val="29"/>
            <c:invertIfNegative val="0"/>
            <c:bubble3D val="0"/>
            <c:spPr>
              <a:solidFill>
                <a:srgbClr val="00B0F0"/>
              </a:solidFill>
              <a:ln>
                <a:noFill/>
              </a:ln>
              <a:effectLst/>
            </c:spPr>
            <c:extLst>
              <c:ext xmlns:c16="http://schemas.microsoft.com/office/drawing/2014/chart" uri="{C3380CC4-5D6E-409C-BE32-E72D297353CC}">
                <c16:uniqueId val="{0000011D-146E-427E-9547-A309DC9A5BE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E3-146E-427E-9547-A309DC9A5BEA}"/>
                </c:ext>
              </c:extLst>
            </c:dLbl>
            <c:dLbl>
              <c:idx val="1"/>
              <c:tx>
                <c:rich>
                  <a:bodyPr/>
                  <a:lstStyle/>
                  <a:p>
                    <a:r>
                      <a:rPr lang="en-US"/>
                      <a:t>2</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5-146E-427E-9547-A309DC9A5BEA}"/>
                </c:ext>
              </c:extLst>
            </c:dLbl>
            <c:dLbl>
              <c:idx val="2"/>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7-146E-427E-9547-A309DC9A5BEA}"/>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9-146E-427E-9547-A309DC9A5BEA}"/>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B-146E-427E-9547-A309DC9A5BEA}"/>
                </c:ext>
              </c:extLst>
            </c:dLbl>
            <c:dLbl>
              <c:idx val="5"/>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D-146E-427E-9547-A309DC9A5BEA}"/>
                </c:ext>
              </c:extLst>
            </c:dLbl>
            <c:dLbl>
              <c:idx val="6"/>
              <c:tx>
                <c:rich>
                  <a:bodyPr/>
                  <a:lstStyle/>
                  <a:p>
                    <a:r>
                      <a:rPr lang="en-US"/>
                      <a:t>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EF-146E-427E-9547-A309DC9A5BEA}"/>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F1-146E-427E-9547-A309DC9A5BEA}"/>
                </c:ext>
              </c:extLst>
            </c:dLbl>
            <c:dLbl>
              <c:idx val="8"/>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3-146E-427E-9547-A309DC9A5BEA}"/>
                </c:ext>
              </c:extLst>
            </c:dLbl>
            <c:dLbl>
              <c:idx val="9"/>
              <c:tx>
                <c:rich>
                  <a:bodyPr/>
                  <a:lstStyle/>
                  <a:p>
                    <a:r>
                      <a:rPr lang="en-US"/>
                      <a:t>1</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5-146E-427E-9547-A309DC9A5BEA}"/>
                </c:ext>
              </c:extLst>
            </c:dLbl>
            <c:dLbl>
              <c:idx val="1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7-146E-427E-9547-A309DC9A5BEA}"/>
                </c:ext>
              </c:extLst>
            </c:dLbl>
            <c:dLbl>
              <c:idx val="11"/>
              <c:tx>
                <c:rich>
                  <a:bodyPr/>
                  <a:lstStyle/>
                  <a:p>
                    <a:r>
                      <a:rPr lang="en-US"/>
                      <a:t>2</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9-146E-427E-9547-A309DC9A5BEA}"/>
                </c:ext>
              </c:extLst>
            </c:dLbl>
            <c:dLbl>
              <c:idx val="1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B-146E-427E-9547-A309DC9A5BEA}"/>
                </c:ext>
              </c:extLst>
            </c:dLbl>
            <c:dLbl>
              <c:idx val="1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D-146E-427E-9547-A309DC9A5BEA}"/>
                </c:ext>
              </c:extLst>
            </c:dLbl>
            <c:dLbl>
              <c:idx val="14"/>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FF-146E-427E-9547-A309DC9A5BEA}"/>
                </c:ext>
              </c:extLst>
            </c:dLbl>
            <c:dLbl>
              <c:idx val="15"/>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1-146E-427E-9547-A309DC9A5BEA}"/>
                </c:ext>
              </c:extLst>
            </c:dLbl>
            <c:dLbl>
              <c:idx val="1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3-146E-427E-9547-A309DC9A5BEA}"/>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07-146E-427E-9547-A309DC9A5BEA}"/>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09-146E-427E-9547-A309DC9A5BEA}"/>
                </c:ext>
              </c:extLst>
            </c:dLbl>
            <c:dLbl>
              <c:idx val="2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B-146E-427E-9547-A309DC9A5BEA}"/>
                </c:ext>
              </c:extLst>
            </c:dLbl>
            <c:dLbl>
              <c:idx val="21"/>
              <c:tx>
                <c:rich>
                  <a:bodyPr/>
                  <a:lstStyle/>
                  <a:p>
                    <a:r>
                      <a:rPr lang="en-US"/>
                      <a:t>2</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D-146E-427E-9547-A309DC9A5BEA}"/>
                </c:ext>
              </c:extLst>
            </c:dLbl>
            <c:dLbl>
              <c:idx val="2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0F-146E-427E-9547-A309DC9A5BEA}"/>
                </c:ext>
              </c:extLst>
            </c:dLbl>
            <c:dLbl>
              <c:idx val="2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1-146E-427E-9547-A309DC9A5BEA}"/>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13-146E-427E-9547-A309DC9A5BEA}"/>
                </c:ext>
              </c:extLst>
            </c:dLbl>
            <c:dLbl>
              <c:idx val="25"/>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5-146E-427E-9547-A309DC9A5BEA}"/>
                </c:ext>
              </c:extLst>
            </c:dLbl>
            <c:dLbl>
              <c:idx val="2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17-146E-427E-9547-A309DC9A5BEA}"/>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119-146E-427E-9547-A309DC9A5BEA}"/>
                </c:ext>
              </c:extLst>
            </c:dLbl>
            <c:dLbl>
              <c:idx val="28"/>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B-146E-427E-9547-A309DC9A5BEA}"/>
                </c:ext>
              </c:extLst>
            </c:dLbl>
            <c:dLbl>
              <c:idx val="29"/>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11D-146E-427E-9547-A309DC9A5B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swab resistance'!$B$1:$AE$1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'all swab resistance'!$B$8:$AE$8</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11E-146E-427E-9547-A309DC9A5BEA}"/>
            </c:ext>
          </c:extLst>
        </c:ser>
        <c:dLbls>
          <c:showLegendKey val="0"/>
          <c:showVal val="0"/>
          <c:showCatName val="0"/>
          <c:showSerName val="0"/>
          <c:showPercent val="0"/>
          <c:showBubbleSize val="0"/>
        </c:dLbls>
        <c:gapWidth val="150"/>
        <c:overlap val="100"/>
        <c:axId val="128357888"/>
        <c:axId val="128359808"/>
      </c:barChart>
      <c:catAx>
        <c:axId val="12835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chemeClr val="tx1"/>
                    </a:solidFill>
                  </a:rPr>
                  <a:t>Participant Number	C</a:t>
                </a:r>
                <a:r>
                  <a:rPr lang="en-US" baseline="0">
                    <a:solidFill>
                      <a:schemeClr val="tx1"/>
                    </a:solidFill>
                  </a:rPr>
                  <a:t> = Comparison group	A = Azithromycin group</a:t>
                </a:r>
                <a:endParaRPr lang="en-US">
                  <a:solidFill>
                    <a:schemeClr val="tx1"/>
                  </a:solidFill>
                </a:endParaRPr>
              </a:p>
            </c:rich>
          </c:tx>
          <c:layout>
            <c:manualLayout>
              <c:xMode val="edge"/>
              <c:yMode val="edge"/>
              <c:x val="0.1238885583746476"/>
              <c:y val="0.925699944441251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9808"/>
        <c:crosses val="autoZero"/>
        <c:auto val="1"/>
        <c:lblAlgn val="ctr"/>
        <c:lblOffset val="100"/>
        <c:noMultiLvlLbl val="0"/>
      </c:catAx>
      <c:valAx>
        <c:axId val="128359808"/>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Swab Number</a:t>
                </a:r>
              </a:p>
            </c:rich>
          </c:tx>
          <c:layout>
            <c:manualLayout>
              <c:xMode val="edge"/>
              <c:yMode val="edge"/>
              <c:x val="5.9259259259259256E-3"/>
              <c:y val="0.335867961760254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118895633729376E-2"/>
          <c:y val="0.11029452740884908"/>
          <c:w val="0.9648576318967157"/>
          <c:h val="0.75269705210343607"/>
        </c:manualLayout>
      </c:layout>
      <c:barChart>
        <c:barDir val="col"/>
        <c:grouping val="stacked"/>
        <c:varyColors val="0"/>
        <c:ser>
          <c:idx val="0"/>
          <c:order val="0"/>
          <c:tx>
            <c:strRef>
              <c:f>'Strep pneumo'!$A$12</c:f>
              <c:strCache>
                <c:ptCount val="1"/>
                <c:pt idx="0">
                  <c:v>Swab 1</c:v>
                </c:pt>
              </c:strCache>
            </c:strRef>
          </c:tx>
          <c:spPr>
            <a:noFill/>
            <a:ln>
              <a:noFill/>
            </a:ln>
            <a:effectLst/>
          </c:spPr>
          <c:invertIfNegative val="0"/>
          <c:dPt>
            <c:idx val="2"/>
            <c:invertIfNegative val="0"/>
            <c:bubble3D val="0"/>
            <c:spPr>
              <a:solidFill>
                <a:srgbClr val="FF9393"/>
              </a:solidFill>
              <a:ln>
                <a:noFill/>
              </a:ln>
              <a:effectLst/>
            </c:spPr>
            <c:extLst>
              <c:ext xmlns:c16="http://schemas.microsoft.com/office/drawing/2014/chart" uri="{C3380CC4-5D6E-409C-BE32-E72D297353CC}">
                <c16:uniqueId val="{00000001-6BFB-452E-A033-16A3B771A3C8}"/>
              </c:ext>
            </c:extLst>
          </c:dPt>
          <c:dPt>
            <c:idx val="3"/>
            <c:invertIfNegative val="0"/>
            <c:bubble3D val="0"/>
            <c:spPr>
              <a:solidFill>
                <a:srgbClr val="FF9393"/>
              </a:solidFill>
              <a:ln>
                <a:noFill/>
              </a:ln>
              <a:effectLst/>
            </c:spPr>
            <c:extLst>
              <c:ext xmlns:c16="http://schemas.microsoft.com/office/drawing/2014/chart" uri="{C3380CC4-5D6E-409C-BE32-E72D297353CC}">
                <c16:uniqueId val="{00000003-6BFB-452E-A033-16A3B771A3C8}"/>
              </c:ext>
            </c:extLst>
          </c:dPt>
          <c:dPt>
            <c:idx val="4"/>
            <c:invertIfNegative val="0"/>
            <c:bubble3D val="0"/>
            <c:spPr>
              <a:solidFill>
                <a:srgbClr val="FF9393"/>
              </a:solidFill>
              <a:ln>
                <a:noFill/>
              </a:ln>
              <a:effectLst/>
            </c:spPr>
            <c:extLst>
              <c:ext xmlns:c16="http://schemas.microsoft.com/office/drawing/2014/chart" uri="{C3380CC4-5D6E-409C-BE32-E72D297353CC}">
                <c16:uniqueId val="{00000005-6BFB-452E-A033-16A3B771A3C8}"/>
              </c:ext>
            </c:extLst>
          </c:dPt>
          <c:dPt>
            <c:idx val="5"/>
            <c:invertIfNegative val="0"/>
            <c:bubble3D val="0"/>
            <c:spPr>
              <a:solidFill>
                <a:srgbClr val="FF9393"/>
              </a:solidFill>
              <a:ln>
                <a:noFill/>
              </a:ln>
              <a:effectLst/>
            </c:spPr>
            <c:extLst>
              <c:ext xmlns:c16="http://schemas.microsoft.com/office/drawing/2014/chart" uri="{C3380CC4-5D6E-409C-BE32-E72D297353CC}">
                <c16:uniqueId val="{00000007-6BFB-452E-A033-16A3B771A3C8}"/>
              </c:ext>
            </c:extLst>
          </c:dPt>
          <c:dPt>
            <c:idx val="8"/>
            <c:invertIfNegative val="0"/>
            <c:bubble3D val="0"/>
            <c:spPr>
              <a:solidFill>
                <a:srgbClr val="C00000"/>
              </a:solidFill>
              <a:ln>
                <a:noFill/>
              </a:ln>
              <a:effectLst/>
            </c:spPr>
            <c:extLst>
              <c:ext xmlns:c16="http://schemas.microsoft.com/office/drawing/2014/chart" uri="{C3380CC4-5D6E-409C-BE32-E72D297353CC}">
                <c16:uniqueId val="{00000044-6BFB-452E-A033-16A3B771A3C8}"/>
              </c:ext>
            </c:extLst>
          </c:dPt>
          <c:dPt>
            <c:idx val="13"/>
            <c:invertIfNegative val="0"/>
            <c:bubble3D val="0"/>
            <c:spPr>
              <a:solidFill>
                <a:srgbClr val="FEDADA"/>
              </a:solidFill>
              <a:ln>
                <a:noFill/>
              </a:ln>
              <a:effectLst/>
            </c:spPr>
            <c:extLst>
              <c:ext xmlns:c16="http://schemas.microsoft.com/office/drawing/2014/chart" uri="{C3380CC4-5D6E-409C-BE32-E72D297353CC}">
                <c16:uniqueId val="{00000009-6BFB-452E-A033-16A3B771A3C8}"/>
              </c:ext>
            </c:extLst>
          </c:dPt>
          <c:dPt>
            <c:idx val="19"/>
            <c:invertIfNegative val="0"/>
            <c:bubble3D val="0"/>
            <c:spPr>
              <a:solidFill>
                <a:srgbClr val="FF9393"/>
              </a:solidFill>
              <a:ln>
                <a:noFill/>
              </a:ln>
              <a:effectLst/>
            </c:spPr>
            <c:extLst>
              <c:ext xmlns:c16="http://schemas.microsoft.com/office/drawing/2014/chart" uri="{C3380CC4-5D6E-409C-BE32-E72D297353CC}">
                <c16:uniqueId val="{0000000B-6BFB-452E-A033-16A3B771A3C8}"/>
              </c:ext>
            </c:extLst>
          </c:dPt>
          <c:dPt>
            <c:idx val="23"/>
            <c:invertIfNegative val="0"/>
            <c:bubble3D val="0"/>
            <c:spPr>
              <a:solidFill>
                <a:srgbClr val="C00000"/>
              </a:solidFill>
              <a:ln>
                <a:noFill/>
              </a:ln>
              <a:effectLst/>
            </c:spPr>
            <c:extLst>
              <c:ext xmlns:c16="http://schemas.microsoft.com/office/drawing/2014/chart" uri="{C3380CC4-5D6E-409C-BE32-E72D297353CC}">
                <c16:uniqueId val="{0000000D-6BFB-452E-A033-16A3B771A3C8}"/>
              </c:ext>
            </c:extLst>
          </c:dPt>
          <c:dPt>
            <c:idx val="26"/>
            <c:invertIfNegative val="0"/>
            <c:bubble3D val="0"/>
            <c:spPr>
              <a:solidFill>
                <a:srgbClr val="FF9393"/>
              </a:solidFill>
              <a:ln>
                <a:noFill/>
              </a:ln>
              <a:effectLst/>
            </c:spPr>
            <c:extLst>
              <c:ext xmlns:c16="http://schemas.microsoft.com/office/drawing/2014/chart" uri="{C3380CC4-5D6E-409C-BE32-E72D297353CC}">
                <c16:uniqueId val="{0000000F-6BFB-452E-A033-16A3B771A3C8}"/>
              </c:ext>
            </c:extLst>
          </c:dPt>
          <c:dPt>
            <c:idx val="27"/>
            <c:invertIfNegative val="0"/>
            <c:bubble3D val="0"/>
            <c:spPr>
              <a:solidFill>
                <a:srgbClr val="FEDADA"/>
              </a:solidFill>
              <a:ln>
                <a:noFill/>
              </a:ln>
              <a:effectLst/>
            </c:spPr>
            <c:extLst>
              <c:ext xmlns:c16="http://schemas.microsoft.com/office/drawing/2014/chart" uri="{C3380CC4-5D6E-409C-BE32-E72D297353CC}">
                <c16:uniqueId val="{00000011-6BFB-452E-A033-16A3B771A3C8}"/>
              </c:ext>
            </c:extLst>
          </c:dPt>
          <c:dPt>
            <c:idx val="28"/>
            <c:invertIfNegative val="0"/>
            <c:bubble3D val="0"/>
            <c:spPr>
              <a:solidFill>
                <a:srgbClr val="FF9393"/>
              </a:solidFill>
              <a:ln>
                <a:noFill/>
              </a:ln>
              <a:effectLst/>
            </c:spPr>
            <c:extLst>
              <c:ext xmlns:c16="http://schemas.microsoft.com/office/drawing/2014/chart" uri="{C3380CC4-5D6E-409C-BE32-E72D297353CC}">
                <c16:uniqueId val="{00000013-6BFB-452E-A033-16A3B771A3C8}"/>
              </c:ext>
            </c:extLst>
          </c:dPt>
          <c:dPt>
            <c:idx val="29"/>
            <c:invertIfNegative val="0"/>
            <c:bubble3D val="0"/>
            <c:spPr>
              <a:solidFill>
                <a:srgbClr val="FF0000"/>
              </a:solidFill>
              <a:ln>
                <a:noFill/>
              </a:ln>
              <a:effectLst/>
            </c:spPr>
            <c:extLst>
              <c:ext xmlns:c16="http://schemas.microsoft.com/office/drawing/2014/chart" uri="{C3380CC4-5D6E-409C-BE32-E72D297353CC}">
                <c16:uniqueId val="{00000015-6BFB-452E-A033-16A3B771A3C8}"/>
              </c:ext>
            </c:extLst>
          </c:dPt>
          <c:cat>
            <c:strRef>
              <c:f>'Strep pneumo'!$B$11:$AE$11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'Strep pneumo'!$B$12:$AE$12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16-6BFB-452E-A033-16A3B771A3C8}"/>
            </c:ext>
          </c:extLst>
        </c:ser>
        <c:ser>
          <c:idx val="1"/>
          <c:order val="1"/>
          <c:tx>
            <c:strRef>
              <c:f>'Strep pneumo'!$A$13</c:f>
              <c:strCache>
                <c:ptCount val="1"/>
                <c:pt idx="0">
                  <c:v>Swab 2</c:v>
                </c:pt>
              </c:strCache>
            </c:strRef>
          </c:tx>
          <c:spPr>
            <a:noFill/>
            <a:ln>
              <a:noFill/>
            </a:ln>
            <a:effectLst/>
          </c:spPr>
          <c:invertIfNegative val="0"/>
          <c:dPt>
            <c:idx val="0"/>
            <c:invertIfNegative val="0"/>
            <c:bubble3D val="0"/>
            <c:spPr>
              <a:solidFill>
                <a:srgbClr val="FF9393"/>
              </a:solidFill>
              <a:ln>
                <a:noFill/>
              </a:ln>
              <a:effectLst/>
            </c:spPr>
            <c:extLst>
              <c:ext xmlns:c16="http://schemas.microsoft.com/office/drawing/2014/chart" uri="{C3380CC4-5D6E-409C-BE32-E72D297353CC}">
                <c16:uniqueId val="{00000018-6BFB-452E-A033-16A3B771A3C8}"/>
              </c:ext>
            </c:extLst>
          </c:dPt>
          <c:dPt>
            <c:idx val="3"/>
            <c:invertIfNegative val="0"/>
            <c:bubble3D val="0"/>
            <c:spPr>
              <a:solidFill>
                <a:srgbClr val="FF9393"/>
              </a:solidFill>
              <a:ln>
                <a:noFill/>
              </a:ln>
              <a:effectLst/>
            </c:spPr>
            <c:extLst>
              <c:ext xmlns:c16="http://schemas.microsoft.com/office/drawing/2014/chart" uri="{C3380CC4-5D6E-409C-BE32-E72D297353CC}">
                <c16:uniqueId val="{0000001A-6BFB-452E-A033-16A3B771A3C8}"/>
              </c:ext>
            </c:extLst>
          </c:dPt>
          <c:dPt>
            <c:idx val="4"/>
            <c:invertIfNegative val="0"/>
            <c:bubble3D val="0"/>
            <c:spPr>
              <a:solidFill>
                <a:srgbClr val="FF8F8F"/>
              </a:solidFill>
              <a:ln>
                <a:noFill/>
              </a:ln>
              <a:effectLst/>
            </c:spPr>
            <c:extLst>
              <c:ext xmlns:c16="http://schemas.microsoft.com/office/drawing/2014/chart" uri="{C3380CC4-5D6E-409C-BE32-E72D297353CC}">
                <c16:uniqueId val="{0000001C-6BFB-452E-A033-16A3B771A3C8}"/>
              </c:ext>
            </c:extLst>
          </c:dPt>
          <c:dPt>
            <c:idx val="5"/>
            <c:invertIfNegative val="0"/>
            <c:bubble3D val="0"/>
            <c:spPr>
              <a:solidFill>
                <a:srgbClr val="FF9393"/>
              </a:solidFill>
              <a:ln>
                <a:noFill/>
              </a:ln>
              <a:effectLst/>
            </c:spPr>
            <c:extLst>
              <c:ext xmlns:c16="http://schemas.microsoft.com/office/drawing/2014/chart" uri="{C3380CC4-5D6E-409C-BE32-E72D297353CC}">
                <c16:uniqueId val="{0000001E-6BFB-452E-A033-16A3B771A3C8}"/>
              </c:ext>
            </c:extLst>
          </c:dPt>
          <c:dPt>
            <c:idx val="15"/>
            <c:invertIfNegative val="0"/>
            <c:bubble3D val="0"/>
            <c:spPr>
              <a:solidFill>
                <a:srgbClr val="FF9393"/>
              </a:solidFill>
              <a:ln>
                <a:noFill/>
              </a:ln>
              <a:effectLst/>
            </c:spPr>
            <c:extLst>
              <c:ext xmlns:c16="http://schemas.microsoft.com/office/drawing/2014/chart" uri="{C3380CC4-5D6E-409C-BE32-E72D297353CC}">
                <c16:uniqueId val="{00000020-6BFB-452E-A033-16A3B771A3C8}"/>
              </c:ext>
            </c:extLst>
          </c:dPt>
          <c:dPt>
            <c:idx val="18"/>
            <c:invertIfNegative val="0"/>
            <c:bubble3D val="0"/>
            <c:spPr>
              <a:solidFill>
                <a:srgbClr val="FF9393"/>
              </a:solidFill>
              <a:ln>
                <a:noFill/>
              </a:ln>
              <a:effectLst/>
            </c:spPr>
            <c:extLst>
              <c:ext xmlns:c16="http://schemas.microsoft.com/office/drawing/2014/chart" uri="{C3380CC4-5D6E-409C-BE32-E72D297353CC}">
                <c16:uniqueId val="{00000022-6BFB-452E-A033-16A3B771A3C8}"/>
              </c:ext>
            </c:extLst>
          </c:dPt>
          <c:dPt>
            <c:idx val="23"/>
            <c:invertIfNegative val="0"/>
            <c:bubble3D val="0"/>
            <c:spPr>
              <a:solidFill>
                <a:srgbClr val="C00000"/>
              </a:solidFill>
              <a:ln>
                <a:noFill/>
              </a:ln>
              <a:effectLst/>
            </c:spPr>
            <c:extLst>
              <c:ext xmlns:c16="http://schemas.microsoft.com/office/drawing/2014/chart" uri="{C3380CC4-5D6E-409C-BE32-E72D297353CC}">
                <c16:uniqueId val="{00000043-D5A1-455C-91E2-FD14EE2EDE6A}"/>
              </c:ext>
            </c:extLst>
          </c:dPt>
          <c:cat>
            <c:strRef>
              <c:f>'Strep pneumo'!$B$11:$AE$11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'Strep pneumo'!$B$13:$AE$13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23-6BFB-452E-A033-16A3B771A3C8}"/>
            </c:ext>
          </c:extLst>
        </c:ser>
        <c:ser>
          <c:idx val="2"/>
          <c:order val="2"/>
          <c:tx>
            <c:strRef>
              <c:f>'Strep pneumo'!$A$14</c:f>
              <c:strCache>
                <c:ptCount val="1"/>
                <c:pt idx="0">
                  <c:v>Swab 3</c:v>
                </c:pt>
              </c:strCache>
            </c:strRef>
          </c:tx>
          <c:spPr>
            <a:noFill/>
            <a:ln>
              <a:noFill/>
            </a:ln>
            <a:effectLst/>
          </c:spPr>
          <c:invertIfNegative val="0"/>
          <c:dPt>
            <c:idx val="4"/>
            <c:invertIfNegative val="0"/>
            <c:bubble3D val="0"/>
            <c:spPr>
              <a:solidFill>
                <a:srgbClr val="FFE7E7"/>
              </a:solidFill>
              <a:ln>
                <a:noFill/>
              </a:ln>
              <a:effectLst/>
            </c:spPr>
            <c:extLst>
              <c:ext xmlns:c16="http://schemas.microsoft.com/office/drawing/2014/chart" uri="{C3380CC4-5D6E-409C-BE32-E72D297353CC}">
                <c16:uniqueId val="{00000041-A7D4-464B-A414-8A8855C81F1A}"/>
              </c:ext>
            </c:extLst>
          </c:dPt>
          <c:dPt>
            <c:idx val="10"/>
            <c:invertIfNegative val="0"/>
            <c:bubble3D val="0"/>
            <c:spPr>
              <a:solidFill>
                <a:srgbClr val="FF9393"/>
              </a:solidFill>
              <a:ln>
                <a:noFill/>
              </a:ln>
              <a:effectLst/>
            </c:spPr>
            <c:extLst>
              <c:ext xmlns:c16="http://schemas.microsoft.com/office/drawing/2014/chart" uri="{C3380CC4-5D6E-409C-BE32-E72D297353CC}">
                <c16:uniqueId val="{00000025-6BFB-452E-A033-16A3B771A3C8}"/>
              </c:ext>
            </c:extLst>
          </c:dPt>
          <c:dPt>
            <c:idx val="12"/>
            <c:invertIfNegative val="0"/>
            <c:bubble3D val="0"/>
            <c:spPr>
              <a:solidFill>
                <a:srgbClr val="FF9393"/>
              </a:solidFill>
              <a:ln>
                <a:noFill/>
              </a:ln>
              <a:effectLst/>
            </c:spPr>
            <c:extLst>
              <c:ext xmlns:c16="http://schemas.microsoft.com/office/drawing/2014/chart" uri="{C3380CC4-5D6E-409C-BE32-E72D297353CC}">
                <c16:uniqueId val="{00000027-6BFB-452E-A033-16A3B771A3C8}"/>
              </c:ext>
            </c:extLst>
          </c:dPt>
          <c:dPt>
            <c:idx val="14"/>
            <c:invertIfNegative val="0"/>
            <c:bubble3D val="0"/>
            <c:spPr>
              <a:solidFill>
                <a:srgbClr val="FEE2E2"/>
              </a:solidFill>
              <a:ln>
                <a:noFill/>
              </a:ln>
              <a:effectLst/>
            </c:spPr>
            <c:extLst>
              <c:ext xmlns:c16="http://schemas.microsoft.com/office/drawing/2014/chart" uri="{C3380CC4-5D6E-409C-BE32-E72D297353CC}">
                <c16:uniqueId val="{00000029-6BFB-452E-A033-16A3B771A3C8}"/>
              </c:ext>
            </c:extLst>
          </c:dPt>
          <c:dPt>
            <c:idx val="21"/>
            <c:invertIfNegative val="0"/>
            <c:bubble3D val="0"/>
            <c:spPr>
              <a:solidFill>
                <a:srgbClr val="7030A0"/>
              </a:solidFill>
              <a:ln>
                <a:noFill/>
              </a:ln>
              <a:effectLst/>
            </c:spPr>
            <c:extLst>
              <c:ext xmlns:c16="http://schemas.microsoft.com/office/drawing/2014/chart" uri="{C3380CC4-5D6E-409C-BE32-E72D297353CC}">
                <c16:uniqueId val="{0000002B-6BFB-452E-A033-16A3B771A3C8}"/>
              </c:ext>
            </c:extLst>
          </c:dPt>
          <c:dPt>
            <c:idx val="23"/>
            <c:invertIfNegative val="0"/>
            <c:bubble3D val="0"/>
            <c:spPr>
              <a:noFill/>
              <a:ln>
                <a:noFill/>
              </a:ln>
              <a:effectLst/>
            </c:spPr>
            <c:extLst>
              <c:ext xmlns:c16="http://schemas.microsoft.com/office/drawing/2014/chart" uri="{C3380CC4-5D6E-409C-BE32-E72D297353CC}">
                <c16:uniqueId val="{0000002D-6BFB-452E-A033-16A3B771A3C8}"/>
              </c:ext>
            </c:extLst>
          </c:dPt>
          <c:dPt>
            <c:idx val="27"/>
            <c:invertIfNegative val="0"/>
            <c:bubble3D val="0"/>
            <c:spPr>
              <a:solidFill>
                <a:srgbClr val="FF9393"/>
              </a:solidFill>
              <a:ln>
                <a:noFill/>
              </a:ln>
              <a:effectLst/>
            </c:spPr>
            <c:extLst>
              <c:ext xmlns:c16="http://schemas.microsoft.com/office/drawing/2014/chart" uri="{C3380CC4-5D6E-409C-BE32-E72D297353CC}">
                <c16:uniqueId val="{0000002F-6BFB-452E-A033-16A3B771A3C8}"/>
              </c:ext>
            </c:extLst>
          </c:dPt>
          <c:dPt>
            <c:idx val="29"/>
            <c:invertIfNegative val="0"/>
            <c:bubble3D val="0"/>
            <c:spPr>
              <a:solidFill>
                <a:srgbClr val="FF9393"/>
              </a:solidFill>
              <a:ln>
                <a:noFill/>
              </a:ln>
              <a:effectLst/>
            </c:spPr>
            <c:extLst>
              <c:ext xmlns:c16="http://schemas.microsoft.com/office/drawing/2014/chart" uri="{C3380CC4-5D6E-409C-BE32-E72D297353CC}">
                <c16:uniqueId val="{00000031-6BFB-452E-A033-16A3B771A3C8}"/>
              </c:ext>
            </c:extLst>
          </c:dPt>
          <c:cat>
            <c:strRef>
              <c:f>'Strep pneumo'!$B$11:$AE$11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'Strep pneumo'!$B$14:$AE$14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2-6BFB-452E-A033-16A3B771A3C8}"/>
            </c:ext>
          </c:extLst>
        </c:ser>
        <c:ser>
          <c:idx val="3"/>
          <c:order val="3"/>
          <c:tx>
            <c:strRef>
              <c:f>'Strep pneumo'!$A$15</c:f>
              <c:strCache>
                <c:ptCount val="1"/>
                <c:pt idx="0">
                  <c:v>Swab 4</c:v>
                </c:pt>
              </c:strCache>
            </c:strRef>
          </c:tx>
          <c:spPr>
            <a:noFill/>
            <a:ln>
              <a:noFill/>
            </a:ln>
            <a:effectLst/>
          </c:spPr>
          <c:invertIfNegative val="0"/>
          <c:dPt>
            <c:idx val="0"/>
            <c:invertIfNegative val="0"/>
            <c:bubble3D val="0"/>
            <c:spPr>
              <a:solidFill>
                <a:srgbClr val="FF9393"/>
              </a:solidFill>
              <a:ln>
                <a:noFill/>
              </a:ln>
              <a:effectLst/>
            </c:spPr>
            <c:extLst>
              <c:ext xmlns:c16="http://schemas.microsoft.com/office/drawing/2014/chart" uri="{C3380CC4-5D6E-409C-BE32-E72D297353CC}">
                <c16:uniqueId val="{00000034-6BFB-452E-A033-16A3B771A3C8}"/>
              </c:ext>
            </c:extLst>
          </c:dPt>
          <c:dPt>
            <c:idx val="3"/>
            <c:invertIfNegative val="0"/>
            <c:bubble3D val="0"/>
            <c:spPr>
              <a:solidFill>
                <a:srgbClr val="FF9393"/>
              </a:solidFill>
              <a:ln>
                <a:noFill/>
              </a:ln>
              <a:effectLst/>
            </c:spPr>
            <c:extLst>
              <c:ext xmlns:c16="http://schemas.microsoft.com/office/drawing/2014/chart" uri="{C3380CC4-5D6E-409C-BE32-E72D297353CC}">
                <c16:uniqueId val="{00000036-6BFB-452E-A033-16A3B771A3C8}"/>
              </c:ext>
            </c:extLst>
          </c:dPt>
          <c:dPt>
            <c:idx val="6"/>
            <c:invertIfNegative val="0"/>
            <c:bubble3D val="0"/>
            <c:spPr>
              <a:solidFill>
                <a:srgbClr val="C00000"/>
              </a:solidFill>
              <a:ln>
                <a:noFill/>
              </a:ln>
              <a:effectLst/>
            </c:spPr>
            <c:extLst>
              <c:ext xmlns:c16="http://schemas.microsoft.com/office/drawing/2014/chart" uri="{C3380CC4-5D6E-409C-BE32-E72D297353CC}">
                <c16:uniqueId val="{00000038-6BFB-452E-A033-16A3B771A3C8}"/>
              </c:ext>
            </c:extLst>
          </c:dPt>
          <c:dPt>
            <c:idx val="8"/>
            <c:invertIfNegative val="0"/>
            <c:bubble3D val="0"/>
            <c:extLst>
              <c:ext xmlns:c16="http://schemas.microsoft.com/office/drawing/2014/chart" uri="{C3380CC4-5D6E-409C-BE32-E72D297353CC}">
                <c16:uniqueId val="{0000003A-6BFB-452E-A033-16A3B771A3C8}"/>
              </c:ext>
            </c:extLst>
          </c:dPt>
          <c:dPt>
            <c:idx val="10"/>
            <c:invertIfNegative val="0"/>
            <c:bubble3D val="0"/>
            <c:spPr>
              <a:solidFill>
                <a:srgbClr val="00B0F0"/>
              </a:solidFill>
              <a:ln>
                <a:noFill/>
              </a:ln>
              <a:effectLst/>
            </c:spPr>
            <c:extLst>
              <c:ext xmlns:c16="http://schemas.microsoft.com/office/drawing/2014/chart" uri="{C3380CC4-5D6E-409C-BE32-E72D297353CC}">
                <c16:uniqueId val="{0000003C-6BFB-452E-A033-16A3B771A3C8}"/>
              </c:ext>
            </c:extLst>
          </c:dPt>
          <c:dPt>
            <c:idx val="11"/>
            <c:invertIfNegative val="0"/>
            <c:bubble3D val="0"/>
            <c:spPr>
              <a:solidFill>
                <a:srgbClr val="FF9393"/>
              </a:solidFill>
              <a:ln>
                <a:noFill/>
              </a:ln>
              <a:effectLst/>
            </c:spPr>
            <c:extLst>
              <c:ext xmlns:c16="http://schemas.microsoft.com/office/drawing/2014/chart" uri="{C3380CC4-5D6E-409C-BE32-E72D297353CC}">
                <c16:uniqueId val="{0000003E-6BFB-452E-A033-16A3B771A3C8}"/>
              </c:ext>
            </c:extLst>
          </c:dPt>
          <c:dPt>
            <c:idx val="14"/>
            <c:invertIfNegative val="0"/>
            <c:bubble3D val="0"/>
            <c:spPr>
              <a:solidFill>
                <a:srgbClr val="FFA3A3"/>
              </a:solidFill>
              <a:ln>
                <a:noFill/>
              </a:ln>
              <a:effectLst/>
            </c:spPr>
            <c:extLst>
              <c:ext xmlns:c16="http://schemas.microsoft.com/office/drawing/2014/chart" uri="{C3380CC4-5D6E-409C-BE32-E72D297353CC}">
                <c16:uniqueId val="{0000003F-6132-4BF2-8772-E608587738A3}"/>
              </c:ext>
            </c:extLst>
          </c:dPt>
          <c:dPt>
            <c:idx val="23"/>
            <c:invertIfNegative val="0"/>
            <c:bubble3D val="0"/>
            <c:spPr>
              <a:solidFill>
                <a:srgbClr val="C00000"/>
              </a:solidFill>
              <a:ln>
                <a:noFill/>
              </a:ln>
              <a:effectLst/>
            </c:spPr>
            <c:extLst>
              <c:ext xmlns:c16="http://schemas.microsoft.com/office/drawing/2014/chart" uri="{C3380CC4-5D6E-409C-BE32-E72D297353CC}">
                <c16:uniqueId val="{00000040-6BFB-452E-A033-16A3B771A3C8}"/>
              </c:ext>
            </c:extLst>
          </c:dPt>
          <c:cat>
            <c:strRef>
              <c:f>'Strep pneumo'!$B$11:$AE$11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'Strep pneumo'!$B$15:$AE$15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41-6BFB-452E-A033-16A3B771A3C8}"/>
            </c:ext>
          </c:extLst>
        </c:ser>
        <c:dLbls>
          <c:showLegendKey val="0"/>
          <c:showVal val="0"/>
          <c:showCatName val="0"/>
          <c:showSerName val="0"/>
          <c:showPercent val="0"/>
          <c:showBubbleSize val="0"/>
        </c:dLbls>
        <c:gapWidth val="150"/>
        <c:overlap val="100"/>
        <c:axId val="128626688"/>
        <c:axId val="128628608"/>
      </c:barChart>
      <c:catAx>
        <c:axId val="12862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8628608"/>
        <c:crosses val="autoZero"/>
        <c:auto val="1"/>
        <c:lblAlgn val="ctr"/>
        <c:lblOffset val="100"/>
        <c:noMultiLvlLbl val="0"/>
      </c:catAx>
      <c:valAx>
        <c:axId val="128628608"/>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en-GB"/>
                  <a:t>Swab Number</a:t>
                </a:r>
              </a:p>
            </c:rich>
          </c:tx>
          <c:layout>
            <c:manualLayout>
              <c:xMode val="edge"/>
              <c:yMode val="edge"/>
              <c:x val="8.2250392858196093E-3"/>
              <c:y val="0.31447253998910513"/>
            </c:manualLayout>
          </c:layout>
          <c:overlay val="0"/>
          <c:spPr>
            <a:noFill/>
            <a:ln>
              <a:noFill/>
            </a:ln>
            <a:effectLst/>
          </c:spPr>
          <c:txPr>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862668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'Haemophilus I'!$A$12</c:f>
              <c:strCache>
                <c:ptCount val="1"/>
                <c:pt idx="0">
                  <c:v>Swab 1</c:v>
                </c:pt>
              </c:strCache>
            </c:strRef>
          </c:tx>
          <c:spPr>
            <a:no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786-4261-849E-97D40B8C5367}"/>
              </c:ext>
            </c:extLst>
          </c:dPt>
          <c:dPt>
            <c:idx val="2"/>
            <c:invertIfNegative val="0"/>
            <c:bubble3D val="0"/>
            <c:spPr>
              <a:solidFill>
                <a:srgbClr val="00B0F0"/>
              </a:solidFill>
              <a:ln>
                <a:noFill/>
              </a:ln>
              <a:effectLst/>
            </c:spPr>
            <c:extLst>
              <c:ext xmlns:c16="http://schemas.microsoft.com/office/drawing/2014/chart" uri="{C3380CC4-5D6E-409C-BE32-E72D297353CC}">
                <c16:uniqueId val="{00000003-1786-4261-849E-97D40B8C5367}"/>
              </c:ext>
            </c:extLst>
          </c:dPt>
          <c:dPt>
            <c:idx val="4"/>
            <c:invertIfNegative val="0"/>
            <c:bubble3D val="0"/>
            <c:spPr>
              <a:solidFill>
                <a:srgbClr val="FF9393"/>
              </a:solidFill>
              <a:ln>
                <a:noFill/>
              </a:ln>
              <a:effectLst/>
            </c:spPr>
            <c:extLst>
              <c:ext xmlns:c16="http://schemas.microsoft.com/office/drawing/2014/chart" uri="{C3380CC4-5D6E-409C-BE32-E72D297353CC}">
                <c16:uniqueId val="{00000005-1786-4261-849E-97D40B8C5367}"/>
              </c:ext>
            </c:extLst>
          </c:dPt>
          <c:dPt>
            <c:idx val="5"/>
            <c:invertIfNegative val="0"/>
            <c:bubble3D val="0"/>
            <c:spPr>
              <a:solidFill>
                <a:srgbClr val="FF0000"/>
              </a:solidFill>
              <a:ln>
                <a:noFill/>
              </a:ln>
              <a:effectLst/>
            </c:spPr>
            <c:extLst>
              <c:ext xmlns:c16="http://schemas.microsoft.com/office/drawing/2014/chart" uri="{C3380CC4-5D6E-409C-BE32-E72D297353CC}">
                <c16:uniqueId val="{00000007-1786-4261-849E-97D40B8C5367}"/>
              </c:ext>
            </c:extLst>
          </c:dPt>
          <c:dPt>
            <c:idx val="7"/>
            <c:invertIfNegative val="0"/>
            <c:bubble3D val="0"/>
            <c:spPr>
              <a:solidFill>
                <a:srgbClr val="00B0F0"/>
              </a:solidFill>
              <a:ln>
                <a:noFill/>
              </a:ln>
              <a:effectLst/>
            </c:spPr>
            <c:extLst>
              <c:ext xmlns:c16="http://schemas.microsoft.com/office/drawing/2014/chart" uri="{C3380CC4-5D6E-409C-BE32-E72D297353CC}">
                <c16:uniqueId val="{00000009-1786-4261-849E-97D40B8C5367}"/>
              </c:ext>
            </c:extLst>
          </c:dPt>
          <c:dPt>
            <c:idx val="8"/>
            <c:invertIfNegative val="0"/>
            <c:bubble3D val="0"/>
            <c:spPr>
              <a:solidFill>
                <a:srgbClr val="00B0F0"/>
              </a:solidFill>
              <a:ln>
                <a:noFill/>
              </a:ln>
              <a:effectLst/>
            </c:spPr>
            <c:extLst>
              <c:ext xmlns:c16="http://schemas.microsoft.com/office/drawing/2014/chart" uri="{C3380CC4-5D6E-409C-BE32-E72D297353CC}">
                <c16:uniqueId val="{0000000B-1786-4261-849E-97D40B8C5367}"/>
              </c:ext>
            </c:extLst>
          </c:dPt>
          <c:dPt>
            <c:idx val="10"/>
            <c:invertIfNegative val="0"/>
            <c:bubble3D val="0"/>
            <c:spPr>
              <a:solidFill>
                <a:srgbClr val="00B0F0"/>
              </a:solidFill>
              <a:ln>
                <a:noFill/>
              </a:ln>
              <a:effectLst/>
            </c:spPr>
            <c:extLst>
              <c:ext xmlns:c16="http://schemas.microsoft.com/office/drawing/2014/chart" uri="{C3380CC4-5D6E-409C-BE32-E72D297353CC}">
                <c16:uniqueId val="{0000000D-1786-4261-849E-97D40B8C5367}"/>
              </c:ext>
            </c:extLst>
          </c:dPt>
          <c:dPt>
            <c:idx val="11"/>
            <c:invertIfNegative val="0"/>
            <c:bubble3D val="0"/>
            <c:spPr>
              <a:solidFill>
                <a:srgbClr val="00B0F0"/>
              </a:solidFill>
              <a:ln>
                <a:noFill/>
              </a:ln>
              <a:effectLst/>
            </c:spPr>
            <c:extLst>
              <c:ext xmlns:c16="http://schemas.microsoft.com/office/drawing/2014/chart" uri="{C3380CC4-5D6E-409C-BE32-E72D297353CC}">
                <c16:uniqueId val="{0000000F-1786-4261-849E-97D40B8C5367}"/>
              </c:ext>
            </c:extLst>
          </c:dPt>
          <c:dPt>
            <c:idx val="12"/>
            <c:invertIfNegative val="0"/>
            <c:bubble3D val="0"/>
            <c:spPr>
              <a:solidFill>
                <a:srgbClr val="7030A0"/>
              </a:solidFill>
              <a:ln>
                <a:noFill/>
              </a:ln>
              <a:effectLst/>
            </c:spPr>
            <c:extLst>
              <c:ext xmlns:c16="http://schemas.microsoft.com/office/drawing/2014/chart" uri="{C3380CC4-5D6E-409C-BE32-E72D297353CC}">
                <c16:uniqueId val="{00000011-1786-4261-849E-97D40B8C5367}"/>
              </c:ext>
            </c:extLst>
          </c:dPt>
          <c:dPt>
            <c:idx val="14"/>
            <c:invertIfNegative val="0"/>
            <c:bubble3D val="0"/>
            <c:spPr>
              <a:solidFill>
                <a:srgbClr val="FFDDDD"/>
              </a:solidFill>
              <a:ln>
                <a:noFill/>
              </a:ln>
              <a:effectLst/>
            </c:spPr>
            <c:extLst>
              <c:ext xmlns:c16="http://schemas.microsoft.com/office/drawing/2014/chart" uri="{C3380CC4-5D6E-409C-BE32-E72D297353CC}">
                <c16:uniqueId val="{00000013-1786-4261-849E-97D40B8C5367}"/>
              </c:ext>
            </c:extLst>
          </c:dPt>
          <c:dPt>
            <c:idx val="16"/>
            <c:invertIfNegative val="0"/>
            <c:bubble3D val="0"/>
            <c:spPr>
              <a:solidFill>
                <a:srgbClr val="FF9393"/>
              </a:solidFill>
              <a:ln>
                <a:noFill/>
              </a:ln>
              <a:effectLst/>
            </c:spPr>
            <c:extLst>
              <c:ext xmlns:c16="http://schemas.microsoft.com/office/drawing/2014/chart" uri="{C3380CC4-5D6E-409C-BE32-E72D297353CC}">
                <c16:uniqueId val="{00000015-1786-4261-849E-97D40B8C5367}"/>
              </c:ext>
            </c:extLst>
          </c:dPt>
          <c:dPt>
            <c:idx val="19"/>
            <c:invertIfNegative val="0"/>
            <c:bubble3D val="0"/>
            <c:spPr>
              <a:solidFill>
                <a:srgbClr val="FF9393"/>
              </a:solidFill>
              <a:ln>
                <a:noFill/>
              </a:ln>
              <a:effectLst/>
            </c:spPr>
            <c:extLst>
              <c:ext xmlns:c16="http://schemas.microsoft.com/office/drawing/2014/chart" uri="{C3380CC4-5D6E-409C-BE32-E72D297353CC}">
                <c16:uniqueId val="{00000017-1786-4261-849E-97D40B8C5367}"/>
              </c:ext>
            </c:extLst>
          </c:dPt>
          <c:dPt>
            <c:idx val="20"/>
            <c:invertIfNegative val="0"/>
            <c:bubble3D val="0"/>
            <c:spPr>
              <a:solidFill>
                <a:srgbClr val="FF0000"/>
              </a:solidFill>
              <a:ln>
                <a:noFill/>
              </a:ln>
              <a:effectLst/>
            </c:spPr>
            <c:extLst>
              <c:ext xmlns:c16="http://schemas.microsoft.com/office/drawing/2014/chart" uri="{C3380CC4-5D6E-409C-BE32-E72D297353CC}">
                <c16:uniqueId val="{00000019-1786-4261-849E-97D40B8C5367}"/>
              </c:ext>
            </c:extLst>
          </c:dPt>
          <c:dPt>
            <c:idx val="23"/>
            <c:invertIfNegative val="0"/>
            <c:bubble3D val="0"/>
            <c:spPr>
              <a:solidFill>
                <a:srgbClr val="00B0F0"/>
              </a:solidFill>
              <a:ln>
                <a:noFill/>
              </a:ln>
              <a:effectLst/>
            </c:spPr>
            <c:extLst>
              <c:ext xmlns:c16="http://schemas.microsoft.com/office/drawing/2014/chart" uri="{C3380CC4-5D6E-409C-BE32-E72D297353CC}">
                <c16:uniqueId val="{0000001B-1786-4261-849E-97D40B8C5367}"/>
              </c:ext>
            </c:extLst>
          </c:dPt>
          <c:dPt>
            <c:idx val="24"/>
            <c:invertIfNegative val="0"/>
            <c:bubble3D val="0"/>
            <c:spPr>
              <a:solidFill>
                <a:srgbClr val="00B0F0"/>
              </a:solidFill>
              <a:ln>
                <a:noFill/>
              </a:ln>
              <a:effectLst/>
            </c:spPr>
            <c:extLst>
              <c:ext xmlns:c16="http://schemas.microsoft.com/office/drawing/2014/chart" uri="{C3380CC4-5D6E-409C-BE32-E72D297353CC}">
                <c16:uniqueId val="{0000001D-1786-4261-849E-97D40B8C5367}"/>
              </c:ext>
            </c:extLst>
          </c:dPt>
          <c:dPt>
            <c:idx val="28"/>
            <c:invertIfNegative val="0"/>
            <c:bubble3D val="0"/>
            <c:spPr>
              <a:solidFill>
                <a:srgbClr val="FEDADA"/>
              </a:solidFill>
              <a:ln>
                <a:noFill/>
              </a:ln>
              <a:effectLst/>
            </c:spPr>
            <c:extLst>
              <c:ext xmlns:c16="http://schemas.microsoft.com/office/drawing/2014/chart" uri="{C3380CC4-5D6E-409C-BE32-E72D297353CC}">
                <c16:uniqueId val="{0000001F-1786-4261-849E-97D40B8C5367}"/>
              </c:ext>
            </c:extLst>
          </c:dPt>
          <c:dPt>
            <c:idx val="29"/>
            <c:invertIfNegative val="0"/>
            <c:bubble3D val="0"/>
            <c:spPr>
              <a:solidFill>
                <a:srgbClr val="00B0F0"/>
              </a:solidFill>
              <a:ln>
                <a:noFill/>
              </a:ln>
              <a:effectLst/>
            </c:spPr>
            <c:extLst>
              <c:ext xmlns:c16="http://schemas.microsoft.com/office/drawing/2014/chart" uri="{C3380CC4-5D6E-409C-BE32-E72D297353CC}">
                <c16:uniqueId val="{00000021-1786-4261-849E-97D40B8C5367}"/>
              </c:ext>
            </c:extLst>
          </c:dPt>
          <c:cat>
            <c:strRef>
              <c:f>'Haemophilus I'!$B$11:$AE$11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'Haemophilus I'!$B$12:$AE$12</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22-1786-4261-849E-97D40B8C5367}"/>
            </c:ext>
          </c:extLst>
        </c:ser>
        <c:ser>
          <c:idx val="1"/>
          <c:order val="1"/>
          <c:tx>
            <c:strRef>
              <c:f>'Haemophilus I'!$A$13</c:f>
              <c:strCache>
                <c:ptCount val="1"/>
                <c:pt idx="0">
                  <c:v>Swab 2</c:v>
                </c:pt>
              </c:strCache>
            </c:strRef>
          </c:tx>
          <c:spPr>
            <a:no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24-1786-4261-849E-97D40B8C5367}"/>
              </c:ext>
            </c:extLst>
          </c:dPt>
          <c:dPt>
            <c:idx val="1"/>
            <c:invertIfNegative val="0"/>
            <c:bubble3D val="0"/>
            <c:spPr>
              <a:solidFill>
                <a:srgbClr val="FEDADA"/>
              </a:solidFill>
              <a:ln>
                <a:noFill/>
              </a:ln>
              <a:effectLst/>
            </c:spPr>
            <c:extLst>
              <c:ext xmlns:c16="http://schemas.microsoft.com/office/drawing/2014/chart" uri="{C3380CC4-5D6E-409C-BE32-E72D297353CC}">
                <c16:uniqueId val="{00000026-1786-4261-849E-97D40B8C5367}"/>
              </c:ext>
            </c:extLst>
          </c:dPt>
          <c:dPt>
            <c:idx val="2"/>
            <c:invertIfNegative val="0"/>
            <c:bubble3D val="0"/>
            <c:spPr>
              <a:solidFill>
                <a:srgbClr val="00B0F0"/>
              </a:solidFill>
              <a:ln>
                <a:noFill/>
              </a:ln>
              <a:effectLst/>
            </c:spPr>
            <c:extLst>
              <c:ext xmlns:c16="http://schemas.microsoft.com/office/drawing/2014/chart" uri="{C3380CC4-5D6E-409C-BE32-E72D297353CC}">
                <c16:uniqueId val="{00000028-1786-4261-849E-97D40B8C5367}"/>
              </c:ext>
            </c:extLst>
          </c:dPt>
          <c:dPt>
            <c:idx val="3"/>
            <c:invertIfNegative val="0"/>
            <c:bubble3D val="0"/>
            <c:spPr>
              <a:solidFill>
                <a:srgbClr val="00B0F0"/>
              </a:solidFill>
              <a:ln>
                <a:noFill/>
              </a:ln>
              <a:effectLst/>
            </c:spPr>
            <c:extLst>
              <c:ext xmlns:c16="http://schemas.microsoft.com/office/drawing/2014/chart" uri="{C3380CC4-5D6E-409C-BE32-E72D297353CC}">
                <c16:uniqueId val="{0000002A-1786-4261-849E-97D40B8C5367}"/>
              </c:ext>
            </c:extLst>
          </c:dPt>
          <c:dPt>
            <c:idx val="7"/>
            <c:invertIfNegative val="0"/>
            <c:bubble3D val="0"/>
            <c:spPr>
              <a:solidFill>
                <a:srgbClr val="7030A0"/>
              </a:solidFill>
              <a:ln>
                <a:noFill/>
              </a:ln>
              <a:effectLst/>
            </c:spPr>
            <c:extLst>
              <c:ext xmlns:c16="http://schemas.microsoft.com/office/drawing/2014/chart" uri="{C3380CC4-5D6E-409C-BE32-E72D297353CC}">
                <c16:uniqueId val="{0000002C-1786-4261-849E-97D40B8C5367}"/>
              </c:ext>
            </c:extLst>
          </c:dPt>
          <c:dPt>
            <c:idx val="9"/>
            <c:invertIfNegative val="0"/>
            <c:bubble3D val="0"/>
            <c:spPr>
              <a:solidFill>
                <a:srgbClr val="FEDADA"/>
              </a:solidFill>
              <a:ln>
                <a:noFill/>
              </a:ln>
              <a:effectLst/>
            </c:spPr>
            <c:extLst>
              <c:ext xmlns:c16="http://schemas.microsoft.com/office/drawing/2014/chart" uri="{C3380CC4-5D6E-409C-BE32-E72D297353CC}">
                <c16:uniqueId val="{0000002E-1786-4261-849E-97D40B8C5367}"/>
              </c:ext>
            </c:extLst>
          </c:dPt>
          <c:dPt>
            <c:idx val="11"/>
            <c:invertIfNegative val="0"/>
            <c:bubble3D val="0"/>
            <c:spPr>
              <a:solidFill>
                <a:srgbClr val="FF9B9B"/>
              </a:solidFill>
              <a:ln>
                <a:noFill/>
              </a:ln>
              <a:effectLst/>
            </c:spPr>
            <c:extLst>
              <c:ext xmlns:c16="http://schemas.microsoft.com/office/drawing/2014/chart" uri="{C3380CC4-5D6E-409C-BE32-E72D297353CC}">
                <c16:uniqueId val="{00000039-CEAE-46EF-9D52-DEA499D82F22}"/>
              </c:ext>
            </c:extLst>
          </c:dPt>
          <c:dPt>
            <c:idx val="18"/>
            <c:invertIfNegative val="0"/>
            <c:bubble3D val="0"/>
            <c:spPr>
              <a:solidFill>
                <a:srgbClr val="00B0F0"/>
              </a:solidFill>
              <a:ln>
                <a:noFill/>
              </a:ln>
              <a:effectLst/>
            </c:spPr>
            <c:extLst>
              <c:ext xmlns:c16="http://schemas.microsoft.com/office/drawing/2014/chart" uri="{C3380CC4-5D6E-409C-BE32-E72D297353CC}">
                <c16:uniqueId val="{00000030-1786-4261-849E-97D40B8C5367}"/>
              </c:ext>
            </c:extLst>
          </c:dPt>
          <c:dPt>
            <c:idx val="27"/>
            <c:invertIfNegative val="0"/>
            <c:bubble3D val="0"/>
            <c:spPr>
              <a:solidFill>
                <a:srgbClr val="FEDADA"/>
              </a:solidFill>
              <a:ln>
                <a:noFill/>
              </a:ln>
              <a:effectLst/>
            </c:spPr>
            <c:extLst>
              <c:ext xmlns:c16="http://schemas.microsoft.com/office/drawing/2014/chart" uri="{C3380CC4-5D6E-409C-BE32-E72D297353CC}">
                <c16:uniqueId val="{00000032-1786-4261-849E-97D40B8C5367}"/>
              </c:ext>
            </c:extLst>
          </c:dPt>
          <c:cat>
            <c:strRef>
              <c:f>'Haemophilus I'!$B$11:$AE$11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'Haemophilus I'!$B$13:$AE$13</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3-1786-4261-849E-97D40B8C5367}"/>
            </c:ext>
          </c:extLst>
        </c:ser>
        <c:ser>
          <c:idx val="2"/>
          <c:order val="2"/>
          <c:tx>
            <c:strRef>
              <c:f>'Haemophilus I'!$A$14</c:f>
              <c:strCache>
                <c:ptCount val="1"/>
                <c:pt idx="0">
                  <c:v>Swab 3</c:v>
                </c:pt>
              </c:strCache>
            </c:strRef>
          </c:tx>
          <c:spPr>
            <a:noFill/>
            <a:ln>
              <a:noFill/>
            </a:ln>
            <a:effectLst/>
          </c:spPr>
          <c:invertIfNegative val="0"/>
          <c:dPt>
            <c:idx val="3"/>
            <c:invertIfNegative val="0"/>
            <c:bubble3D val="0"/>
            <c:spPr>
              <a:solidFill>
                <a:schemeClr val="bg1"/>
              </a:solidFill>
              <a:ln>
                <a:noFill/>
              </a:ln>
              <a:effectLst/>
            </c:spPr>
            <c:extLst>
              <c:ext xmlns:c16="http://schemas.microsoft.com/office/drawing/2014/chart" uri="{C3380CC4-5D6E-409C-BE32-E72D297353CC}">
                <c16:uniqueId val="{00000038-CEAE-46EF-9D52-DEA499D82F22}"/>
              </c:ext>
            </c:extLst>
          </c:dPt>
          <c:dPt>
            <c:idx val="11"/>
            <c:invertIfNegative val="0"/>
            <c:bubble3D val="0"/>
            <c:spPr>
              <a:solidFill>
                <a:srgbClr val="7030A0"/>
              </a:solidFill>
              <a:ln>
                <a:noFill/>
              </a:ln>
              <a:effectLst/>
            </c:spPr>
            <c:extLst>
              <c:ext xmlns:c16="http://schemas.microsoft.com/office/drawing/2014/chart" uri="{C3380CC4-5D6E-409C-BE32-E72D297353CC}">
                <c16:uniqueId val="{0000003C-365B-49D3-8F2B-4766ED2B32FA}"/>
              </c:ext>
            </c:extLst>
          </c:dPt>
          <c:cat>
            <c:strRef>
              <c:f>'Haemophilus I'!$B$11:$AE$11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'Haemophilus I'!$B$14:$AE$14</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4-1786-4261-849E-97D40B8C5367}"/>
            </c:ext>
          </c:extLst>
        </c:ser>
        <c:ser>
          <c:idx val="3"/>
          <c:order val="3"/>
          <c:tx>
            <c:strRef>
              <c:f>'Haemophilus I'!$A$15</c:f>
              <c:strCache>
                <c:ptCount val="1"/>
                <c:pt idx="0">
                  <c:v>Swab 4</c:v>
                </c:pt>
              </c:strCache>
            </c:strRef>
          </c:tx>
          <c:spPr>
            <a:noFill/>
            <a:ln>
              <a:noFill/>
            </a:ln>
            <a:effectLst/>
          </c:spPr>
          <c:invertIfNegative val="0"/>
          <c:dPt>
            <c:idx val="2"/>
            <c:invertIfNegative val="0"/>
            <c:bubble3D val="0"/>
            <c:spPr>
              <a:solidFill>
                <a:srgbClr val="7030A0"/>
              </a:solidFill>
              <a:ln>
                <a:noFill/>
              </a:ln>
              <a:effectLst/>
            </c:spPr>
            <c:extLst>
              <c:ext xmlns:c16="http://schemas.microsoft.com/office/drawing/2014/chart" uri="{C3380CC4-5D6E-409C-BE32-E72D297353CC}">
                <c16:uniqueId val="{00000036-1786-4261-849E-97D40B8C5367}"/>
              </c:ext>
            </c:extLst>
          </c:dPt>
          <c:dPt>
            <c:idx val="11"/>
            <c:invertIfNegative val="0"/>
            <c:bubble3D val="0"/>
            <c:spPr>
              <a:solidFill>
                <a:srgbClr val="FF9393"/>
              </a:solidFill>
              <a:ln>
                <a:noFill/>
              </a:ln>
              <a:effectLst/>
            </c:spPr>
            <c:extLst>
              <c:ext xmlns:c16="http://schemas.microsoft.com/office/drawing/2014/chart" uri="{C3380CC4-5D6E-409C-BE32-E72D297353CC}">
                <c16:uniqueId val="{00000038-1786-4261-849E-97D40B8C5367}"/>
              </c:ext>
            </c:extLst>
          </c:dPt>
          <c:dPt>
            <c:idx val="14"/>
            <c:invertIfNegative val="0"/>
            <c:bubble3D val="0"/>
            <c:spPr>
              <a:solidFill>
                <a:srgbClr val="FF9393"/>
              </a:solidFill>
              <a:ln>
                <a:noFill/>
              </a:ln>
              <a:effectLst/>
            </c:spPr>
            <c:extLst>
              <c:ext xmlns:c16="http://schemas.microsoft.com/office/drawing/2014/chart" uri="{C3380CC4-5D6E-409C-BE32-E72D297353CC}">
                <c16:uniqueId val="{0000003A-1786-4261-849E-97D40B8C5367}"/>
              </c:ext>
            </c:extLst>
          </c:dPt>
          <c:cat>
            <c:strRef>
              <c:f>'Haemophilus I'!$B$11:$AE$11</c:f>
              <c:strCache>
                <c:ptCount val="3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A1</c:v>
                </c:pt>
                <c:pt idx="16">
                  <c:v>A2</c:v>
                </c:pt>
                <c:pt idx="17">
                  <c:v>A3</c:v>
                </c:pt>
                <c:pt idx="18">
                  <c:v>A4</c:v>
                </c:pt>
                <c:pt idx="19">
                  <c:v>A5</c:v>
                </c:pt>
                <c:pt idx="20">
                  <c:v>A6</c:v>
                </c:pt>
                <c:pt idx="21">
                  <c:v>A7</c:v>
                </c:pt>
                <c:pt idx="22">
                  <c:v>A8</c:v>
                </c:pt>
                <c:pt idx="23">
                  <c:v>A9</c:v>
                </c:pt>
                <c:pt idx="24">
                  <c:v>A10</c:v>
                </c:pt>
                <c:pt idx="25">
                  <c:v>A11</c:v>
                </c:pt>
                <c:pt idx="26">
                  <c:v>A12</c:v>
                </c:pt>
                <c:pt idx="27">
                  <c:v>A13</c:v>
                </c:pt>
                <c:pt idx="28">
                  <c:v>A14</c:v>
                </c:pt>
                <c:pt idx="29">
                  <c:v>A15</c:v>
                </c:pt>
              </c:strCache>
            </c:strRef>
          </c:cat>
          <c:val>
            <c:numRef>
              <c:f>'Haemophilus I'!$B$15:$AE$15</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numCache>
            </c:numRef>
          </c:val>
          <c:extLst>
            <c:ext xmlns:c16="http://schemas.microsoft.com/office/drawing/2014/chart" uri="{C3380CC4-5D6E-409C-BE32-E72D297353CC}">
              <c16:uniqueId val="{0000003B-1786-4261-849E-97D40B8C5367}"/>
            </c:ext>
          </c:extLst>
        </c:ser>
        <c:dLbls>
          <c:showLegendKey val="0"/>
          <c:showVal val="0"/>
          <c:showCatName val="0"/>
          <c:showSerName val="0"/>
          <c:showPercent val="0"/>
          <c:showBubbleSize val="0"/>
        </c:dLbls>
        <c:gapWidth val="150"/>
        <c:overlap val="100"/>
        <c:axId val="128820736"/>
        <c:axId val="128822656"/>
      </c:barChart>
      <c:catAx>
        <c:axId val="12882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Participant Number</a:t>
                </a:r>
                <a:r>
                  <a:rPr lang="en-US" baseline="0"/>
                  <a:t>         </a:t>
                </a:r>
                <a:r>
                  <a:rPr lang="en-US"/>
                  <a:t>C = Comparison group	A = Azithromycin</a:t>
                </a:r>
                <a:r>
                  <a:rPr lang="en-US" baseline="0"/>
                  <a:t> </a:t>
                </a:r>
                <a:r>
                  <a:rPr lang="en-US"/>
                  <a:t>group</a:t>
                </a:r>
              </a:p>
            </c:rich>
          </c:tx>
          <c:layout>
            <c:manualLayout>
              <c:xMode val="edge"/>
              <c:yMode val="edge"/>
              <c:x val="0.15880248444424191"/>
              <c:y val="0.924171713518142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8822656"/>
        <c:crosses val="autoZero"/>
        <c:auto val="1"/>
        <c:lblAlgn val="ctr"/>
        <c:lblOffset val="100"/>
        <c:noMultiLvlLbl val="0"/>
      </c:catAx>
      <c:valAx>
        <c:axId val="12882265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Swab 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882073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distribution of </a:t>
            </a:r>
            <a:r>
              <a:rPr lang="en-US" i="1"/>
              <a:t>S. pneumoniae</a:t>
            </a:r>
            <a:r>
              <a:rPr lang="en-US" i="0"/>
              <a:t> isolates</a:t>
            </a:r>
            <a:endParaRPr lang="en-US"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Combined_SP!$A$3</c:f>
              <c:strCache>
                <c:ptCount val="1"/>
                <c:pt idx="0">
                  <c:v>Comparison group_PBB2</c:v>
                </c:pt>
              </c:strCache>
            </c:strRef>
          </c:tx>
          <c:spPr>
            <a:solidFill>
              <a:schemeClr val="accent5">
                <a:lumMod val="50000"/>
              </a:schemeClr>
            </a:solidFill>
            <a:ln>
              <a:noFill/>
            </a:ln>
            <a:effectLst/>
          </c:spPr>
          <c:invertIfNegative val="0"/>
          <c:cat>
            <c:numRef>
              <c:f>Combined_SP!$B$1:$Q$1</c:f>
              <c:numCache>
                <c:formatCode>General</c:formatCode>
                <c:ptCount val="16"/>
                <c:pt idx="0">
                  <c:v>0</c:v>
                </c:pt>
                <c:pt idx="1">
                  <c:v>0.25</c:v>
                </c:pt>
                <c:pt idx="2">
                  <c:v>0.5</c:v>
                </c:pt>
                <c:pt idx="3">
                  <c:v>0.75</c:v>
                </c:pt>
                <c:pt idx="4">
                  <c:v>1</c:v>
                </c:pt>
                <c:pt idx="5">
                  <c:v>1.5</c:v>
                </c:pt>
                <c:pt idx="6">
                  <c:v>2</c:v>
                </c:pt>
                <c:pt idx="7">
                  <c:v>3</c:v>
                </c:pt>
                <c:pt idx="8">
                  <c:v>4</c:v>
                </c:pt>
                <c:pt idx="15">
                  <c:v>256</c:v>
                </c:pt>
              </c:numCache>
            </c:numRef>
          </c:cat>
          <c:val>
            <c:numRef>
              <c:f>Combined_SP!$B$3:$Q$3</c:f>
              <c:numCache>
                <c:formatCode>General</c:formatCode>
                <c:ptCount val="16"/>
                <c:pt idx="0">
                  <c:v>0</c:v>
                </c:pt>
                <c:pt idx="1">
                  <c:v>1</c:v>
                </c:pt>
                <c:pt idx="2">
                  <c:v>0</c:v>
                </c:pt>
                <c:pt idx="3">
                  <c:v>1</c:v>
                </c:pt>
                <c:pt idx="4">
                  <c:v>2</c:v>
                </c:pt>
                <c:pt idx="5">
                  <c:v>11</c:v>
                </c:pt>
                <c:pt idx="6">
                  <c:v>2</c:v>
                </c:pt>
                <c:pt idx="7">
                  <c:v>0</c:v>
                </c:pt>
                <c:pt idx="8">
                  <c:v>0</c:v>
                </c:pt>
                <c:pt idx="15">
                  <c:v>2</c:v>
                </c:pt>
              </c:numCache>
            </c:numRef>
          </c:val>
          <c:extLst>
            <c:ext xmlns:c16="http://schemas.microsoft.com/office/drawing/2014/chart" uri="{C3380CC4-5D6E-409C-BE32-E72D297353CC}">
              <c16:uniqueId val="{00000000-A6FE-40D6-9860-E45AEF605B88}"/>
            </c:ext>
          </c:extLst>
        </c:ser>
        <c:ser>
          <c:idx val="1"/>
          <c:order val="1"/>
          <c:tx>
            <c:strRef>
              <c:f>Combined_SP!$A$5</c:f>
              <c:strCache>
                <c:ptCount val="1"/>
                <c:pt idx="0">
                  <c:v>Azithromycin group_PBB2</c:v>
                </c:pt>
              </c:strCache>
            </c:strRef>
          </c:tx>
          <c:spPr>
            <a:solidFill>
              <a:schemeClr val="accent6">
                <a:lumMod val="75000"/>
              </a:schemeClr>
            </a:solidFill>
            <a:ln>
              <a:noFill/>
            </a:ln>
            <a:effectLst/>
          </c:spPr>
          <c:invertIfNegative val="0"/>
          <c:cat>
            <c:numRef>
              <c:f>Combined_SP!$B$1:$Q$1</c:f>
              <c:numCache>
                <c:formatCode>General</c:formatCode>
                <c:ptCount val="16"/>
                <c:pt idx="0">
                  <c:v>0</c:v>
                </c:pt>
                <c:pt idx="1">
                  <c:v>0.25</c:v>
                </c:pt>
                <c:pt idx="2">
                  <c:v>0.5</c:v>
                </c:pt>
                <c:pt idx="3">
                  <c:v>0.75</c:v>
                </c:pt>
                <c:pt idx="4">
                  <c:v>1</c:v>
                </c:pt>
                <c:pt idx="5">
                  <c:v>1.5</c:v>
                </c:pt>
                <c:pt idx="6">
                  <c:v>2</c:v>
                </c:pt>
                <c:pt idx="7">
                  <c:v>3</c:v>
                </c:pt>
                <c:pt idx="8">
                  <c:v>4</c:v>
                </c:pt>
                <c:pt idx="15">
                  <c:v>256</c:v>
                </c:pt>
              </c:numCache>
            </c:numRef>
          </c:cat>
          <c:val>
            <c:numRef>
              <c:f>Combined_SP!$B$5:$Q$5</c:f>
              <c:numCache>
                <c:formatCode>General</c:formatCode>
                <c:ptCount val="16"/>
                <c:pt idx="0">
                  <c:v>1</c:v>
                </c:pt>
                <c:pt idx="1">
                  <c:v>0</c:v>
                </c:pt>
                <c:pt idx="2">
                  <c:v>0</c:v>
                </c:pt>
                <c:pt idx="3">
                  <c:v>0</c:v>
                </c:pt>
                <c:pt idx="4">
                  <c:v>1</c:v>
                </c:pt>
                <c:pt idx="5">
                  <c:v>6</c:v>
                </c:pt>
                <c:pt idx="6">
                  <c:v>1</c:v>
                </c:pt>
                <c:pt idx="7">
                  <c:v>1</c:v>
                </c:pt>
                <c:pt idx="8">
                  <c:v>0</c:v>
                </c:pt>
                <c:pt idx="15">
                  <c:v>3</c:v>
                </c:pt>
              </c:numCache>
            </c:numRef>
          </c:val>
          <c:extLst>
            <c:ext xmlns:c16="http://schemas.microsoft.com/office/drawing/2014/chart" uri="{C3380CC4-5D6E-409C-BE32-E72D297353CC}">
              <c16:uniqueId val="{00000001-A6FE-40D6-9860-E45AEF605B88}"/>
            </c:ext>
          </c:extLst>
        </c:ser>
        <c:dLbls>
          <c:showLegendKey val="0"/>
          <c:showVal val="0"/>
          <c:showCatName val="0"/>
          <c:showSerName val="0"/>
          <c:showPercent val="0"/>
          <c:showBubbleSize val="0"/>
        </c:dLbls>
        <c:gapWidth val="150"/>
        <c:overlap val="100"/>
        <c:axId val="690063744"/>
        <c:axId val="690065056"/>
      </c:barChart>
      <c:catAx>
        <c:axId val="69006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Azithromycin MIC in mg/L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065056"/>
        <c:crosses val="autoZero"/>
        <c:auto val="1"/>
        <c:lblAlgn val="ctr"/>
        <c:lblOffset val="100"/>
        <c:noMultiLvlLbl val="0"/>
      </c:catAx>
      <c:valAx>
        <c:axId val="69006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isolates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06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Sheet1!$B$2:$B$41</cx:f>
        <cx:lvl ptCount="40" formatCode="General">
          <cx:pt idx="0">126.8</cx:pt>
          <cx:pt idx="1">67.200000000000003</cx:pt>
          <cx:pt idx="2">46.200000000000003</cx:pt>
          <cx:pt idx="3">87.799999999999997</cx:pt>
          <cx:pt idx="4">52.049999999999997</cx:pt>
          <cx:pt idx="5">80.549999999999997</cx:pt>
          <cx:pt idx="6">23.600000000000001</cx:pt>
          <cx:pt idx="7">101.45</cx:pt>
          <cx:pt idx="8">88.849999999999994</cx:pt>
          <cx:pt idx="9">95.5</cx:pt>
          <cx:pt idx="10">133.5</cx:pt>
          <cx:pt idx="11">26.300000000000001</cx:pt>
          <cx:pt idx="12">27.149999999999999</cx:pt>
          <cx:pt idx="13">50.049999999999997</cx:pt>
          <cx:pt idx="14">114.09999999999999</cx:pt>
          <cx:pt idx="15">108.09999999999999</cx:pt>
          <cx:pt idx="16">91.400000000000006</cx:pt>
          <cx:pt idx="17">120.5</cx:pt>
          <cx:pt idx="18">75.200000000000003</cx:pt>
          <cx:pt idx="19">38.899999999999999</cx:pt>
          <cx:pt idx="20">33.5</cx:pt>
          <cx:pt idx="21">151</cx:pt>
          <cx:pt idx="22">80.400000000000006</cx:pt>
          <cx:pt idx="23">43.5</cx:pt>
          <cx:pt idx="24">69.400000000000006</cx:pt>
          <cx:pt idx="25">259</cx:pt>
          <cx:pt idx="26">184</cx:pt>
          <cx:pt idx="27">126.45</cx:pt>
          <cx:pt idx="28">83.299999999999997</cx:pt>
          <cx:pt idx="29">172</cx:pt>
          <cx:pt idx="30">27.399999999999999</cx:pt>
          <cx:pt idx="31">25</cx:pt>
          <cx:pt idx="32">76.299999999999997</cx:pt>
          <cx:pt idx="33">91.400000000000006</cx:pt>
          <cx:pt idx="34">107.7</cx:pt>
          <cx:pt idx="35">109.90000000000001</cx:pt>
          <cx:pt idx="36">136.5</cx:pt>
          <cx:pt idx="37">75.599999999999994</cx:pt>
          <cx:pt idx="38">19.699999999999999</cx:pt>
          <cx:pt idx="39">109.84999999999999</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DNA concentration of </a:t>
            </a:r>
            <a:r>
              <a:rPr lang="en-US" sz="1400" b="0" i="1" u="none" strike="noStrike" baseline="0">
                <a:solidFill>
                  <a:sysClr val="windowText" lastClr="000000">
                    <a:lumMod val="65000"/>
                    <a:lumOff val="35000"/>
                  </a:sysClr>
                </a:solidFill>
                <a:latin typeface="Calibri" panose="020F0502020204030204"/>
              </a:rPr>
              <a:t>S. pneumoniae </a:t>
            </a:r>
            <a:r>
              <a:rPr lang="en-US" sz="1400" b="0" i="0" u="none" strike="noStrike" baseline="0">
                <a:solidFill>
                  <a:sysClr val="windowText" lastClr="000000">
                    <a:lumMod val="65000"/>
                    <a:lumOff val="35000"/>
                  </a:sysClr>
                </a:solidFill>
                <a:latin typeface="Calibri" panose="020F0502020204030204"/>
              </a:rPr>
              <a:t>isolates</a:t>
            </a:r>
          </a:p>
        </cx:rich>
      </cx:tx>
    </cx:title>
    <cx:plotArea>
      <cx:plotAreaRegion>
        <cx:series layoutId="boxWhisker" uniqueId="{46861947-B677-46BB-A199-E33811A8909B}">
          <cx:dataId val="0"/>
          <cx:layoutPr>
            <cx:visibility meanLine="0" meanMarker="1" nonoutliers="0" outliers="1"/>
            <cx:statistics quartileMethod="exclusive"/>
          </cx:layoutPr>
        </cx:series>
      </cx:plotAreaRegion>
      <cx:axis id="0">
        <cx:catScaling gapWidth="1"/>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40 </a:t>
                </a:r>
                <a:r>
                  <a:rPr lang="en-US" sz="900" b="0" i="1" u="none" strike="noStrike" baseline="0">
                    <a:solidFill>
                      <a:sysClr val="windowText" lastClr="000000">
                        <a:lumMod val="65000"/>
                        <a:lumOff val="35000"/>
                      </a:sysClr>
                    </a:solidFill>
                    <a:latin typeface="Calibri" panose="020F0502020204030204"/>
                  </a:rPr>
                  <a:t>S. pneumoniae </a:t>
                </a:r>
                <a:r>
                  <a:rPr lang="en-US" sz="900" b="0" i="0" u="none" strike="noStrike" baseline="0">
                    <a:solidFill>
                      <a:sysClr val="windowText" lastClr="000000">
                        <a:lumMod val="65000"/>
                        <a:lumOff val="35000"/>
                      </a:sysClr>
                    </a:solidFill>
                    <a:latin typeface="Calibri" panose="020F0502020204030204"/>
                  </a:rPr>
                  <a:t>isolates</a:t>
                </a:r>
              </a:p>
            </cx:rich>
          </cx:tx>
        </cx:title>
        <cx:tickLabels/>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DNA concentration in ng/</a:t>
                </a:r>
                <a:r>
                  <a:rPr lang="en-US" sz="900" b="0" i="0" u="none" strike="noStrike" baseline="0">
                    <a:solidFill>
                      <a:sysClr val="windowText" lastClr="000000">
                        <a:lumMod val="65000"/>
                        <a:lumOff val="35000"/>
                      </a:sysClr>
                    </a:solidFill>
                    <a:latin typeface="Calibri" panose="020F0502020204030204" pitchFamily="34" charset="0"/>
                    <a:cs typeface="Calibri" panose="020F0502020204030204" pitchFamily="34" charset="0"/>
                  </a:rPr>
                  <a:t>µL</a:t>
                </a:r>
                <a:endParaRPr lang="en-US" sz="900" b="0" i="0" u="none" strike="noStrike" baseline="0">
                  <a:solidFill>
                    <a:sysClr val="windowText" lastClr="000000">
                      <a:lumMod val="65000"/>
                      <a:lumOff val="35000"/>
                    </a:sysClr>
                  </a:solidFill>
                  <a:latin typeface="Calibri" panose="020F0502020204030204"/>
                </a:endParaRPr>
              </a:p>
            </cx:rich>
          </cx:tx>
        </cx:title>
        <cx:majorGridlines/>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Sheet1!$C$2:$C$41</cx:f>
        <cx:lvl ptCount="40" formatCode="General">
          <cx:pt idx="0">2.0750000000000002</cx:pt>
          <cx:pt idx="1">2.0179999999999998</cx:pt>
          <cx:pt idx="2">2.0219999999999998</cx:pt>
          <cx:pt idx="3">2.113</cx:pt>
          <cx:pt idx="4">2.1120000000000001</cx:pt>
          <cx:pt idx="5">1.996</cx:pt>
          <cx:pt idx="6">2.2629999999999999</cx:pt>
          <cx:pt idx="7">2.0190000000000001</cx:pt>
          <cx:pt idx="8">2.0830000000000002</cx:pt>
          <cx:pt idx="9">1.929</cx:pt>
          <cx:pt idx="10">2.0009999999999999</cx:pt>
          <cx:pt idx="11">1.9770000000000001</cx:pt>
          <cx:pt idx="12">1.946</cx:pt>
          <cx:pt idx="13">2.23</cx:pt>
          <cx:pt idx="14">2.0070000000000001</cx:pt>
          <cx:pt idx="15">2.1150000000000002</cx:pt>
          <cx:pt idx="16">2.052</cx:pt>
          <cx:pt idx="17">1.9690000000000001</cx:pt>
          <cx:pt idx="18">2.1989999999999998</cx:pt>
          <cx:pt idx="19">2.1099999999999999</cx:pt>
          <cx:pt idx="20">2.0030000000000001</cx:pt>
          <cx:pt idx="21">2.105</cx:pt>
          <cx:pt idx="22">2.141</cx:pt>
          <cx:pt idx="23">2.1480000000000001</cx:pt>
          <cx:pt idx="24">1.919</cx:pt>
          <cx:pt idx="25">2.1019999999999999</cx:pt>
          <cx:pt idx="26">2.105</cx:pt>
          <cx:pt idx="27">1.984</cx:pt>
          <cx:pt idx="28">2.0219999999999998</cx:pt>
          <cx:pt idx="29">2.081</cx:pt>
          <cx:pt idx="30">1.968</cx:pt>
          <cx:pt idx="31">1.9379999999999999</cx:pt>
          <cx:pt idx="32">2.1139999999999999</cx:pt>
          <cx:pt idx="33">1.931</cx:pt>
          <cx:pt idx="34">2.0070000000000001</cx:pt>
          <cx:pt idx="35">1.8919999999999999</cx:pt>
          <cx:pt idx="36">1.893</cx:pt>
          <cx:pt idx="37">2.0600000000000001</cx:pt>
          <cx:pt idx="38">1.931</cx:pt>
          <cx:pt idx="39">2.016</cx:pt>
        </cx:lvl>
      </cx:numDim>
    </cx:data>
  </cx:chartData>
  <cx:chart>
    <cx:title pos="t" align="ctr" overlay="0">
      <cx:tx>
        <cx:txData>
          <cx:v>260/280 ratio of extracted DNA</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260/280 ratio of extracted DNA</a:t>
          </a:r>
        </a:p>
      </cx:txPr>
    </cx:title>
    <cx:plotArea>
      <cx:plotAreaRegion>
        <cx:series layoutId="boxWhisker" uniqueId="{EAE152CA-5CE8-4BD3-AAA9-BCA0C82EC410}">
          <cx:dataId val="0"/>
          <cx:layoutPr>
            <cx:visibility meanLine="0" meanMarker="1" nonoutliers="0" outliers="1"/>
            <cx:statistics quartileMethod="exclusive"/>
          </cx:layoutPr>
        </cx:series>
      </cx:plotAreaRegion>
      <cx:axis id="0">
        <cx:catScaling gapWidth="1"/>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DNA extracted from 40 </a:t>
                </a:r>
                <a:r>
                  <a:rPr lang="en-US" sz="900" b="0" i="1" u="none" strike="noStrike" baseline="0">
                    <a:solidFill>
                      <a:sysClr val="windowText" lastClr="000000">
                        <a:lumMod val="65000"/>
                        <a:lumOff val="35000"/>
                      </a:sysClr>
                    </a:solidFill>
                    <a:latin typeface="Calibri" panose="020F0502020204030204"/>
                  </a:rPr>
                  <a:t>S. pneumoniae </a:t>
                </a:r>
                <a:r>
                  <a:rPr lang="en-US" sz="900" b="0" i="0" u="none" strike="noStrike" baseline="0">
                    <a:solidFill>
                      <a:sysClr val="windowText" lastClr="000000">
                        <a:lumMod val="65000"/>
                        <a:lumOff val="35000"/>
                      </a:sysClr>
                    </a:solidFill>
                    <a:latin typeface="Calibri" panose="020F0502020204030204"/>
                  </a:rPr>
                  <a:t>isolates</a:t>
                </a:r>
              </a:p>
            </cx:rich>
          </cx:tx>
        </cx:title>
        <cx:tickLabels/>
      </cx:axis>
      <cx:axis id="1">
        <cx:valScaling/>
        <cx:title>
          <cx:tx>
            <cx:txData>
              <cx:v>260/280 ratio</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260/280 ratio</a:t>
              </a:r>
            </a:p>
          </cx:txPr>
        </cx:title>
        <cx:majorGridlines/>
        <cx:tickLabels/>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Sheet1!$D$2:$D$41</cx:f>
        <cx:lvl ptCount="40" formatCode="General">
          <cx:pt idx="0">2.2109999999999999</cx:pt>
          <cx:pt idx="1">2.3700000000000001</cx:pt>
          <cx:pt idx="2">1.996</cx:pt>
          <cx:pt idx="3">2.4420000000000002</cx:pt>
          <cx:pt idx="4">2.4319999999999999</cx:pt>
          <cx:pt idx="5">1.9390000000000001</cx:pt>
          <cx:pt idx="6">2.0750000000000002</cx:pt>
          <cx:pt idx="7">2.3220000000000001</cx:pt>
          <cx:pt idx="8">2.444</cx:pt>
          <cx:pt idx="9">2.1850000000000001</cx:pt>
          <cx:pt idx="10">2.1499999999999999</cx:pt>
          <cx:pt idx="11">2.9390000000000001</cx:pt>
          <cx:pt idx="12">1.488</cx:pt>
          <cx:pt idx="13">2.21</cx:pt>
          <cx:pt idx="14">2.1669999999999998</cx:pt>
          <cx:pt idx="15">2.4350000000000001</cx:pt>
          <cx:pt idx="16">2.8969999999999998</cx:pt>
          <cx:pt idx="17">2.278</cx:pt>
          <cx:pt idx="18">2.1699999999999999</cx:pt>
          <cx:pt idx="19">2.1760000000000002</cx:pt>
          <cx:pt idx="20">2.371</cx:pt>
          <cx:pt idx="21">2.7290000000000001</cx:pt>
          <cx:pt idx="22">2.0510000000000002</cx:pt>
          <cx:pt idx="23">2.3079999999999998</cx:pt>
          <cx:pt idx="24">1.9670000000000001</cx:pt>
          <cx:pt idx="25">2.258</cx:pt>
          <cx:pt idx="26">2.2709999999999999</cx:pt>
          <cx:pt idx="27">2.1760000000000002</cx:pt>
          <cx:pt idx="28">2.2010000000000001</cx:pt>
          <cx:pt idx="29">2.0920000000000001</cx:pt>
          <cx:pt idx="30">2.4399999999999999</cx:pt>
          <cx:pt idx="31">1.462</cx:pt>
          <cx:pt idx="32">1.744</cx:pt>
          <cx:pt idx="33">2.1669999999999998</cx:pt>
          <cx:pt idx="34">2.198</cx:pt>
          <cx:pt idx="35">2.121</cx:pt>
          <cx:pt idx="36">2.1930000000000001</cx:pt>
          <cx:pt idx="37">2.294</cx:pt>
          <cx:pt idx="38">2.0310000000000001</cx:pt>
          <cx:pt idx="39">2.0529999999999999</cx:pt>
        </cx:lvl>
      </cx:numDim>
    </cx:data>
  </cx:chartData>
  <cx:chart>
    <cx:title pos="t" align="ctr" overlay="0">
      <cx:tx>
        <cx:txData>
          <cx:v>260/230 ratio of extraced DNA</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260/230 ratio of extraced DNA</a:t>
          </a:r>
        </a:p>
      </cx:txPr>
    </cx:title>
    <cx:plotArea>
      <cx:plotAreaRegion>
        <cx:series layoutId="boxWhisker" uniqueId="{44BB2109-32BF-4837-B900-6C099D90CF08}">
          <cx:dataId val="0"/>
          <cx:layoutPr>
            <cx:visibility meanLine="0" meanMarker="1" nonoutliers="0" outliers="1"/>
            <cx:statistics quartileMethod="exclusive"/>
          </cx:layoutPr>
        </cx:series>
      </cx:plotAreaRegion>
      <cx:axis id="0">
        <cx:catScaling gapWidth="1"/>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DNA extracted from 40 </a:t>
                </a:r>
                <a:r>
                  <a:rPr lang="en-US" sz="900" b="0" i="1" u="none" strike="noStrike" baseline="0">
                    <a:solidFill>
                      <a:sysClr val="windowText" lastClr="000000">
                        <a:lumMod val="65000"/>
                        <a:lumOff val="35000"/>
                      </a:sysClr>
                    </a:solidFill>
                    <a:latin typeface="Calibri" panose="020F0502020204030204"/>
                  </a:rPr>
                  <a:t>S. pneumoniae </a:t>
                </a:r>
                <a:r>
                  <a:rPr lang="en-US" sz="900" b="0" i="0" u="none" strike="noStrike" baseline="0">
                    <a:solidFill>
                      <a:sysClr val="windowText" lastClr="000000">
                        <a:lumMod val="65000"/>
                        <a:lumOff val="35000"/>
                      </a:sysClr>
                    </a:solidFill>
                    <a:latin typeface="Calibri" panose="020F0502020204030204"/>
                  </a:rPr>
                  <a:t>isolates</a:t>
                </a:r>
              </a:p>
            </cx:rich>
          </cx:tx>
        </cx:title>
        <cx:tickLabels/>
      </cx:axis>
      <cx:axis id="1">
        <cx:valScaling/>
        <cx:title>
          <cx:tx>
            <cx:txData>
              <cx:v>260/230 ratio </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260/230 ratio </a:t>
              </a:r>
            </a:p>
          </cx:txPr>
        </cx:title>
        <cx:majorGridlines/>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0882B-216F-4A7A-8256-FB178EE9642C}"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5012892F-E8BC-4537-A02D-C6474F13C7CA}">
      <dgm:prSet phldrT="[Text]"/>
      <dgm:spPr>
        <a:solidFill>
          <a:srgbClr val="FFC000"/>
        </a:solidFill>
      </dgm:spPr>
      <dgm:t>
        <a:bodyPr/>
        <a:lstStyle/>
        <a:p>
          <a:r>
            <a:rPr lang="en-GB" b="1">
              <a:solidFill>
                <a:schemeClr val="tx1"/>
              </a:solidFill>
            </a:rPr>
            <a:t>Phase 4. Re-evaluation</a:t>
          </a:r>
        </a:p>
      </dgm:t>
    </dgm:pt>
    <dgm:pt modelId="{3135E44E-4FF4-4A70-946D-452920C6C96D}" type="parTrans" cxnId="{3030F610-311B-4615-9E0E-1673E061C899}">
      <dgm:prSet/>
      <dgm:spPr/>
      <dgm:t>
        <a:bodyPr/>
        <a:lstStyle/>
        <a:p>
          <a:endParaRPr lang="en-GB"/>
        </a:p>
      </dgm:t>
    </dgm:pt>
    <dgm:pt modelId="{3FE4514A-3D71-451D-B37E-C7C64A8DE880}" type="sibTrans" cxnId="{3030F610-311B-4615-9E0E-1673E061C899}">
      <dgm:prSet/>
      <dgm:spPr>
        <a:ln w="38100"/>
      </dgm:spPr>
      <dgm:t>
        <a:bodyPr/>
        <a:lstStyle/>
        <a:p>
          <a:endParaRPr lang="en-GB"/>
        </a:p>
      </dgm:t>
    </dgm:pt>
    <dgm:pt modelId="{A7442CEB-E1B8-4274-9EAA-45B0516CCF5F}">
      <dgm:prSet phldrT="[Text]" custT="1"/>
      <dgm:spPr>
        <a:solidFill>
          <a:srgbClr val="92D050"/>
        </a:solidFill>
      </dgm:spPr>
      <dgm:t>
        <a:bodyPr/>
        <a:lstStyle/>
        <a:p>
          <a:r>
            <a:rPr lang="en-GB" sz="1800" b="1">
              <a:solidFill>
                <a:schemeClr val="tx1"/>
              </a:solidFill>
            </a:rPr>
            <a:t>Phase 1. Decision Making</a:t>
          </a:r>
        </a:p>
      </dgm:t>
    </dgm:pt>
    <dgm:pt modelId="{256A80BC-ECE1-4A5A-B5A4-78AA1DEBFD2C}" type="parTrans" cxnId="{FB80A2F6-3F31-45BA-845E-3D80F523F8C6}">
      <dgm:prSet/>
      <dgm:spPr/>
      <dgm:t>
        <a:bodyPr/>
        <a:lstStyle/>
        <a:p>
          <a:endParaRPr lang="en-GB"/>
        </a:p>
      </dgm:t>
    </dgm:pt>
    <dgm:pt modelId="{9727DE79-6B73-417B-BD92-B86522A15BF7}" type="sibTrans" cxnId="{FB80A2F6-3F31-45BA-845E-3D80F523F8C6}">
      <dgm:prSet/>
      <dgm:spPr>
        <a:ln w="38100"/>
      </dgm:spPr>
      <dgm:t>
        <a:bodyPr/>
        <a:lstStyle/>
        <a:p>
          <a:endParaRPr lang="en-GB"/>
        </a:p>
      </dgm:t>
    </dgm:pt>
    <dgm:pt modelId="{66FCD059-336A-4A5B-95C1-B0F6671737FC}">
      <dgm:prSet phldrT="[Text]"/>
      <dgm:spPr/>
      <dgm:t>
        <a:bodyPr/>
        <a:lstStyle/>
        <a:p>
          <a:r>
            <a:rPr lang="en-GB" b="1">
              <a:solidFill>
                <a:schemeClr val="tx1"/>
              </a:solidFill>
            </a:rPr>
            <a:t>Phase 2. Stability</a:t>
          </a:r>
        </a:p>
      </dgm:t>
    </dgm:pt>
    <dgm:pt modelId="{B7F26C71-15A9-46ED-8574-72727F1C8565}" type="parTrans" cxnId="{D1D0CE98-D2D7-4006-BAEB-9B1C951410AC}">
      <dgm:prSet/>
      <dgm:spPr/>
      <dgm:t>
        <a:bodyPr/>
        <a:lstStyle/>
        <a:p>
          <a:endParaRPr lang="en-GB"/>
        </a:p>
      </dgm:t>
    </dgm:pt>
    <dgm:pt modelId="{0B040C9F-1D55-4F76-AE60-4144EAF3C081}" type="sibTrans" cxnId="{D1D0CE98-D2D7-4006-BAEB-9B1C951410AC}">
      <dgm:prSet/>
      <dgm:spPr>
        <a:ln w="38100"/>
      </dgm:spPr>
      <dgm:t>
        <a:bodyPr/>
        <a:lstStyle/>
        <a:p>
          <a:endParaRPr lang="en-GB"/>
        </a:p>
      </dgm:t>
    </dgm:pt>
    <dgm:pt modelId="{86A77B0D-9078-458B-8288-1D74C9728682}">
      <dgm:prSet phldrT="[Text]"/>
      <dgm:spPr>
        <a:solidFill>
          <a:srgbClr val="FF5353"/>
        </a:solidFill>
      </dgm:spPr>
      <dgm:t>
        <a:bodyPr/>
        <a:lstStyle/>
        <a:p>
          <a:r>
            <a:rPr lang="en-GB" b="1">
              <a:solidFill>
                <a:sysClr val="windowText" lastClr="000000"/>
              </a:solidFill>
            </a:rPr>
            <a:t>Phase 3. Response to acute illness</a:t>
          </a:r>
        </a:p>
      </dgm:t>
    </dgm:pt>
    <dgm:pt modelId="{EA119FCC-C11D-4DF3-A83D-F7FBCA49B073}" type="parTrans" cxnId="{028BFDB6-E58E-420A-934E-F29FB1E3D6AC}">
      <dgm:prSet/>
      <dgm:spPr/>
      <dgm:t>
        <a:bodyPr/>
        <a:lstStyle/>
        <a:p>
          <a:endParaRPr lang="en-GB"/>
        </a:p>
      </dgm:t>
    </dgm:pt>
    <dgm:pt modelId="{6340D349-2D64-4352-9EBD-12AE6AB71520}" type="sibTrans" cxnId="{028BFDB6-E58E-420A-934E-F29FB1E3D6AC}">
      <dgm:prSet/>
      <dgm:spPr>
        <a:ln w="38100"/>
      </dgm:spPr>
      <dgm:t>
        <a:bodyPr/>
        <a:lstStyle/>
        <a:p>
          <a:endParaRPr lang="en-GB"/>
        </a:p>
      </dgm:t>
    </dgm:pt>
    <dgm:pt modelId="{64FC2CA3-8072-4EA4-A932-2BF0CB6EDFC3}" type="pres">
      <dgm:prSet presAssocID="{9B20882B-216F-4A7A-8256-FB178EE9642C}" presName="cycle" presStyleCnt="0">
        <dgm:presLayoutVars>
          <dgm:dir/>
          <dgm:resizeHandles val="exact"/>
        </dgm:presLayoutVars>
      </dgm:prSet>
      <dgm:spPr/>
    </dgm:pt>
    <dgm:pt modelId="{27D9460A-AACC-4078-B964-61A5720AF41C}" type="pres">
      <dgm:prSet presAssocID="{5012892F-E8BC-4537-A02D-C6474F13C7CA}" presName="node" presStyleLbl="node1" presStyleIdx="0" presStyleCnt="4" custScaleX="113450" custScaleY="124082" custRadScaleRad="100488">
        <dgm:presLayoutVars>
          <dgm:bulletEnabled val="1"/>
        </dgm:presLayoutVars>
      </dgm:prSet>
      <dgm:spPr/>
    </dgm:pt>
    <dgm:pt modelId="{AC822380-29A8-40BC-9AFD-5A173021EFEA}" type="pres">
      <dgm:prSet presAssocID="{5012892F-E8BC-4537-A02D-C6474F13C7CA}" presName="spNode" presStyleCnt="0"/>
      <dgm:spPr/>
    </dgm:pt>
    <dgm:pt modelId="{9DEF9457-3DED-4AC2-B490-E973F0F7BACA}" type="pres">
      <dgm:prSet presAssocID="{3FE4514A-3D71-451D-B37E-C7C64A8DE880}" presName="sibTrans" presStyleLbl="sibTrans1D1" presStyleIdx="0" presStyleCnt="4"/>
      <dgm:spPr/>
    </dgm:pt>
    <dgm:pt modelId="{91D74AA9-64F4-46EE-8060-A156D2A57B15}" type="pres">
      <dgm:prSet presAssocID="{A7442CEB-E1B8-4274-9EAA-45B0516CCF5F}" presName="node" presStyleLbl="node1" presStyleIdx="1" presStyleCnt="4" custScaleX="118786" custScaleY="123714">
        <dgm:presLayoutVars>
          <dgm:bulletEnabled val="1"/>
        </dgm:presLayoutVars>
      </dgm:prSet>
      <dgm:spPr/>
    </dgm:pt>
    <dgm:pt modelId="{7436FFD6-D981-4449-A572-D0E7BD7E97EE}" type="pres">
      <dgm:prSet presAssocID="{A7442CEB-E1B8-4274-9EAA-45B0516CCF5F}" presName="spNode" presStyleCnt="0"/>
      <dgm:spPr/>
    </dgm:pt>
    <dgm:pt modelId="{E214CE42-6BF5-4AD1-97C3-333A09B4F079}" type="pres">
      <dgm:prSet presAssocID="{9727DE79-6B73-417B-BD92-B86522A15BF7}" presName="sibTrans" presStyleLbl="sibTrans1D1" presStyleIdx="1" presStyleCnt="4"/>
      <dgm:spPr/>
    </dgm:pt>
    <dgm:pt modelId="{74C04313-08ED-4CC8-B259-A2CEEE4B0784}" type="pres">
      <dgm:prSet presAssocID="{66FCD059-336A-4A5B-95C1-B0F6671737FC}" presName="node" presStyleLbl="node1" presStyleIdx="2" presStyleCnt="4" custScaleX="116137" custScaleY="129774">
        <dgm:presLayoutVars>
          <dgm:bulletEnabled val="1"/>
        </dgm:presLayoutVars>
      </dgm:prSet>
      <dgm:spPr/>
    </dgm:pt>
    <dgm:pt modelId="{3A575305-C51B-466A-8C26-5F4585776E94}" type="pres">
      <dgm:prSet presAssocID="{66FCD059-336A-4A5B-95C1-B0F6671737FC}" presName="spNode" presStyleCnt="0"/>
      <dgm:spPr/>
    </dgm:pt>
    <dgm:pt modelId="{222BE45D-E2FB-4647-8F3B-B52B6F9C2D5D}" type="pres">
      <dgm:prSet presAssocID="{0B040C9F-1D55-4F76-AE60-4144EAF3C081}" presName="sibTrans" presStyleLbl="sibTrans1D1" presStyleIdx="2" presStyleCnt="4"/>
      <dgm:spPr/>
    </dgm:pt>
    <dgm:pt modelId="{64ECC8FD-2B96-40CD-BAA7-D5E65F78CFCD}" type="pres">
      <dgm:prSet presAssocID="{86A77B0D-9078-458B-8288-1D74C9728682}" presName="node" presStyleLbl="node1" presStyleIdx="3" presStyleCnt="4" custScaleX="111779" custScaleY="126547">
        <dgm:presLayoutVars>
          <dgm:bulletEnabled val="1"/>
        </dgm:presLayoutVars>
      </dgm:prSet>
      <dgm:spPr/>
    </dgm:pt>
    <dgm:pt modelId="{1BEAF44C-75C3-48C6-AC21-DC883D4E1F5B}" type="pres">
      <dgm:prSet presAssocID="{86A77B0D-9078-458B-8288-1D74C9728682}" presName="spNode" presStyleCnt="0"/>
      <dgm:spPr/>
    </dgm:pt>
    <dgm:pt modelId="{54B13FAA-86B7-4988-8672-39B51ABF71BA}" type="pres">
      <dgm:prSet presAssocID="{6340D349-2D64-4352-9EBD-12AE6AB71520}" presName="sibTrans" presStyleLbl="sibTrans1D1" presStyleIdx="3" presStyleCnt="4"/>
      <dgm:spPr/>
    </dgm:pt>
  </dgm:ptLst>
  <dgm:cxnLst>
    <dgm:cxn modelId="{3030F610-311B-4615-9E0E-1673E061C899}" srcId="{9B20882B-216F-4A7A-8256-FB178EE9642C}" destId="{5012892F-E8BC-4537-A02D-C6474F13C7CA}" srcOrd="0" destOrd="0" parTransId="{3135E44E-4FF4-4A70-946D-452920C6C96D}" sibTransId="{3FE4514A-3D71-451D-B37E-C7C64A8DE880}"/>
    <dgm:cxn modelId="{A259CD17-B8CA-41F7-864C-2522DEFAF6E2}" type="presOf" srcId="{A7442CEB-E1B8-4274-9EAA-45B0516CCF5F}" destId="{91D74AA9-64F4-46EE-8060-A156D2A57B15}" srcOrd="0" destOrd="0" presId="urn:microsoft.com/office/officeart/2005/8/layout/cycle5"/>
    <dgm:cxn modelId="{3AD6AA1C-C7FA-463B-8A0A-61719A03F18F}" type="presOf" srcId="{0B040C9F-1D55-4F76-AE60-4144EAF3C081}" destId="{222BE45D-E2FB-4647-8F3B-B52B6F9C2D5D}" srcOrd="0" destOrd="0" presId="urn:microsoft.com/office/officeart/2005/8/layout/cycle5"/>
    <dgm:cxn modelId="{DF1E2738-0985-4E61-AAE8-719CCA86F2A7}" type="presOf" srcId="{66FCD059-336A-4A5B-95C1-B0F6671737FC}" destId="{74C04313-08ED-4CC8-B259-A2CEEE4B0784}" srcOrd="0" destOrd="0" presId="urn:microsoft.com/office/officeart/2005/8/layout/cycle5"/>
    <dgm:cxn modelId="{978BDB3F-AFEB-4C4E-A0D7-A13630BC6BC4}" type="presOf" srcId="{9727DE79-6B73-417B-BD92-B86522A15BF7}" destId="{E214CE42-6BF5-4AD1-97C3-333A09B4F079}" srcOrd="0" destOrd="0" presId="urn:microsoft.com/office/officeart/2005/8/layout/cycle5"/>
    <dgm:cxn modelId="{1F2E595F-5EC7-49E3-8AD5-378E3F32C5EF}" type="presOf" srcId="{3FE4514A-3D71-451D-B37E-C7C64A8DE880}" destId="{9DEF9457-3DED-4AC2-B490-E973F0F7BACA}" srcOrd="0" destOrd="0" presId="urn:microsoft.com/office/officeart/2005/8/layout/cycle5"/>
    <dgm:cxn modelId="{E7D48C4A-8B71-4034-8B43-B6C6B106F98D}" type="presOf" srcId="{86A77B0D-9078-458B-8288-1D74C9728682}" destId="{64ECC8FD-2B96-40CD-BAA7-D5E65F78CFCD}" srcOrd="0" destOrd="0" presId="urn:microsoft.com/office/officeart/2005/8/layout/cycle5"/>
    <dgm:cxn modelId="{D1D0CE98-D2D7-4006-BAEB-9B1C951410AC}" srcId="{9B20882B-216F-4A7A-8256-FB178EE9642C}" destId="{66FCD059-336A-4A5B-95C1-B0F6671737FC}" srcOrd="2" destOrd="0" parTransId="{B7F26C71-15A9-46ED-8574-72727F1C8565}" sibTransId="{0B040C9F-1D55-4F76-AE60-4144EAF3C081}"/>
    <dgm:cxn modelId="{028BFDB6-E58E-420A-934E-F29FB1E3D6AC}" srcId="{9B20882B-216F-4A7A-8256-FB178EE9642C}" destId="{86A77B0D-9078-458B-8288-1D74C9728682}" srcOrd="3" destOrd="0" parTransId="{EA119FCC-C11D-4DF3-A83D-F7FBCA49B073}" sibTransId="{6340D349-2D64-4352-9EBD-12AE6AB71520}"/>
    <dgm:cxn modelId="{ACC9C4EE-A46E-4A94-AEEE-7533617529DE}" type="presOf" srcId="{9B20882B-216F-4A7A-8256-FB178EE9642C}" destId="{64FC2CA3-8072-4EA4-A932-2BF0CB6EDFC3}" srcOrd="0" destOrd="0" presId="urn:microsoft.com/office/officeart/2005/8/layout/cycle5"/>
    <dgm:cxn modelId="{65154EF5-5E00-416B-9A52-7F2D256A78F9}" type="presOf" srcId="{6340D349-2D64-4352-9EBD-12AE6AB71520}" destId="{54B13FAA-86B7-4988-8672-39B51ABF71BA}" srcOrd="0" destOrd="0" presId="urn:microsoft.com/office/officeart/2005/8/layout/cycle5"/>
    <dgm:cxn modelId="{FB80A2F6-3F31-45BA-845E-3D80F523F8C6}" srcId="{9B20882B-216F-4A7A-8256-FB178EE9642C}" destId="{A7442CEB-E1B8-4274-9EAA-45B0516CCF5F}" srcOrd="1" destOrd="0" parTransId="{256A80BC-ECE1-4A5A-B5A4-78AA1DEBFD2C}" sibTransId="{9727DE79-6B73-417B-BD92-B86522A15BF7}"/>
    <dgm:cxn modelId="{212329FE-15CD-4A88-83F1-6A869D14A9E2}" type="presOf" srcId="{5012892F-E8BC-4537-A02D-C6474F13C7CA}" destId="{27D9460A-AACC-4078-B964-61A5720AF41C}" srcOrd="0" destOrd="0" presId="urn:microsoft.com/office/officeart/2005/8/layout/cycle5"/>
    <dgm:cxn modelId="{616462FE-63B6-4D43-B15E-E92F9C1AE43D}" type="presParOf" srcId="{64FC2CA3-8072-4EA4-A932-2BF0CB6EDFC3}" destId="{27D9460A-AACC-4078-B964-61A5720AF41C}" srcOrd="0" destOrd="0" presId="urn:microsoft.com/office/officeart/2005/8/layout/cycle5"/>
    <dgm:cxn modelId="{8AAA863E-7F57-4050-80F6-E18F29676F34}" type="presParOf" srcId="{64FC2CA3-8072-4EA4-A932-2BF0CB6EDFC3}" destId="{AC822380-29A8-40BC-9AFD-5A173021EFEA}" srcOrd="1" destOrd="0" presId="urn:microsoft.com/office/officeart/2005/8/layout/cycle5"/>
    <dgm:cxn modelId="{32541749-73AC-4A69-9525-FCFF72A18809}" type="presParOf" srcId="{64FC2CA3-8072-4EA4-A932-2BF0CB6EDFC3}" destId="{9DEF9457-3DED-4AC2-B490-E973F0F7BACA}" srcOrd="2" destOrd="0" presId="urn:microsoft.com/office/officeart/2005/8/layout/cycle5"/>
    <dgm:cxn modelId="{A762B91B-5244-4B7B-873D-285A742858FA}" type="presParOf" srcId="{64FC2CA3-8072-4EA4-A932-2BF0CB6EDFC3}" destId="{91D74AA9-64F4-46EE-8060-A156D2A57B15}" srcOrd="3" destOrd="0" presId="urn:microsoft.com/office/officeart/2005/8/layout/cycle5"/>
    <dgm:cxn modelId="{606534E2-48DD-411E-863D-96037195C6E5}" type="presParOf" srcId="{64FC2CA3-8072-4EA4-A932-2BF0CB6EDFC3}" destId="{7436FFD6-D981-4449-A572-D0E7BD7E97EE}" srcOrd="4" destOrd="0" presId="urn:microsoft.com/office/officeart/2005/8/layout/cycle5"/>
    <dgm:cxn modelId="{95B9811B-E1B8-4E76-8048-9A088343B94A}" type="presParOf" srcId="{64FC2CA3-8072-4EA4-A932-2BF0CB6EDFC3}" destId="{E214CE42-6BF5-4AD1-97C3-333A09B4F079}" srcOrd="5" destOrd="0" presId="urn:microsoft.com/office/officeart/2005/8/layout/cycle5"/>
    <dgm:cxn modelId="{98D58387-F619-495C-8249-DFC31C052A4D}" type="presParOf" srcId="{64FC2CA3-8072-4EA4-A932-2BF0CB6EDFC3}" destId="{74C04313-08ED-4CC8-B259-A2CEEE4B0784}" srcOrd="6" destOrd="0" presId="urn:microsoft.com/office/officeart/2005/8/layout/cycle5"/>
    <dgm:cxn modelId="{6174AA97-9A2F-4BB3-917F-CE8BA68266A1}" type="presParOf" srcId="{64FC2CA3-8072-4EA4-A932-2BF0CB6EDFC3}" destId="{3A575305-C51B-466A-8C26-5F4585776E94}" srcOrd="7" destOrd="0" presId="urn:microsoft.com/office/officeart/2005/8/layout/cycle5"/>
    <dgm:cxn modelId="{1BFB2137-1407-4560-83DA-C12064EF191F}" type="presParOf" srcId="{64FC2CA3-8072-4EA4-A932-2BF0CB6EDFC3}" destId="{222BE45D-E2FB-4647-8F3B-B52B6F9C2D5D}" srcOrd="8" destOrd="0" presId="urn:microsoft.com/office/officeart/2005/8/layout/cycle5"/>
    <dgm:cxn modelId="{654A9E98-F047-4087-91EE-15F44F5BFC96}" type="presParOf" srcId="{64FC2CA3-8072-4EA4-A932-2BF0CB6EDFC3}" destId="{64ECC8FD-2B96-40CD-BAA7-D5E65F78CFCD}" srcOrd="9" destOrd="0" presId="urn:microsoft.com/office/officeart/2005/8/layout/cycle5"/>
    <dgm:cxn modelId="{333B0DDA-B52F-4DD4-AD57-627C5004B03C}" type="presParOf" srcId="{64FC2CA3-8072-4EA4-A932-2BF0CB6EDFC3}" destId="{1BEAF44C-75C3-48C6-AC21-DC883D4E1F5B}" srcOrd="10" destOrd="0" presId="urn:microsoft.com/office/officeart/2005/8/layout/cycle5"/>
    <dgm:cxn modelId="{2515DC26-1E32-4499-B404-6E9963A5D714}" type="presParOf" srcId="{64FC2CA3-8072-4EA4-A932-2BF0CB6EDFC3}" destId="{54B13FAA-86B7-4988-8672-39B51ABF71BA}" srcOrd="11" destOrd="0" presId="urn:microsoft.com/office/officeart/2005/8/layout/cycle5"/>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587DA1-AF0D-4286-8A8C-2A407FFC0D3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CFB59011-FD3D-44A5-9DF8-D5E589D1D364}">
      <dgm:prSet phldrT="[Text]" custT="1"/>
      <dgm:spPr>
        <a:xfrm rot="5400000">
          <a:off x="-128110" y="136073"/>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100 samples</a:t>
          </a:r>
        </a:p>
      </dgm:t>
    </dgm:pt>
    <dgm:pt modelId="{E1387D01-7A3B-4C98-BABD-6E5C0D231CB3}" type="parTrans" cxnId="{39981950-D833-42FC-AC9B-CE6A9069B064}">
      <dgm:prSet/>
      <dgm:spPr/>
      <dgm:t>
        <a:bodyPr/>
        <a:lstStyle/>
        <a:p>
          <a:endParaRPr lang="en-GB"/>
        </a:p>
      </dgm:t>
    </dgm:pt>
    <dgm:pt modelId="{90173AC3-3D76-44DB-8B62-496B0AA38954}" type="sibTrans" cxnId="{39981950-D833-42FC-AC9B-CE6A9069B064}">
      <dgm:prSet/>
      <dgm:spPr/>
      <dgm:t>
        <a:bodyPr/>
        <a:lstStyle/>
        <a:p>
          <a:endParaRPr lang="en-GB"/>
        </a:p>
      </dgm:t>
    </dgm:pt>
    <dgm:pt modelId="{71653612-76EC-4E56-98C0-E961E7255911}">
      <dgm:prSet phldrT="[Text]" custT="1"/>
      <dgm:spPr>
        <a:xfrm rot="5400000">
          <a:off x="3393055" y="-2787242"/>
          <a:ext cx="555438"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DNA extracted from 100 nasopharyngeal samples and 18 control samples*</a:t>
          </a:r>
        </a:p>
      </dgm:t>
    </dgm:pt>
    <dgm:pt modelId="{6AC27682-F5FE-479F-9734-91EB4F7106D2}" type="parTrans" cxnId="{ADA5B70C-2F03-4C16-B5B3-5371E312EF05}">
      <dgm:prSet/>
      <dgm:spPr/>
      <dgm:t>
        <a:bodyPr/>
        <a:lstStyle/>
        <a:p>
          <a:endParaRPr lang="en-GB"/>
        </a:p>
      </dgm:t>
    </dgm:pt>
    <dgm:pt modelId="{400DF587-D365-4AE5-990C-92125F150A78}" type="sibTrans" cxnId="{ADA5B70C-2F03-4C16-B5B3-5371E312EF05}">
      <dgm:prSet/>
      <dgm:spPr/>
      <dgm:t>
        <a:bodyPr/>
        <a:lstStyle/>
        <a:p>
          <a:endParaRPr lang="en-GB"/>
        </a:p>
      </dgm:t>
    </dgm:pt>
    <dgm:pt modelId="{C9E8E55A-6271-4CC9-8F8C-1DA15CA66E62}">
      <dgm:prSet phldrT="[Text]" custT="1"/>
      <dgm:spPr>
        <a:xfrm rot="5400000">
          <a:off x="-128110" y="91802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96 samples</a:t>
          </a:r>
        </a:p>
      </dgm:t>
    </dgm:pt>
    <dgm:pt modelId="{1157153E-1989-4E33-AFD7-17A7AE9AD12F}" type="parTrans" cxnId="{81787281-2244-4523-BCC1-CFF790DB8C7C}">
      <dgm:prSet/>
      <dgm:spPr/>
      <dgm:t>
        <a:bodyPr/>
        <a:lstStyle/>
        <a:p>
          <a:endParaRPr lang="en-GB"/>
        </a:p>
      </dgm:t>
    </dgm:pt>
    <dgm:pt modelId="{9456F6DD-A8D4-4F50-B265-9F95740972AA}" type="sibTrans" cxnId="{81787281-2244-4523-BCC1-CFF790DB8C7C}">
      <dgm:prSet/>
      <dgm:spPr/>
      <dgm:t>
        <a:bodyPr/>
        <a:lstStyle/>
        <a:p>
          <a:endParaRPr lang="en-GB"/>
        </a:p>
      </dgm:t>
    </dgm:pt>
    <dgm:pt modelId="{256D8945-2726-43F1-9F7F-5602B65BBFF6}">
      <dgm:prSet phldrT="[Text]" custT="1"/>
      <dgm:spPr>
        <a:xfrm rot="5400000">
          <a:off x="3393201" y="-2005438"/>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4 samples excluded as insufficient DNA</a:t>
          </a:r>
        </a:p>
      </dgm:t>
    </dgm:pt>
    <dgm:pt modelId="{C7BF7AEE-3D0B-435D-A9FC-44EF0CEE161C}" type="parTrans" cxnId="{2D3E39E0-82A5-4386-A6D6-46D541AF017C}">
      <dgm:prSet/>
      <dgm:spPr/>
      <dgm:t>
        <a:bodyPr/>
        <a:lstStyle/>
        <a:p>
          <a:endParaRPr lang="en-GB"/>
        </a:p>
      </dgm:t>
    </dgm:pt>
    <dgm:pt modelId="{442512D8-F041-47A2-B754-FCAA84F86E8A}" type="sibTrans" cxnId="{2D3E39E0-82A5-4386-A6D6-46D541AF017C}">
      <dgm:prSet/>
      <dgm:spPr/>
      <dgm:t>
        <a:bodyPr/>
        <a:lstStyle/>
        <a:p>
          <a:endParaRPr lang="en-GB"/>
        </a:p>
      </dgm:t>
    </dgm:pt>
    <dgm:pt modelId="{987B06D1-9777-4852-B20E-800C8D74F6A9}">
      <dgm:prSet phldrT="[Text]" custT="1"/>
      <dgm:spPr>
        <a:xfrm rot="5400000">
          <a:off x="-128110" y="169997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95 samples</a:t>
          </a:r>
        </a:p>
      </dgm:t>
    </dgm:pt>
    <dgm:pt modelId="{6BC12F7F-3390-4DCA-BEA4-6842F5B7F9A7}" type="parTrans" cxnId="{3886F269-6378-43EE-ACBB-A97DB7A06BC5}">
      <dgm:prSet/>
      <dgm:spPr/>
      <dgm:t>
        <a:bodyPr/>
        <a:lstStyle/>
        <a:p>
          <a:endParaRPr lang="en-GB"/>
        </a:p>
      </dgm:t>
    </dgm:pt>
    <dgm:pt modelId="{7FCB0923-F5E6-4774-A1D2-DC49A9B8DEA3}" type="sibTrans" cxnId="{3886F269-6378-43EE-ACBB-A97DB7A06BC5}">
      <dgm:prSet/>
      <dgm:spPr/>
      <dgm:t>
        <a:bodyPr/>
        <a:lstStyle/>
        <a:p>
          <a:endParaRPr lang="en-GB"/>
        </a:p>
      </dgm:t>
    </dgm:pt>
    <dgm:pt modelId="{36AABDFF-3760-400F-B817-C61F03589C15}">
      <dgm:prSet phldrT="[Text]" custT="1"/>
      <dgm:spPr>
        <a:xfrm rot="5400000">
          <a:off x="3393201" y="-1223488"/>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1 sample failed the DADA2 quality control</a:t>
          </a:r>
        </a:p>
      </dgm:t>
    </dgm:pt>
    <dgm:pt modelId="{6565A4FC-B9F4-47DD-8F75-59328873EEA0}" type="parTrans" cxnId="{B709567C-30DC-4037-BE16-D1B29E78399A}">
      <dgm:prSet/>
      <dgm:spPr/>
      <dgm:t>
        <a:bodyPr/>
        <a:lstStyle/>
        <a:p>
          <a:endParaRPr lang="en-GB"/>
        </a:p>
      </dgm:t>
    </dgm:pt>
    <dgm:pt modelId="{EFD01B16-653C-4453-AD67-ECDEDACBAE99}" type="sibTrans" cxnId="{B709567C-30DC-4037-BE16-D1B29E78399A}">
      <dgm:prSet/>
      <dgm:spPr/>
      <dgm:t>
        <a:bodyPr/>
        <a:lstStyle/>
        <a:p>
          <a:endParaRPr lang="en-GB"/>
        </a:p>
      </dgm:t>
    </dgm:pt>
    <dgm:pt modelId="{5E9EA849-3596-4FB7-8B80-8E82A328364E}">
      <dgm:prSet phldrT="[Text]" custT="1"/>
      <dgm:spPr>
        <a:xfrm rot="5400000">
          <a:off x="-128110" y="248192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93 samples</a:t>
          </a:r>
        </a:p>
      </dgm:t>
    </dgm:pt>
    <dgm:pt modelId="{EBEA1360-C126-441E-949B-FA121A609F4C}" type="parTrans" cxnId="{502523A2-85A0-4E7E-BC0B-AC71EBB4784A}">
      <dgm:prSet/>
      <dgm:spPr/>
      <dgm:t>
        <a:bodyPr/>
        <a:lstStyle/>
        <a:p>
          <a:endParaRPr lang="en-GB"/>
        </a:p>
      </dgm:t>
    </dgm:pt>
    <dgm:pt modelId="{5AB7972A-98AD-4186-878C-2F2A13F5C233}" type="sibTrans" cxnId="{502523A2-85A0-4E7E-BC0B-AC71EBB4784A}">
      <dgm:prSet/>
      <dgm:spPr/>
      <dgm:t>
        <a:bodyPr/>
        <a:lstStyle/>
        <a:p>
          <a:endParaRPr lang="en-GB"/>
        </a:p>
      </dgm:t>
    </dgm:pt>
    <dgm:pt modelId="{02E44E30-0CE8-4E41-9232-380E4C15754B}">
      <dgm:prSet phldrT="[Text]" custT="1"/>
      <dgm:spPr>
        <a:xfrm rot="5400000">
          <a:off x="-128110" y="326387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93 samples</a:t>
          </a:r>
        </a:p>
      </dgm:t>
    </dgm:pt>
    <dgm:pt modelId="{05F6FF10-4577-4A5B-BD26-982B3D1B9681}" type="parTrans" cxnId="{3A11CABF-D098-44E8-8B5D-E3D46E5944E6}">
      <dgm:prSet/>
      <dgm:spPr/>
      <dgm:t>
        <a:bodyPr/>
        <a:lstStyle/>
        <a:p>
          <a:endParaRPr lang="en-GB"/>
        </a:p>
      </dgm:t>
    </dgm:pt>
    <dgm:pt modelId="{34C2317E-94EA-488E-91B8-4B0BABB0BA4B}" type="sibTrans" cxnId="{3A11CABF-D098-44E8-8B5D-E3D46E5944E6}">
      <dgm:prSet/>
      <dgm:spPr/>
      <dgm:t>
        <a:bodyPr/>
        <a:lstStyle/>
        <a:p>
          <a:endParaRPr lang="en-GB"/>
        </a:p>
      </dgm:t>
    </dgm:pt>
    <dgm:pt modelId="{932C9630-0686-4E84-8B1C-8FFD873CAF8D}">
      <dgm:prSet custT="1"/>
      <dgm:spPr>
        <a:xfrm rot="5400000">
          <a:off x="3393201" y="-441537"/>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Decontam: 1 duplicate sample removed and 1 low read sample</a:t>
          </a:r>
        </a:p>
      </dgm:t>
    </dgm:pt>
    <dgm:pt modelId="{6660EC22-2BFF-47A3-A8E6-6FA678BB793A}" type="parTrans" cxnId="{68BA68AD-7F00-46AA-9966-1FAE08AE6B12}">
      <dgm:prSet/>
      <dgm:spPr/>
      <dgm:t>
        <a:bodyPr/>
        <a:lstStyle/>
        <a:p>
          <a:endParaRPr lang="en-GB"/>
        </a:p>
      </dgm:t>
    </dgm:pt>
    <dgm:pt modelId="{A81BAB57-8FF9-4E72-86F2-D05764A1CC70}" type="sibTrans" cxnId="{68BA68AD-7F00-46AA-9966-1FAE08AE6B12}">
      <dgm:prSet/>
      <dgm:spPr/>
      <dgm:t>
        <a:bodyPr/>
        <a:lstStyle/>
        <a:p>
          <a:endParaRPr lang="en-GB"/>
        </a:p>
      </dgm:t>
    </dgm:pt>
    <dgm:pt modelId="{300F97D9-2F76-425D-AF2F-975C00E47AA7}">
      <dgm:prSet custT="1"/>
      <dgm:spPr>
        <a:xfrm rot="5400000">
          <a:off x="3393201" y="340412"/>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Decontam: 2 PCR blanks and 2 mock communities removed = 14 negtaive controls used</a:t>
          </a:r>
        </a:p>
      </dgm:t>
    </dgm:pt>
    <dgm:pt modelId="{5B086A12-3674-4965-B35C-2D8B55D51823}" type="parTrans" cxnId="{432D3F6F-6D1D-4523-A744-1B259E7CA022}">
      <dgm:prSet/>
      <dgm:spPr/>
      <dgm:t>
        <a:bodyPr/>
        <a:lstStyle/>
        <a:p>
          <a:endParaRPr lang="en-GB"/>
        </a:p>
      </dgm:t>
    </dgm:pt>
    <dgm:pt modelId="{0E4D1502-9C54-40A3-B121-14C1D3E97462}" type="sibTrans" cxnId="{432D3F6F-6D1D-4523-A744-1B259E7CA022}">
      <dgm:prSet/>
      <dgm:spPr/>
      <dgm:t>
        <a:bodyPr/>
        <a:lstStyle/>
        <a:p>
          <a:endParaRPr lang="en-GB"/>
        </a:p>
      </dgm:t>
    </dgm:pt>
    <dgm:pt modelId="{299B0ABA-020C-4A22-ADAE-0852BC27AF6D}">
      <dgm:prSet phldrT="[Text]" custT="1"/>
      <dgm:spPr>
        <a:xfrm rot="5400000">
          <a:off x="-128110" y="404582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93 samples</a:t>
          </a:r>
        </a:p>
      </dgm:t>
    </dgm:pt>
    <dgm:pt modelId="{42C6E247-7EDD-4F75-BD43-3975C8A6A88A}" type="parTrans" cxnId="{DC43169B-DAD3-43D7-A76E-5237BBE5E834}">
      <dgm:prSet/>
      <dgm:spPr/>
      <dgm:t>
        <a:bodyPr/>
        <a:lstStyle/>
        <a:p>
          <a:endParaRPr lang="en-GB"/>
        </a:p>
      </dgm:t>
    </dgm:pt>
    <dgm:pt modelId="{C79F990E-DBA5-4CB6-B37B-633101655AA7}" type="sibTrans" cxnId="{DC43169B-DAD3-43D7-A76E-5237BBE5E834}">
      <dgm:prSet/>
      <dgm:spPr/>
      <dgm:t>
        <a:bodyPr/>
        <a:lstStyle/>
        <a:p>
          <a:endParaRPr lang="en-GB"/>
        </a:p>
      </dgm:t>
    </dgm:pt>
    <dgm:pt modelId="{73ABBDD3-87E9-49E2-BA61-1A1BC07F3925}">
      <dgm:prSet custT="1"/>
      <dgm:spPr>
        <a:xfrm rot="5400000">
          <a:off x="3393201" y="1122362"/>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Decontam - 93 samples and 14 controls used</a:t>
          </a:r>
        </a:p>
      </dgm:t>
    </dgm:pt>
    <dgm:pt modelId="{F81758AA-1DCA-4D1E-960B-730FF5236F83}" type="parTrans" cxnId="{11F32FFA-8434-4AF6-A99A-B6D9B9739DA4}">
      <dgm:prSet/>
      <dgm:spPr/>
      <dgm:t>
        <a:bodyPr/>
        <a:lstStyle/>
        <a:p>
          <a:endParaRPr lang="en-GB"/>
        </a:p>
      </dgm:t>
    </dgm:pt>
    <dgm:pt modelId="{5DD3491B-C2FB-4C1F-BD11-F97D37036BF6}" type="sibTrans" cxnId="{11F32FFA-8434-4AF6-A99A-B6D9B9739DA4}">
      <dgm:prSet/>
      <dgm:spPr/>
      <dgm:t>
        <a:bodyPr/>
        <a:lstStyle/>
        <a:p>
          <a:endParaRPr lang="en-GB"/>
        </a:p>
      </dgm:t>
    </dgm:pt>
    <dgm:pt modelId="{86ECFAC3-55BC-4DC0-869C-74A395FE39A6}">
      <dgm:prSet phldrT="[Text]" custT="1"/>
      <dgm:spPr>
        <a:xfrm rot="5400000">
          <a:off x="-128110" y="482777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93 samples</a:t>
          </a:r>
        </a:p>
      </dgm:t>
    </dgm:pt>
    <dgm:pt modelId="{24075FC0-DF7F-4ECF-9EF4-90720C2DC69A}" type="parTrans" cxnId="{CBCE6AB1-402F-4F7D-83DF-51777DC7CF1D}">
      <dgm:prSet/>
      <dgm:spPr/>
      <dgm:t>
        <a:bodyPr/>
        <a:lstStyle/>
        <a:p>
          <a:endParaRPr lang="en-GB"/>
        </a:p>
      </dgm:t>
    </dgm:pt>
    <dgm:pt modelId="{09F9AA72-A811-45BC-85AC-B4B596BFB44B}" type="sibTrans" cxnId="{CBCE6AB1-402F-4F7D-83DF-51777DC7CF1D}">
      <dgm:prSet/>
      <dgm:spPr/>
      <dgm:t>
        <a:bodyPr/>
        <a:lstStyle/>
        <a:p>
          <a:endParaRPr lang="en-GB"/>
        </a:p>
      </dgm:t>
    </dgm:pt>
    <dgm:pt modelId="{DC21F9F9-ACAE-472C-BC36-7F6720BDF686}">
      <dgm:prSet custT="1"/>
      <dgm:spPr>
        <a:xfrm rot="5400000">
          <a:off x="3393201" y="190431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Number of contaminant taxa removed - 113</a:t>
          </a:r>
        </a:p>
      </dgm:t>
    </dgm:pt>
    <dgm:pt modelId="{C1EA2207-91F6-4FE8-8C8F-2B589DF38274}" type="parTrans" cxnId="{93188F98-48A0-4836-A89C-D052E5936724}">
      <dgm:prSet/>
      <dgm:spPr/>
      <dgm:t>
        <a:bodyPr/>
        <a:lstStyle/>
        <a:p>
          <a:endParaRPr lang="en-GB"/>
        </a:p>
      </dgm:t>
    </dgm:pt>
    <dgm:pt modelId="{20E16AB2-695B-42DA-8335-7AE03F715F86}" type="sibTrans" cxnId="{93188F98-48A0-4836-A89C-D052E5936724}">
      <dgm:prSet/>
      <dgm:spPr/>
      <dgm:t>
        <a:bodyPr/>
        <a:lstStyle/>
        <a:p>
          <a:endParaRPr lang="en-GB"/>
        </a:p>
      </dgm:t>
    </dgm:pt>
    <dgm:pt modelId="{A4C57DE6-7C78-4173-88EC-D12BDF49BA96}">
      <dgm:prSet custT="1"/>
      <dgm:spPr>
        <a:xfrm rot="5400000">
          <a:off x="3393201" y="1122362"/>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Corresponding to 3106 taxa</a:t>
          </a:r>
        </a:p>
      </dgm:t>
    </dgm:pt>
    <dgm:pt modelId="{362112DC-1EBC-4A3E-BD50-1898E1116266}" type="parTrans" cxnId="{56E96C6E-3168-4886-8614-9AAAC0D27247}">
      <dgm:prSet/>
      <dgm:spPr/>
      <dgm:t>
        <a:bodyPr/>
        <a:lstStyle/>
        <a:p>
          <a:endParaRPr lang="en-GB"/>
        </a:p>
      </dgm:t>
    </dgm:pt>
    <dgm:pt modelId="{C38A2EA9-068D-43FB-9223-6F6D496582A5}" type="sibTrans" cxnId="{56E96C6E-3168-4886-8614-9AAAC0D27247}">
      <dgm:prSet/>
      <dgm:spPr/>
      <dgm:t>
        <a:bodyPr/>
        <a:lstStyle/>
        <a:p>
          <a:endParaRPr lang="en-GB"/>
        </a:p>
      </dgm:t>
    </dgm:pt>
    <dgm:pt modelId="{ADC36D36-7F3D-4B07-8D0A-C57C6048D357}">
      <dgm:prSet custT="1"/>
      <dgm:spPr>
        <a:xfrm rot="5400000">
          <a:off x="3393201" y="190431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Total taxa = 2993</a:t>
          </a:r>
        </a:p>
      </dgm:t>
    </dgm:pt>
    <dgm:pt modelId="{87382EC0-F2F7-4E14-9E97-66D438DF259B}" type="parTrans" cxnId="{695C1017-CB50-429D-8814-251359D7EC66}">
      <dgm:prSet/>
      <dgm:spPr/>
      <dgm:t>
        <a:bodyPr/>
        <a:lstStyle/>
        <a:p>
          <a:endParaRPr lang="en-GB"/>
        </a:p>
      </dgm:t>
    </dgm:pt>
    <dgm:pt modelId="{A7331411-9CB5-404B-871D-743A0CF6A8D4}" type="sibTrans" cxnId="{695C1017-CB50-429D-8814-251359D7EC66}">
      <dgm:prSet/>
      <dgm:spPr/>
      <dgm:t>
        <a:bodyPr/>
        <a:lstStyle/>
        <a:p>
          <a:endParaRPr lang="en-GB"/>
        </a:p>
      </dgm:t>
    </dgm:pt>
    <dgm:pt modelId="{BC4ABBA9-7DF6-414B-A34C-FDE7634244D4}">
      <dgm:prSet phldrT="[Text]" custT="1"/>
      <dgm:spPr>
        <a:xfrm rot="5400000">
          <a:off x="-128110" y="5609726"/>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100">
              <a:solidFill>
                <a:sysClr val="window" lastClr="FFFFFF"/>
              </a:solidFill>
              <a:latin typeface="Calibri"/>
              <a:ea typeface="+mn-ea"/>
              <a:cs typeface="+mn-cs"/>
            </a:rPr>
            <a:t>93 samples</a:t>
          </a:r>
        </a:p>
      </dgm:t>
    </dgm:pt>
    <dgm:pt modelId="{BE461E9B-F1B2-4EEB-A92A-CAF88C97565F}" type="parTrans" cxnId="{89B4B2E7-679A-4FE5-84C5-A88F507FFFD7}">
      <dgm:prSet/>
      <dgm:spPr/>
      <dgm:t>
        <a:bodyPr/>
        <a:lstStyle/>
        <a:p>
          <a:endParaRPr lang="en-GB"/>
        </a:p>
      </dgm:t>
    </dgm:pt>
    <dgm:pt modelId="{FF90430D-7D17-465E-9F04-85F721223F18}" type="sibTrans" cxnId="{89B4B2E7-679A-4FE5-84C5-A88F507FFFD7}">
      <dgm:prSet/>
      <dgm:spPr/>
      <dgm:t>
        <a:bodyPr/>
        <a:lstStyle/>
        <a:p>
          <a:endParaRPr lang="en-GB"/>
        </a:p>
      </dgm:t>
    </dgm:pt>
    <dgm:pt modelId="{8A3F5945-CF3A-4DD0-A966-3CDB2DD36101}">
      <dgm:prSet custT="1"/>
      <dgm:spPr>
        <a:xfrm rot="5400000">
          <a:off x="3393201" y="268626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Number of ultra rare taxa removed - 2694</a:t>
          </a:r>
        </a:p>
      </dgm:t>
    </dgm:pt>
    <dgm:pt modelId="{963C56F2-9B1B-41B1-B116-72B1A1012947}" type="parTrans" cxnId="{5CCBB9DE-F699-4249-B787-8A101AABF161}">
      <dgm:prSet/>
      <dgm:spPr/>
      <dgm:t>
        <a:bodyPr/>
        <a:lstStyle/>
        <a:p>
          <a:endParaRPr lang="en-GB"/>
        </a:p>
      </dgm:t>
    </dgm:pt>
    <dgm:pt modelId="{93074D62-3531-4764-A7E1-AAA07A0B73F8}" type="sibTrans" cxnId="{5CCBB9DE-F699-4249-B787-8A101AABF161}">
      <dgm:prSet/>
      <dgm:spPr/>
      <dgm:t>
        <a:bodyPr/>
        <a:lstStyle/>
        <a:p>
          <a:endParaRPr lang="en-GB"/>
        </a:p>
      </dgm:t>
    </dgm:pt>
    <dgm:pt modelId="{1B03FA69-0691-40E4-93C0-460A304DF69C}">
      <dgm:prSet custT="1"/>
      <dgm:spPr>
        <a:xfrm rot="5400000">
          <a:off x="3393201" y="268626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1200">
              <a:solidFill>
                <a:sysClr val="windowText" lastClr="000000">
                  <a:hueOff val="0"/>
                  <a:satOff val="0"/>
                  <a:lumOff val="0"/>
                  <a:alphaOff val="0"/>
                </a:sysClr>
              </a:solidFill>
              <a:latin typeface="Calibri"/>
              <a:ea typeface="+mn-ea"/>
              <a:cs typeface="+mn-cs"/>
            </a:rPr>
            <a:t>Total taxa = 299</a:t>
          </a:r>
        </a:p>
      </dgm:t>
    </dgm:pt>
    <dgm:pt modelId="{977AF6C8-400D-4F0D-AFE8-995CF58E63F6}" type="parTrans" cxnId="{ED6F8868-9F91-482C-BD92-1EE149C85CDE}">
      <dgm:prSet/>
      <dgm:spPr/>
      <dgm:t>
        <a:bodyPr/>
        <a:lstStyle/>
        <a:p>
          <a:endParaRPr lang="en-GB"/>
        </a:p>
      </dgm:t>
    </dgm:pt>
    <dgm:pt modelId="{47C9B54C-B574-4B87-96CF-65D9B8FDB72E}" type="sibTrans" cxnId="{ED6F8868-9F91-482C-BD92-1EE149C85CDE}">
      <dgm:prSet/>
      <dgm:spPr/>
      <dgm:t>
        <a:bodyPr/>
        <a:lstStyle/>
        <a:p>
          <a:endParaRPr lang="en-GB"/>
        </a:p>
      </dgm:t>
    </dgm:pt>
    <dgm:pt modelId="{9F88F18B-A0F7-4FBA-B997-6D7CACDBC235}" type="pres">
      <dgm:prSet presAssocID="{95587DA1-AF0D-4286-8A8C-2A407FFC0D39}" presName="linearFlow" presStyleCnt="0">
        <dgm:presLayoutVars>
          <dgm:dir/>
          <dgm:animLvl val="lvl"/>
          <dgm:resizeHandles val="exact"/>
        </dgm:presLayoutVars>
      </dgm:prSet>
      <dgm:spPr/>
    </dgm:pt>
    <dgm:pt modelId="{29D99C62-C6E8-482C-A5A9-64BE2E85A88A}" type="pres">
      <dgm:prSet presAssocID="{CFB59011-FD3D-44A5-9DF8-D5E589D1D364}" presName="composite" presStyleCnt="0"/>
      <dgm:spPr/>
    </dgm:pt>
    <dgm:pt modelId="{C517C1AB-AEC6-43CF-8B19-0BAE89BA0869}" type="pres">
      <dgm:prSet presAssocID="{CFB59011-FD3D-44A5-9DF8-D5E589D1D364}" presName="parentText" presStyleLbl="alignNode1" presStyleIdx="0" presStyleCnt="8">
        <dgm:presLayoutVars>
          <dgm:chMax val="1"/>
          <dgm:bulletEnabled val="1"/>
        </dgm:presLayoutVars>
      </dgm:prSet>
      <dgm:spPr/>
    </dgm:pt>
    <dgm:pt modelId="{92C656D6-474C-4234-AB55-58F2DC550EE6}" type="pres">
      <dgm:prSet presAssocID="{CFB59011-FD3D-44A5-9DF8-D5E589D1D364}" presName="descendantText" presStyleLbl="alignAcc1" presStyleIdx="0" presStyleCnt="8">
        <dgm:presLayoutVars>
          <dgm:bulletEnabled val="1"/>
        </dgm:presLayoutVars>
      </dgm:prSet>
      <dgm:spPr/>
    </dgm:pt>
    <dgm:pt modelId="{A8D72A5D-1BCB-47DF-BC2B-100F7677FEA3}" type="pres">
      <dgm:prSet presAssocID="{90173AC3-3D76-44DB-8B62-496B0AA38954}" presName="sp" presStyleCnt="0"/>
      <dgm:spPr/>
    </dgm:pt>
    <dgm:pt modelId="{623B0239-E750-4B9A-B21F-9DC132179D1B}" type="pres">
      <dgm:prSet presAssocID="{C9E8E55A-6271-4CC9-8F8C-1DA15CA66E62}" presName="composite" presStyleCnt="0"/>
      <dgm:spPr/>
    </dgm:pt>
    <dgm:pt modelId="{BA4F9D17-86CA-4C5A-BBB9-0AB34F3765D9}" type="pres">
      <dgm:prSet presAssocID="{C9E8E55A-6271-4CC9-8F8C-1DA15CA66E62}" presName="parentText" presStyleLbl="alignNode1" presStyleIdx="1" presStyleCnt="8">
        <dgm:presLayoutVars>
          <dgm:chMax val="1"/>
          <dgm:bulletEnabled val="1"/>
        </dgm:presLayoutVars>
      </dgm:prSet>
      <dgm:spPr/>
    </dgm:pt>
    <dgm:pt modelId="{1E7EE047-CFC2-4C6A-9A4B-5530CC31B646}" type="pres">
      <dgm:prSet presAssocID="{C9E8E55A-6271-4CC9-8F8C-1DA15CA66E62}" presName="descendantText" presStyleLbl="alignAcc1" presStyleIdx="1" presStyleCnt="8">
        <dgm:presLayoutVars>
          <dgm:bulletEnabled val="1"/>
        </dgm:presLayoutVars>
      </dgm:prSet>
      <dgm:spPr/>
    </dgm:pt>
    <dgm:pt modelId="{C500747F-88D6-4B74-AAE3-165347B392E1}" type="pres">
      <dgm:prSet presAssocID="{9456F6DD-A8D4-4F50-B265-9F95740972AA}" presName="sp" presStyleCnt="0"/>
      <dgm:spPr/>
    </dgm:pt>
    <dgm:pt modelId="{4679D635-FACA-4EB3-A260-FCC37DD06B79}" type="pres">
      <dgm:prSet presAssocID="{987B06D1-9777-4852-B20E-800C8D74F6A9}" presName="composite" presStyleCnt="0"/>
      <dgm:spPr/>
    </dgm:pt>
    <dgm:pt modelId="{471A023E-E27F-477F-AD7C-5444D76252B7}" type="pres">
      <dgm:prSet presAssocID="{987B06D1-9777-4852-B20E-800C8D74F6A9}" presName="parentText" presStyleLbl="alignNode1" presStyleIdx="2" presStyleCnt="8">
        <dgm:presLayoutVars>
          <dgm:chMax val="1"/>
          <dgm:bulletEnabled val="1"/>
        </dgm:presLayoutVars>
      </dgm:prSet>
      <dgm:spPr/>
    </dgm:pt>
    <dgm:pt modelId="{83752DC2-B691-4A5B-A805-10B54120D0F0}" type="pres">
      <dgm:prSet presAssocID="{987B06D1-9777-4852-B20E-800C8D74F6A9}" presName="descendantText" presStyleLbl="alignAcc1" presStyleIdx="2" presStyleCnt="8">
        <dgm:presLayoutVars>
          <dgm:bulletEnabled val="1"/>
        </dgm:presLayoutVars>
      </dgm:prSet>
      <dgm:spPr/>
    </dgm:pt>
    <dgm:pt modelId="{71DBB746-039C-4827-BFEA-F01CD0710259}" type="pres">
      <dgm:prSet presAssocID="{7FCB0923-F5E6-4774-A1D2-DC49A9B8DEA3}" presName="sp" presStyleCnt="0"/>
      <dgm:spPr/>
    </dgm:pt>
    <dgm:pt modelId="{13EC8FD5-DA3A-4D5F-8A6C-6C91AD8A8836}" type="pres">
      <dgm:prSet presAssocID="{5E9EA849-3596-4FB7-8B80-8E82A328364E}" presName="composite" presStyleCnt="0"/>
      <dgm:spPr/>
    </dgm:pt>
    <dgm:pt modelId="{CFEDB23D-4BAE-409C-80F3-A3A56FF30600}" type="pres">
      <dgm:prSet presAssocID="{5E9EA849-3596-4FB7-8B80-8E82A328364E}" presName="parentText" presStyleLbl="alignNode1" presStyleIdx="3" presStyleCnt="8">
        <dgm:presLayoutVars>
          <dgm:chMax val="1"/>
          <dgm:bulletEnabled val="1"/>
        </dgm:presLayoutVars>
      </dgm:prSet>
      <dgm:spPr/>
    </dgm:pt>
    <dgm:pt modelId="{AFD3414B-037A-4852-A215-2901E852B7EF}" type="pres">
      <dgm:prSet presAssocID="{5E9EA849-3596-4FB7-8B80-8E82A328364E}" presName="descendantText" presStyleLbl="alignAcc1" presStyleIdx="3" presStyleCnt="8">
        <dgm:presLayoutVars>
          <dgm:bulletEnabled val="1"/>
        </dgm:presLayoutVars>
      </dgm:prSet>
      <dgm:spPr/>
    </dgm:pt>
    <dgm:pt modelId="{45307EEC-2621-4EC5-A9BF-F26849070EC7}" type="pres">
      <dgm:prSet presAssocID="{5AB7972A-98AD-4186-878C-2F2A13F5C233}" presName="sp" presStyleCnt="0"/>
      <dgm:spPr/>
    </dgm:pt>
    <dgm:pt modelId="{775DFD54-B38C-4FDD-80DE-42F32133A41D}" type="pres">
      <dgm:prSet presAssocID="{02E44E30-0CE8-4E41-9232-380E4C15754B}" presName="composite" presStyleCnt="0"/>
      <dgm:spPr/>
    </dgm:pt>
    <dgm:pt modelId="{68188D42-6BC5-4248-8EF9-A99A6655E4F2}" type="pres">
      <dgm:prSet presAssocID="{02E44E30-0CE8-4E41-9232-380E4C15754B}" presName="parentText" presStyleLbl="alignNode1" presStyleIdx="4" presStyleCnt="8">
        <dgm:presLayoutVars>
          <dgm:chMax val="1"/>
          <dgm:bulletEnabled val="1"/>
        </dgm:presLayoutVars>
      </dgm:prSet>
      <dgm:spPr/>
    </dgm:pt>
    <dgm:pt modelId="{6650E1E4-73D6-426B-B15C-41E00F415F27}" type="pres">
      <dgm:prSet presAssocID="{02E44E30-0CE8-4E41-9232-380E4C15754B}" presName="descendantText" presStyleLbl="alignAcc1" presStyleIdx="4" presStyleCnt="8">
        <dgm:presLayoutVars>
          <dgm:bulletEnabled val="1"/>
        </dgm:presLayoutVars>
      </dgm:prSet>
      <dgm:spPr/>
    </dgm:pt>
    <dgm:pt modelId="{7FAAD1E9-A1C6-4F0B-B759-323A39A2C2BA}" type="pres">
      <dgm:prSet presAssocID="{34C2317E-94EA-488E-91B8-4B0BABB0BA4B}" presName="sp" presStyleCnt="0"/>
      <dgm:spPr/>
    </dgm:pt>
    <dgm:pt modelId="{8BC5D702-7D93-4A9D-AD4A-CFE06B2A06B1}" type="pres">
      <dgm:prSet presAssocID="{299B0ABA-020C-4A22-ADAE-0852BC27AF6D}" presName="composite" presStyleCnt="0"/>
      <dgm:spPr/>
    </dgm:pt>
    <dgm:pt modelId="{2CDFFAB3-C61C-4975-8C28-F67C3DEB8721}" type="pres">
      <dgm:prSet presAssocID="{299B0ABA-020C-4A22-ADAE-0852BC27AF6D}" presName="parentText" presStyleLbl="alignNode1" presStyleIdx="5" presStyleCnt="8">
        <dgm:presLayoutVars>
          <dgm:chMax val="1"/>
          <dgm:bulletEnabled val="1"/>
        </dgm:presLayoutVars>
      </dgm:prSet>
      <dgm:spPr/>
    </dgm:pt>
    <dgm:pt modelId="{B6AD4A50-7915-4954-9705-B8E52AC52338}" type="pres">
      <dgm:prSet presAssocID="{299B0ABA-020C-4A22-ADAE-0852BC27AF6D}" presName="descendantText" presStyleLbl="alignAcc1" presStyleIdx="5" presStyleCnt="8">
        <dgm:presLayoutVars>
          <dgm:bulletEnabled val="1"/>
        </dgm:presLayoutVars>
      </dgm:prSet>
      <dgm:spPr/>
    </dgm:pt>
    <dgm:pt modelId="{61DAEF15-1B17-4D47-8FE6-5EA4045B3FF5}" type="pres">
      <dgm:prSet presAssocID="{C79F990E-DBA5-4CB6-B37B-633101655AA7}" presName="sp" presStyleCnt="0"/>
      <dgm:spPr/>
    </dgm:pt>
    <dgm:pt modelId="{82E94B04-1ABE-4285-A20B-C9A388332AB9}" type="pres">
      <dgm:prSet presAssocID="{86ECFAC3-55BC-4DC0-869C-74A395FE39A6}" presName="composite" presStyleCnt="0"/>
      <dgm:spPr/>
    </dgm:pt>
    <dgm:pt modelId="{8209F722-F969-4366-94D5-157C8A1E0149}" type="pres">
      <dgm:prSet presAssocID="{86ECFAC3-55BC-4DC0-869C-74A395FE39A6}" presName="parentText" presStyleLbl="alignNode1" presStyleIdx="6" presStyleCnt="8">
        <dgm:presLayoutVars>
          <dgm:chMax val="1"/>
          <dgm:bulletEnabled val="1"/>
        </dgm:presLayoutVars>
      </dgm:prSet>
      <dgm:spPr/>
    </dgm:pt>
    <dgm:pt modelId="{CBC6E198-A6B1-4C32-A84F-6D2C0C11E86B}" type="pres">
      <dgm:prSet presAssocID="{86ECFAC3-55BC-4DC0-869C-74A395FE39A6}" presName="descendantText" presStyleLbl="alignAcc1" presStyleIdx="6" presStyleCnt="8">
        <dgm:presLayoutVars>
          <dgm:bulletEnabled val="1"/>
        </dgm:presLayoutVars>
      </dgm:prSet>
      <dgm:spPr/>
    </dgm:pt>
    <dgm:pt modelId="{6CD05845-FB29-41C4-BB67-C4684E1EB74F}" type="pres">
      <dgm:prSet presAssocID="{09F9AA72-A811-45BC-85AC-B4B596BFB44B}" presName="sp" presStyleCnt="0"/>
      <dgm:spPr/>
    </dgm:pt>
    <dgm:pt modelId="{D3A585A6-9AB5-41C1-AE74-C8A14E584017}" type="pres">
      <dgm:prSet presAssocID="{BC4ABBA9-7DF6-414B-A34C-FDE7634244D4}" presName="composite" presStyleCnt="0"/>
      <dgm:spPr/>
    </dgm:pt>
    <dgm:pt modelId="{ED19C978-A3CF-485A-8385-994982A3E3F7}" type="pres">
      <dgm:prSet presAssocID="{BC4ABBA9-7DF6-414B-A34C-FDE7634244D4}" presName="parentText" presStyleLbl="alignNode1" presStyleIdx="7" presStyleCnt="8">
        <dgm:presLayoutVars>
          <dgm:chMax val="1"/>
          <dgm:bulletEnabled val="1"/>
        </dgm:presLayoutVars>
      </dgm:prSet>
      <dgm:spPr/>
    </dgm:pt>
    <dgm:pt modelId="{DC13F547-D609-485E-B598-C05317F1807E}" type="pres">
      <dgm:prSet presAssocID="{BC4ABBA9-7DF6-414B-A34C-FDE7634244D4}" presName="descendantText" presStyleLbl="alignAcc1" presStyleIdx="7" presStyleCnt="8">
        <dgm:presLayoutVars>
          <dgm:bulletEnabled val="1"/>
        </dgm:presLayoutVars>
      </dgm:prSet>
      <dgm:spPr/>
    </dgm:pt>
  </dgm:ptLst>
  <dgm:cxnLst>
    <dgm:cxn modelId="{61D82609-3608-426C-A51B-F7978EB6BEF9}" type="presOf" srcId="{DC21F9F9-ACAE-472C-BC36-7F6720BDF686}" destId="{CBC6E198-A6B1-4C32-A84F-6D2C0C11E86B}" srcOrd="0" destOrd="0" presId="urn:microsoft.com/office/officeart/2005/8/layout/chevron2"/>
    <dgm:cxn modelId="{A9814B0A-0039-4623-B9F0-9E928EF152C1}" type="presOf" srcId="{ADC36D36-7F3D-4B07-8D0A-C57C6048D357}" destId="{CBC6E198-A6B1-4C32-A84F-6D2C0C11E86B}" srcOrd="0" destOrd="1" presId="urn:microsoft.com/office/officeart/2005/8/layout/chevron2"/>
    <dgm:cxn modelId="{64CCB00A-4D1C-415A-B729-C88D95A9F9C3}" type="presOf" srcId="{5E9EA849-3596-4FB7-8B80-8E82A328364E}" destId="{CFEDB23D-4BAE-409C-80F3-A3A56FF30600}" srcOrd="0" destOrd="0" presId="urn:microsoft.com/office/officeart/2005/8/layout/chevron2"/>
    <dgm:cxn modelId="{ADA5B70C-2F03-4C16-B5B3-5371E312EF05}" srcId="{CFB59011-FD3D-44A5-9DF8-D5E589D1D364}" destId="{71653612-76EC-4E56-98C0-E961E7255911}" srcOrd="0" destOrd="0" parTransId="{6AC27682-F5FE-479F-9734-91EB4F7106D2}" sibTransId="{400DF587-D365-4AE5-990C-92125F150A78}"/>
    <dgm:cxn modelId="{695C1017-CB50-429D-8814-251359D7EC66}" srcId="{86ECFAC3-55BC-4DC0-869C-74A395FE39A6}" destId="{ADC36D36-7F3D-4B07-8D0A-C57C6048D357}" srcOrd="1" destOrd="0" parTransId="{87382EC0-F2F7-4E14-9E97-66D438DF259B}" sibTransId="{A7331411-9CB5-404B-871D-743A0CF6A8D4}"/>
    <dgm:cxn modelId="{6D09D120-3B06-4FD7-8F38-C7A99E379D2D}" type="presOf" srcId="{299B0ABA-020C-4A22-ADAE-0852BC27AF6D}" destId="{2CDFFAB3-C61C-4975-8C28-F67C3DEB8721}" srcOrd="0" destOrd="0" presId="urn:microsoft.com/office/officeart/2005/8/layout/chevron2"/>
    <dgm:cxn modelId="{E632F323-75FD-4486-86EC-C487917B5A68}" type="presOf" srcId="{A4C57DE6-7C78-4173-88EC-D12BDF49BA96}" destId="{B6AD4A50-7915-4954-9705-B8E52AC52338}" srcOrd="0" destOrd="1" presId="urn:microsoft.com/office/officeart/2005/8/layout/chevron2"/>
    <dgm:cxn modelId="{87A4C62A-3617-4AB3-9A11-A261453F3CE4}" type="presOf" srcId="{8A3F5945-CF3A-4DD0-A966-3CDB2DD36101}" destId="{DC13F547-D609-485E-B598-C05317F1807E}" srcOrd="0" destOrd="0" presId="urn:microsoft.com/office/officeart/2005/8/layout/chevron2"/>
    <dgm:cxn modelId="{495C5F35-47E1-4BF2-9C5B-368075676B04}" type="presOf" srcId="{86ECFAC3-55BC-4DC0-869C-74A395FE39A6}" destId="{8209F722-F969-4366-94D5-157C8A1E0149}" srcOrd="0" destOrd="0" presId="urn:microsoft.com/office/officeart/2005/8/layout/chevron2"/>
    <dgm:cxn modelId="{7E67873F-3C70-40FB-BC1B-ECCAED57FBB7}" type="presOf" srcId="{1B03FA69-0691-40E4-93C0-460A304DF69C}" destId="{DC13F547-D609-485E-B598-C05317F1807E}" srcOrd="0" destOrd="1" presId="urn:microsoft.com/office/officeart/2005/8/layout/chevron2"/>
    <dgm:cxn modelId="{7C85FF3F-9744-4944-B90E-DA84C9070142}" type="presOf" srcId="{C9E8E55A-6271-4CC9-8F8C-1DA15CA66E62}" destId="{BA4F9D17-86CA-4C5A-BBB9-0AB34F3765D9}" srcOrd="0" destOrd="0" presId="urn:microsoft.com/office/officeart/2005/8/layout/chevron2"/>
    <dgm:cxn modelId="{3C6C3046-0345-473C-BC3E-745F0172F318}" type="presOf" srcId="{95587DA1-AF0D-4286-8A8C-2A407FFC0D39}" destId="{9F88F18B-A0F7-4FBA-B997-6D7CACDBC235}" srcOrd="0" destOrd="0" presId="urn:microsoft.com/office/officeart/2005/8/layout/chevron2"/>
    <dgm:cxn modelId="{ED6F8868-9F91-482C-BD92-1EE149C85CDE}" srcId="{BC4ABBA9-7DF6-414B-A34C-FDE7634244D4}" destId="{1B03FA69-0691-40E4-93C0-460A304DF69C}" srcOrd="1" destOrd="0" parTransId="{977AF6C8-400D-4F0D-AFE8-995CF58E63F6}" sibTransId="{47C9B54C-B574-4B87-96CF-65D9B8FDB72E}"/>
    <dgm:cxn modelId="{3886F269-6378-43EE-ACBB-A97DB7A06BC5}" srcId="{95587DA1-AF0D-4286-8A8C-2A407FFC0D39}" destId="{987B06D1-9777-4852-B20E-800C8D74F6A9}" srcOrd="2" destOrd="0" parTransId="{6BC12F7F-3390-4DCA-BEA4-6842F5B7F9A7}" sibTransId="{7FCB0923-F5E6-4774-A1D2-DC49A9B8DEA3}"/>
    <dgm:cxn modelId="{56E96C6E-3168-4886-8614-9AAAC0D27247}" srcId="{299B0ABA-020C-4A22-ADAE-0852BC27AF6D}" destId="{A4C57DE6-7C78-4173-88EC-D12BDF49BA96}" srcOrd="1" destOrd="0" parTransId="{362112DC-1EBC-4A3E-BD50-1898E1116266}" sibTransId="{C38A2EA9-068D-43FB-9223-6F6D496582A5}"/>
    <dgm:cxn modelId="{432D3F6F-6D1D-4523-A744-1B259E7CA022}" srcId="{02E44E30-0CE8-4E41-9232-380E4C15754B}" destId="{300F97D9-2F76-425D-AF2F-975C00E47AA7}" srcOrd="0" destOrd="0" parTransId="{5B086A12-3674-4965-B35C-2D8B55D51823}" sibTransId="{0E4D1502-9C54-40A3-B121-14C1D3E97462}"/>
    <dgm:cxn modelId="{39981950-D833-42FC-AC9B-CE6A9069B064}" srcId="{95587DA1-AF0D-4286-8A8C-2A407FFC0D39}" destId="{CFB59011-FD3D-44A5-9DF8-D5E589D1D364}" srcOrd="0" destOrd="0" parTransId="{E1387D01-7A3B-4C98-BABD-6E5C0D231CB3}" sibTransId="{90173AC3-3D76-44DB-8B62-496B0AA38954}"/>
    <dgm:cxn modelId="{6A693A51-77FD-4F50-892D-ED06314B3B64}" type="presOf" srcId="{256D8945-2726-43F1-9F7F-5602B65BBFF6}" destId="{1E7EE047-CFC2-4C6A-9A4B-5530CC31B646}" srcOrd="0" destOrd="0" presId="urn:microsoft.com/office/officeart/2005/8/layout/chevron2"/>
    <dgm:cxn modelId="{AFEC785A-CD82-4449-B6EB-A35E407AF29F}" type="presOf" srcId="{71653612-76EC-4E56-98C0-E961E7255911}" destId="{92C656D6-474C-4234-AB55-58F2DC550EE6}" srcOrd="0" destOrd="0" presId="urn:microsoft.com/office/officeart/2005/8/layout/chevron2"/>
    <dgm:cxn modelId="{B709567C-30DC-4037-BE16-D1B29E78399A}" srcId="{987B06D1-9777-4852-B20E-800C8D74F6A9}" destId="{36AABDFF-3760-400F-B817-C61F03589C15}" srcOrd="0" destOrd="0" parTransId="{6565A4FC-B9F4-47DD-8F75-59328873EEA0}" sibTransId="{EFD01B16-653C-4453-AD67-ECDEDACBAE99}"/>
    <dgm:cxn modelId="{1EA0227E-A1A9-41C4-B8C6-6F301AA8743B}" type="presOf" srcId="{987B06D1-9777-4852-B20E-800C8D74F6A9}" destId="{471A023E-E27F-477F-AD7C-5444D76252B7}" srcOrd="0" destOrd="0" presId="urn:microsoft.com/office/officeart/2005/8/layout/chevron2"/>
    <dgm:cxn modelId="{81787281-2244-4523-BCC1-CFF790DB8C7C}" srcId="{95587DA1-AF0D-4286-8A8C-2A407FFC0D39}" destId="{C9E8E55A-6271-4CC9-8F8C-1DA15CA66E62}" srcOrd="1" destOrd="0" parTransId="{1157153E-1989-4E33-AFD7-17A7AE9AD12F}" sibTransId="{9456F6DD-A8D4-4F50-B265-9F95740972AA}"/>
    <dgm:cxn modelId="{BC8D4E92-6E51-4827-BC02-C2768997CE15}" type="presOf" srcId="{300F97D9-2F76-425D-AF2F-975C00E47AA7}" destId="{6650E1E4-73D6-426B-B15C-41E00F415F27}" srcOrd="0" destOrd="0" presId="urn:microsoft.com/office/officeart/2005/8/layout/chevron2"/>
    <dgm:cxn modelId="{93188F98-48A0-4836-A89C-D052E5936724}" srcId="{86ECFAC3-55BC-4DC0-869C-74A395FE39A6}" destId="{DC21F9F9-ACAE-472C-BC36-7F6720BDF686}" srcOrd="0" destOrd="0" parTransId="{C1EA2207-91F6-4FE8-8C8F-2B589DF38274}" sibTransId="{20E16AB2-695B-42DA-8335-7AE03F715F86}"/>
    <dgm:cxn modelId="{DC43169B-DAD3-43D7-A76E-5237BBE5E834}" srcId="{95587DA1-AF0D-4286-8A8C-2A407FFC0D39}" destId="{299B0ABA-020C-4A22-ADAE-0852BC27AF6D}" srcOrd="5" destOrd="0" parTransId="{42C6E247-7EDD-4F75-BD43-3975C8A6A88A}" sibTransId="{C79F990E-DBA5-4CB6-B37B-633101655AA7}"/>
    <dgm:cxn modelId="{502523A2-85A0-4E7E-BC0B-AC71EBB4784A}" srcId="{95587DA1-AF0D-4286-8A8C-2A407FFC0D39}" destId="{5E9EA849-3596-4FB7-8B80-8E82A328364E}" srcOrd="3" destOrd="0" parTransId="{EBEA1360-C126-441E-949B-FA121A609F4C}" sibTransId="{5AB7972A-98AD-4186-878C-2F2A13F5C233}"/>
    <dgm:cxn modelId="{68BA68AD-7F00-46AA-9966-1FAE08AE6B12}" srcId="{5E9EA849-3596-4FB7-8B80-8E82A328364E}" destId="{932C9630-0686-4E84-8B1C-8FFD873CAF8D}" srcOrd="0" destOrd="0" parTransId="{6660EC22-2BFF-47A3-A8E6-6FA678BB793A}" sibTransId="{A81BAB57-8FF9-4E72-86F2-D05764A1CC70}"/>
    <dgm:cxn modelId="{CBCE6AB1-402F-4F7D-83DF-51777DC7CF1D}" srcId="{95587DA1-AF0D-4286-8A8C-2A407FFC0D39}" destId="{86ECFAC3-55BC-4DC0-869C-74A395FE39A6}" srcOrd="6" destOrd="0" parTransId="{24075FC0-DF7F-4ECF-9EF4-90720C2DC69A}" sibTransId="{09F9AA72-A811-45BC-85AC-B4B596BFB44B}"/>
    <dgm:cxn modelId="{7AFBD0B8-40DC-4AC2-8CF8-50A93B45C3BB}" type="presOf" srcId="{BC4ABBA9-7DF6-414B-A34C-FDE7634244D4}" destId="{ED19C978-A3CF-485A-8385-994982A3E3F7}" srcOrd="0" destOrd="0" presId="urn:microsoft.com/office/officeart/2005/8/layout/chevron2"/>
    <dgm:cxn modelId="{3A11CABF-D098-44E8-8B5D-E3D46E5944E6}" srcId="{95587DA1-AF0D-4286-8A8C-2A407FFC0D39}" destId="{02E44E30-0CE8-4E41-9232-380E4C15754B}" srcOrd="4" destOrd="0" parTransId="{05F6FF10-4577-4A5B-BD26-982B3D1B9681}" sibTransId="{34C2317E-94EA-488E-91B8-4B0BABB0BA4B}"/>
    <dgm:cxn modelId="{56D479CB-C780-40CA-8E42-CCFE1DAEFAC5}" type="presOf" srcId="{73ABBDD3-87E9-49E2-BA61-1A1BC07F3925}" destId="{B6AD4A50-7915-4954-9705-B8E52AC52338}" srcOrd="0" destOrd="0" presId="urn:microsoft.com/office/officeart/2005/8/layout/chevron2"/>
    <dgm:cxn modelId="{E3D19CCB-62F9-47BF-97F4-7C7B5F2DCCA5}" type="presOf" srcId="{932C9630-0686-4E84-8B1C-8FFD873CAF8D}" destId="{AFD3414B-037A-4852-A215-2901E852B7EF}" srcOrd="0" destOrd="0" presId="urn:microsoft.com/office/officeart/2005/8/layout/chevron2"/>
    <dgm:cxn modelId="{5BA3D2DC-49DA-41BE-A48D-79EF50FBF57C}" type="presOf" srcId="{CFB59011-FD3D-44A5-9DF8-D5E589D1D364}" destId="{C517C1AB-AEC6-43CF-8B19-0BAE89BA0869}" srcOrd="0" destOrd="0" presId="urn:microsoft.com/office/officeart/2005/8/layout/chevron2"/>
    <dgm:cxn modelId="{5CCBB9DE-F699-4249-B787-8A101AABF161}" srcId="{BC4ABBA9-7DF6-414B-A34C-FDE7634244D4}" destId="{8A3F5945-CF3A-4DD0-A966-3CDB2DD36101}" srcOrd="0" destOrd="0" parTransId="{963C56F2-9B1B-41B1-B116-72B1A1012947}" sibTransId="{93074D62-3531-4764-A7E1-AAA07A0B73F8}"/>
    <dgm:cxn modelId="{2D3E39E0-82A5-4386-A6D6-46D541AF017C}" srcId="{C9E8E55A-6271-4CC9-8F8C-1DA15CA66E62}" destId="{256D8945-2726-43F1-9F7F-5602B65BBFF6}" srcOrd="0" destOrd="0" parTransId="{C7BF7AEE-3D0B-435D-A9FC-44EF0CEE161C}" sibTransId="{442512D8-F041-47A2-B754-FCAA84F86E8A}"/>
    <dgm:cxn modelId="{2076E3E4-1E08-4007-B953-0322206AF53E}" type="presOf" srcId="{36AABDFF-3760-400F-B817-C61F03589C15}" destId="{83752DC2-B691-4A5B-A805-10B54120D0F0}" srcOrd="0" destOrd="0" presId="urn:microsoft.com/office/officeart/2005/8/layout/chevron2"/>
    <dgm:cxn modelId="{89B4B2E7-679A-4FE5-84C5-A88F507FFFD7}" srcId="{95587DA1-AF0D-4286-8A8C-2A407FFC0D39}" destId="{BC4ABBA9-7DF6-414B-A34C-FDE7634244D4}" srcOrd="7" destOrd="0" parTransId="{BE461E9B-F1B2-4EEB-A92A-CAF88C97565F}" sibTransId="{FF90430D-7D17-465E-9F04-85F721223F18}"/>
    <dgm:cxn modelId="{11F32FFA-8434-4AF6-A99A-B6D9B9739DA4}" srcId="{299B0ABA-020C-4A22-ADAE-0852BC27AF6D}" destId="{73ABBDD3-87E9-49E2-BA61-1A1BC07F3925}" srcOrd="0" destOrd="0" parTransId="{F81758AA-1DCA-4D1E-960B-730FF5236F83}" sibTransId="{5DD3491B-C2FB-4C1F-BD11-F97D37036BF6}"/>
    <dgm:cxn modelId="{D33F1DFD-F5CE-46BC-B313-86E12A7A2056}" type="presOf" srcId="{02E44E30-0CE8-4E41-9232-380E4C15754B}" destId="{68188D42-6BC5-4248-8EF9-A99A6655E4F2}" srcOrd="0" destOrd="0" presId="urn:microsoft.com/office/officeart/2005/8/layout/chevron2"/>
    <dgm:cxn modelId="{F97B33A4-0681-4302-B185-836AA861E9A2}" type="presParOf" srcId="{9F88F18B-A0F7-4FBA-B997-6D7CACDBC235}" destId="{29D99C62-C6E8-482C-A5A9-64BE2E85A88A}" srcOrd="0" destOrd="0" presId="urn:microsoft.com/office/officeart/2005/8/layout/chevron2"/>
    <dgm:cxn modelId="{F2371165-C0AC-4C4B-822A-914AE9D0920B}" type="presParOf" srcId="{29D99C62-C6E8-482C-A5A9-64BE2E85A88A}" destId="{C517C1AB-AEC6-43CF-8B19-0BAE89BA0869}" srcOrd="0" destOrd="0" presId="urn:microsoft.com/office/officeart/2005/8/layout/chevron2"/>
    <dgm:cxn modelId="{06A69256-37B7-4218-8714-0ABD9A33F63B}" type="presParOf" srcId="{29D99C62-C6E8-482C-A5A9-64BE2E85A88A}" destId="{92C656D6-474C-4234-AB55-58F2DC550EE6}" srcOrd="1" destOrd="0" presId="urn:microsoft.com/office/officeart/2005/8/layout/chevron2"/>
    <dgm:cxn modelId="{F7DCE875-29B4-4A82-B5EB-8668BA11D4FE}" type="presParOf" srcId="{9F88F18B-A0F7-4FBA-B997-6D7CACDBC235}" destId="{A8D72A5D-1BCB-47DF-BC2B-100F7677FEA3}" srcOrd="1" destOrd="0" presId="urn:microsoft.com/office/officeart/2005/8/layout/chevron2"/>
    <dgm:cxn modelId="{FC32C584-5B8B-42D0-88C6-9BBC96F235C9}" type="presParOf" srcId="{9F88F18B-A0F7-4FBA-B997-6D7CACDBC235}" destId="{623B0239-E750-4B9A-B21F-9DC132179D1B}" srcOrd="2" destOrd="0" presId="urn:microsoft.com/office/officeart/2005/8/layout/chevron2"/>
    <dgm:cxn modelId="{C63C26BD-5E52-441A-89FF-5333953637C0}" type="presParOf" srcId="{623B0239-E750-4B9A-B21F-9DC132179D1B}" destId="{BA4F9D17-86CA-4C5A-BBB9-0AB34F3765D9}" srcOrd="0" destOrd="0" presId="urn:microsoft.com/office/officeart/2005/8/layout/chevron2"/>
    <dgm:cxn modelId="{EEFB5620-0E04-4776-9E08-9D63AC2C975D}" type="presParOf" srcId="{623B0239-E750-4B9A-B21F-9DC132179D1B}" destId="{1E7EE047-CFC2-4C6A-9A4B-5530CC31B646}" srcOrd="1" destOrd="0" presId="urn:microsoft.com/office/officeart/2005/8/layout/chevron2"/>
    <dgm:cxn modelId="{8376BA80-D4FC-4A2D-B056-B2E45480D266}" type="presParOf" srcId="{9F88F18B-A0F7-4FBA-B997-6D7CACDBC235}" destId="{C500747F-88D6-4B74-AAE3-165347B392E1}" srcOrd="3" destOrd="0" presId="urn:microsoft.com/office/officeart/2005/8/layout/chevron2"/>
    <dgm:cxn modelId="{80A1A724-7ED2-4964-AEFC-C23A0BFC1DF6}" type="presParOf" srcId="{9F88F18B-A0F7-4FBA-B997-6D7CACDBC235}" destId="{4679D635-FACA-4EB3-A260-FCC37DD06B79}" srcOrd="4" destOrd="0" presId="urn:microsoft.com/office/officeart/2005/8/layout/chevron2"/>
    <dgm:cxn modelId="{30C33C1F-2188-49C1-B02C-AA40AF46347B}" type="presParOf" srcId="{4679D635-FACA-4EB3-A260-FCC37DD06B79}" destId="{471A023E-E27F-477F-AD7C-5444D76252B7}" srcOrd="0" destOrd="0" presId="urn:microsoft.com/office/officeart/2005/8/layout/chevron2"/>
    <dgm:cxn modelId="{B9A91B0A-DD7F-49BB-B108-9BBC95B9277F}" type="presParOf" srcId="{4679D635-FACA-4EB3-A260-FCC37DD06B79}" destId="{83752DC2-B691-4A5B-A805-10B54120D0F0}" srcOrd="1" destOrd="0" presId="urn:microsoft.com/office/officeart/2005/8/layout/chevron2"/>
    <dgm:cxn modelId="{875727EB-162D-48CA-B431-531F4251E79A}" type="presParOf" srcId="{9F88F18B-A0F7-4FBA-B997-6D7CACDBC235}" destId="{71DBB746-039C-4827-BFEA-F01CD0710259}" srcOrd="5" destOrd="0" presId="urn:microsoft.com/office/officeart/2005/8/layout/chevron2"/>
    <dgm:cxn modelId="{A9DE1F53-9D9B-4972-B393-1CD2CD08CD72}" type="presParOf" srcId="{9F88F18B-A0F7-4FBA-B997-6D7CACDBC235}" destId="{13EC8FD5-DA3A-4D5F-8A6C-6C91AD8A8836}" srcOrd="6" destOrd="0" presId="urn:microsoft.com/office/officeart/2005/8/layout/chevron2"/>
    <dgm:cxn modelId="{42E9A49B-4F3C-4D0B-B7B2-D8B4B0549154}" type="presParOf" srcId="{13EC8FD5-DA3A-4D5F-8A6C-6C91AD8A8836}" destId="{CFEDB23D-4BAE-409C-80F3-A3A56FF30600}" srcOrd="0" destOrd="0" presId="urn:microsoft.com/office/officeart/2005/8/layout/chevron2"/>
    <dgm:cxn modelId="{D376590E-C1F8-4CDA-83E7-92EB35C38D48}" type="presParOf" srcId="{13EC8FD5-DA3A-4D5F-8A6C-6C91AD8A8836}" destId="{AFD3414B-037A-4852-A215-2901E852B7EF}" srcOrd="1" destOrd="0" presId="urn:microsoft.com/office/officeart/2005/8/layout/chevron2"/>
    <dgm:cxn modelId="{99A80926-6CC4-471C-AA75-AF45C01401C5}" type="presParOf" srcId="{9F88F18B-A0F7-4FBA-B997-6D7CACDBC235}" destId="{45307EEC-2621-4EC5-A9BF-F26849070EC7}" srcOrd="7" destOrd="0" presId="urn:microsoft.com/office/officeart/2005/8/layout/chevron2"/>
    <dgm:cxn modelId="{953EF5F0-6277-470A-9288-8CDD4651D647}" type="presParOf" srcId="{9F88F18B-A0F7-4FBA-B997-6D7CACDBC235}" destId="{775DFD54-B38C-4FDD-80DE-42F32133A41D}" srcOrd="8" destOrd="0" presId="urn:microsoft.com/office/officeart/2005/8/layout/chevron2"/>
    <dgm:cxn modelId="{A2369129-4D9F-4B9A-8E79-3637521977FC}" type="presParOf" srcId="{775DFD54-B38C-4FDD-80DE-42F32133A41D}" destId="{68188D42-6BC5-4248-8EF9-A99A6655E4F2}" srcOrd="0" destOrd="0" presId="urn:microsoft.com/office/officeart/2005/8/layout/chevron2"/>
    <dgm:cxn modelId="{653AEC0E-461B-442C-B20B-A844BC5373FD}" type="presParOf" srcId="{775DFD54-B38C-4FDD-80DE-42F32133A41D}" destId="{6650E1E4-73D6-426B-B15C-41E00F415F27}" srcOrd="1" destOrd="0" presId="urn:microsoft.com/office/officeart/2005/8/layout/chevron2"/>
    <dgm:cxn modelId="{CC1C9CC4-5528-4A08-808E-008DEF9AA89E}" type="presParOf" srcId="{9F88F18B-A0F7-4FBA-B997-6D7CACDBC235}" destId="{7FAAD1E9-A1C6-4F0B-B759-323A39A2C2BA}" srcOrd="9" destOrd="0" presId="urn:microsoft.com/office/officeart/2005/8/layout/chevron2"/>
    <dgm:cxn modelId="{2841E0E0-C0D8-4B4C-949B-B758427489A7}" type="presParOf" srcId="{9F88F18B-A0F7-4FBA-B997-6D7CACDBC235}" destId="{8BC5D702-7D93-4A9D-AD4A-CFE06B2A06B1}" srcOrd="10" destOrd="0" presId="urn:microsoft.com/office/officeart/2005/8/layout/chevron2"/>
    <dgm:cxn modelId="{8F938B89-217A-45AE-9D4C-995F6AAA5ECE}" type="presParOf" srcId="{8BC5D702-7D93-4A9D-AD4A-CFE06B2A06B1}" destId="{2CDFFAB3-C61C-4975-8C28-F67C3DEB8721}" srcOrd="0" destOrd="0" presId="urn:microsoft.com/office/officeart/2005/8/layout/chevron2"/>
    <dgm:cxn modelId="{BCB34EB9-54B1-4E52-A988-FC65DA50B3F5}" type="presParOf" srcId="{8BC5D702-7D93-4A9D-AD4A-CFE06B2A06B1}" destId="{B6AD4A50-7915-4954-9705-B8E52AC52338}" srcOrd="1" destOrd="0" presId="urn:microsoft.com/office/officeart/2005/8/layout/chevron2"/>
    <dgm:cxn modelId="{E8B5BD7E-62B3-469E-8096-897800C0156C}" type="presParOf" srcId="{9F88F18B-A0F7-4FBA-B997-6D7CACDBC235}" destId="{61DAEF15-1B17-4D47-8FE6-5EA4045B3FF5}" srcOrd="11" destOrd="0" presId="urn:microsoft.com/office/officeart/2005/8/layout/chevron2"/>
    <dgm:cxn modelId="{313108BE-AAB4-4073-92EF-94B7DC22B675}" type="presParOf" srcId="{9F88F18B-A0F7-4FBA-B997-6D7CACDBC235}" destId="{82E94B04-1ABE-4285-A20B-C9A388332AB9}" srcOrd="12" destOrd="0" presId="urn:microsoft.com/office/officeart/2005/8/layout/chevron2"/>
    <dgm:cxn modelId="{21443588-B93C-4BA0-AB6C-A3C85D6D3AFF}" type="presParOf" srcId="{82E94B04-1ABE-4285-A20B-C9A388332AB9}" destId="{8209F722-F969-4366-94D5-157C8A1E0149}" srcOrd="0" destOrd="0" presId="urn:microsoft.com/office/officeart/2005/8/layout/chevron2"/>
    <dgm:cxn modelId="{E51404A4-C825-4A1F-B2EA-3BCE3BBAF806}" type="presParOf" srcId="{82E94B04-1ABE-4285-A20B-C9A388332AB9}" destId="{CBC6E198-A6B1-4C32-A84F-6D2C0C11E86B}" srcOrd="1" destOrd="0" presId="urn:microsoft.com/office/officeart/2005/8/layout/chevron2"/>
    <dgm:cxn modelId="{37BF8CD6-43BF-4FF8-8548-CF347A24ADB2}" type="presParOf" srcId="{9F88F18B-A0F7-4FBA-B997-6D7CACDBC235}" destId="{6CD05845-FB29-41C4-BB67-C4684E1EB74F}" srcOrd="13" destOrd="0" presId="urn:microsoft.com/office/officeart/2005/8/layout/chevron2"/>
    <dgm:cxn modelId="{BBE5B136-6416-4052-90CD-6BE5ED8F35E4}" type="presParOf" srcId="{9F88F18B-A0F7-4FBA-B997-6D7CACDBC235}" destId="{D3A585A6-9AB5-41C1-AE74-C8A14E584017}" srcOrd="14" destOrd="0" presId="urn:microsoft.com/office/officeart/2005/8/layout/chevron2"/>
    <dgm:cxn modelId="{DBECE0CD-3508-4747-87C8-68B0156FD122}" type="presParOf" srcId="{D3A585A6-9AB5-41C1-AE74-C8A14E584017}" destId="{ED19C978-A3CF-485A-8385-994982A3E3F7}" srcOrd="0" destOrd="0" presId="urn:microsoft.com/office/officeart/2005/8/layout/chevron2"/>
    <dgm:cxn modelId="{545C9261-214C-499A-9065-3247AE7AF394}" type="presParOf" srcId="{D3A585A6-9AB5-41C1-AE74-C8A14E584017}" destId="{DC13F547-D609-485E-B598-C05317F1807E}"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9460A-AACC-4078-B964-61A5720AF41C}">
      <dsp:nvSpPr>
        <dsp:cNvPr id="0" name=""/>
        <dsp:cNvSpPr/>
      </dsp:nvSpPr>
      <dsp:spPr>
        <a:xfrm>
          <a:off x="1988444" y="-97548"/>
          <a:ext cx="1288737" cy="916182"/>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tx1"/>
              </a:solidFill>
            </a:rPr>
            <a:t>Phase 4. Re-evaluation</a:t>
          </a:r>
        </a:p>
      </dsp:txBody>
      <dsp:txXfrm>
        <a:off x="2033168" y="-52824"/>
        <a:ext cx="1199289" cy="826734"/>
      </dsp:txXfrm>
    </dsp:sp>
    <dsp:sp modelId="{9DEF9457-3DED-4AC2-B490-E973F0F7BACA}">
      <dsp:nvSpPr>
        <dsp:cNvPr id="0" name=""/>
        <dsp:cNvSpPr/>
      </dsp:nvSpPr>
      <dsp:spPr>
        <a:xfrm>
          <a:off x="1413188" y="360542"/>
          <a:ext cx="2439250" cy="2439250"/>
        </a:xfrm>
        <a:custGeom>
          <a:avLst/>
          <a:gdLst/>
          <a:ahLst/>
          <a:cxnLst/>
          <a:rect l="0" t="0" r="0" b="0"/>
          <a:pathLst>
            <a:path>
              <a:moveTo>
                <a:pt x="1987108" y="271756"/>
              </a:moveTo>
              <a:arcTo wR="1219625" hR="1219625" stAng="18539810" swAng="1314401"/>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91D74AA9-64F4-46EE-8060-A156D2A57B15}">
      <dsp:nvSpPr>
        <dsp:cNvPr id="0" name=""/>
        <dsp:cNvSpPr/>
      </dsp:nvSpPr>
      <dsp:spPr>
        <a:xfrm>
          <a:off x="3177763" y="1123435"/>
          <a:ext cx="1349351" cy="913465"/>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solidFill>
                <a:schemeClr val="tx1"/>
              </a:solidFill>
            </a:rPr>
            <a:t>Phase 1. Decision Making</a:t>
          </a:r>
        </a:p>
      </dsp:txBody>
      <dsp:txXfrm>
        <a:off x="3222355" y="1168027"/>
        <a:ext cx="1260167" cy="824281"/>
      </dsp:txXfrm>
    </dsp:sp>
    <dsp:sp modelId="{E214CE42-6BF5-4AD1-97C3-333A09B4F079}">
      <dsp:nvSpPr>
        <dsp:cNvPr id="0" name=""/>
        <dsp:cNvSpPr/>
      </dsp:nvSpPr>
      <dsp:spPr>
        <a:xfrm>
          <a:off x="1413188" y="360542"/>
          <a:ext cx="2439250" cy="2439250"/>
        </a:xfrm>
        <a:custGeom>
          <a:avLst/>
          <a:gdLst/>
          <a:ahLst/>
          <a:cxnLst/>
          <a:rect l="0" t="0" r="0" b="0"/>
          <a:pathLst>
            <a:path>
              <a:moveTo>
                <a:pt x="2287004" y="1809700"/>
              </a:moveTo>
              <a:arcTo wR="1219625" hR="1219625" stAng="1736098" swAng="1282880"/>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74C04313-08ED-4CC8-B259-A2CEEE4B0784}">
      <dsp:nvSpPr>
        <dsp:cNvPr id="0" name=""/>
        <dsp:cNvSpPr/>
      </dsp:nvSpPr>
      <dsp:spPr>
        <a:xfrm>
          <a:off x="1973183" y="2320688"/>
          <a:ext cx="1319260" cy="95821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chemeClr val="tx1"/>
              </a:solidFill>
            </a:rPr>
            <a:t>Phase 2. Stability</a:t>
          </a:r>
        </a:p>
      </dsp:txBody>
      <dsp:txXfrm>
        <a:off x="2019959" y="2367464"/>
        <a:ext cx="1225708" cy="864658"/>
      </dsp:txXfrm>
    </dsp:sp>
    <dsp:sp modelId="{222BE45D-E2FB-4647-8F3B-B52B6F9C2D5D}">
      <dsp:nvSpPr>
        <dsp:cNvPr id="0" name=""/>
        <dsp:cNvSpPr/>
      </dsp:nvSpPr>
      <dsp:spPr>
        <a:xfrm>
          <a:off x="1413188" y="360542"/>
          <a:ext cx="2439250" cy="2439250"/>
        </a:xfrm>
        <a:custGeom>
          <a:avLst/>
          <a:gdLst/>
          <a:ahLst/>
          <a:cxnLst/>
          <a:rect l="0" t="0" r="0" b="0"/>
          <a:pathLst>
            <a:path>
              <a:moveTo>
                <a:pt x="442495" y="2159601"/>
              </a:moveTo>
              <a:arcTo wR="1219625" hR="1219625" stAng="7774946" swAng="1263178"/>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64ECC8FD-2B96-40CD-BAA7-D5E65F78CFCD}">
      <dsp:nvSpPr>
        <dsp:cNvPr id="0" name=""/>
        <dsp:cNvSpPr/>
      </dsp:nvSpPr>
      <dsp:spPr>
        <a:xfrm>
          <a:off x="778310" y="1112976"/>
          <a:ext cx="1269755" cy="934383"/>
        </a:xfrm>
        <a:prstGeom prst="roundRect">
          <a:avLst/>
        </a:prstGeom>
        <a:solidFill>
          <a:srgbClr val="FF535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solidFill>
            </a:rPr>
            <a:t>Phase 3. Response to acute illness</a:t>
          </a:r>
        </a:p>
      </dsp:txBody>
      <dsp:txXfrm>
        <a:off x="823923" y="1158589"/>
        <a:ext cx="1178529" cy="843157"/>
      </dsp:txXfrm>
    </dsp:sp>
    <dsp:sp modelId="{54B13FAA-86B7-4988-8672-39B51ABF71BA}">
      <dsp:nvSpPr>
        <dsp:cNvPr id="0" name=""/>
        <dsp:cNvSpPr/>
      </dsp:nvSpPr>
      <dsp:spPr>
        <a:xfrm>
          <a:off x="1413188" y="360542"/>
          <a:ext cx="2439250" cy="2439250"/>
        </a:xfrm>
        <a:custGeom>
          <a:avLst/>
          <a:gdLst/>
          <a:ahLst/>
          <a:cxnLst/>
          <a:rect l="0" t="0" r="0" b="0"/>
          <a:pathLst>
            <a:path>
              <a:moveTo>
                <a:pt x="158393" y="618564"/>
              </a:moveTo>
              <a:arcTo wR="1219625" hR="1219625" stAng="12571581" swAng="1294670"/>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7C1AB-AEC6-43CF-8B19-0BAE89BA0869}">
      <dsp:nvSpPr>
        <dsp:cNvPr id="0" name=""/>
        <dsp:cNvSpPr/>
      </dsp:nvSpPr>
      <dsp:spPr>
        <a:xfrm rot="5400000">
          <a:off x="-128110" y="136073"/>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100 samples</a:t>
          </a:r>
        </a:p>
      </dsp:txBody>
      <dsp:txXfrm rot="-5400000">
        <a:off x="2" y="306887"/>
        <a:ext cx="597849" cy="256222"/>
      </dsp:txXfrm>
    </dsp:sp>
    <dsp:sp modelId="{92C656D6-474C-4234-AB55-58F2DC550EE6}">
      <dsp:nvSpPr>
        <dsp:cNvPr id="0" name=""/>
        <dsp:cNvSpPr/>
      </dsp:nvSpPr>
      <dsp:spPr>
        <a:xfrm rot="5400000">
          <a:off x="3393055" y="-2787242"/>
          <a:ext cx="555438"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DNA extracted from 100 nasopharyngeal samples and 18 control samples*</a:t>
          </a:r>
        </a:p>
      </dsp:txBody>
      <dsp:txXfrm rot="-5400000">
        <a:off x="597849" y="35078"/>
        <a:ext cx="6118736" cy="501210"/>
      </dsp:txXfrm>
    </dsp:sp>
    <dsp:sp modelId="{BA4F9D17-86CA-4C5A-BBB9-0AB34F3765D9}">
      <dsp:nvSpPr>
        <dsp:cNvPr id="0" name=""/>
        <dsp:cNvSpPr/>
      </dsp:nvSpPr>
      <dsp:spPr>
        <a:xfrm rot="5400000">
          <a:off x="-128110" y="91802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96 samples</a:t>
          </a:r>
        </a:p>
      </dsp:txBody>
      <dsp:txXfrm rot="-5400000">
        <a:off x="2" y="1088838"/>
        <a:ext cx="597849" cy="256222"/>
      </dsp:txXfrm>
    </dsp:sp>
    <dsp:sp modelId="{1E7EE047-CFC2-4C6A-9A4B-5530CC31B646}">
      <dsp:nvSpPr>
        <dsp:cNvPr id="0" name=""/>
        <dsp:cNvSpPr/>
      </dsp:nvSpPr>
      <dsp:spPr>
        <a:xfrm rot="5400000">
          <a:off x="3393201" y="-2005438"/>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4 samples excluded as insufficient DNA</a:t>
          </a:r>
        </a:p>
      </dsp:txBody>
      <dsp:txXfrm rot="-5400000">
        <a:off x="597849" y="817014"/>
        <a:ext cx="6118750" cy="500946"/>
      </dsp:txXfrm>
    </dsp:sp>
    <dsp:sp modelId="{471A023E-E27F-477F-AD7C-5444D76252B7}">
      <dsp:nvSpPr>
        <dsp:cNvPr id="0" name=""/>
        <dsp:cNvSpPr/>
      </dsp:nvSpPr>
      <dsp:spPr>
        <a:xfrm rot="5400000">
          <a:off x="-128110" y="169997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95 samples</a:t>
          </a:r>
        </a:p>
      </dsp:txBody>
      <dsp:txXfrm rot="-5400000">
        <a:off x="2" y="1870788"/>
        <a:ext cx="597849" cy="256222"/>
      </dsp:txXfrm>
    </dsp:sp>
    <dsp:sp modelId="{83752DC2-B691-4A5B-A805-10B54120D0F0}">
      <dsp:nvSpPr>
        <dsp:cNvPr id="0" name=""/>
        <dsp:cNvSpPr/>
      </dsp:nvSpPr>
      <dsp:spPr>
        <a:xfrm rot="5400000">
          <a:off x="3393201" y="-1223488"/>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1 sample failed the DADA2 quality control</a:t>
          </a:r>
        </a:p>
      </dsp:txBody>
      <dsp:txXfrm rot="-5400000">
        <a:off x="597849" y="1598964"/>
        <a:ext cx="6118750" cy="500946"/>
      </dsp:txXfrm>
    </dsp:sp>
    <dsp:sp modelId="{CFEDB23D-4BAE-409C-80F3-A3A56FF30600}">
      <dsp:nvSpPr>
        <dsp:cNvPr id="0" name=""/>
        <dsp:cNvSpPr/>
      </dsp:nvSpPr>
      <dsp:spPr>
        <a:xfrm rot="5400000">
          <a:off x="-128110" y="2481924"/>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93 samples</a:t>
          </a:r>
        </a:p>
      </dsp:txBody>
      <dsp:txXfrm rot="-5400000">
        <a:off x="2" y="2652738"/>
        <a:ext cx="597849" cy="256222"/>
      </dsp:txXfrm>
    </dsp:sp>
    <dsp:sp modelId="{AFD3414B-037A-4852-A215-2901E852B7EF}">
      <dsp:nvSpPr>
        <dsp:cNvPr id="0" name=""/>
        <dsp:cNvSpPr/>
      </dsp:nvSpPr>
      <dsp:spPr>
        <a:xfrm rot="5400000">
          <a:off x="3393201" y="-441537"/>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Decontam: 1 duplicate sample removed and 1 low read sample</a:t>
          </a:r>
        </a:p>
      </dsp:txBody>
      <dsp:txXfrm rot="-5400000">
        <a:off x="597849" y="2380915"/>
        <a:ext cx="6118750" cy="500946"/>
      </dsp:txXfrm>
    </dsp:sp>
    <dsp:sp modelId="{68188D42-6BC5-4248-8EF9-A99A6655E4F2}">
      <dsp:nvSpPr>
        <dsp:cNvPr id="0" name=""/>
        <dsp:cNvSpPr/>
      </dsp:nvSpPr>
      <dsp:spPr>
        <a:xfrm rot="5400000">
          <a:off x="-128110" y="326387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93 samples</a:t>
          </a:r>
        </a:p>
      </dsp:txBody>
      <dsp:txXfrm rot="-5400000">
        <a:off x="2" y="3434689"/>
        <a:ext cx="597849" cy="256222"/>
      </dsp:txXfrm>
    </dsp:sp>
    <dsp:sp modelId="{6650E1E4-73D6-426B-B15C-41E00F415F27}">
      <dsp:nvSpPr>
        <dsp:cNvPr id="0" name=""/>
        <dsp:cNvSpPr/>
      </dsp:nvSpPr>
      <dsp:spPr>
        <a:xfrm rot="5400000">
          <a:off x="3393201" y="340412"/>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Decontam: 2 PCR blanks and 2 mock communities removed = 14 negtaive controls used</a:t>
          </a:r>
        </a:p>
      </dsp:txBody>
      <dsp:txXfrm rot="-5400000">
        <a:off x="597849" y="3162864"/>
        <a:ext cx="6118750" cy="500946"/>
      </dsp:txXfrm>
    </dsp:sp>
    <dsp:sp modelId="{2CDFFAB3-C61C-4975-8C28-F67C3DEB8721}">
      <dsp:nvSpPr>
        <dsp:cNvPr id="0" name=""/>
        <dsp:cNvSpPr/>
      </dsp:nvSpPr>
      <dsp:spPr>
        <a:xfrm rot="5400000">
          <a:off x="-128110" y="404582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93 samples</a:t>
          </a:r>
        </a:p>
      </dsp:txBody>
      <dsp:txXfrm rot="-5400000">
        <a:off x="2" y="4216639"/>
        <a:ext cx="597849" cy="256222"/>
      </dsp:txXfrm>
    </dsp:sp>
    <dsp:sp modelId="{B6AD4A50-7915-4954-9705-B8E52AC52338}">
      <dsp:nvSpPr>
        <dsp:cNvPr id="0" name=""/>
        <dsp:cNvSpPr/>
      </dsp:nvSpPr>
      <dsp:spPr>
        <a:xfrm rot="5400000">
          <a:off x="3393201" y="1122362"/>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Decontam - 93 samples and 14 controls used</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Corresponding to 3106 taxa</a:t>
          </a:r>
        </a:p>
      </dsp:txBody>
      <dsp:txXfrm rot="-5400000">
        <a:off x="597849" y="3944814"/>
        <a:ext cx="6118750" cy="500946"/>
      </dsp:txXfrm>
    </dsp:sp>
    <dsp:sp modelId="{8209F722-F969-4366-94D5-157C8A1E0149}">
      <dsp:nvSpPr>
        <dsp:cNvPr id="0" name=""/>
        <dsp:cNvSpPr/>
      </dsp:nvSpPr>
      <dsp:spPr>
        <a:xfrm rot="5400000">
          <a:off x="-128110" y="4827775"/>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93 samples</a:t>
          </a:r>
        </a:p>
      </dsp:txBody>
      <dsp:txXfrm rot="-5400000">
        <a:off x="2" y="4998589"/>
        <a:ext cx="597849" cy="256222"/>
      </dsp:txXfrm>
    </dsp:sp>
    <dsp:sp modelId="{CBC6E198-A6B1-4C32-A84F-6D2C0C11E86B}">
      <dsp:nvSpPr>
        <dsp:cNvPr id="0" name=""/>
        <dsp:cNvSpPr/>
      </dsp:nvSpPr>
      <dsp:spPr>
        <a:xfrm rot="5400000">
          <a:off x="3393201" y="190431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Number of contaminant taxa removed - 113</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Total taxa = 2993</a:t>
          </a:r>
        </a:p>
      </dsp:txBody>
      <dsp:txXfrm rot="-5400000">
        <a:off x="597849" y="4726765"/>
        <a:ext cx="6118750" cy="500946"/>
      </dsp:txXfrm>
    </dsp:sp>
    <dsp:sp modelId="{ED19C978-A3CF-485A-8385-994982A3E3F7}">
      <dsp:nvSpPr>
        <dsp:cNvPr id="0" name=""/>
        <dsp:cNvSpPr/>
      </dsp:nvSpPr>
      <dsp:spPr>
        <a:xfrm rot="5400000">
          <a:off x="-128110" y="5609726"/>
          <a:ext cx="854071" cy="59784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a:ea typeface="+mn-ea"/>
              <a:cs typeface="+mn-cs"/>
            </a:rPr>
            <a:t>93 samples</a:t>
          </a:r>
        </a:p>
      </dsp:txBody>
      <dsp:txXfrm rot="-5400000">
        <a:off x="2" y="5780540"/>
        <a:ext cx="597849" cy="256222"/>
      </dsp:txXfrm>
    </dsp:sp>
    <dsp:sp modelId="{DC13F547-D609-485E-B598-C05317F1807E}">
      <dsp:nvSpPr>
        <dsp:cNvPr id="0" name=""/>
        <dsp:cNvSpPr/>
      </dsp:nvSpPr>
      <dsp:spPr>
        <a:xfrm rot="5400000">
          <a:off x="3393201" y="2686263"/>
          <a:ext cx="555146" cy="614585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Number of ultra rare taxa removed - 2694</a:t>
          </a:r>
        </a:p>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Calibri"/>
              <a:ea typeface="+mn-ea"/>
              <a:cs typeface="+mn-cs"/>
            </a:rPr>
            <a:t>Total taxa = 299</a:t>
          </a:r>
        </a:p>
      </dsp:txBody>
      <dsp:txXfrm rot="-5400000">
        <a:off x="597849" y="5508715"/>
        <a:ext cx="6118750" cy="500946"/>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6.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0.10386</cdr:x>
      <cdr:y>0.90154</cdr:y>
    </cdr:from>
    <cdr:to>
      <cdr:x>0.12098</cdr:x>
      <cdr:y>0.93042</cdr:y>
    </cdr:to>
    <cdr:sp macro="" textlink="">
      <cdr:nvSpPr>
        <cdr:cNvPr id="5" name="Oval 4"/>
        <cdr:cNvSpPr/>
      </cdr:nvSpPr>
      <cdr:spPr>
        <a:xfrm xmlns:a="http://schemas.openxmlformats.org/drawingml/2006/main">
          <a:off x="620973" y="2982036"/>
          <a:ext cx="102359" cy="95534"/>
        </a:xfrm>
        <a:prstGeom xmlns:a="http://schemas.openxmlformats.org/drawingml/2006/main" prst="ellipse">
          <a:avLst/>
        </a:prstGeom>
        <a:solidFill xmlns:a="http://schemas.openxmlformats.org/drawingml/2006/main">
          <a:srgbClr val="0070C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0.18882</cdr:x>
      <cdr:y>0.90039</cdr:y>
    </cdr:from>
    <cdr:to>
      <cdr:x>0.20594</cdr:x>
      <cdr:y>0.92928</cdr:y>
    </cdr:to>
    <cdr:sp macro="" textlink="">
      <cdr:nvSpPr>
        <cdr:cNvPr id="6" name="Oval 5"/>
        <cdr:cNvSpPr/>
      </cdr:nvSpPr>
      <cdr:spPr>
        <a:xfrm xmlns:a="http://schemas.openxmlformats.org/drawingml/2006/main">
          <a:off x="1128973" y="2978244"/>
          <a:ext cx="102359" cy="9553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0.23612</cdr:x>
      <cdr:y>0.89925</cdr:y>
    </cdr:from>
    <cdr:to>
      <cdr:x>0.25324</cdr:x>
      <cdr:y>0.92813</cdr:y>
    </cdr:to>
    <cdr:sp macro="" textlink="">
      <cdr:nvSpPr>
        <cdr:cNvPr id="7" name="Oval 6"/>
        <cdr:cNvSpPr/>
      </cdr:nvSpPr>
      <cdr:spPr>
        <a:xfrm xmlns:a="http://schemas.openxmlformats.org/drawingml/2006/main">
          <a:off x="1411785" y="2974454"/>
          <a:ext cx="102359" cy="9553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0.28063</cdr:x>
      <cdr:y>0.89925</cdr:y>
    </cdr:from>
    <cdr:to>
      <cdr:x>0.29775</cdr:x>
      <cdr:y>0.92813</cdr:y>
    </cdr:to>
    <cdr:sp macro="" textlink="">
      <cdr:nvSpPr>
        <cdr:cNvPr id="8" name="Oval 7"/>
        <cdr:cNvSpPr/>
      </cdr:nvSpPr>
      <cdr:spPr>
        <a:xfrm xmlns:a="http://schemas.openxmlformats.org/drawingml/2006/main">
          <a:off x="1677917" y="2974452"/>
          <a:ext cx="102359" cy="9553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0.50318</cdr:x>
      <cdr:y>0.89512</cdr:y>
    </cdr:from>
    <cdr:to>
      <cdr:x>0.5203</cdr:x>
      <cdr:y>0.924</cdr:y>
    </cdr:to>
    <cdr:sp macro="" textlink="">
      <cdr:nvSpPr>
        <cdr:cNvPr id="9" name="Oval 8"/>
        <cdr:cNvSpPr/>
      </cdr:nvSpPr>
      <cdr:spPr>
        <a:xfrm xmlns:a="http://schemas.openxmlformats.org/drawingml/2006/main">
          <a:off x="3008573" y="2960804"/>
          <a:ext cx="102359" cy="9553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0.94713</cdr:x>
      <cdr:y>0.90131</cdr:y>
    </cdr:from>
    <cdr:to>
      <cdr:x>0.96425</cdr:x>
      <cdr:y>0.93019</cdr:y>
    </cdr:to>
    <cdr:sp macro="" textlink="">
      <cdr:nvSpPr>
        <cdr:cNvPr id="10" name="Oval 9"/>
        <cdr:cNvSpPr/>
      </cdr:nvSpPr>
      <cdr:spPr>
        <a:xfrm xmlns:a="http://schemas.openxmlformats.org/drawingml/2006/main">
          <a:off x="5663063" y="2981276"/>
          <a:ext cx="102359" cy="9553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0.41416</cdr:x>
      <cdr:y>0.89512</cdr:y>
    </cdr:from>
    <cdr:to>
      <cdr:x>0.43128</cdr:x>
      <cdr:y>0.924</cdr:y>
    </cdr:to>
    <cdr:sp macro="" textlink="">
      <cdr:nvSpPr>
        <cdr:cNvPr id="11" name="Oval 10"/>
        <cdr:cNvSpPr/>
      </cdr:nvSpPr>
      <cdr:spPr>
        <a:xfrm xmlns:a="http://schemas.openxmlformats.org/drawingml/2006/main">
          <a:off x="2476311" y="2960804"/>
          <a:ext cx="102359" cy="95534"/>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0.59156</cdr:x>
      <cdr:y>0.89397</cdr:y>
    </cdr:from>
    <cdr:to>
      <cdr:x>0.60868</cdr:x>
      <cdr:y>0.92286</cdr:y>
    </cdr:to>
    <cdr:sp macro="" textlink="">
      <cdr:nvSpPr>
        <cdr:cNvPr id="13" name="Oval 12"/>
        <cdr:cNvSpPr/>
      </cdr:nvSpPr>
      <cdr:spPr>
        <a:xfrm xmlns:a="http://schemas.openxmlformats.org/drawingml/2006/main">
          <a:off x="3537045" y="2957013"/>
          <a:ext cx="102359" cy="95534"/>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0.63607</cdr:x>
      <cdr:y>0.89397</cdr:y>
    </cdr:from>
    <cdr:to>
      <cdr:x>0.65319</cdr:x>
      <cdr:y>0.92286</cdr:y>
    </cdr:to>
    <cdr:sp macro="" textlink="">
      <cdr:nvSpPr>
        <cdr:cNvPr id="14" name="Oval 13"/>
        <cdr:cNvSpPr/>
      </cdr:nvSpPr>
      <cdr:spPr>
        <a:xfrm xmlns:a="http://schemas.openxmlformats.org/drawingml/2006/main">
          <a:off x="3803176" y="2957013"/>
          <a:ext cx="102359" cy="95534"/>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0.68172</cdr:x>
      <cdr:y>0.89397</cdr:y>
    </cdr:from>
    <cdr:to>
      <cdr:x>0.69884</cdr:x>
      <cdr:y>0.92286</cdr:y>
    </cdr:to>
    <cdr:sp macro="" textlink="">
      <cdr:nvSpPr>
        <cdr:cNvPr id="15" name="Oval 14"/>
        <cdr:cNvSpPr/>
      </cdr:nvSpPr>
      <cdr:spPr>
        <a:xfrm xmlns:a="http://schemas.openxmlformats.org/drawingml/2006/main">
          <a:off x="4076132" y="2957013"/>
          <a:ext cx="102359" cy="95534"/>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0.85634</cdr:x>
      <cdr:y>0.8981</cdr:y>
    </cdr:from>
    <cdr:to>
      <cdr:x>0.87346</cdr:x>
      <cdr:y>0.92698</cdr:y>
    </cdr:to>
    <cdr:sp macro="" textlink="">
      <cdr:nvSpPr>
        <cdr:cNvPr id="16" name="Oval 15"/>
        <cdr:cNvSpPr/>
      </cdr:nvSpPr>
      <cdr:spPr>
        <a:xfrm xmlns:a="http://schemas.openxmlformats.org/drawingml/2006/main">
          <a:off x="5120185" y="2970661"/>
          <a:ext cx="102359" cy="95534"/>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0.14646</cdr:x>
      <cdr:y>0.90429</cdr:y>
    </cdr:from>
    <cdr:to>
      <cdr:x>0.16358</cdr:x>
      <cdr:y>0.93317</cdr:y>
    </cdr:to>
    <cdr:sp macro="" textlink="">
      <cdr:nvSpPr>
        <cdr:cNvPr id="17" name="Oval 16"/>
        <cdr:cNvSpPr/>
      </cdr:nvSpPr>
      <cdr:spPr>
        <a:xfrm xmlns:a="http://schemas.openxmlformats.org/drawingml/2006/main">
          <a:off x="875732" y="2991132"/>
          <a:ext cx="102359" cy="95534"/>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0.4574</cdr:x>
      <cdr:y>0.89283</cdr:y>
    </cdr:from>
    <cdr:to>
      <cdr:x>0.47452</cdr:x>
      <cdr:y>0.92171</cdr:y>
    </cdr:to>
    <cdr:sp macro="" textlink="">
      <cdr:nvSpPr>
        <cdr:cNvPr id="18" name="Oval 17"/>
        <cdr:cNvSpPr/>
      </cdr:nvSpPr>
      <cdr:spPr>
        <a:xfrm xmlns:a="http://schemas.openxmlformats.org/drawingml/2006/main">
          <a:off x="2734861" y="2953221"/>
          <a:ext cx="102359" cy="95534"/>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0.72497</cdr:x>
      <cdr:y>0.89375</cdr:y>
    </cdr:from>
    <cdr:to>
      <cdr:x>0.74208</cdr:x>
      <cdr:y>0.92263</cdr:y>
    </cdr:to>
    <cdr:sp macro="" textlink="">
      <cdr:nvSpPr>
        <cdr:cNvPr id="19" name="Oval 18"/>
        <cdr:cNvSpPr/>
      </cdr:nvSpPr>
      <cdr:spPr>
        <a:xfrm xmlns:a="http://schemas.openxmlformats.org/drawingml/2006/main">
          <a:off x="4334682" y="2956254"/>
          <a:ext cx="102359" cy="95534"/>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0.54578</cdr:x>
      <cdr:y>0.89787</cdr:y>
    </cdr:from>
    <cdr:to>
      <cdr:x>0.5629</cdr:x>
      <cdr:y>0.92675</cdr:y>
    </cdr:to>
    <cdr:sp macro="" textlink="">
      <cdr:nvSpPr>
        <cdr:cNvPr id="20" name="Oval 19"/>
        <cdr:cNvSpPr/>
      </cdr:nvSpPr>
      <cdr:spPr>
        <a:xfrm xmlns:a="http://schemas.openxmlformats.org/drawingml/2006/main">
          <a:off x="3263332" y="2969902"/>
          <a:ext cx="102359" cy="95534"/>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0.32552</cdr:x>
      <cdr:y>0.89581</cdr:y>
    </cdr:from>
    <cdr:to>
      <cdr:x>0.34264</cdr:x>
      <cdr:y>0.92469</cdr:y>
    </cdr:to>
    <cdr:sp macro="" textlink="">
      <cdr:nvSpPr>
        <cdr:cNvPr id="21" name="Oval 20"/>
        <cdr:cNvSpPr/>
      </cdr:nvSpPr>
      <cdr:spPr>
        <a:xfrm xmlns:a="http://schemas.openxmlformats.org/drawingml/2006/main">
          <a:off x="1946324" y="2963078"/>
          <a:ext cx="102359" cy="95534"/>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0.36825</cdr:x>
      <cdr:y>0.89673</cdr:y>
    </cdr:from>
    <cdr:to>
      <cdr:x>0.38537</cdr:x>
      <cdr:y>0.92561</cdr:y>
    </cdr:to>
    <cdr:sp macro="" textlink="">
      <cdr:nvSpPr>
        <cdr:cNvPr id="23" name="Oval 22"/>
        <cdr:cNvSpPr/>
      </cdr:nvSpPr>
      <cdr:spPr>
        <a:xfrm xmlns:a="http://schemas.openxmlformats.org/drawingml/2006/main">
          <a:off x="2201840" y="2966111"/>
          <a:ext cx="102359" cy="95534"/>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0.76884</cdr:x>
      <cdr:y>0.89673</cdr:y>
    </cdr:from>
    <cdr:to>
      <cdr:x>0.78596</cdr:x>
      <cdr:y>0.92561</cdr:y>
    </cdr:to>
    <cdr:sp macro="" textlink="">
      <cdr:nvSpPr>
        <cdr:cNvPr id="24" name="Oval 23"/>
        <cdr:cNvSpPr/>
      </cdr:nvSpPr>
      <cdr:spPr>
        <a:xfrm xmlns:a="http://schemas.openxmlformats.org/drawingml/2006/main">
          <a:off x="4597023" y="2966111"/>
          <a:ext cx="102359" cy="95534"/>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0.81386</cdr:x>
      <cdr:y>0.89558</cdr:y>
    </cdr:from>
    <cdr:to>
      <cdr:x>0.83098</cdr:x>
      <cdr:y>0.92446</cdr:y>
    </cdr:to>
    <cdr:sp macro="" textlink="">
      <cdr:nvSpPr>
        <cdr:cNvPr id="25" name="Oval 24"/>
        <cdr:cNvSpPr/>
      </cdr:nvSpPr>
      <cdr:spPr>
        <a:xfrm xmlns:a="http://schemas.openxmlformats.org/drawingml/2006/main">
          <a:off x="4866187" y="2962320"/>
          <a:ext cx="102359" cy="95534"/>
        </a:xfrm>
        <a:prstGeom xmlns:a="http://schemas.openxmlformats.org/drawingml/2006/main" prst="ellipse">
          <a:avLst/>
        </a:prstGeom>
        <a:solidFill xmlns:a="http://schemas.openxmlformats.org/drawingml/2006/main">
          <a:schemeClr val="accent2">
            <a:lumMod val="50000"/>
          </a:schemeClr>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0.90288</cdr:x>
      <cdr:y>0.89764</cdr:y>
    </cdr:from>
    <cdr:to>
      <cdr:x>0.92</cdr:x>
      <cdr:y>0.92652</cdr:y>
    </cdr:to>
    <cdr:sp macro="" textlink="">
      <cdr:nvSpPr>
        <cdr:cNvPr id="26" name="Oval 25"/>
        <cdr:cNvSpPr/>
      </cdr:nvSpPr>
      <cdr:spPr>
        <a:xfrm xmlns:a="http://schemas.openxmlformats.org/drawingml/2006/main">
          <a:off x="5398450" y="2969144"/>
          <a:ext cx="102359" cy="95534"/>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0.94149</cdr:x>
      <cdr:y>0.71331</cdr:y>
    </cdr:from>
    <cdr:to>
      <cdr:x>0.96666</cdr:x>
      <cdr:y>0.76295</cdr:y>
    </cdr:to>
    <cdr:sp macro="" textlink="">
      <cdr:nvSpPr>
        <cdr:cNvPr id="22" name="Isosceles Triangle 21"/>
        <cdr:cNvSpPr/>
      </cdr:nvSpPr>
      <cdr:spPr>
        <a:xfrm xmlns:a="http://schemas.openxmlformats.org/drawingml/2006/main">
          <a:off x="5629300" y="2135226"/>
          <a:ext cx="150495" cy="148590"/>
        </a:xfrm>
        <a:prstGeom xmlns:a="http://schemas.openxmlformats.org/drawingml/2006/main" prst="triangle">
          <a:avLst/>
        </a:prstGeom>
        <a:solidFill xmlns:a="http://schemas.openxmlformats.org/drawingml/2006/main">
          <a:schemeClr val="accent5">
            <a:lumMod val="5000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0.40806</cdr:x>
      <cdr:y>0.7182</cdr:y>
    </cdr:from>
    <cdr:to>
      <cdr:x>0.43323</cdr:x>
      <cdr:y>0.76784</cdr:y>
    </cdr:to>
    <cdr:sp macro="" textlink="">
      <cdr:nvSpPr>
        <cdr:cNvPr id="27" name="Isosceles Triangle 26"/>
        <cdr:cNvSpPr/>
      </cdr:nvSpPr>
      <cdr:spPr>
        <a:xfrm xmlns:a="http://schemas.openxmlformats.org/drawingml/2006/main">
          <a:off x="2439874" y="2149856"/>
          <a:ext cx="150495" cy="148590"/>
        </a:xfrm>
        <a:prstGeom xmlns:a="http://schemas.openxmlformats.org/drawingml/2006/main" prst="triangle">
          <a:avLst/>
        </a:prstGeom>
        <a:solidFill xmlns:a="http://schemas.openxmlformats.org/drawingml/2006/main">
          <a:schemeClr val="accent5">
            <a:lumMod val="5000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p xmlns:a="http://schemas.openxmlformats.org/drawingml/2006/main">
          <a:endParaRPr lang="en-GB"/>
        </a:p>
      </cdr:txBody>
    </cdr:sp>
  </cdr:relSizeAnchor>
</c:userShapes>
</file>

<file path=word/drawings/drawing10.xml><?xml version="1.0" encoding="utf-8"?>
<c:userShapes xmlns:c="http://schemas.openxmlformats.org/drawingml/2006/chart">
  <cdr:relSizeAnchor xmlns:cdr="http://schemas.openxmlformats.org/drawingml/2006/chartDrawing">
    <cdr:from>
      <cdr:x>0.53832</cdr:x>
      <cdr:y>0.17568</cdr:y>
    </cdr:from>
    <cdr:to>
      <cdr:x>0.53832</cdr:x>
      <cdr:y>0.69304</cdr:y>
    </cdr:to>
    <cdr:cxnSp macro="">
      <cdr:nvCxnSpPr>
        <cdr:cNvPr id="3" name="Straight Connector 2">
          <a:extLst xmlns:a="http://schemas.openxmlformats.org/drawingml/2006/main">
            <a:ext uri="{FF2B5EF4-FFF2-40B4-BE49-F238E27FC236}">
              <a16:creationId xmlns:a16="http://schemas.microsoft.com/office/drawing/2014/main" id="{FFFD63E7-17C0-453A-9CBF-8B766D79E41D}"/>
            </a:ext>
          </a:extLst>
        </cdr:cNvPr>
        <cdr:cNvCxnSpPr/>
      </cdr:nvCxnSpPr>
      <cdr:spPr>
        <a:xfrm xmlns:a="http://schemas.openxmlformats.org/drawingml/2006/main">
          <a:off x="3055309" y="481913"/>
          <a:ext cx="0" cy="1419222"/>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0.43225</cdr:x>
      <cdr:y>0.21538</cdr:y>
    </cdr:from>
    <cdr:to>
      <cdr:x>0.43225</cdr:x>
      <cdr:y>0.70281</cdr:y>
    </cdr:to>
    <cdr:cxnSp macro="">
      <cdr:nvCxnSpPr>
        <cdr:cNvPr id="3" name="Straight Connector 2"/>
        <cdr:cNvCxnSpPr/>
      </cdr:nvCxnSpPr>
      <cdr:spPr>
        <a:xfrm xmlns:a="http://schemas.openxmlformats.org/drawingml/2006/main">
          <a:off x="2569127" y="373517"/>
          <a:ext cx="0" cy="845277"/>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0.0932</cdr:x>
      <cdr:y>0.82421</cdr:y>
    </cdr:from>
    <cdr:to>
      <cdr:x>0.10901</cdr:x>
      <cdr:y>0.85572</cdr:y>
    </cdr:to>
    <cdr:sp macro="" textlink="">
      <cdr:nvSpPr>
        <cdr:cNvPr id="2" name="Oval 1"/>
        <cdr:cNvSpPr/>
      </cdr:nvSpPr>
      <cdr:spPr>
        <a:xfrm xmlns:a="http://schemas.openxmlformats.org/drawingml/2006/main">
          <a:off x="603534" y="2260960"/>
          <a:ext cx="102359" cy="86455"/>
        </a:xfrm>
        <a:prstGeom xmlns:a="http://schemas.openxmlformats.org/drawingml/2006/main" prst="ellipse">
          <a:avLst/>
        </a:prstGeom>
        <a:solidFill xmlns:a="http://schemas.openxmlformats.org/drawingml/2006/main">
          <a:srgbClr val="0070C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0.13886</cdr:x>
      <cdr:y>0.82669</cdr:y>
    </cdr:from>
    <cdr:to>
      <cdr:x>0.15467</cdr:x>
      <cdr:y>0.85821</cdr:y>
    </cdr:to>
    <cdr:sp macro="" textlink="">
      <cdr:nvSpPr>
        <cdr:cNvPr id="3" name="Oval 2"/>
        <cdr:cNvSpPr/>
      </cdr:nvSpPr>
      <cdr:spPr>
        <a:xfrm xmlns:a="http://schemas.openxmlformats.org/drawingml/2006/main">
          <a:off x="899237" y="2267783"/>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0.45394</cdr:x>
      <cdr:y>0.81923</cdr:y>
    </cdr:from>
    <cdr:to>
      <cdr:x>0.46974</cdr:x>
      <cdr:y>0.85075</cdr:y>
    </cdr:to>
    <cdr:sp macro="" textlink="">
      <cdr:nvSpPr>
        <cdr:cNvPr id="4" name="Oval 3"/>
        <cdr:cNvSpPr/>
      </cdr:nvSpPr>
      <cdr:spPr>
        <a:xfrm xmlns:a="http://schemas.openxmlformats.org/drawingml/2006/main">
          <a:off x="2939577" y="2247311"/>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0.54456</cdr:x>
      <cdr:y>0.82669</cdr:y>
    </cdr:from>
    <cdr:to>
      <cdr:x>0.56037</cdr:x>
      <cdr:y>0.85821</cdr:y>
    </cdr:to>
    <cdr:sp macro="" textlink="">
      <cdr:nvSpPr>
        <cdr:cNvPr id="5" name="Oval 4"/>
        <cdr:cNvSpPr/>
      </cdr:nvSpPr>
      <cdr:spPr>
        <a:xfrm xmlns:a="http://schemas.openxmlformats.org/drawingml/2006/main">
          <a:off x="3526431" y="2267782"/>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0.18113</cdr:x>
      <cdr:y>0.83167</cdr:y>
    </cdr:from>
    <cdr:to>
      <cdr:x>0.19694</cdr:x>
      <cdr:y>0.86318</cdr:y>
    </cdr:to>
    <cdr:sp macro="" textlink="">
      <cdr:nvSpPr>
        <cdr:cNvPr id="6" name="Oval 5"/>
        <cdr:cNvSpPr/>
      </cdr:nvSpPr>
      <cdr:spPr>
        <a:xfrm xmlns:a="http://schemas.openxmlformats.org/drawingml/2006/main">
          <a:off x="1172949" y="2281431"/>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0.22644</cdr:x>
      <cdr:y>0.83167</cdr:y>
    </cdr:from>
    <cdr:to>
      <cdr:x>0.24225</cdr:x>
      <cdr:y>0.86318</cdr:y>
    </cdr:to>
    <cdr:sp macro="" textlink="">
      <cdr:nvSpPr>
        <cdr:cNvPr id="7" name="Oval 6"/>
        <cdr:cNvSpPr/>
      </cdr:nvSpPr>
      <cdr:spPr>
        <a:xfrm xmlns:a="http://schemas.openxmlformats.org/drawingml/2006/main">
          <a:off x="1466376" y="2281431"/>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0.2707</cdr:x>
      <cdr:y>0.83167</cdr:y>
    </cdr:from>
    <cdr:to>
      <cdr:x>0.28651</cdr:x>
      <cdr:y>0.86318</cdr:y>
    </cdr:to>
    <cdr:sp macro="" textlink="">
      <cdr:nvSpPr>
        <cdr:cNvPr id="8" name="Oval 7"/>
        <cdr:cNvSpPr/>
      </cdr:nvSpPr>
      <cdr:spPr>
        <a:xfrm xmlns:a="http://schemas.openxmlformats.org/drawingml/2006/main">
          <a:off x="1752978" y="2281430"/>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0.49937</cdr:x>
      <cdr:y>0.8242</cdr:y>
    </cdr:from>
    <cdr:to>
      <cdr:x>0.51517</cdr:x>
      <cdr:y>0.85572</cdr:y>
    </cdr:to>
    <cdr:sp macro="" textlink="">
      <cdr:nvSpPr>
        <cdr:cNvPr id="9" name="Oval 8"/>
        <cdr:cNvSpPr/>
      </cdr:nvSpPr>
      <cdr:spPr>
        <a:xfrm xmlns:a="http://schemas.openxmlformats.org/drawingml/2006/main">
          <a:off x="3233762" y="2260959"/>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0.94932</cdr:x>
      <cdr:y>0.82918</cdr:y>
    </cdr:from>
    <cdr:to>
      <cdr:x>0.96513</cdr:x>
      <cdr:y>0.8607</cdr:y>
    </cdr:to>
    <cdr:sp macro="" textlink="">
      <cdr:nvSpPr>
        <cdr:cNvPr id="10" name="Oval 9"/>
        <cdr:cNvSpPr/>
      </cdr:nvSpPr>
      <cdr:spPr>
        <a:xfrm xmlns:a="http://schemas.openxmlformats.org/drawingml/2006/main">
          <a:off x="6147558" y="2274606"/>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0.31683</cdr:x>
      <cdr:y>0.83416</cdr:y>
    </cdr:from>
    <cdr:to>
      <cdr:x>0.33264</cdr:x>
      <cdr:y>0.86567</cdr:y>
    </cdr:to>
    <cdr:sp macro="" textlink="">
      <cdr:nvSpPr>
        <cdr:cNvPr id="11" name="Oval 10"/>
        <cdr:cNvSpPr/>
      </cdr:nvSpPr>
      <cdr:spPr>
        <a:xfrm xmlns:a="http://schemas.openxmlformats.org/drawingml/2006/main">
          <a:off x="2051715" y="2288255"/>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0.3632</cdr:x>
      <cdr:y>0.82918</cdr:y>
    </cdr:from>
    <cdr:to>
      <cdr:x>0.379</cdr:x>
      <cdr:y>0.8607</cdr:y>
    </cdr:to>
    <cdr:sp macro="" textlink="">
      <cdr:nvSpPr>
        <cdr:cNvPr id="12" name="Oval 11"/>
        <cdr:cNvSpPr/>
      </cdr:nvSpPr>
      <cdr:spPr>
        <a:xfrm xmlns:a="http://schemas.openxmlformats.org/drawingml/2006/main">
          <a:off x="2351966" y="2274607"/>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0.7689</cdr:x>
      <cdr:y>0.82669</cdr:y>
    </cdr:from>
    <cdr:to>
      <cdr:x>0.7847</cdr:x>
      <cdr:y>0.85821</cdr:y>
    </cdr:to>
    <cdr:sp macro="" textlink="">
      <cdr:nvSpPr>
        <cdr:cNvPr id="13" name="Oval 12"/>
        <cdr:cNvSpPr/>
      </cdr:nvSpPr>
      <cdr:spPr>
        <a:xfrm xmlns:a="http://schemas.openxmlformats.org/drawingml/2006/main">
          <a:off x="4979160" y="2267783"/>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0.41026</cdr:x>
      <cdr:y>0.82918</cdr:y>
    </cdr:from>
    <cdr:to>
      <cdr:x>0.42607</cdr:x>
      <cdr:y>0.8607</cdr:y>
    </cdr:to>
    <cdr:sp macro="" textlink="">
      <cdr:nvSpPr>
        <cdr:cNvPr id="14" name="Oval 13"/>
        <cdr:cNvSpPr/>
      </cdr:nvSpPr>
      <cdr:spPr>
        <a:xfrm xmlns:a="http://schemas.openxmlformats.org/drawingml/2006/main">
          <a:off x="2656765" y="2274606"/>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0.58624</cdr:x>
      <cdr:y>0.82918</cdr:y>
    </cdr:from>
    <cdr:to>
      <cdr:x>0.60205</cdr:x>
      <cdr:y>0.8607</cdr:y>
    </cdr:to>
    <cdr:sp macro="" textlink="">
      <cdr:nvSpPr>
        <cdr:cNvPr id="15" name="Oval 14"/>
        <cdr:cNvSpPr/>
      </cdr:nvSpPr>
      <cdr:spPr>
        <a:xfrm xmlns:a="http://schemas.openxmlformats.org/drawingml/2006/main">
          <a:off x="3796353" y="2274607"/>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0.63156</cdr:x>
      <cdr:y>0.82669</cdr:y>
    </cdr:from>
    <cdr:to>
      <cdr:x>0.64736</cdr:x>
      <cdr:y>0.85821</cdr:y>
    </cdr:to>
    <cdr:sp macro="" textlink="">
      <cdr:nvSpPr>
        <cdr:cNvPr id="16" name="Oval 15"/>
        <cdr:cNvSpPr/>
      </cdr:nvSpPr>
      <cdr:spPr>
        <a:xfrm xmlns:a="http://schemas.openxmlformats.org/drawingml/2006/main">
          <a:off x="4089780" y="2267783"/>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0.67792</cdr:x>
      <cdr:y>0.82918</cdr:y>
    </cdr:from>
    <cdr:to>
      <cdr:x>0.69373</cdr:x>
      <cdr:y>0.8607</cdr:y>
    </cdr:to>
    <cdr:sp macro="" textlink="">
      <cdr:nvSpPr>
        <cdr:cNvPr id="17" name="Oval 16"/>
        <cdr:cNvSpPr/>
      </cdr:nvSpPr>
      <cdr:spPr>
        <a:xfrm xmlns:a="http://schemas.openxmlformats.org/drawingml/2006/main">
          <a:off x="4390031" y="2274607"/>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0.85811</cdr:x>
      <cdr:y>0.82172</cdr:y>
    </cdr:from>
    <cdr:to>
      <cdr:x>0.87392</cdr:x>
      <cdr:y>0.85323</cdr:y>
    </cdr:to>
    <cdr:sp macro="" textlink="">
      <cdr:nvSpPr>
        <cdr:cNvPr id="18" name="Oval 17"/>
        <cdr:cNvSpPr/>
      </cdr:nvSpPr>
      <cdr:spPr>
        <a:xfrm xmlns:a="http://schemas.openxmlformats.org/drawingml/2006/main">
          <a:off x="5556914" y="2254135"/>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0.72253</cdr:x>
      <cdr:y>0.82918</cdr:y>
    </cdr:from>
    <cdr:to>
      <cdr:x>0.73834</cdr:x>
      <cdr:y>0.8607</cdr:y>
    </cdr:to>
    <cdr:sp macro="" textlink="">
      <cdr:nvSpPr>
        <cdr:cNvPr id="19" name="Oval 18"/>
        <cdr:cNvSpPr/>
      </cdr:nvSpPr>
      <cdr:spPr>
        <a:xfrm xmlns:a="http://schemas.openxmlformats.org/drawingml/2006/main">
          <a:off x="4678908" y="2274608"/>
          <a:ext cx="102359" cy="86455"/>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0.81198</cdr:x>
      <cdr:y>0.82918</cdr:y>
    </cdr:from>
    <cdr:to>
      <cdr:x>0.82779</cdr:x>
      <cdr:y>0.8607</cdr:y>
    </cdr:to>
    <cdr:sp macro="" textlink="">
      <cdr:nvSpPr>
        <cdr:cNvPr id="20" name="Oval 19"/>
        <cdr:cNvSpPr/>
      </cdr:nvSpPr>
      <cdr:spPr>
        <a:xfrm xmlns:a="http://schemas.openxmlformats.org/drawingml/2006/main">
          <a:off x="5258181" y="2274606"/>
          <a:ext cx="102359" cy="86456"/>
        </a:xfrm>
        <a:prstGeom xmlns:a="http://schemas.openxmlformats.org/drawingml/2006/main" prst="ellipse">
          <a:avLst/>
        </a:prstGeom>
        <a:solidFill xmlns:a="http://schemas.openxmlformats.org/drawingml/2006/main">
          <a:schemeClr val="accent2">
            <a:lumMod val="50000"/>
          </a:schemeClr>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0.90261</cdr:x>
      <cdr:y>0.82669</cdr:y>
    </cdr:from>
    <cdr:to>
      <cdr:x>0.91841</cdr:x>
      <cdr:y>0.85821</cdr:y>
    </cdr:to>
    <cdr:sp macro="" textlink="">
      <cdr:nvSpPr>
        <cdr:cNvPr id="21" name="Oval 20"/>
        <cdr:cNvSpPr/>
      </cdr:nvSpPr>
      <cdr:spPr>
        <a:xfrm xmlns:a="http://schemas.openxmlformats.org/drawingml/2006/main">
          <a:off x="5845035" y="2267784"/>
          <a:ext cx="102359" cy="86455"/>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0.94097</cdr:x>
      <cdr:y>0.65069</cdr:y>
    </cdr:from>
    <cdr:to>
      <cdr:x>0.96421</cdr:x>
      <cdr:y>0.70486</cdr:y>
    </cdr:to>
    <cdr:sp macro="" textlink="">
      <cdr:nvSpPr>
        <cdr:cNvPr id="22" name="Isosceles Triangle 21"/>
        <cdr:cNvSpPr/>
      </cdr:nvSpPr>
      <cdr:spPr>
        <a:xfrm xmlns:a="http://schemas.openxmlformats.org/drawingml/2006/main">
          <a:off x="6093460" y="1784985"/>
          <a:ext cx="150495" cy="148590"/>
        </a:xfrm>
        <a:prstGeom xmlns:a="http://schemas.openxmlformats.org/drawingml/2006/main" prst="triangle">
          <a:avLst/>
        </a:prstGeom>
        <a:solidFill xmlns:a="http://schemas.openxmlformats.org/drawingml/2006/main">
          <a:srgbClr val="4472C4">
            <a:lumMod val="50000"/>
          </a:srgbClr>
        </a:solidFill>
        <a:ln xmlns:a="http://schemas.openxmlformats.org/drawingml/2006/main" w="12700" cap="flat" cmpd="sng" algn="ctr">
          <a:solidFill>
            <a:srgbClr val="FF0000"/>
          </a:solidFill>
          <a:prstDash val="solid"/>
          <a:miter lim="800000"/>
        </a:ln>
        <a:effectLst xmlns:a="http://schemas.openxmlformats.org/drawingml/2006/main"/>
      </cdr:spPr>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0.40557</cdr:x>
      <cdr:y>0.65417</cdr:y>
    </cdr:from>
    <cdr:to>
      <cdr:x>0.42881</cdr:x>
      <cdr:y>0.70833</cdr:y>
    </cdr:to>
    <cdr:sp macro="" textlink="">
      <cdr:nvSpPr>
        <cdr:cNvPr id="23" name="Isosceles Triangle 22"/>
        <cdr:cNvSpPr/>
      </cdr:nvSpPr>
      <cdr:spPr>
        <a:xfrm xmlns:a="http://schemas.openxmlformats.org/drawingml/2006/main">
          <a:off x="2626360" y="1794510"/>
          <a:ext cx="150495" cy="148590"/>
        </a:xfrm>
        <a:prstGeom xmlns:a="http://schemas.openxmlformats.org/drawingml/2006/main" prst="triangle">
          <a:avLst/>
        </a:prstGeom>
        <a:solidFill xmlns:a="http://schemas.openxmlformats.org/drawingml/2006/main">
          <a:srgbClr val="4472C4">
            <a:lumMod val="50000"/>
          </a:srgbClr>
        </a:solidFill>
        <a:ln xmlns:a="http://schemas.openxmlformats.org/drawingml/2006/main" w="12700" cap="flat" cmpd="sng" algn="ctr">
          <a:solidFill>
            <a:srgbClr val="FF0000"/>
          </a:solidFill>
          <a:prstDash val="solid"/>
          <a:miter lim="800000"/>
        </a:ln>
        <a:effectLst xmlns:a="http://schemas.openxmlformats.org/drawingml/2006/main"/>
      </cdr:spPr>
      <cdr:txBody>
        <a:bodyPr xmlns:a="http://schemas.openxmlformats.org/drawingml/2006/main" rtlCol="0" anchor="ctr"/>
        <a:lstStyle xmlns:a="http://schemas.openxmlformats.org/drawingml/2006/main"/>
        <a:p xmlns:a="http://schemas.openxmlformats.org/drawingml/2006/main">
          <a:endParaRPr lang="en-GB"/>
        </a:p>
      </cdr:txBody>
    </cdr:sp>
  </cdr:relSizeAnchor>
</c:userShapes>
</file>

<file path=word/drawings/drawing3.xml><?xml version="1.0" encoding="utf-8"?>
<c:userShapes xmlns:c="http://schemas.openxmlformats.org/drawingml/2006/chart">
  <cdr:relSizeAnchor xmlns:cdr="http://schemas.openxmlformats.org/drawingml/2006/chartDrawing">
    <cdr:from>
      <cdr:x>0.16955</cdr:x>
      <cdr:y>0.14835</cdr:y>
    </cdr:from>
    <cdr:to>
      <cdr:x>0.17372</cdr:x>
      <cdr:y>0.66918</cdr:y>
    </cdr:to>
    <cdr:cxnSp macro="">
      <cdr:nvCxnSpPr>
        <cdr:cNvPr id="3" name="Straight Connector 2">
          <a:extLst xmlns:a="http://schemas.openxmlformats.org/drawingml/2006/main">
            <a:ext uri="{FF2B5EF4-FFF2-40B4-BE49-F238E27FC236}">
              <a16:creationId xmlns:a16="http://schemas.microsoft.com/office/drawing/2014/main" id="{F6AA6851-BE3C-4947-A63D-6C35606DC4CB}"/>
            </a:ext>
          </a:extLst>
        </cdr:cNvPr>
        <cdr:cNvCxnSpPr/>
      </cdr:nvCxnSpPr>
      <cdr:spPr>
        <a:xfrm xmlns:a="http://schemas.openxmlformats.org/drawingml/2006/main">
          <a:off x="1085231" y="385766"/>
          <a:ext cx="26692" cy="1354327"/>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0.09071</cdr:x>
      <cdr:y>0.8278</cdr:y>
    </cdr:from>
    <cdr:to>
      <cdr:x>0.10601</cdr:x>
      <cdr:y>0.85931</cdr:y>
    </cdr:to>
    <cdr:sp macro="" textlink="">
      <cdr:nvSpPr>
        <cdr:cNvPr id="2" name="Oval 1"/>
        <cdr:cNvSpPr/>
      </cdr:nvSpPr>
      <cdr:spPr>
        <a:xfrm xmlns:a="http://schemas.openxmlformats.org/drawingml/2006/main">
          <a:off x="606567" y="2270817"/>
          <a:ext cx="102359" cy="86455"/>
        </a:xfrm>
        <a:prstGeom xmlns:a="http://schemas.openxmlformats.org/drawingml/2006/main" prst="ellipse">
          <a:avLst/>
        </a:prstGeom>
        <a:solidFill xmlns:a="http://schemas.openxmlformats.org/drawingml/2006/main">
          <a:srgbClr val="0070C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0.18198</cdr:x>
      <cdr:y>0.8278</cdr:y>
    </cdr:from>
    <cdr:to>
      <cdr:x>0.19729</cdr:x>
      <cdr:y>0.85931</cdr:y>
    </cdr:to>
    <cdr:sp macro="" textlink="">
      <cdr:nvSpPr>
        <cdr:cNvPr id="3" name="Oval 2"/>
        <cdr:cNvSpPr/>
      </cdr:nvSpPr>
      <cdr:spPr>
        <a:xfrm xmlns:a="http://schemas.openxmlformats.org/drawingml/2006/main">
          <a:off x="1216925" y="2270816"/>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0.22586</cdr:x>
      <cdr:y>0.82531</cdr:y>
    </cdr:from>
    <cdr:to>
      <cdr:x>0.24116</cdr:x>
      <cdr:y>0.85683</cdr:y>
    </cdr:to>
    <cdr:sp macro="" textlink="">
      <cdr:nvSpPr>
        <cdr:cNvPr id="4" name="Oval 3"/>
        <cdr:cNvSpPr/>
      </cdr:nvSpPr>
      <cdr:spPr>
        <a:xfrm xmlns:a="http://schemas.openxmlformats.org/drawingml/2006/main">
          <a:off x="1510352" y="2263992"/>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0.27178</cdr:x>
      <cdr:y>0.8278</cdr:y>
    </cdr:from>
    <cdr:to>
      <cdr:x>0.28708</cdr:x>
      <cdr:y>0.85931</cdr:y>
    </cdr:to>
    <cdr:sp macro="" textlink="">
      <cdr:nvSpPr>
        <cdr:cNvPr id="5" name="Oval 4"/>
        <cdr:cNvSpPr/>
      </cdr:nvSpPr>
      <cdr:spPr>
        <a:xfrm xmlns:a="http://schemas.openxmlformats.org/drawingml/2006/main">
          <a:off x="1817427" y="2270816"/>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0.4973</cdr:x>
      <cdr:y>0.82531</cdr:y>
    </cdr:from>
    <cdr:to>
      <cdr:x>0.5126</cdr:x>
      <cdr:y>0.85683</cdr:y>
    </cdr:to>
    <cdr:sp macro="" textlink="">
      <cdr:nvSpPr>
        <cdr:cNvPr id="6" name="Oval 5"/>
        <cdr:cNvSpPr/>
      </cdr:nvSpPr>
      <cdr:spPr>
        <a:xfrm xmlns:a="http://schemas.openxmlformats.org/drawingml/2006/main">
          <a:off x="3325504" y="2263992"/>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0.94833</cdr:x>
      <cdr:y>0.82282</cdr:y>
    </cdr:from>
    <cdr:to>
      <cdr:x>0.96364</cdr:x>
      <cdr:y>0.85434</cdr:y>
    </cdr:to>
    <cdr:sp macro="" textlink="">
      <cdr:nvSpPr>
        <cdr:cNvPr id="7" name="Oval 6"/>
        <cdr:cNvSpPr/>
      </cdr:nvSpPr>
      <cdr:spPr>
        <a:xfrm xmlns:a="http://schemas.openxmlformats.org/drawingml/2006/main">
          <a:off x="6341659" y="2257168"/>
          <a:ext cx="102359" cy="86456"/>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0.13697</cdr:x>
      <cdr:y>0.82282</cdr:y>
    </cdr:from>
    <cdr:to>
      <cdr:x>0.15227</cdr:x>
      <cdr:y>0.85434</cdr:y>
    </cdr:to>
    <cdr:sp macro="" textlink="">
      <cdr:nvSpPr>
        <cdr:cNvPr id="8" name="Oval 7"/>
        <cdr:cNvSpPr/>
      </cdr:nvSpPr>
      <cdr:spPr>
        <a:xfrm xmlns:a="http://schemas.openxmlformats.org/drawingml/2006/main">
          <a:off x="915918" y="2257168"/>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0.45228</cdr:x>
      <cdr:y>0.8278</cdr:y>
    </cdr:from>
    <cdr:to>
      <cdr:x>0.46759</cdr:x>
      <cdr:y>0.85931</cdr:y>
    </cdr:to>
    <cdr:sp macro="" textlink="">
      <cdr:nvSpPr>
        <cdr:cNvPr id="9" name="Oval 8"/>
        <cdr:cNvSpPr/>
      </cdr:nvSpPr>
      <cdr:spPr>
        <a:xfrm xmlns:a="http://schemas.openxmlformats.org/drawingml/2006/main">
          <a:off x="3024497" y="2270816"/>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0.72576</cdr:x>
      <cdr:y>0.81755</cdr:y>
    </cdr:from>
    <cdr:to>
      <cdr:x>0.74107</cdr:x>
      <cdr:y>0.84907</cdr:y>
    </cdr:to>
    <cdr:sp macro="" textlink="">
      <cdr:nvSpPr>
        <cdr:cNvPr id="10" name="Oval 9"/>
        <cdr:cNvSpPr/>
      </cdr:nvSpPr>
      <cdr:spPr>
        <a:xfrm xmlns:a="http://schemas.openxmlformats.org/drawingml/2006/main">
          <a:off x="4853296" y="2242705"/>
          <a:ext cx="102359" cy="86456"/>
        </a:xfrm>
        <a:prstGeom xmlns:a="http://schemas.openxmlformats.org/drawingml/2006/main" prst="ellipse">
          <a:avLst/>
        </a:prstGeom>
        <a:solidFill xmlns:a="http://schemas.openxmlformats.org/drawingml/2006/main">
          <a:srgbClr val="FF00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0.31441</cdr:x>
      <cdr:y>0.8209</cdr:y>
    </cdr:from>
    <cdr:to>
      <cdr:x>0.32972</cdr:x>
      <cdr:y>0.85241</cdr:y>
    </cdr:to>
    <cdr:sp macro="" textlink="">
      <cdr:nvSpPr>
        <cdr:cNvPr id="11" name="Oval 10"/>
        <cdr:cNvSpPr/>
      </cdr:nvSpPr>
      <cdr:spPr>
        <a:xfrm xmlns:a="http://schemas.openxmlformats.org/drawingml/2006/main">
          <a:off x="2102515" y="2251880"/>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0.36135</cdr:x>
      <cdr:y>0.82086</cdr:y>
    </cdr:from>
    <cdr:to>
      <cdr:x>0.37666</cdr:x>
      <cdr:y>0.85238</cdr:y>
    </cdr:to>
    <cdr:sp macro="" textlink="">
      <cdr:nvSpPr>
        <cdr:cNvPr id="12" name="Oval 11"/>
        <cdr:cNvSpPr/>
      </cdr:nvSpPr>
      <cdr:spPr>
        <a:xfrm xmlns:a="http://schemas.openxmlformats.org/drawingml/2006/main">
          <a:off x="2416413" y="2251784"/>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0.76851</cdr:x>
      <cdr:y>0.82086</cdr:y>
    </cdr:from>
    <cdr:to>
      <cdr:x>0.78381</cdr:x>
      <cdr:y>0.85238</cdr:y>
    </cdr:to>
    <cdr:sp macro="" textlink="">
      <cdr:nvSpPr>
        <cdr:cNvPr id="13" name="Oval 12"/>
        <cdr:cNvSpPr/>
      </cdr:nvSpPr>
      <cdr:spPr>
        <a:xfrm xmlns:a="http://schemas.openxmlformats.org/drawingml/2006/main">
          <a:off x="5139142" y="2251784"/>
          <a:ext cx="102359" cy="86456"/>
        </a:xfrm>
        <a:prstGeom xmlns:a="http://schemas.openxmlformats.org/drawingml/2006/main" prst="ellipse">
          <a:avLst/>
        </a:prstGeom>
        <a:solidFill xmlns:a="http://schemas.openxmlformats.org/drawingml/2006/main">
          <a:srgbClr val="00FFFF"/>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0.40591</cdr:x>
      <cdr:y>0.8209</cdr:y>
    </cdr:from>
    <cdr:to>
      <cdr:x>0.42122</cdr:x>
      <cdr:y>0.85241</cdr:y>
    </cdr:to>
    <cdr:sp macro="" textlink="">
      <cdr:nvSpPr>
        <cdr:cNvPr id="14" name="Oval 13"/>
        <cdr:cNvSpPr/>
      </cdr:nvSpPr>
      <cdr:spPr>
        <a:xfrm xmlns:a="http://schemas.openxmlformats.org/drawingml/2006/main">
          <a:off x="2714389" y="2251880"/>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0.58755</cdr:x>
      <cdr:y>0.82086</cdr:y>
    </cdr:from>
    <cdr:to>
      <cdr:x>0.60285</cdr:x>
      <cdr:y>0.85238</cdr:y>
    </cdr:to>
    <cdr:sp macro="" textlink="">
      <cdr:nvSpPr>
        <cdr:cNvPr id="15" name="Oval 14"/>
        <cdr:cNvSpPr/>
      </cdr:nvSpPr>
      <cdr:spPr>
        <a:xfrm xmlns:a="http://schemas.openxmlformats.org/drawingml/2006/main">
          <a:off x="3929039" y="2251784"/>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0.63041</cdr:x>
      <cdr:y>0.8209</cdr:y>
    </cdr:from>
    <cdr:to>
      <cdr:x>0.64571</cdr:x>
      <cdr:y>0.85241</cdr:y>
    </cdr:to>
    <cdr:sp macro="" textlink="">
      <cdr:nvSpPr>
        <cdr:cNvPr id="16" name="Oval 15"/>
        <cdr:cNvSpPr/>
      </cdr:nvSpPr>
      <cdr:spPr>
        <a:xfrm xmlns:a="http://schemas.openxmlformats.org/drawingml/2006/main">
          <a:off x="4215642" y="2251880"/>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0.67735</cdr:x>
      <cdr:y>0.8209</cdr:y>
    </cdr:from>
    <cdr:to>
      <cdr:x>0.69265</cdr:x>
      <cdr:y>0.85241</cdr:y>
    </cdr:to>
    <cdr:sp macro="" textlink="">
      <cdr:nvSpPr>
        <cdr:cNvPr id="17" name="Oval 16"/>
        <cdr:cNvSpPr/>
      </cdr:nvSpPr>
      <cdr:spPr>
        <a:xfrm xmlns:a="http://schemas.openxmlformats.org/drawingml/2006/main">
          <a:off x="4529541" y="2251880"/>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0.86001</cdr:x>
      <cdr:y>0.82086</cdr:y>
    </cdr:from>
    <cdr:to>
      <cdr:x>0.87531</cdr:x>
      <cdr:y>0.85238</cdr:y>
    </cdr:to>
    <cdr:sp macro="" textlink="">
      <cdr:nvSpPr>
        <cdr:cNvPr id="18" name="Oval 17"/>
        <cdr:cNvSpPr/>
      </cdr:nvSpPr>
      <cdr:spPr>
        <a:xfrm xmlns:a="http://schemas.openxmlformats.org/drawingml/2006/main">
          <a:off x="5751015" y="2251784"/>
          <a:ext cx="102359" cy="86456"/>
        </a:xfrm>
        <a:prstGeom xmlns:a="http://schemas.openxmlformats.org/drawingml/2006/main" prst="ellipse">
          <a:avLst/>
        </a:prstGeom>
        <a:solidFill xmlns:a="http://schemas.openxmlformats.org/drawingml/2006/main">
          <a:srgbClr val="FBC8FC"/>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0.81329</cdr:x>
      <cdr:y>0.8209</cdr:y>
    </cdr:from>
    <cdr:to>
      <cdr:x>0.8286</cdr:x>
      <cdr:y>0.85241</cdr:y>
    </cdr:to>
    <cdr:sp macro="" textlink="">
      <cdr:nvSpPr>
        <cdr:cNvPr id="19" name="Oval 18"/>
        <cdr:cNvSpPr/>
      </cdr:nvSpPr>
      <cdr:spPr>
        <a:xfrm xmlns:a="http://schemas.openxmlformats.org/drawingml/2006/main">
          <a:off x="5438635" y="2251880"/>
          <a:ext cx="102359" cy="86456"/>
        </a:xfrm>
        <a:prstGeom xmlns:a="http://schemas.openxmlformats.org/drawingml/2006/main" prst="ellipse">
          <a:avLst/>
        </a:prstGeom>
        <a:solidFill xmlns:a="http://schemas.openxmlformats.org/drawingml/2006/main">
          <a:schemeClr val="accent2">
            <a:lumMod val="50000"/>
          </a:schemeClr>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0.90207</cdr:x>
      <cdr:y>0.8209</cdr:y>
    </cdr:from>
    <cdr:to>
      <cdr:x>0.91738</cdr:x>
      <cdr:y>0.85241</cdr:y>
    </cdr:to>
    <cdr:sp macro="" textlink="">
      <cdr:nvSpPr>
        <cdr:cNvPr id="20" name="Oval 19"/>
        <cdr:cNvSpPr/>
      </cdr:nvSpPr>
      <cdr:spPr>
        <a:xfrm xmlns:a="http://schemas.openxmlformats.org/drawingml/2006/main">
          <a:off x="6032312" y="2251880"/>
          <a:ext cx="102359" cy="86455"/>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0.94322</cdr:x>
      <cdr:y>0.64028</cdr:y>
    </cdr:from>
    <cdr:to>
      <cdr:x>0.96572</cdr:x>
      <cdr:y>0.69444</cdr:y>
    </cdr:to>
    <cdr:sp macro="" textlink="">
      <cdr:nvSpPr>
        <cdr:cNvPr id="21" name="Isosceles Triangle 20"/>
        <cdr:cNvSpPr/>
      </cdr:nvSpPr>
      <cdr:spPr>
        <a:xfrm xmlns:a="http://schemas.openxmlformats.org/drawingml/2006/main">
          <a:off x="6307455" y="1756410"/>
          <a:ext cx="150495" cy="148590"/>
        </a:xfrm>
        <a:prstGeom xmlns:a="http://schemas.openxmlformats.org/drawingml/2006/main" prst="triangle">
          <a:avLst/>
        </a:prstGeom>
        <a:solidFill xmlns:a="http://schemas.openxmlformats.org/drawingml/2006/main">
          <a:srgbClr val="4472C4">
            <a:lumMod val="50000"/>
          </a:srgbClr>
        </a:solidFill>
        <a:ln xmlns:a="http://schemas.openxmlformats.org/drawingml/2006/main" w="12700" cap="flat" cmpd="sng" algn="ctr">
          <a:solidFill>
            <a:srgbClr val="FF0000"/>
          </a:solidFill>
          <a:prstDash val="solid"/>
          <a:miter lim="800000"/>
        </a:ln>
        <a:effectLst xmlns:a="http://schemas.openxmlformats.org/drawingml/2006/main"/>
      </cdr:spPr>
      <cdr:txBody>
        <a:bodyPr xmlns:a="http://schemas.openxmlformats.org/drawingml/2006/main" rtlCol="0" anchor="ctr"/>
        <a:lstStyle xmlns:a="http://schemas.openxmlformats.org/drawingml/2006/main"/>
        <a:p xmlns:a="http://schemas.openxmlformats.org/drawingml/2006/main">
          <a:endParaRPr lang="en-GB"/>
        </a:p>
      </cdr:txBody>
    </cdr:sp>
  </cdr:relSizeAnchor>
  <cdr:relSizeAnchor xmlns:cdr="http://schemas.openxmlformats.org/drawingml/2006/chartDrawing">
    <cdr:from>
      <cdr:x>0.40291</cdr:x>
      <cdr:y>0.64954</cdr:y>
    </cdr:from>
    <cdr:to>
      <cdr:x>0.42541</cdr:x>
      <cdr:y>0.7037</cdr:y>
    </cdr:to>
    <cdr:sp macro="" textlink="">
      <cdr:nvSpPr>
        <cdr:cNvPr id="22" name="Isosceles Triangle 21"/>
        <cdr:cNvSpPr/>
      </cdr:nvSpPr>
      <cdr:spPr>
        <a:xfrm xmlns:a="http://schemas.openxmlformats.org/drawingml/2006/main">
          <a:off x="2694305" y="1781810"/>
          <a:ext cx="150495" cy="148590"/>
        </a:xfrm>
        <a:prstGeom xmlns:a="http://schemas.openxmlformats.org/drawingml/2006/main" prst="triangle">
          <a:avLst/>
        </a:prstGeom>
        <a:solidFill xmlns:a="http://schemas.openxmlformats.org/drawingml/2006/main">
          <a:srgbClr val="4472C4">
            <a:lumMod val="50000"/>
          </a:srgbClr>
        </a:solidFill>
        <a:ln xmlns:a="http://schemas.openxmlformats.org/drawingml/2006/main" w="12700" cap="flat" cmpd="sng" algn="ctr">
          <a:solidFill>
            <a:srgbClr val="FF0000"/>
          </a:solidFill>
          <a:prstDash val="solid"/>
          <a:miter lim="800000"/>
        </a:ln>
        <a:effectLst xmlns:a="http://schemas.openxmlformats.org/drawingml/2006/main"/>
      </cdr:spPr>
      <cdr:txBody>
        <a:bodyPr xmlns:a="http://schemas.openxmlformats.org/drawingml/2006/main" rtlCol="0" anchor="ctr"/>
        <a:lstStyle xmlns:a="http://schemas.openxmlformats.org/drawingml/2006/main"/>
        <a:p xmlns:a="http://schemas.openxmlformats.org/drawingml/2006/main">
          <a:endParaRPr lang="en-GB"/>
        </a:p>
      </cdr:txBody>
    </cdr:sp>
  </cdr:relSizeAnchor>
</c:userShapes>
</file>

<file path=word/drawings/drawing5.xml><?xml version="1.0" encoding="utf-8"?>
<c:userShapes xmlns:c="http://schemas.openxmlformats.org/drawingml/2006/chart">
  <cdr:relSizeAnchor xmlns:cdr="http://schemas.openxmlformats.org/drawingml/2006/chartDrawing">
    <cdr:from>
      <cdr:x>0.41331</cdr:x>
      <cdr:y>0.15104</cdr:y>
    </cdr:from>
    <cdr:to>
      <cdr:x>0.41331</cdr:x>
      <cdr:y>0.68924</cdr:y>
    </cdr:to>
    <cdr:cxnSp macro="">
      <cdr:nvCxnSpPr>
        <cdr:cNvPr id="3" name="Straight Connector 2">
          <a:extLst xmlns:a="http://schemas.openxmlformats.org/drawingml/2006/main">
            <a:ext uri="{FF2B5EF4-FFF2-40B4-BE49-F238E27FC236}">
              <a16:creationId xmlns:a16="http://schemas.microsoft.com/office/drawing/2014/main" id="{671C3F4F-3BEA-4285-90BF-A998832F849D}"/>
            </a:ext>
          </a:extLst>
        </cdr:cNvPr>
        <cdr:cNvCxnSpPr/>
      </cdr:nvCxnSpPr>
      <cdr:spPr>
        <a:xfrm xmlns:a="http://schemas.openxmlformats.org/drawingml/2006/main">
          <a:off x="2395539" y="414338"/>
          <a:ext cx="0" cy="1476375"/>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0.13551</cdr:x>
      <cdr:y>0.90776</cdr:y>
    </cdr:from>
    <cdr:to>
      <cdr:x>0.14689</cdr:x>
      <cdr:y>0.93579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71268" y="2369117"/>
          <a:ext cx="73158" cy="73158"/>
        </a:xfrm>
        <a:prstGeom xmlns:a="http://schemas.openxmlformats.org/drawingml/2006/main" prst="rect">
          <a:avLst/>
        </a:prstGeom>
      </cdr:spPr>
    </cdr:pic>
  </cdr:relSizeAnchor>
  <cdr:relSizeAnchor xmlns:cdr="http://schemas.openxmlformats.org/drawingml/2006/chartDrawing">
    <cdr:from>
      <cdr:x>0.35701</cdr:x>
      <cdr:y>0.90893</cdr:y>
    </cdr:from>
    <cdr:to>
      <cdr:x>0.36839</cdr:x>
      <cdr:y>0.93697</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95327" y="2372179"/>
          <a:ext cx="73166" cy="73180"/>
        </a:xfrm>
        <a:prstGeom xmlns:a="http://schemas.openxmlformats.org/drawingml/2006/main" prst="rect">
          <a:avLst/>
        </a:prstGeom>
      </cdr:spPr>
    </cdr:pic>
  </cdr:relSizeAnchor>
  <cdr:relSizeAnchor xmlns:cdr="http://schemas.openxmlformats.org/drawingml/2006/chartDrawing">
    <cdr:from>
      <cdr:x>0.32443</cdr:x>
      <cdr:y>0.90893</cdr:y>
    </cdr:from>
    <cdr:to>
      <cdr:x>0.3358</cdr:x>
      <cdr:y>0.93697</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5882" y="2372179"/>
          <a:ext cx="73102" cy="73180"/>
        </a:xfrm>
        <a:prstGeom xmlns:a="http://schemas.openxmlformats.org/drawingml/2006/main" prst="rect">
          <a:avLst/>
        </a:prstGeom>
      </cdr:spPr>
    </cdr:pic>
  </cdr:relSizeAnchor>
  <cdr:relSizeAnchor xmlns:cdr="http://schemas.openxmlformats.org/drawingml/2006/chartDrawing">
    <cdr:from>
      <cdr:x>0.42232</cdr:x>
      <cdr:y>0.91195</cdr:y>
    </cdr:from>
    <cdr:to>
      <cdr:x>0.4337</cdr:x>
      <cdr:y>0.93998</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15242" y="2380045"/>
          <a:ext cx="73158" cy="73158"/>
        </a:xfrm>
        <a:prstGeom xmlns:a="http://schemas.openxmlformats.org/drawingml/2006/main" prst="rect">
          <a:avLst/>
        </a:prstGeom>
      </cdr:spPr>
    </cdr:pic>
  </cdr:relSizeAnchor>
  <cdr:relSizeAnchor xmlns:cdr="http://schemas.openxmlformats.org/drawingml/2006/chartDrawing">
    <cdr:from>
      <cdr:x>0.45372</cdr:x>
      <cdr:y>0.90813</cdr:y>
    </cdr:from>
    <cdr:to>
      <cdr:x>0.4651</cdr:x>
      <cdr:y>0.93616</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17123" y="2370076"/>
          <a:ext cx="73158" cy="73158"/>
        </a:xfrm>
        <a:prstGeom xmlns:a="http://schemas.openxmlformats.org/drawingml/2006/main" prst="rect">
          <a:avLst/>
        </a:prstGeom>
      </cdr:spPr>
    </cdr:pic>
  </cdr:relSizeAnchor>
  <cdr:relSizeAnchor xmlns:cdr="http://schemas.openxmlformats.org/drawingml/2006/chartDrawing">
    <cdr:from>
      <cdr:x>0.48327</cdr:x>
      <cdr:y>0.90585</cdr:y>
    </cdr:from>
    <cdr:to>
      <cdr:x>0.49465</cdr:x>
      <cdr:y>0.93388</cdr:y>
    </cdr:to>
    <cdr:pic>
      <cdr:nvPicPr>
        <cdr:cNvPr id="1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07128" y="2364138"/>
          <a:ext cx="73158" cy="73158"/>
        </a:xfrm>
        <a:prstGeom xmlns:a="http://schemas.openxmlformats.org/drawingml/2006/main" prst="rect">
          <a:avLst/>
        </a:prstGeom>
      </cdr:spPr>
    </cdr:pic>
  </cdr:relSizeAnchor>
  <cdr:relSizeAnchor xmlns:cdr="http://schemas.openxmlformats.org/drawingml/2006/chartDrawing">
    <cdr:from>
      <cdr:x>0.04029</cdr:x>
      <cdr:y>0.90549</cdr:y>
    </cdr:from>
    <cdr:to>
      <cdr:x>0.04967</cdr:x>
      <cdr:y>0.9286</cdr:y>
    </cdr:to>
    <cdr:sp macro="" textlink="">
      <cdr:nvSpPr>
        <cdr:cNvPr id="22" name="Oval 21"/>
        <cdr:cNvSpPr/>
      </cdr:nvSpPr>
      <cdr:spPr>
        <a:xfrm xmlns:a="http://schemas.openxmlformats.org/drawingml/2006/main">
          <a:off x="259022" y="2363189"/>
          <a:ext cx="60325" cy="60325"/>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0.10452</cdr:x>
      <cdr:y>0.90549</cdr:y>
    </cdr:from>
    <cdr:to>
      <cdr:x>0.11391</cdr:x>
      <cdr:y>0.9286</cdr:y>
    </cdr:to>
    <cdr:sp macro="" textlink="">
      <cdr:nvSpPr>
        <cdr:cNvPr id="23" name="Oval 22"/>
        <cdr:cNvSpPr/>
      </cdr:nvSpPr>
      <cdr:spPr>
        <a:xfrm xmlns:a="http://schemas.openxmlformats.org/drawingml/2006/main">
          <a:off x="672020" y="2363189"/>
          <a:ext cx="60325" cy="60325"/>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0.0722</cdr:x>
      <cdr:y>0.90549</cdr:y>
    </cdr:from>
    <cdr:to>
      <cdr:x>0.08158</cdr:x>
      <cdr:y>0.9286</cdr:y>
    </cdr:to>
    <cdr:sp macro="" textlink="">
      <cdr:nvSpPr>
        <cdr:cNvPr id="24" name="Oval 23"/>
        <cdr:cNvSpPr/>
      </cdr:nvSpPr>
      <cdr:spPr>
        <a:xfrm xmlns:a="http://schemas.openxmlformats.org/drawingml/2006/main">
          <a:off x="464202" y="2363189"/>
          <a:ext cx="60325" cy="60325"/>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0.26522</cdr:x>
      <cdr:y>0.90549</cdr:y>
    </cdr:from>
    <cdr:to>
      <cdr:x>0.2746</cdr:x>
      <cdr:y>0.9286</cdr:y>
    </cdr:to>
    <cdr:sp macro="" textlink="">
      <cdr:nvSpPr>
        <cdr:cNvPr id="25" name="Oval 24"/>
        <cdr:cNvSpPr/>
      </cdr:nvSpPr>
      <cdr:spPr>
        <a:xfrm xmlns:a="http://schemas.openxmlformats.org/drawingml/2006/main">
          <a:off x="1705173" y="2363189"/>
          <a:ext cx="60325" cy="60325"/>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0.16917</cdr:x>
      <cdr:y>0.90549</cdr:y>
    </cdr:from>
    <cdr:to>
      <cdr:x>0.17855</cdr:x>
      <cdr:y>0.9286</cdr:y>
    </cdr:to>
    <cdr:sp macro="" textlink="">
      <cdr:nvSpPr>
        <cdr:cNvPr id="26" name="Oval 25"/>
        <cdr:cNvSpPr/>
      </cdr:nvSpPr>
      <cdr:spPr>
        <a:xfrm xmlns:a="http://schemas.openxmlformats.org/drawingml/2006/main">
          <a:off x="1087656" y="2363189"/>
          <a:ext cx="60325" cy="60325"/>
        </a:xfrm>
        <a:prstGeom xmlns:a="http://schemas.openxmlformats.org/drawingml/2006/main" prst="ellipse">
          <a:avLst/>
        </a:prstGeom>
        <a:solidFill xmlns:a="http://schemas.openxmlformats.org/drawingml/2006/main">
          <a:srgbClr val="6AE0F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0.20149</cdr:x>
      <cdr:y>0.90549</cdr:y>
    </cdr:from>
    <cdr:to>
      <cdr:x>0.21088</cdr:x>
      <cdr:y>0.9286</cdr:y>
    </cdr:to>
    <cdr:sp macro="" textlink="">
      <cdr:nvSpPr>
        <cdr:cNvPr id="27" name="Oval 26"/>
        <cdr:cNvSpPr/>
      </cdr:nvSpPr>
      <cdr:spPr>
        <a:xfrm xmlns:a="http://schemas.openxmlformats.org/drawingml/2006/main">
          <a:off x="1295474" y="2363189"/>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0.39266</cdr:x>
      <cdr:y>0.90549</cdr:y>
    </cdr:from>
    <cdr:to>
      <cdr:x>0.40204</cdr:x>
      <cdr:y>0.9286</cdr:y>
    </cdr:to>
    <cdr:sp macro="" textlink="">
      <cdr:nvSpPr>
        <cdr:cNvPr id="28" name="Oval 27"/>
        <cdr:cNvSpPr/>
      </cdr:nvSpPr>
      <cdr:spPr>
        <a:xfrm xmlns:a="http://schemas.openxmlformats.org/drawingml/2006/main">
          <a:off x="2524570" y="2363189"/>
          <a:ext cx="60325" cy="60325"/>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0.29662</cdr:x>
      <cdr:y>0.90549</cdr:y>
    </cdr:from>
    <cdr:to>
      <cdr:x>0.306</cdr:x>
      <cdr:y>0.9286</cdr:y>
    </cdr:to>
    <cdr:sp macro="" textlink="">
      <cdr:nvSpPr>
        <cdr:cNvPr id="30" name="Oval 29"/>
        <cdr:cNvSpPr/>
      </cdr:nvSpPr>
      <cdr:spPr>
        <a:xfrm xmlns:a="http://schemas.openxmlformats.org/drawingml/2006/main">
          <a:off x="1907053" y="2363189"/>
          <a:ext cx="60325" cy="60325"/>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0.5478</cdr:x>
      <cdr:y>0.90049</cdr:y>
    </cdr:from>
    <cdr:to>
      <cdr:x>0.55918</cdr:x>
      <cdr:y>0.92852</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22029" y="2350132"/>
          <a:ext cx="73166" cy="73154"/>
        </a:xfrm>
        <a:prstGeom xmlns:a="http://schemas.openxmlformats.org/drawingml/2006/main" prst="rect">
          <a:avLst/>
        </a:prstGeom>
      </cdr:spPr>
    </cdr:pic>
  </cdr:relSizeAnchor>
  <cdr:relSizeAnchor xmlns:cdr="http://schemas.openxmlformats.org/drawingml/2006/chartDrawing">
    <cdr:from>
      <cdr:x>0.57996</cdr:x>
      <cdr:y>0.90049</cdr:y>
    </cdr:from>
    <cdr:to>
      <cdr:x>0.58934</cdr:x>
      <cdr:y>0.9236</cdr:y>
    </cdr:to>
    <cdr:sp macro="" textlink="">
      <cdr:nvSpPr>
        <cdr:cNvPr id="17" name="Oval 16"/>
        <cdr:cNvSpPr/>
      </cdr:nvSpPr>
      <cdr:spPr>
        <a:xfrm xmlns:a="http://schemas.openxmlformats.org/drawingml/2006/main">
          <a:off x="3728755" y="2350143"/>
          <a:ext cx="60308" cy="60314"/>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0.87101</cdr:x>
      <cdr:y>0.90049</cdr:y>
    </cdr:from>
    <cdr:to>
      <cdr:x>0.88039</cdr:x>
      <cdr:y>0.9236</cdr:y>
    </cdr:to>
    <cdr:sp macro="" textlink="">
      <cdr:nvSpPr>
        <cdr:cNvPr id="18" name="Oval 17"/>
        <cdr:cNvSpPr/>
      </cdr:nvSpPr>
      <cdr:spPr>
        <a:xfrm xmlns:a="http://schemas.openxmlformats.org/drawingml/2006/main">
          <a:off x="5600080" y="2350143"/>
          <a:ext cx="60308" cy="60314"/>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0.51673</cdr:x>
      <cdr:y>0.91347</cdr:y>
    </cdr:from>
    <cdr:to>
      <cdr:x>0.52611</cdr:x>
      <cdr:y>0.93659</cdr:y>
    </cdr:to>
    <cdr:sp macro="" textlink="">
      <cdr:nvSpPr>
        <cdr:cNvPr id="19" name="Oval 18"/>
        <cdr:cNvSpPr>
          <a:spLocks xmlns:a="http://schemas.openxmlformats.org/drawingml/2006/main"/>
        </cdr:cNvSpPr>
      </cdr:nvSpPr>
      <cdr:spPr>
        <a:xfrm xmlns:a="http://schemas.openxmlformats.org/drawingml/2006/main">
          <a:off x="3322239" y="2384023"/>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0.61362</cdr:x>
      <cdr:y>0.90049</cdr:y>
    </cdr:from>
    <cdr:to>
      <cdr:x>0.625</cdr:x>
      <cdr:y>0.92852</cdr:y>
    </cdr:to>
    <cdr:pic>
      <cdr:nvPicPr>
        <cdr:cNvPr id="20"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45209" y="2350132"/>
          <a:ext cx="73166" cy="73154"/>
        </a:xfrm>
        <a:prstGeom xmlns:a="http://schemas.openxmlformats.org/drawingml/2006/main" prst="rect">
          <a:avLst/>
        </a:prstGeom>
      </cdr:spPr>
    </cdr:pic>
  </cdr:relSizeAnchor>
  <cdr:relSizeAnchor xmlns:cdr="http://schemas.openxmlformats.org/drawingml/2006/chartDrawing">
    <cdr:from>
      <cdr:x>0.70887</cdr:x>
      <cdr:y>0.90049</cdr:y>
    </cdr:from>
    <cdr:to>
      <cdr:x>0.72025</cdr:x>
      <cdr:y>0.92852</cdr:y>
    </cdr:to>
    <cdr:pic>
      <cdr:nvPicPr>
        <cdr:cNvPr id="2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57567" y="2350132"/>
          <a:ext cx="73166" cy="73154"/>
        </a:xfrm>
        <a:prstGeom xmlns:a="http://schemas.openxmlformats.org/drawingml/2006/main" prst="rect">
          <a:avLst/>
        </a:prstGeom>
      </cdr:spPr>
    </cdr:pic>
  </cdr:relSizeAnchor>
  <cdr:relSizeAnchor xmlns:cdr="http://schemas.openxmlformats.org/drawingml/2006/chartDrawing">
    <cdr:from>
      <cdr:x>0.80411</cdr:x>
      <cdr:y>0.90049</cdr:y>
    </cdr:from>
    <cdr:to>
      <cdr:x>0.81549</cdr:x>
      <cdr:y>0.92852</cdr:y>
    </cdr:to>
    <cdr:pic>
      <cdr:nvPicPr>
        <cdr:cNvPr id="2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69926" y="2350132"/>
          <a:ext cx="73166" cy="73154"/>
        </a:xfrm>
        <a:prstGeom xmlns:a="http://schemas.openxmlformats.org/drawingml/2006/main" prst="rect">
          <a:avLst/>
        </a:prstGeom>
      </cdr:spPr>
    </cdr:pic>
  </cdr:relSizeAnchor>
  <cdr:relSizeAnchor xmlns:cdr="http://schemas.openxmlformats.org/drawingml/2006/chartDrawing">
    <cdr:from>
      <cdr:x>0.93475</cdr:x>
      <cdr:y>0.90049</cdr:y>
    </cdr:from>
    <cdr:to>
      <cdr:x>0.94613</cdr:x>
      <cdr:y>0.92852</cdr:y>
    </cdr:to>
    <cdr:pic>
      <cdr:nvPicPr>
        <cdr:cNvPr id="3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009850" y="2350132"/>
          <a:ext cx="73166" cy="73154"/>
        </a:xfrm>
        <a:prstGeom xmlns:a="http://schemas.openxmlformats.org/drawingml/2006/main" prst="rect">
          <a:avLst/>
        </a:prstGeom>
      </cdr:spPr>
    </cdr:pic>
  </cdr:relSizeAnchor>
  <cdr:relSizeAnchor xmlns:cdr="http://schemas.openxmlformats.org/drawingml/2006/chartDrawing">
    <cdr:from>
      <cdr:x>0.96371</cdr:x>
      <cdr:y>0.90049</cdr:y>
    </cdr:from>
    <cdr:to>
      <cdr:x>0.97509</cdr:x>
      <cdr:y>0.92852</cdr:y>
    </cdr:to>
    <cdr:pic>
      <cdr:nvPicPr>
        <cdr:cNvPr id="3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196040" y="2350132"/>
          <a:ext cx="73166" cy="73154"/>
        </a:xfrm>
        <a:prstGeom xmlns:a="http://schemas.openxmlformats.org/drawingml/2006/main" prst="rect">
          <a:avLst/>
        </a:prstGeom>
      </cdr:spPr>
    </cdr:pic>
  </cdr:relSizeAnchor>
  <cdr:relSizeAnchor xmlns:cdr="http://schemas.openxmlformats.org/drawingml/2006/chartDrawing">
    <cdr:from>
      <cdr:x>0.90303</cdr:x>
      <cdr:y>0.90049</cdr:y>
    </cdr:from>
    <cdr:to>
      <cdr:x>0.91241</cdr:x>
      <cdr:y>0.9236</cdr:y>
    </cdr:to>
    <cdr:sp macro="" textlink="">
      <cdr:nvSpPr>
        <cdr:cNvPr id="34" name="Oval 33"/>
        <cdr:cNvSpPr>
          <a:spLocks xmlns:a="http://schemas.openxmlformats.org/drawingml/2006/main"/>
        </cdr:cNvSpPr>
      </cdr:nvSpPr>
      <cdr:spPr>
        <a:xfrm xmlns:a="http://schemas.openxmlformats.org/drawingml/2006/main">
          <a:off x="5805922" y="2350132"/>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0.77239</cdr:x>
      <cdr:y>0.90049</cdr:y>
    </cdr:from>
    <cdr:to>
      <cdr:x>0.78177</cdr:x>
      <cdr:y>0.9236</cdr:y>
    </cdr:to>
    <cdr:sp macro="" textlink="">
      <cdr:nvSpPr>
        <cdr:cNvPr id="35" name="Oval 34"/>
        <cdr:cNvSpPr>
          <a:spLocks xmlns:a="http://schemas.openxmlformats.org/drawingml/2006/main"/>
        </cdr:cNvSpPr>
      </cdr:nvSpPr>
      <cdr:spPr>
        <a:xfrm xmlns:a="http://schemas.openxmlformats.org/drawingml/2006/main">
          <a:off x="4965998" y="2350132"/>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0.73971</cdr:x>
      <cdr:y>0.90049</cdr:y>
    </cdr:from>
    <cdr:to>
      <cdr:x>0.74909</cdr:x>
      <cdr:y>0.9236</cdr:y>
    </cdr:to>
    <cdr:sp macro="" textlink="">
      <cdr:nvSpPr>
        <cdr:cNvPr id="36" name="Oval 35"/>
        <cdr:cNvSpPr/>
      </cdr:nvSpPr>
      <cdr:spPr>
        <a:xfrm xmlns:a="http://schemas.openxmlformats.org/drawingml/2006/main">
          <a:off x="4755850" y="2350143"/>
          <a:ext cx="60308" cy="60314"/>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0.67793</cdr:x>
      <cdr:y>0.9091</cdr:y>
    </cdr:from>
    <cdr:to>
      <cdr:x>0.68731</cdr:x>
      <cdr:y>0.93221</cdr:y>
    </cdr:to>
    <cdr:sp macro="" textlink="">
      <cdr:nvSpPr>
        <cdr:cNvPr id="37" name="Oval 36"/>
        <cdr:cNvSpPr/>
      </cdr:nvSpPr>
      <cdr:spPr>
        <a:xfrm xmlns:a="http://schemas.openxmlformats.org/drawingml/2006/main">
          <a:off x="4358645" y="2372618"/>
          <a:ext cx="60308" cy="60314"/>
        </a:xfrm>
        <a:prstGeom xmlns:a="http://schemas.openxmlformats.org/drawingml/2006/main" prst="ellipse">
          <a:avLst/>
        </a:prstGeom>
        <a:solidFill xmlns:a="http://schemas.openxmlformats.org/drawingml/2006/main">
          <a:srgbClr val="CE18B4"/>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0.64368</cdr:x>
      <cdr:y>0.90049</cdr:y>
    </cdr:from>
    <cdr:to>
      <cdr:x>0.65307</cdr:x>
      <cdr:y>0.9236</cdr:y>
    </cdr:to>
    <cdr:sp macro="" textlink="">
      <cdr:nvSpPr>
        <cdr:cNvPr id="38" name="Oval 37"/>
        <cdr:cNvSpPr>
          <a:spLocks xmlns:a="http://schemas.openxmlformats.org/drawingml/2006/main"/>
        </cdr:cNvSpPr>
      </cdr:nvSpPr>
      <cdr:spPr>
        <a:xfrm xmlns:a="http://schemas.openxmlformats.org/drawingml/2006/main">
          <a:off x="4138487" y="2350132"/>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0.83628</cdr:x>
      <cdr:y>0.90049</cdr:y>
    </cdr:from>
    <cdr:to>
      <cdr:x>0.84566</cdr:x>
      <cdr:y>0.9236</cdr:y>
    </cdr:to>
    <cdr:sp macro="" textlink="">
      <cdr:nvSpPr>
        <cdr:cNvPr id="39" name="Oval 38"/>
        <cdr:cNvSpPr>
          <a:spLocks xmlns:a="http://schemas.openxmlformats.org/drawingml/2006/main"/>
        </cdr:cNvSpPr>
      </cdr:nvSpPr>
      <cdr:spPr>
        <a:xfrm xmlns:a="http://schemas.openxmlformats.org/drawingml/2006/main">
          <a:off x="5376766" y="2350132"/>
          <a:ext cx="60325" cy="60325"/>
        </a:xfrm>
        <a:prstGeom xmlns:a="http://schemas.openxmlformats.org/drawingml/2006/main" prst="ellipse">
          <a:avLst/>
        </a:prstGeom>
        <a:solidFill xmlns:a="http://schemas.openxmlformats.org/drawingml/2006/main">
          <a:srgbClr val="F9CBF2"/>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7.xml><?xml version="1.0" encoding="utf-8"?>
<c:userShapes xmlns:c="http://schemas.openxmlformats.org/drawingml/2006/chart">
  <cdr:relSizeAnchor xmlns:cdr="http://schemas.openxmlformats.org/drawingml/2006/chartDrawing">
    <cdr:from>
      <cdr:x>0.4977</cdr:x>
      <cdr:y>0.9732</cdr:y>
    </cdr:from>
    <cdr:to>
      <cdr:x>0.50786</cdr:x>
      <cdr:y>0.99424</cdr:y>
    </cdr:to>
    <cdr:sp macro="" textlink="">
      <cdr:nvSpPr>
        <cdr:cNvPr id="3" name="Oval 2"/>
        <cdr:cNvSpPr/>
      </cdr:nvSpPr>
      <cdr:spPr>
        <a:xfrm xmlns:a="http://schemas.openxmlformats.org/drawingml/2006/main">
          <a:off x="2953401" y="2790201"/>
          <a:ext cx="60307" cy="60314"/>
        </a:xfrm>
        <a:prstGeom xmlns:a="http://schemas.openxmlformats.org/drawingml/2006/main" prst="ellipse">
          <a:avLst/>
        </a:prstGeom>
        <a:solidFill xmlns:a="http://schemas.openxmlformats.org/drawingml/2006/main">
          <a:srgbClr val="FFC000"/>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8.xml><?xml version="1.0" encoding="utf-8"?>
<c:userShapes xmlns:c="http://schemas.openxmlformats.org/drawingml/2006/chart">
  <cdr:relSizeAnchor xmlns:cdr="http://schemas.openxmlformats.org/drawingml/2006/chartDrawing">
    <cdr:from>
      <cdr:x>0.22035</cdr:x>
      <cdr:y>0.03581</cdr:y>
    </cdr:from>
    <cdr:to>
      <cdr:x>0.22035</cdr:x>
      <cdr:y>0.6366</cdr:y>
    </cdr:to>
    <cdr:cxnSp macro="">
      <cdr:nvCxnSpPr>
        <cdr:cNvPr id="3" name="Straight Connector 2"/>
        <cdr:cNvCxnSpPr/>
      </cdr:nvCxnSpPr>
      <cdr:spPr>
        <a:xfrm xmlns:a="http://schemas.openxmlformats.org/drawingml/2006/main">
          <a:off x="1309689" y="78359"/>
          <a:ext cx="0" cy="1314655"/>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0.31305</cdr:x>
      <cdr:y>0.16667</cdr:y>
    </cdr:from>
    <cdr:to>
      <cdr:x>0.31305</cdr:x>
      <cdr:y>0.41318</cdr:y>
    </cdr:to>
    <cdr:cxnSp macro="">
      <cdr:nvCxnSpPr>
        <cdr:cNvPr id="3" name="Straight Connector 2"/>
        <cdr:cNvCxnSpPr/>
      </cdr:nvCxnSpPr>
      <cdr:spPr>
        <a:xfrm xmlns:a="http://schemas.openxmlformats.org/drawingml/2006/main">
          <a:off x="1860644" y="303536"/>
          <a:ext cx="0" cy="448939"/>
        </a:xfrm>
        <a:prstGeom xmlns:a="http://schemas.openxmlformats.org/drawingml/2006/main" prst="line">
          <a:avLst/>
        </a:prstGeom>
        <a:ln xmlns:a="http://schemas.openxmlformats.org/drawingml/2006/main" w="1270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Dig03</b:Tag>
    <b:SourceType>JournalArticle</b:SourceType>
    <b:Guid>{9A63BACE-F77E-4CD9-9EEA-2348E0A67295}</b:Guid>
    <b:Author>
      <b:Author>
        <b:NameList>
          <b:Person>
            <b:Last>Diggle PJ</b:Last>
            <b:First>Heagerty</b:First>
            <b:Middle>P, Liang KY et al ,</b:Middle>
          </b:Person>
        </b:NameList>
      </b:Author>
    </b:Author>
    <b:Title>Analysis of longitudinal data (second edition)</b:Title>
    <b:JournalName>Oxford University Press</b:JournalName>
    <b:Year>2003</b:Year>
    <b:RefOrder>23</b:RefOrder>
  </b:Source>
  <b:Source>
    <b:Tag>Lan041</b:Tag>
    <b:SourceType>JournalArticle</b:SourceType>
    <b:Guid>{6DE9465B-1009-46F8-A18C-F4A0250573A1}</b:Guid>
    <b:Author>
      <b:Author>
        <b:NameList>
          <b:Person>
            <b:Last>Lancaster GA</b:Last>
            <b:First>Dodd</b:First>
            <b:Middle>S, Williamson PR et al,</b:Middle>
          </b:Person>
        </b:NameList>
      </b:Author>
    </b:Author>
    <b:Title>Design and analysis of pilot studies: recommendations for good practice</b:Title>
    <b:JournalName>Journal of Evaluation in Clinical practice </b:JournalName>
    <b:Year>2004</b:Year>
    <b:Pages>10:307-310</b:Pages>
    <b:RefOrder>24</b:RefOrder>
  </b:Source>
  <b:Source>
    <b:Tag>Her081</b:Tag>
    <b:SourceType>JournalArticle</b:SourceType>
    <b:Guid>{FC49B595-A0F1-4381-B4FF-50E2ABA7BE2E}</b:Guid>
    <b:Author>
      <b:Author>
        <b:NameList>
          <b:Person>
            <b:Last>MA</b:Last>
            <b:First>Hertzog</b:First>
          </b:Person>
        </b:NameList>
      </b:Author>
    </b:Author>
    <b:Title>Considerations in determining sample size for pilot studies</b:Title>
    <b:JournalName>Research in Nursing and Health</b:JournalName>
    <b:Year>2008</b:Year>
    <b:Pages>31:180-191</b:Pages>
    <b:RefOrder>25</b:RefOrder>
  </b:Source>
  <b:Source>
    <b:Tag>Wac92</b:Tag>
    <b:SourceType>JournalArticle</b:SourceType>
    <b:Guid>{39BF228D-281B-4D24-899F-685A4C18840A}</b:Guid>
    <b:Author>
      <b:Author>
        <b:NameList>
          <b:Person>
            <b:Last>Wacholder S</b:Last>
            <b:First>McLaughlin</b:First>
            <b:Middle>JK, Silverman DT et al,</b:Middle>
          </b:Person>
        </b:NameList>
      </b:Author>
    </b:Author>
    <b:Title>Selection of Controls in Case-Control Studies 1. principles</b:Title>
    <b:JournalName>American Journal of Epidemiology</b:JournalName>
    <b:Year>1992</b:Year>
    <b:Pages>135:1019-28</b:Pages>
    <b:RefOrder>26</b:RefOrder>
  </b:Source>
  <b:Source>
    <b:Tag>Wac922</b:Tag>
    <b:SourceType>JournalArticle</b:SourceType>
    <b:Guid>{13416673-2D92-49F0-9D54-24E95DD8F706}</b:Guid>
    <b:Author>
      <b:Author>
        <b:NameList>
          <b:Person>
            <b:Last>Wacholder S</b:Last>
            <b:First>Silverman</b:First>
            <b:Middle>DT, McLaughlin JK et al,</b:Middle>
          </b:Person>
        </b:NameList>
      </b:Author>
    </b:Author>
    <b:Title>Selection of Controls in Case-Control Studies III. Design Options</b:Title>
    <b:JournalName>American JounaJ of Epidemiology </b:JournalName>
    <b:Year>1992</b:Year>
    <b:Pages>135:1042-50</b:Pages>
    <b:RefOrder>27</b:RefOrder>
  </b:Source>
  <b:Source>
    <b:Tag>Mar06</b:Tag>
    <b:SourceType>JournalArticle</b:SourceType>
    <b:Guid>{08207B53-D673-48BE-BEAC-83629A7B40A5}</b:Guid>
    <b:Author>
      <b:Author>
        <b:NameList>
          <b:Person>
            <b:Last>Marchant JM</b:Last>
            <b:First>Brent</b:First>
            <b:Middle>Masters I, Taylor SM et al</b:Middle>
          </b:Person>
        </b:NameList>
      </b:Author>
    </b:Author>
    <b:Title>Evaluation and outcome of young children with chronic cough</b:Title>
    <b:JournalName>Chest</b:JournalName>
    <b:Year>2006</b:Year>
    <b:Pages>129(5):1132-1141</b:Pages>
    <b:RefOrder>1</b:RefOrder>
  </b:Source>
  <b:Source>
    <b:Tag>Shi</b:Tag>
    <b:SourceType>JournalArticle</b:SourceType>
    <b:Guid>{D199ACAE-FA5A-4946-A07E-CCA9A8B795A9}</b:Guid>
    <b:Author>
      <b:Author>
        <b:NameList>
          <b:Person>
            <b:Last>Shields MD</b:Last>
            <b:First>Bush</b:First>
            <b:Middle>A, Everard ML et al,</b:Middle>
          </b:Person>
        </b:NameList>
      </b:Author>
    </b:Author>
    <b:Title>Recommendations for the assessment and management of cough in children</b:Title>
    <b:JournalName>Thorax</b:JournalName>
    <b:Year>2008</b:Year>
    <b:Pages>63:iii1-iii15</b:Pages>
    <b:RefOrder>2</b:RefOrder>
  </b:Source>
  <b:Source>
    <b:Tag>Cha08</b:Tag>
    <b:SourceType>JournalArticle</b:SourceType>
    <b:Guid>{E49406F8-A780-48D5-B51E-C4FE437724D7}</b:Guid>
    <b:Author>
      <b:Author>
        <b:NameList>
          <b:Person>
            <b:Last>Chang AB</b:Last>
            <b:First>Grimwood</b:First>
            <b:Middle>K, Maguire G et al,</b:Middle>
          </b:Person>
        </b:NameList>
      </b:Author>
    </b:Author>
    <b:Title>Management of bronchiectasis and chronic suppurative lung disease in Indigenous chidlren and adults from rural and remote Australian communities</b:Title>
    <b:JournalName>MJA</b:JournalName>
    <b:Year>2008</b:Year>
    <b:Pages>189:386-393</b:Pages>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88234F2C1E0E948A62123FDF82FFF0F" ma:contentTypeVersion="2" ma:contentTypeDescription="Create a new document." ma:contentTypeScope="" ma:versionID="b01caf471b0732434e15c61de3ee31d2">
  <xsd:schema xmlns:xsd="http://www.w3.org/2001/XMLSchema" xmlns:xs="http://www.w3.org/2001/XMLSchema" xmlns:p="http://schemas.microsoft.com/office/2006/metadata/properties" xmlns:ns3="2819e270-e7cf-4440-84d6-c21653add7d7" targetNamespace="http://schemas.microsoft.com/office/2006/metadata/properties" ma:root="true" ma:fieldsID="2b384e31501c2d8707ecd824ac0793f7" ns3:_="">
    <xsd:import namespace="2819e270-e7cf-4440-84d6-c21653add7d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e270-e7cf-4440-84d6-c21653add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74F509-FD08-4179-ABDA-CCB6825ABDC0}">
  <ds:schemaRefs>
    <ds:schemaRef ds:uri="http://schemas.microsoft.com/sharepoint/v3/contenttype/forms"/>
  </ds:schemaRefs>
</ds:datastoreItem>
</file>

<file path=customXml/itemProps2.xml><?xml version="1.0" encoding="utf-8"?>
<ds:datastoreItem xmlns:ds="http://schemas.openxmlformats.org/officeDocument/2006/customXml" ds:itemID="{D3BC77AC-EAEC-4AFD-95E1-EBAE0D53A3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6F2A04-FF97-4DD5-AB0F-667642BE117C}">
  <ds:schemaRefs>
    <ds:schemaRef ds:uri="http://schemas.openxmlformats.org/officeDocument/2006/bibliography"/>
  </ds:schemaRefs>
</ds:datastoreItem>
</file>

<file path=customXml/itemProps4.xml><?xml version="1.0" encoding="utf-8"?>
<ds:datastoreItem xmlns:ds="http://schemas.openxmlformats.org/officeDocument/2006/customXml" ds:itemID="{038CA962-D5FD-4900-8293-BF00CB752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e270-e7cf-4440-84d6-c21653add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318</Pages>
  <Words>132261</Words>
  <Characters>753893</Characters>
  <Application>Microsoft Office Word</Application>
  <DocSecurity>0</DocSecurity>
  <Lines>6282</Lines>
  <Paragraphs>1768</Paragraphs>
  <ScaleCrop>false</ScaleCrop>
  <HeadingPairs>
    <vt:vector size="2" baseType="variant">
      <vt:variant>
        <vt:lpstr>Title</vt:lpstr>
      </vt:variant>
      <vt:variant>
        <vt:i4>1</vt:i4>
      </vt:variant>
    </vt:vector>
  </HeadingPairs>
  <TitlesOfParts>
    <vt:vector size="1" baseType="lpstr">
      <vt:lpstr/>
    </vt:vector>
  </TitlesOfParts>
  <Company>DBTH NHS FT</Company>
  <LinksUpToDate>false</LinksUpToDate>
  <CharactersWithSpaces>884386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hardman</dc:creator>
  <cp:keywords/>
  <dc:description/>
  <cp:lastModifiedBy>HARDMAN, Simon (SHEFFIELD CHILDREN'S NHS FOUNDATION TRUST)</cp:lastModifiedBy>
  <cp:revision>3</cp:revision>
  <dcterms:created xsi:type="dcterms:W3CDTF">2022-10-31T09:28:00Z</dcterms:created>
  <dcterms:modified xsi:type="dcterms:W3CDTF">2022-10-31T09:40:00Z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0x010100088234F2C1E0E948A62123FDF82FFF0F</vt:lpwstr>
  </property>
</Properties>
</file>